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UNITED STATES</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 xml:space="preserve">FORM 10-Q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2"/>
        </w:rPr>
        <w:t>QUARTERLY REPORT 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29, 2024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 </w:t>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2"/>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 to __________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001-34460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 xml:space="preserve">KRATOS DEFENSE &amp; SECURITY SOLUTIONS,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6328" w:type="dxa"/>
        <w:jc w:val="center"/>
        <w:tblInd w:w="0" w:type="dxa"/>
        <w:tblLayout w:type="fixed"/>
        <w:tblCellMar>
          <w:top w:w="28" w:type="dxa"/>
          <w:left w:w="28" w:type="dxa"/>
          <w:bottom w:w="28" w:type="dxa"/>
          <w:right w:w="28" w:type="dxa"/>
        </w:tblCellMar>
      </w:tblPr>
      <w:tblGrid>
        <w:gridCol w:w="1193"/>
        <w:gridCol w:w="1047"/>
        <w:gridCol w:w="1059"/>
        <w:gridCol w:w="884"/>
        <w:gridCol w:w="884"/>
        <w:gridCol w:w="1261"/>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13-3818604</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100" w:after="283"/>
              <w:jc w:val="center"/>
              <w:rPr/>
            </w:pPr>
            <w:r>
              <w:rPr/>
            </w:r>
          </w:p>
          <w:p>
            <w:pPr>
              <w:pStyle w:val="TableContents"/>
              <w:bidi w:val="0"/>
              <w:spacing w:lineRule="auto" w:line="240" w:before="100" w:after="283"/>
              <w:jc w:val="center"/>
              <w:rPr/>
            </w:pPr>
            <w:r>
              <w:rPr>
                <w:rFonts w:ascii="Times New Roman;sans-serif" w:hAnsi="Times New Roman;sans-serif"/>
                <w:b/>
                <w:color w:val="000000"/>
                <w:sz w:val="20"/>
              </w:rPr>
              <w:t>1 Chisholm Trail</w:t>
            </w:r>
            <w:r>
              <w:rPr>
                <w:rFonts w:ascii="Times New Roman;sans-serif" w:hAnsi="Times New Roman;sans-serif"/>
                <w:b/>
                <w:color w:val="000000"/>
                <w:sz w:val="18"/>
              </w:rPr>
              <w:t xml:space="preserve">, </w:t>
            </w:r>
            <w:r>
              <w:rPr>
                <w:rFonts w:ascii="Times New Roman;sans-serif" w:hAnsi="Times New Roman;sans-serif"/>
                <w:b/>
                <w:color w:val="000000"/>
                <w:sz w:val="20"/>
              </w:rPr>
              <w:t>Suite 300</w:t>
            </w:r>
            <w:r>
              <w:rPr>
                <w:color w:val="000000"/>
              </w:rPr>
              <w:t xml:space="preserve"> </w:t>
            </w:r>
          </w:p>
          <w:p>
            <w:pPr>
              <w:pStyle w:val="TableContents"/>
              <w:bidi w:val="0"/>
              <w:spacing w:lineRule="auto" w:line="240" w:before="0" w:after="0"/>
              <w:jc w:val="center"/>
              <w:rPr/>
            </w:pPr>
            <w:r>
              <w:rPr>
                <w:rFonts w:ascii="Times New Roman;sans-serif" w:hAnsi="Times New Roman;sans-serif"/>
                <w:b/>
                <w:color w:val="000000"/>
                <w:sz w:val="20"/>
              </w:rPr>
              <w:t>Round Rock</w:t>
            </w:r>
            <w:r>
              <w:rPr>
                <w:rFonts w:ascii="Times New Roman;sans-serif" w:hAnsi="Times New Roman;sans-serif"/>
                <w:b/>
                <w:color w:val="000000"/>
                <w:sz w:val="18"/>
              </w:rPr>
              <w:t>, TX</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78681</w:t>
            </w:r>
          </w:p>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(512) 238-9840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417"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353" w:type="dxa"/>
        <w:jc w:val="center"/>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8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KTOS</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160"/>
        <w:ind w:left="0" w:right="0" w:firstLine="36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0" w:after="160"/>
        <w:ind w:left="0" w:right="0" w:firstLine="360"/>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26" w:type="dxa"/>
        <w:jc w:val="left"/>
        <w:tblInd w:w="0" w:type="dxa"/>
        <w:tblLayout w:type="fixed"/>
        <w:tblCellMar>
          <w:top w:w="28" w:type="dxa"/>
          <w:left w:w="28" w:type="dxa"/>
          <w:bottom w:w="28" w:type="dxa"/>
          <w:right w:w="28" w:type="dxa"/>
        </w:tblCellMar>
      </w:tblPr>
      <w:tblGrid>
        <w:gridCol w:w="695"/>
        <w:gridCol w:w="611"/>
        <w:gridCol w:w="613"/>
        <w:gridCol w:w="225"/>
        <w:gridCol w:w="225"/>
        <w:gridCol w:w="226"/>
        <w:gridCol w:w="769"/>
        <w:gridCol w:w="769"/>
        <w:gridCol w:w="772"/>
        <w:gridCol w:w="211"/>
        <w:gridCol w:w="211"/>
        <w:gridCol w:w="299"/>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16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r>
    </w:tbl>
    <w:p>
      <w:pPr>
        <w:pStyle w:val="TextBody"/>
        <w:bidi w:val="0"/>
        <w:spacing w:lineRule="auto" w:line="288" w:before="0" w:after="160"/>
        <w:ind w:left="0" w:right="0" w:firstLine="36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60"/>
        <w:ind w:left="0" w:right="0" w:firstLine="360"/>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No </w:t>
      </w:r>
      <w:r>
        <w:rPr>
          <w:color w:val="000000"/>
        </w:rPr>
        <w:t xml:space="preserve">☒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1, 2024, 151,073,886 shares of the registrant’s common stock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KRATOS DEFENSE &amp; SECURITY SOLUTIONS,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29, 2024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93"/>
        <w:gridCol w:w="258"/>
        <w:gridCol w:w="260"/>
        <w:gridCol w:w="2958"/>
        <w:gridCol w:w="2958"/>
        <w:gridCol w:w="2965"/>
        <w:gridCol w:w="149"/>
        <w:gridCol w:w="149"/>
        <w:gridCol w:w="215"/>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84c5484bb44d31953344916ad89e4c_10">
              <w:r>
                <w:rPr>
                  <w:rStyle w:val="InternetLink"/>
                  <w:rFonts w:ascii="Times New Roman;sans-serif" w:hAnsi="Times New Roman;sans-serif"/>
                  <w:b/>
                  <w:color w:val="0000FF"/>
                  <w:sz w:val="20"/>
                  <w:u w:val="single"/>
                </w:rPr>
                <w:t>PART I. FINANCIAL INFORMATION</w:t>
              </w:r>
            </w:hyperlink>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3">
              <w:r>
                <w:rPr>
                  <w:rStyle w:val="InternetLink"/>
                  <w:rFonts w:ascii="Times New Roman;sans-serif" w:hAnsi="Times New Roman;sans-serif"/>
                  <w:b w:val="false"/>
                  <w:color w:val="0000FF"/>
                  <w:sz w:val="20"/>
                  <w:u w:val="single"/>
                </w:rPr>
                <w:t>Item 1.</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3">
              <w:r>
                <w:rPr>
                  <w:rStyle w:val="InternetLink"/>
                  <w:rFonts w:ascii="Times New Roman;sans-serif" w:hAnsi="Times New Roman;sans-serif"/>
                  <w:b w:val="false"/>
                  <w:color w:val="0000FF"/>
                  <w:sz w:val="20"/>
                  <w:u w:val="single"/>
                </w:rPr>
                <w:t>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84c5484bb44d31953344916ad89e4c_13">
              <w:r>
                <w:rPr>
                  <w:rStyle w:val="InternetLink"/>
                  <w:rFonts w:ascii="Times New Roman;sans-serif" w:hAnsi="Times New Roman;sans-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6">
              <w:r>
                <w:rPr>
                  <w:rStyle w:val="InternetLink"/>
                  <w:rFonts w:ascii="Times New Roman;sans-serif" w:hAnsi="Times New Roman;sans-serif"/>
                  <w:b w:val="false"/>
                  <w:color w:val="000080"/>
                  <w:sz w:val="20"/>
                  <w:u w:val="single"/>
                </w:rPr>
                <w:t xml:space="preserve">Condensed Consolidated Balance Sheets at </w:t>
              </w:r>
            </w:hyperlink>
            <w:hyperlink w:anchor="i2f84c5484bb44d31953344916ad89e4c_16">
              <w:r>
                <w:rPr>
                  <w:rStyle w:val="InternetLink"/>
                  <w:rFonts w:ascii="Times New Roman;sans-serif" w:hAnsi="Times New Roman;sans-serif"/>
                  <w:b w:val="false"/>
                  <w:color w:val="000080"/>
                  <w:sz w:val="20"/>
                  <w:u w:val="single"/>
                </w:rPr>
                <w:t>Se</w:t>
              </w:r>
            </w:hyperlink>
            <w:hyperlink w:anchor="i2f84c5484bb44d31953344916ad89e4c_16">
              <w:r>
                <w:rPr>
                  <w:rStyle w:val="InternetLink"/>
                  <w:rFonts w:ascii="Times New Roman;sans-serif" w:hAnsi="Times New Roman;sans-serif"/>
                  <w:b w:val="false"/>
                  <w:color w:val="000080"/>
                  <w:sz w:val="20"/>
                  <w:u w:val="single"/>
                </w:rPr>
                <w:t>ptember</w:t>
              </w:r>
            </w:hyperlink>
            <w:hyperlink w:anchor="i2f84c5484bb44d31953344916ad89e4c_16">
              <w:r>
                <w:rPr>
                  <w:rStyle w:val="InternetLink"/>
                  <w:rFonts w:ascii="Times New Roman;sans-serif" w:hAnsi="Times New Roman;sans-serif"/>
                  <w:b w:val="false"/>
                  <w:color w:val="000080"/>
                  <w:sz w:val="20"/>
                  <w:u w:val="single"/>
                </w:rPr>
                <w:t xml:space="preserve"> </w:t>
              </w:r>
            </w:hyperlink>
            <w:hyperlink w:anchor="i2f84c5484bb44d31953344916ad89e4c_16">
              <w:r>
                <w:rPr>
                  <w:rStyle w:val="InternetLink"/>
                  <w:rFonts w:ascii="Times New Roman;sans-serif" w:hAnsi="Times New Roman;sans-serif"/>
                  <w:b w:val="false"/>
                  <w:color w:val="000080"/>
                  <w:sz w:val="20"/>
                  <w:u w:val="single"/>
                </w:rPr>
                <w:t>29</w:t>
              </w:r>
            </w:hyperlink>
            <w:hyperlink w:anchor="i2f84c5484bb44d31953344916ad89e4c_16">
              <w:r>
                <w:rPr>
                  <w:rStyle w:val="InternetLink"/>
                  <w:rFonts w:ascii="Times New Roman;sans-serif" w:hAnsi="Times New Roman;sans-serif"/>
                  <w:b w:val="false"/>
                  <w:color w:val="000080"/>
                  <w:sz w:val="20"/>
                  <w:u w:val="single"/>
                </w:rPr>
                <w:t>, 2024 (unaudited) and December 31, 2023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84c5484bb44d31953344916ad89e4c_16">
              <w:r>
                <w:rPr>
                  <w:rStyle w:val="InternetLink"/>
                  <w:rFonts w:ascii="Times New Roman;sans-serif" w:hAnsi="Times New Roman;sans-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22">
              <w:r>
                <w:rPr>
                  <w:rStyle w:val="InternetLink"/>
                  <w:rFonts w:ascii="Times New Roman;sans-serif" w:hAnsi="Times New Roman;sans-serif"/>
                  <w:b w:val="false"/>
                  <w:color w:val="000080"/>
                  <w:sz w:val="20"/>
                  <w:u w:val="single"/>
                </w:rPr>
                <w:t xml:space="preserve">Condensed Consolidated Statements of Operations for the Three and </w:t>
              </w:r>
            </w:hyperlink>
            <w:hyperlink w:anchor="i2f84c5484bb44d31953344916ad89e4c_22">
              <w:r>
                <w:rPr>
                  <w:rStyle w:val="InternetLink"/>
                  <w:rFonts w:ascii="Times New Roman;sans-serif" w:hAnsi="Times New Roman;sans-serif"/>
                  <w:b w:val="false"/>
                  <w:color w:val="000080"/>
                  <w:sz w:val="20"/>
                  <w:u w:val="single"/>
                </w:rPr>
                <w:t>Nine</w:t>
              </w:r>
            </w:hyperlink>
            <w:hyperlink w:anchor="i2f84c5484bb44d31953344916ad89e4c_22">
              <w:r>
                <w:rPr>
                  <w:rStyle w:val="InternetLink"/>
                  <w:rFonts w:ascii="Times New Roman;sans-serif" w:hAnsi="Times New Roman;sans-serif"/>
                  <w:b w:val="false"/>
                  <w:color w:val="000080"/>
                  <w:sz w:val="20"/>
                  <w:u w:val="single"/>
                </w:rPr>
                <w:t xml:space="preserve"> Months Ended </w:t>
              </w:r>
            </w:hyperlink>
            <w:hyperlink w:anchor="i2f84c5484bb44d31953344916ad89e4c_22">
              <w:r>
                <w:rPr>
                  <w:rStyle w:val="InternetLink"/>
                  <w:rFonts w:ascii="Times New Roman;sans-serif" w:hAnsi="Times New Roman;sans-serif"/>
                  <w:b w:val="false"/>
                  <w:color w:val="000080"/>
                  <w:sz w:val="20"/>
                  <w:u w:val="single"/>
                </w:rPr>
                <w:t>S</w:t>
              </w:r>
            </w:hyperlink>
            <w:hyperlink w:anchor="i2f84c5484bb44d31953344916ad89e4c_22">
              <w:r>
                <w:rPr>
                  <w:rStyle w:val="InternetLink"/>
                  <w:rFonts w:ascii="Times New Roman;sans-serif" w:hAnsi="Times New Roman;sans-serif"/>
                  <w:b w:val="false"/>
                  <w:color w:val="000080"/>
                  <w:sz w:val="20"/>
                  <w:u w:val="single"/>
                </w:rPr>
                <w:t>eptember 29</w:t>
              </w:r>
            </w:hyperlink>
            <w:hyperlink w:anchor="i2f84c5484bb44d31953344916ad89e4c_22">
              <w:r>
                <w:rPr>
                  <w:rStyle w:val="InternetLink"/>
                  <w:rFonts w:ascii="Times New Roman;sans-serif" w:hAnsi="Times New Roman;sans-serif"/>
                  <w:b w:val="false"/>
                  <w:color w:val="000080"/>
                  <w:sz w:val="20"/>
                  <w:u w:val="single"/>
                </w:rPr>
                <w:t xml:space="preserve">, 2024 and </w:t>
              </w:r>
            </w:hyperlink>
            <w:hyperlink w:anchor="i2f84c5484bb44d31953344916ad89e4c_22">
              <w:r>
                <w:rPr>
                  <w:rStyle w:val="InternetLink"/>
                  <w:rFonts w:ascii="Times New Roman;sans-serif" w:hAnsi="Times New Roman;sans-serif"/>
                  <w:b w:val="false"/>
                  <w:color w:val="000080"/>
                  <w:sz w:val="20"/>
                  <w:u w:val="single"/>
                </w:rPr>
                <w:t>October 1</w:t>
              </w:r>
            </w:hyperlink>
            <w:hyperlink w:anchor="i2f84c5484bb44d31953344916ad89e4c_22">
              <w:r>
                <w:rPr>
                  <w:rStyle w:val="InternetLink"/>
                  <w:rFonts w:ascii="Times New Roman;sans-serif" w:hAnsi="Times New Roman;sans-serif"/>
                  <w:b w:val="false"/>
                  <w:color w:val="000080"/>
                  <w:sz w:val="20"/>
                  <w:u w:val="single"/>
                </w:rPr>
                <w:t xml:space="preserve">, 2023 (unaudited) </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84c5484bb44d31953344916ad89e4c_22">
              <w:r>
                <w:rPr>
                  <w:rStyle w:val="InternetLink"/>
                  <w:rFonts w:ascii="Times New Roman;sans-serif" w:hAnsi="Times New Roman;sans-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25">
              <w:r>
                <w:rPr>
                  <w:rStyle w:val="InternetLink"/>
                  <w:rFonts w:ascii="Times New Roman;sans-serif" w:hAnsi="Times New Roman;sans-serif"/>
                  <w:b w:val="false"/>
                  <w:color w:val="000080"/>
                  <w:sz w:val="20"/>
                  <w:u w:val="single"/>
                </w:rPr>
                <w:t xml:space="preserve">Condensed Consolidated Statements of Comprehensive Income (Loss) for the </w:t>
              </w:r>
            </w:hyperlink>
            <w:hyperlink w:anchor="i2f84c5484bb44d31953344916ad89e4c_22">
              <w:r>
                <w:rPr>
                  <w:rStyle w:val="InternetLink"/>
                  <w:rFonts w:ascii="Times New Roman;sans-serif" w:hAnsi="Times New Roman;sans-serif"/>
                  <w:b w:val="false"/>
                  <w:color w:val="000080"/>
                  <w:sz w:val="20"/>
                  <w:u w:val="single"/>
                </w:rPr>
                <w:t xml:space="preserve">Three and </w:t>
              </w:r>
            </w:hyperlink>
            <w:hyperlink w:anchor="i2f84c5484bb44d31953344916ad89e4c_22">
              <w:r>
                <w:rPr>
                  <w:rStyle w:val="InternetLink"/>
                  <w:rFonts w:ascii="Times New Roman;sans-serif" w:hAnsi="Times New Roman;sans-serif"/>
                  <w:b w:val="false"/>
                  <w:color w:val="000080"/>
                  <w:sz w:val="20"/>
                  <w:u w:val="single"/>
                </w:rPr>
                <w:t>Nine</w:t>
              </w:r>
            </w:hyperlink>
            <w:hyperlink w:anchor="i2f84c5484bb44d31953344916ad89e4c_22">
              <w:r>
                <w:rPr>
                  <w:rStyle w:val="InternetLink"/>
                  <w:rFonts w:ascii="Times New Roman;sans-serif" w:hAnsi="Times New Roman;sans-serif"/>
                  <w:b w:val="false"/>
                  <w:color w:val="000080"/>
                  <w:sz w:val="20"/>
                  <w:u w:val="single"/>
                </w:rPr>
                <w:t xml:space="preserve"> Months Ended </w:t>
              </w:r>
            </w:hyperlink>
            <w:hyperlink w:anchor="i2f84c5484bb44d31953344916ad89e4c_22">
              <w:r>
                <w:rPr>
                  <w:rStyle w:val="InternetLink"/>
                  <w:rFonts w:ascii="Times New Roman;sans-serif" w:hAnsi="Times New Roman;sans-serif"/>
                  <w:b w:val="false"/>
                  <w:color w:val="000080"/>
                  <w:sz w:val="20"/>
                  <w:u w:val="single"/>
                </w:rPr>
                <w:t>Se</w:t>
              </w:r>
            </w:hyperlink>
            <w:hyperlink w:anchor="i2f84c5484bb44d31953344916ad89e4c_22">
              <w:r>
                <w:rPr>
                  <w:rStyle w:val="InternetLink"/>
                  <w:rFonts w:ascii="Times New Roman;sans-serif" w:hAnsi="Times New Roman;sans-serif"/>
                  <w:b w:val="false"/>
                  <w:color w:val="000080"/>
                  <w:sz w:val="20"/>
                  <w:u w:val="single"/>
                </w:rPr>
                <w:t>ptember 29</w:t>
              </w:r>
            </w:hyperlink>
            <w:hyperlink w:anchor="i2f84c5484bb44d31953344916ad89e4c_22">
              <w:r>
                <w:rPr>
                  <w:rStyle w:val="InternetLink"/>
                  <w:rFonts w:ascii="Times New Roman;sans-serif" w:hAnsi="Times New Roman;sans-serif"/>
                  <w:b w:val="false"/>
                  <w:color w:val="000080"/>
                  <w:sz w:val="20"/>
                  <w:u w:val="single"/>
                </w:rPr>
                <w:t xml:space="preserve">, 2024 and </w:t>
              </w:r>
            </w:hyperlink>
            <w:hyperlink w:anchor="i2f84c5484bb44d31953344916ad89e4c_22">
              <w:r>
                <w:rPr>
                  <w:rStyle w:val="InternetLink"/>
                  <w:rFonts w:ascii="Times New Roman;sans-serif" w:hAnsi="Times New Roman;sans-serif"/>
                  <w:b w:val="false"/>
                  <w:color w:val="000080"/>
                  <w:sz w:val="20"/>
                  <w:u w:val="single"/>
                </w:rPr>
                <w:t>October 1</w:t>
              </w:r>
            </w:hyperlink>
            <w:hyperlink w:anchor="i2f84c5484bb44d31953344916ad89e4c_22">
              <w:r>
                <w:rPr>
                  <w:rStyle w:val="InternetLink"/>
                  <w:rFonts w:ascii="Times New Roman;sans-serif" w:hAnsi="Times New Roman;sans-serif"/>
                  <w:b w:val="false"/>
                  <w:color w:val="000080"/>
                  <w:sz w:val="20"/>
                  <w:u w:val="single"/>
                </w:rPr>
                <w:t>, 2023</w:t>
              </w:r>
            </w:hyperlink>
            <w:hyperlink w:anchor="i2f84c5484bb44d31953344916ad89e4c_25">
              <w:r>
                <w:rPr>
                  <w:rStyle w:val="InternetLink"/>
                  <w:rFonts w:ascii="Times New Roman;sans-serif" w:hAnsi="Times New Roman;sans-serif"/>
                  <w:b w:val="false"/>
                  <w:color w:val="000080"/>
                  <w:sz w:val="20"/>
                  <w:u w:val="single"/>
                </w:rPr>
                <w:t xml:space="preserve">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84c5484bb44d31953344916ad89e4c_25">
              <w:r>
                <w:rPr>
                  <w:rStyle w:val="InternetLink"/>
                  <w:rFonts w:ascii="Times New Roman;sans-serif" w:hAnsi="Times New Roman;sans-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28">
              <w:r>
                <w:rPr>
                  <w:rStyle w:val="InternetLink"/>
                  <w:rFonts w:ascii="Times New Roman;sans-serif" w:hAnsi="Times New Roman;sans-serif"/>
                  <w:b w:val="false"/>
                  <w:color w:val="000080"/>
                  <w:sz w:val="20"/>
                  <w:u w:val="single"/>
                </w:rPr>
                <w:t xml:space="preserve">Condensed Consolidated Statements of Stockholders’ Equity for the </w:t>
              </w:r>
            </w:hyperlink>
            <w:hyperlink w:anchor="i2f84c5484bb44d31953344916ad89e4c_22">
              <w:r>
                <w:rPr>
                  <w:rStyle w:val="InternetLink"/>
                  <w:rFonts w:ascii="Times New Roman;sans-serif" w:hAnsi="Times New Roman;sans-serif"/>
                  <w:b w:val="false"/>
                  <w:color w:val="000080"/>
                  <w:sz w:val="20"/>
                  <w:u w:val="single"/>
                </w:rPr>
                <w:t xml:space="preserve">Three and </w:t>
              </w:r>
            </w:hyperlink>
            <w:hyperlink w:anchor="i2f84c5484bb44d31953344916ad89e4c_22">
              <w:r>
                <w:rPr>
                  <w:rStyle w:val="InternetLink"/>
                  <w:rFonts w:ascii="Times New Roman;sans-serif" w:hAnsi="Times New Roman;sans-serif"/>
                  <w:b w:val="false"/>
                  <w:color w:val="000080"/>
                  <w:sz w:val="20"/>
                  <w:u w:val="single"/>
                </w:rPr>
                <w:t>Nine</w:t>
              </w:r>
            </w:hyperlink>
            <w:hyperlink w:anchor="i2f84c5484bb44d31953344916ad89e4c_22">
              <w:r>
                <w:rPr>
                  <w:rStyle w:val="InternetLink"/>
                  <w:rFonts w:ascii="Times New Roman;sans-serif" w:hAnsi="Times New Roman;sans-serif"/>
                  <w:b w:val="false"/>
                  <w:color w:val="000080"/>
                  <w:sz w:val="20"/>
                  <w:u w:val="single"/>
                </w:rPr>
                <w:t xml:space="preserve"> Months Ended </w:t>
              </w:r>
            </w:hyperlink>
            <w:hyperlink w:anchor="i2f84c5484bb44d31953344916ad89e4c_22">
              <w:r>
                <w:rPr>
                  <w:rStyle w:val="InternetLink"/>
                  <w:rFonts w:ascii="Times New Roman;sans-serif" w:hAnsi="Times New Roman;sans-serif"/>
                  <w:b w:val="false"/>
                  <w:color w:val="000080"/>
                  <w:sz w:val="20"/>
                  <w:u w:val="single"/>
                </w:rPr>
                <w:t>September 29</w:t>
              </w:r>
            </w:hyperlink>
            <w:hyperlink w:anchor="i2f84c5484bb44d31953344916ad89e4c_22">
              <w:r>
                <w:rPr>
                  <w:rStyle w:val="InternetLink"/>
                  <w:rFonts w:ascii="Times New Roman;sans-serif" w:hAnsi="Times New Roman;sans-serif"/>
                  <w:b w:val="false"/>
                  <w:color w:val="000080"/>
                  <w:sz w:val="20"/>
                  <w:u w:val="single"/>
                </w:rPr>
                <w:t xml:space="preserve">, 2024 and </w:t>
              </w:r>
            </w:hyperlink>
            <w:hyperlink w:anchor="i2f84c5484bb44d31953344916ad89e4c_22">
              <w:r>
                <w:rPr>
                  <w:rStyle w:val="InternetLink"/>
                  <w:rFonts w:ascii="Times New Roman;sans-serif" w:hAnsi="Times New Roman;sans-serif"/>
                  <w:b w:val="false"/>
                  <w:color w:val="000080"/>
                  <w:sz w:val="20"/>
                  <w:u w:val="single"/>
                </w:rPr>
                <w:t>October 1</w:t>
              </w:r>
            </w:hyperlink>
            <w:hyperlink w:anchor="i2f84c5484bb44d31953344916ad89e4c_22">
              <w:r>
                <w:rPr>
                  <w:rStyle w:val="InternetLink"/>
                  <w:rFonts w:ascii="Times New Roman;sans-serif" w:hAnsi="Times New Roman;sans-serif"/>
                  <w:b w:val="false"/>
                  <w:color w:val="000080"/>
                  <w:sz w:val="20"/>
                  <w:u w:val="single"/>
                </w:rPr>
                <w:t>, 2023</w:t>
              </w:r>
            </w:hyperlink>
            <w:hyperlink w:anchor="i2f84c5484bb44d31953344916ad89e4c_28">
              <w:r>
                <w:rPr>
                  <w:rStyle w:val="InternetLink"/>
                  <w:rFonts w:ascii="Times New Roman;sans-serif" w:hAnsi="Times New Roman;sans-serif"/>
                  <w:b w:val="false"/>
                  <w:color w:val="000080"/>
                  <w:sz w:val="20"/>
                  <w:u w:val="single"/>
                </w:rPr>
                <w:t xml:space="preserve">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84c5484bb44d31953344916ad89e4c_28">
              <w:r>
                <w:rPr>
                  <w:rStyle w:val="InternetLink"/>
                  <w:rFonts w:ascii="Times New Roman;sans-serif" w:hAnsi="Times New Roman;sans-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34">
              <w:r>
                <w:rPr>
                  <w:rStyle w:val="InternetLink"/>
                  <w:rFonts w:ascii="Times New Roman;sans-serif" w:hAnsi="Times New Roman;sans-serif"/>
                  <w:b w:val="false"/>
                  <w:color w:val="000080"/>
                  <w:sz w:val="20"/>
                  <w:u w:val="single"/>
                </w:rPr>
                <w:t>Condensed Consolidated Statements of Cash Flows for the</w:t>
              </w:r>
            </w:hyperlink>
            <w:hyperlink w:anchor="i2f84c5484bb44d31953344916ad89e4c_34">
              <w:r>
                <w:rPr>
                  <w:rStyle w:val="InternetLink"/>
                  <w:rFonts w:ascii="Times New Roman;sans-serif" w:hAnsi="Times New Roman;sans-serif"/>
                  <w:b w:val="false"/>
                  <w:color w:val="000080"/>
                  <w:sz w:val="20"/>
                  <w:u w:val="single"/>
                </w:rPr>
                <w:t xml:space="preserve"> </w:t>
              </w:r>
            </w:hyperlink>
            <w:hyperlink w:anchor="i2f84c5484bb44d31953344916ad89e4c_34">
              <w:r>
                <w:rPr>
                  <w:rStyle w:val="InternetLink"/>
                  <w:rFonts w:ascii="Times New Roman;sans-serif" w:hAnsi="Times New Roman;sans-serif"/>
                  <w:b w:val="false"/>
                  <w:color w:val="000080"/>
                  <w:sz w:val="20"/>
                  <w:u w:val="single"/>
                </w:rPr>
                <w:t>Nine</w:t>
              </w:r>
            </w:hyperlink>
            <w:hyperlink w:anchor="i2f84c5484bb44d31953344916ad89e4c_34">
              <w:r>
                <w:rPr>
                  <w:rStyle w:val="InternetLink"/>
                  <w:rFonts w:ascii="Times New Roman;sans-serif" w:hAnsi="Times New Roman;sans-serif"/>
                  <w:b w:val="false"/>
                  <w:color w:val="000080"/>
                  <w:sz w:val="20"/>
                  <w:u w:val="single"/>
                </w:rPr>
                <w:t xml:space="preserve"> Months Ended</w:t>
              </w:r>
            </w:hyperlink>
            <w:hyperlink w:anchor="i2f84c5484bb44d31953344916ad89e4c_22">
              <w:r>
                <w:rPr>
                  <w:rStyle w:val="InternetLink"/>
                  <w:rFonts w:ascii="Times New Roman;sans-serif" w:hAnsi="Times New Roman;sans-serif"/>
                  <w:b w:val="false"/>
                  <w:color w:val="000080"/>
                  <w:sz w:val="20"/>
                  <w:u w:val="single"/>
                </w:rPr>
                <w:t xml:space="preserve"> </w:t>
              </w:r>
            </w:hyperlink>
            <w:hyperlink w:anchor="i2f84c5484bb44d31953344916ad89e4c_22">
              <w:r>
                <w:rPr>
                  <w:rStyle w:val="InternetLink"/>
                  <w:rFonts w:ascii="Times New Roman;sans-serif" w:hAnsi="Times New Roman;sans-serif"/>
                  <w:b w:val="false"/>
                  <w:color w:val="000080"/>
                  <w:sz w:val="20"/>
                  <w:u w:val="single"/>
                </w:rPr>
                <w:t>September 29</w:t>
              </w:r>
            </w:hyperlink>
            <w:hyperlink w:anchor="i2f84c5484bb44d31953344916ad89e4c_22">
              <w:r>
                <w:rPr>
                  <w:rStyle w:val="InternetLink"/>
                  <w:rFonts w:ascii="Times New Roman;sans-serif" w:hAnsi="Times New Roman;sans-serif"/>
                  <w:b w:val="false"/>
                  <w:color w:val="000080"/>
                  <w:sz w:val="20"/>
                  <w:u w:val="single"/>
                </w:rPr>
                <w:t xml:space="preserve">, 2024 and </w:t>
              </w:r>
            </w:hyperlink>
            <w:hyperlink w:anchor="i2f84c5484bb44d31953344916ad89e4c_22">
              <w:r>
                <w:rPr>
                  <w:rStyle w:val="InternetLink"/>
                  <w:rFonts w:ascii="Times New Roman;sans-serif" w:hAnsi="Times New Roman;sans-serif"/>
                  <w:b w:val="false"/>
                  <w:color w:val="000080"/>
                  <w:sz w:val="20"/>
                  <w:u w:val="single"/>
                </w:rPr>
                <w:t>October 1</w:t>
              </w:r>
            </w:hyperlink>
            <w:hyperlink w:anchor="i2f84c5484bb44d31953344916ad89e4c_22">
              <w:r>
                <w:rPr>
                  <w:rStyle w:val="InternetLink"/>
                  <w:rFonts w:ascii="Times New Roman;sans-serif" w:hAnsi="Times New Roman;sans-serif"/>
                  <w:b w:val="false"/>
                  <w:color w:val="000080"/>
                  <w:sz w:val="20"/>
                  <w:u w:val="single"/>
                </w:rPr>
                <w:t>, 2023</w:t>
              </w:r>
            </w:hyperlink>
            <w:r>
              <w:rPr>
                <w:color w:val="000000"/>
              </w:rPr>
              <w:t xml:space="preserve"> </w:t>
            </w:r>
            <w:hyperlink w:anchor="i2f84c5484bb44d31953344916ad89e4c_34">
              <w:r>
                <w:rPr>
                  <w:rStyle w:val="InternetLink"/>
                  <w:rFonts w:ascii="Times New Roman;sans-serif" w:hAnsi="Times New Roman;sans-serif"/>
                  <w:b w:val="false"/>
                  <w:color w:val="0000FF"/>
                  <w:sz w:val="20"/>
                  <w:u w:val="single"/>
                </w:rPr>
                <w:t>(unaudited)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84c5484bb44d31953344916ad89e4c_34">
              <w:r>
                <w:rPr>
                  <w:rStyle w:val="InternetLink"/>
                  <w:rFonts w:ascii="Times New Roman;sans-serif" w:hAnsi="Times New Roman;sans-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37">
              <w:r>
                <w:rPr>
                  <w:rStyle w:val="InternetLink"/>
                  <w:rFonts w:ascii="Times New Roman;sans-serif" w:hAnsi="Times New Roman;sans-serif"/>
                  <w:b w:val="false"/>
                  <w:color w:val="0000FF"/>
                  <w:sz w:val="20"/>
                  <w:u w:val="single"/>
                </w:rPr>
                <w:t>Notes to Condensed Consolidated Financial Statements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84c5484bb44d31953344916ad89e4c_37">
              <w:r>
                <w:rPr>
                  <w:rStyle w:val="InternetLink"/>
                  <w:rFonts w:ascii="Times New Roman;sans-serif" w:hAnsi="Times New Roman;sans-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88">
              <w:r>
                <w:rPr>
                  <w:rStyle w:val="InternetLink"/>
                  <w:rFonts w:ascii="Times New Roman;sans-serif" w:hAnsi="Times New Roman;sans-serif"/>
                  <w:b w:val="false"/>
                  <w:color w:val="0000FF"/>
                  <w:sz w:val="20"/>
                  <w:u w:val="single"/>
                </w:rPr>
                <w:t>Item 2.</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8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84c5484bb44d31953344916ad89e4c_88">
              <w:r>
                <w:rPr>
                  <w:rStyle w:val="InternetLink"/>
                  <w:rFonts w:ascii="Times New Roman;sans-serif" w:hAnsi="Times New Roman;sans-serif"/>
                  <w:b w:val="false"/>
                  <w:color w:val="0000FF"/>
                  <w:sz w:val="20"/>
                  <w:u w:val="single"/>
                </w:rPr>
                <w:t>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21">
              <w:r>
                <w:rPr>
                  <w:rStyle w:val="InternetLink"/>
                  <w:rFonts w:ascii="Times New Roman;sans-serif" w:hAnsi="Times New Roman;sans-serif"/>
                  <w:b w:val="false"/>
                  <w:color w:val="0000FF"/>
                  <w:sz w:val="20"/>
                  <w:u w:val="single"/>
                </w:rPr>
                <w:t>Item 3.</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21">
              <w:r>
                <w:rPr>
                  <w:rStyle w:val="InternetLink"/>
                  <w:rFonts w:ascii="Times New Roman;sans-serif" w:hAnsi="Times New Roman;sans-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84c5484bb44d31953344916ad89e4c_121">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24">
              <w:r>
                <w:rPr>
                  <w:rStyle w:val="InternetLink"/>
                  <w:rFonts w:ascii="Times New Roman;sans-serif" w:hAnsi="Times New Roman;sans-serif"/>
                  <w:b w:val="false"/>
                  <w:color w:val="0000FF"/>
                  <w:sz w:val="20"/>
                  <w:u w:val="single"/>
                </w:rPr>
                <w:t>Item 4.</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24">
              <w:r>
                <w:rPr>
                  <w:rStyle w:val="InternetLink"/>
                  <w:rFonts w:ascii="Times New Roman;sans-serif" w:hAnsi="Times New Roman;sans-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84c5484bb44d31953344916ad89e4c_124">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84c5484bb44d31953344916ad89e4c_127">
              <w:r>
                <w:rPr>
                  <w:rStyle w:val="InternetLink"/>
                  <w:rFonts w:ascii="Times New Roman;sans-serif" w:hAnsi="Times New Roman;sans-serif"/>
                  <w:b/>
                  <w:color w:val="0000FF"/>
                  <w:sz w:val="20"/>
                  <w:u w:val="single"/>
                </w:rPr>
                <w:t>PART II. OTHER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30">
              <w:r>
                <w:rPr>
                  <w:rStyle w:val="InternetLink"/>
                  <w:rFonts w:ascii="Times New Roman;sans-serif" w:hAnsi="Times New Roman;sans-serif"/>
                  <w:b w:val="false"/>
                  <w:color w:val="0000FF"/>
                  <w:sz w:val="20"/>
                  <w:u w:val="single"/>
                </w:rPr>
                <w:t>Item 1.</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30">
              <w:r>
                <w:rPr>
                  <w:rStyle w:val="InternetLink"/>
                  <w:rFonts w:ascii="Times New Roman;sans-serif" w:hAnsi="Times New Roman;sans-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84c5484bb44d31953344916ad89e4c_130">
              <w:r>
                <w:rPr>
                  <w:rStyle w:val="InternetLink"/>
                  <w:rFonts w:ascii="Times New Roman;sans-serif" w:hAnsi="Times New Roman;sans-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33">
              <w:r>
                <w:rPr>
                  <w:rStyle w:val="InternetLink"/>
                  <w:rFonts w:ascii="Times New Roman;sans-serif" w:hAnsi="Times New Roman;sans-serif"/>
                  <w:b w:val="false"/>
                  <w:color w:val="0000FF"/>
                  <w:sz w:val="20"/>
                  <w:u w:val="single"/>
                </w:rPr>
                <w:t>Item 1A.</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33">
              <w:r>
                <w:rPr>
                  <w:rStyle w:val="InternetLink"/>
                  <w:rFonts w:ascii="Times New Roman;sans-serif" w:hAnsi="Times New Roman;sans-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84c5484bb44d31953344916ad89e4c_133">
              <w:r>
                <w:rPr>
                  <w:rStyle w:val="InternetLink"/>
                  <w:rFonts w:ascii="Times New Roman;sans-serif" w:hAnsi="Times New Roman;sans-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36">
              <w:r>
                <w:rPr>
                  <w:rStyle w:val="InternetLink"/>
                  <w:rFonts w:ascii="Times New Roman;sans-serif" w:hAnsi="Times New Roman;sans-serif"/>
                  <w:b w:val="false"/>
                  <w:color w:val="0000FF"/>
                  <w:sz w:val="20"/>
                  <w:u w:val="single"/>
                </w:rPr>
                <w:t>Item 2.</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36">
              <w:r>
                <w:rPr>
                  <w:rStyle w:val="InternetLink"/>
                  <w:rFonts w:ascii="Times New Roman;sans-serif" w:hAnsi="Times New Roman;sans-serif"/>
                  <w:b w:val="false"/>
                  <w:color w:val="0000FF"/>
                  <w:sz w:val="20"/>
                  <w:u w:val="single"/>
                </w:rPr>
                <w:t>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84c5484bb44d31953344916ad89e4c_136">
              <w:r>
                <w:rPr>
                  <w:rStyle w:val="InternetLink"/>
                  <w:rFonts w:ascii="Times New Roman;sans-serif" w:hAnsi="Times New Roman;sans-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39">
              <w:r>
                <w:rPr>
                  <w:rStyle w:val="InternetLink"/>
                  <w:rFonts w:ascii="Times New Roman;sans-serif" w:hAnsi="Times New Roman;sans-serif"/>
                  <w:b w:val="false"/>
                  <w:color w:val="0000FF"/>
                  <w:sz w:val="20"/>
                  <w:u w:val="single"/>
                </w:rPr>
                <w:t>Item 3.</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39">
              <w:r>
                <w:rPr>
                  <w:rStyle w:val="InternetLink"/>
                  <w:rFonts w:ascii="Times New Roman;sans-serif" w:hAnsi="Times New Roman;sans-serif"/>
                  <w:b w:val="false"/>
                  <w:color w:val="0000FF"/>
                  <w:sz w:val="20"/>
                  <w:u w:val="single"/>
                </w:rPr>
                <w:t>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84c5484bb44d31953344916ad89e4c_139">
              <w:r>
                <w:rPr>
                  <w:rStyle w:val="InternetLink"/>
                  <w:rFonts w:ascii="Times New Roman;sans-serif" w:hAnsi="Times New Roman;sans-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42">
              <w:r>
                <w:rPr>
                  <w:rStyle w:val="InternetLink"/>
                  <w:rFonts w:ascii="Times New Roman;sans-serif" w:hAnsi="Times New Roman;sans-serif"/>
                  <w:b w:val="false"/>
                  <w:color w:val="0000FF"/>
                  <w:sz w:val="20"/>
                  <w:u w:val="single"/>
                </w:rPr>
                <w:t>Item 4.</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42">
              <w:r>
                <w:rPr>
                  <w:rStyle w:val="InternetLink"/>
                  <w:rFonts w:ascii="Times New Roman;sans-serif" w:hAnsi="Times New Roman;sans-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84c5484bb44d31953344916ad89e4c_142">
              <w:r>
                <w:rPr>
                  <w:rStyle w:val="InternetLink"/>
                  <w:rFonts w:ascii="Times New Roman;sans-serif" w:hAnsi="Times New Roman;sans-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45">
              <w:r>
                <w:rPr>
                  <w:rStyle w:val="InternetLink"/>
                  <w:rFonts w:ascii="Times New Roman;sans-serif" w:hAnsi="Times New Roman;sans-serif"/>
                  <w:b w:val="false"/>
                  <w:color w:val="0000FF"/>
                  <w:sz w:val="20"/>
                  <w:u w:val="single"/>
                </w:rPr>
                <w:t>Item 5.</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45">
              <w:r>
                <w:rPr>
                  <w:rStyle w:val="InternetLink"/>
                  <w:rFonts w:ascii="Times New Roman;sans-serif" w:hAnsi="Times New Roman;sans-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84c5484bb44d31953344916ad89e4c_145">
              <w:r>
                <w:rPr>
                  <w:rStyle w:val="InternetLink"/>
                  <w:rFonts w:ascii="Times New Roman;sans-serif" w:hAnsi="Times New Roman;sans-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51">
              <w:r>
                <w:rPr>
                  <w:rStyle w:val="InternetLink"/>
                  <w:rFonts w:ascii="Times New Roman;sans-serif" w:hAnsi="Times New Roman;sans-serif"/>
                  <w:b w:val="false"/>
                  <w:color w:val="0000FF"/>
                  <w:sz w:val="20"/>
                  <w:u w:val="single"/>
                </w:rPr>
                <w:t>Item 6.</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51">
              <w:r>
                <w:rPr>
                  <w:rStyle w:val="InternetLink"/>
                  <w:rFonts w:ascii="Times New Roman;sans-serif" w:hAnsi="Times New Roman;sans-serif"/>
                  <w:b w:val="false"/>
                  <w:color w:val="0000FF"/>
                  <w:sz w:val="20"/>
                  <w:u w:val="single"/>
                </w:rPr>
                <w:t>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84c5484bb44d31953344916ad89e4c_151">
              <w:r>
                <w:rPr>
                  <w:rStyle w:val="InternetLink"/>
                  <w:rFonts w:ascii="Times New Roman;sans-serif" w:hAnsi="Times New Roman;sans-serif"/>
                  <w:b w:val="false"/>
                  <w:color w:val="0000FF"/>
                  <w:sz w:val="20"/>
                  <w:u w:val="single"/>
                </w:rPr>
                <w:t>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KRATOS DEFENSE &amp; SECURITY SOLUTIONS,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88" w:before="0" w:after="0"/>
        <w:jc w:val="center"/>
        <w:rPr/>
      </w:pPr>
      <w:r>
        <w:rPr>
          <w:color w:val="000000"/>
        </w:rPr>
        <w:t> </w:t>
      </w:r>
      <w:r>
        <w:rPr>
          <w:rFonts w:ascii="Times New Roman;sans-serif" w:hAnsi="Times New Roman;sans-serif"/>
          <w:b/>
          <w:color w:val="000000"/>
          <w:sz w:val="18"/>
        </w:rPr>
        <w:t>(in millions, except par value and number of shares)</w:t>
      </w:r>
    </w:p>
    <w:tbl>
      <w:tblPr>
        <w:tblW w:w="10205" w:type="dxa"/>
        <w:jc w:val="center"/>
        <w:tblInd w:w="0" w:type="dxa"/>
        <w:tblLayout w:type="fixed"/>
        <w:tblCellMar>
          <w:top w:w="28" w:type="dxa"/>
          <w:left w:w="28" w:type="dxa"/>
          <w:bottom w:w="28" w:type="dxa"/>
          <w:right w:w="28" w:type="dxa"/>
        </w:tblCellMar>
      </w:tblPr>
      <w:tblGrid>
        <w:gridCol w:w="2753"/>
        <w:gridCol w:w="2258"/>
        <w:gridCol w:w="2255"/>
        <w:gridCol w:w="255"/>
        <w:gridCol w:w="900"/>
        <w:gridCol w:w="141"/>
        <w:gridCol w:w="109"/>
        <w:gridCol w:w="109"/>
        <w:gridCol w:w="109"/>
        <w:gridCol w:w="247"/>
        <w:gridCol w:w="871"/>
        <w:gridCol w:w="198"/>
      </w:tblGrid>
      <w:tr>
        <w:trPr/>
        <w:tc>
          <w:tcPr>
            <w:tcW w:w="2753"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receivables, net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Inventoried costs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594.2 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Liabilities and Stockholders</w:t>
            </w:r>
            <w:r>
              <w:rPr>
                <w:color w:val="000000"/>
              </w:rPr>
              <w:t xml:space="preserve">’ </w:t>
            </w:r>
            <w:r>
              <w:rPr>
                <w:rFonts w:ascii="Times New Roman;sans-serif" w:hAnsi="Times New Roman;sans-serif"/>
                <w:b/>
                <w:color w:val="000000"/>
                <w:sz w:val="18"/>
              </w:rPr>
              <w:t>Equity</w:t>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Billings in excess of costs and earnings on uncompleted contracts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portion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net of current portion</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14)</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Stockholders</w:t>
            </w:r>
            <w:r>
              <w:rPr>
                <w:color w:val="000000"/>
              </w:rPr>
              <w:t xml:space="preserve">’ </w:t>
            </w:r>
            <w:r>
              <w:rPr>
                <w:rFonts w:ascii="Times New Roman;sans-serif" w:hAnsi="Times New Roman;sans-serif"/>
                <w:b w:val="false"/>
                <w:color w:val="000000"/>
                <w:sz w:val="18"/>
              </w:rPr>
              <w:t>equity:</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5,000,000 shares authorized, 0 shares outstanding at September 29, 2024 and December 31, 2023</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195,000,000 shares authorized; 151,015,662 and 129,286,964 shares issued and outstanding at September 29, 2024 and December 31, 2023, respectively</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 stockholders</w:t>
            </w:r>
            <w:r>
              <w:rPr>
                <w:color w:val="000000"/>
              </w:rPr>
              <w:t xml:space="preserve">’ </w:t>
            </w:r>
            <w:r>
              <w:rPr>
                <w:rFonts w:ascii="Times New Roman;sans-serif" w:hAnsi="Times New Roman;sans-serif"/>
                <w:b w:val="false"/>
                <w:color w:val="000000"/>
                <w:sz w:val="18"/>
              </w:rPr>
              <w:t>equity</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976.0 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 liabilities and stockholders</w:t>
            </w:r>
            <w:r>
              <w:rPr>
                <w:color w:val="000000"/>
              </w:rPr>
              <w:t xml:space="preserve">’ </w:t>
            </w:r>
            <w:r>
              <w:rPr>
                <w:rFonts w:ascii="Times New Roman;sans-serif" w:hAnsi="Times New Roman;sans-serif"/>
                <w:b w:val="false"/>
                <w:color w:val="000000"/>
                <w:sz w:val="18"/>
              </w:rPr>
              <w:t>equity</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1,912.4 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1,632.5 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KRATOS DEFENSE &amp; SECURITY SOLUTIONS,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OPERATIONS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w:t>
      </w:r>
    </w:p>
    <w:p>
      <w:pPr>
        <w:pStyle w:val="TextBody"/>
        <w:bidi w:val="0"/>
        <w:spacing w:lineRule="auto" w:line="288" w:before="0" w:after="0"/>
        <w:jc w:val="center"/>
        <w:rPr/>
      </w:pPr>
      <w:r>
        <w:rPr>
          <w:color w:val="000000"/>
        </w:rPr>
        <w:t> </w:t>
      </w:r>
      <w:r>
        <w:rPr>
          <w:rFonts w:ascii="Times New Roman;sans-serif" w:hAnsi="Times New Roman;sans-serif"/>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1464"/>
        <w:gridCol w:w="1222"/>
        <w:gridCol w:w="1225"/>
        <w:gridCol w:w="323"/>
        <w:gridCol w:w="917"/>
        <w:gridCol w:w="181"/>
        <w:gridCol w:w="109"/>
        <w:gridCol w:w="109"/>
        <w:gridCol w:w="109"/>
        <w:gridCol w:w="275"/>
        <w:gridCol w:w="782"/>
        <w:gridCol w:w="153"/>
        <w:gridCol w:w="109"/>
        <w:gridCol w:w="109"/>
        <w:gridCol w:w="109"/>
        <w:gridCol w:w="323"/>
        <w:gridCol w:w="917"/>
        <w:gridCol w:w="181"/>
        <w:gridCol w:w="109"/>
        <w:gridCol w:w="109"/>
        <w:gridCol w:w="109"/>
        <w:gridCol w:w="271"/>
        <w:gridCol w:w="770"/>
        <w:gridCol w:w="220"/>
      </w:tblGrid>
      <w:tr>
        <w:trPr/>
        <w:tc>
          <w:tcPr>
            <w:tcW w:w="146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9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9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revenues</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301.8 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763.3 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 revenues</w:t>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 sales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w:t>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635.8 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566.6 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196.7 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Merger and acquisition expenses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expenses and other</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w:t>
            </w:r>
          </w:p>
        </w:tc>
        <w:tc>
          <w:tcPr>
            <w:tcW w:w="1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net</w:t>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Provision for income taxes </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from consolidated operations</w:t>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noncontrolling interest</w:t>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Kratos</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42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 income (loss) per common share attributable to Kratos</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Diluted income (loss) per common share attributable to Kratos</w:t>
            </w:r>
          </w:p>
        </w:tc>
        <w:tc>
          <w:tcPr>
            <w:tcW w:w="3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0.08 </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w:t>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24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154.1 </w:t>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129.6 </w:t>
            </w:r>
          </w:p>
        </w:tc>
        <w:tc>
          <w:tcPr>
            <w:tcW w:w="1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147.8 </w:t>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129.3 </w:t>
            </w:r>
          </w:p>
        </w:tc>
        <w:tc>
          <w:tcPr>
            <w:tcW w:w="2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KRATOS DEFENSE &amp; SECURITY SOLUTIONS,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p>
      <w:pPr>
        <w:pStyle w:val="TextBody"/>
        <w:bidi w:val="0"/>
        <w:spacing w:lineRule="auto" w:line="288" w:before="0" w:after="0"/>
        <w:jc w:val="center"/>
        <w:rPr/>
      </w:pPr>
      <w:r>
        <w:rPr>
          <w:color w:val="000000"/>
        </w:rPr>
        <w:t> </w:t>
      </w:r>
      <w:r>
        <w:rPr>
          <w:rFonts w:ascii="Times New Roman;sans-serif" w:hAnsi="Times New Roman;sans-serif"/>
          <w:b/>
          <w:color w:val="000000"/>
          <w:sz w:val="16"/>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049"/>
        <w:gridCol w:w="1655"/>
        <w:gridCol w:w="1665"/>
        <w:gridCol w:w="300"/>
        <w:gridCol w:w="576"/>
        <w:gridCol w:w="169"/>
        <w:gridCol w:w="109"/>
        <w:gridCol w:w="109"/>
        <w:gridCol w:w="109"/>
        <w:gridCol w:w="231"/>
        <w:gridCol w:w="496"/>
        <w:gridCol w:w="129"/>
        <w:gridCol w:w="109"/>
        <w:gridCol w:w="109"/>
        <w:gridCol w:w="109"/>
        <w:gridCol w:w="265"/>
        <w:gridCol w:w="631"/>
        <w:gridCol w:w="148"/>
        <w:gridCol w:w="109"/>
        <w:gridCol w:w="109"/>
        <w:gridCol w:w="109"/>
        <w:gridCol w:w="229"/>
        <w:gridCol w:w="492"/>
        <w:gridCol w:w="189"/>
      </w:tblGrid>
      <w:tr>
        <w:trPr/>
        <w:tc>
          <w:tcPr>
            <w:tcW w:w="2049"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from consolidated operations</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unrealized cash flow hedge (net of taxes of $0.9 million and $0.4 million for the three and nine month period ended September 29, 2024 and $0.5 million and $1.1 million for the three and nine month period ended October 1, 2023)</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cumulative translation adjustment</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from consolidated operations</w:t>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attributable to noncontrolling interest</w:t>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Kratos</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KRATOS DEFENSE &amp; SECURITY SOLUTIONS,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September 29, 2024 and October 1, 2023</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millions)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bl>
      <w:tblPr>
        <w:tblW w:w="10914" w:type="dxa"/>
        <w:jc w:val="center"/>
        <w:tblInd w:w="0" w:type="dxa"/>
        <w:tblLayout w:type="fixed"/>
        <w:tblCellMar>
          <w:top w:w="28" w:type="dxa"/>
          <w:left w:w="28" w:type="dxa"/>
          <w:bottom w:w="28" w:type="dxa"/>
          <w:right w:w="28" w:type="dxa"/>
        </w:tblCellMar>
      </w:tblPr>
      <w:tblGrid>
        <w:gridCol w:w="611"/>
        <w:gridCol w:w="234"/>
        <w:gridCol w:w="236"/>
        <w:gridCol w:w="109"/>
        <w:gridCol w:w="109"/>
        <w:gridCol w:w="109"/>
        <w:gridCol w:w="305"/>
        <w:gridCol w:w="725"/>
        <w:gridCol w:w="171"/>
        <w:gridCol w:w="109"/>
        <w:gridCol w:w="109"/>
        <w:gridCol w:w="109"/>
        <w:gridCol w:w="278"/>
        <w:gridCol w:w="278"/>
        <w:gridCol w:w="196"/>
        <w:gridCol w:w="109"/>
        <w:gridCol w:w="109"/>
        <w:gridCol w:w="109"/>
        <w:gridCol w:w="207"/>
        <w:gridCol w:w="428"/>
        <w:gridCol w:w="116"/>
        <w:gridCol w:w="109"/>
        <w:gridCol w:w="109"/>
        <w:gridCol w:w="109"/>
        <w:gridCol w:w="196"/>
        <w:gridCol w:w="691"/>
        <w:gridCol w:w="109"/>
        <w:gridCol w:w="109"/>
        <w:gridCol w:w="109"/>
        <w:gridCol w:w="109"/>
        <w:gridCol w:w="349"/>
        <w:gridCol w:w="671"/>
        <w:gridCol w:w="196"/>
        <w:gridCol w:w="109"/>
        <w:gridCol w:w="109"/>
        <w:gridCol w:w="109"/>
        <w:gridCol w:w="235"/>
        <w:gridCol w:w="685"/>
        <w:gridCol w:w="131"/>
        <w:gridCol w:w="109"/>
        <w:gridCol w:w="109"/>
        <w:gridCol w:w="109"/>
        <w:gridCol w:w="109"/>
        <w:gridCol w:w="109"/>
        <w:gridCol w:w="109"/>
        <w:gridCol w:w="109"/>
        <w:gridCol w:w="246"/>
        <w:gridCol w:w="700"/>
        <w:gridCol w:w="195"/>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 Interest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25,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945.6 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employee stock purchase plan and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issued and related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Gain on interest rate swap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comprehensive loss, net of tax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October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(682.6)</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953.4 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914" w:type="dxa"/>
        <w:jc w:val="center"/>
        <w:tblInd w:w="0" w:type="dxa"/>
        <w:tblLayout w:type="fixed"/>
        <w:tblCellMar>
          <w:top w:w="28" w:type="dxa"/>
          <w:left w:w="28" w:type="dxa"/>
          <w:bottom w:w="28" w:type="dxa"/>
          <w:right w:w="28" w:type="dxa"/>
        </w:tblCellMar>
      </w:tblPr>
      <w:tblGrid>
        <w:gridCol w:w="611"/>
        <w:gridCol w:w="234"/>
        <w:gridCol w:w="236"/>
        <w:gridCol w:w="109"/>
        <w:gridCol w:w="109"/>
        <w:gridCol w:w="109"/>
        <w:gridCol w:w="331"/>
        <w:gridCol w:w="685"/>
        <w:gridCol w:w="185"/>
        <w:gridCol w:w="109"/>
        <w:gridCol w:w="109"/>
        <w:gridCol w:w="109"/>
        <w:gridCol w:w="278"/>
        <w:gridCol w:w="278"/>
        <w:gridCol w:w="196"/>
        <w:gridCol w:w="109"/>
        <w:gridCol w:w="109"/>
        <w:gridCol w:w="109"/>
        <w:gridCol w:w="216"/>
        <w:gridCol w:w="414"/>
        <w:gridCol w:w="121"/>
        <w:gridCol w:w="109"/>
        <w:gridCol w:w="109"/>
        <w:gridCol w:w="109"/>
        <w:gridCol w:w="196"/>
        <w:gridCol w:w="691"/>
        <w:gridCol w:w="109"/>
        <w:gridCol w:w="109"/>
        <w:gridCol w:w="109"/>
        <w:gridCol w:w="109"/>
        <w:gridCol w:w="349"/>
        <w:gridCol w:w="671"/>
        <w:gridCol w:w="196"/>
        <w:gridCol w:w="109"/>
        <w:gridCol w:w="109"/>
        <w:gridCol w:w="109"/>
        <w:gridCol w:w="235"/>
        <w:gridCol w:w="685"/>
        <w:gridCol w:w="131"/>
        <w:gridCol w:w="109"/>
        <w:gridCol w:w="109"/>
        <w:gridCol w:w="109"/>
        <w:gridCol w:w="109"/>
        <w:gridCol w:w="109"/>
        <w:gridCol w:w="109"/>
        <w:gridCol w:w="109"/>
        <w:gridCol w:w="214"/>
        <w:gridCol w:w="757"/>
        <w:gridCol w:w="170"/>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 Interest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employee stock purchase plan and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issued and related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Loss on interest rate swap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comprehensive income, net of tax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September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1,342.9 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KRATOS DEFENSE &amp; SECURITY SOLUTIONS,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 September 29, 2024 and October 1, 2023</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millions)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bl>
      <w:tblPr>
        <w:tblW w:w="10989" w:type="dxa"/>
        <w:jc w:val="center"/>
        <w:tblInd w:w="0" w:type="dxa"/>
        <w:tblLayout w:type="fixed"/>
        <w:tblCellMar>
          <w:top w:w="28" w:type="dxa"/>
          <w:left w:w="28" w:type="dxa"/>
          <w:bottom w:w="28" w:type="dxa"/>
          <w:right w:w="28" w:type="dxa"/>
        </w:tblCellMar>
      </w:tblPr>
      <w:tblGrid>
        <w:gridCol w:w="686"/>
        <w:gridCol w:w="234"/>
        <w:gridCol w:w="236"/>
        <w:gridCol w:w="109"/>
        <w:gridCol w:w="109"/>
        <w:gridCol w:w="109"/>
        <w:gridCol w:w="305"/>
        <w:gridCol w:w="725"/>
        <w:gridCol w:w="171"/>
        <w:gridCol w:w="109"/>
        <w:gridCol w:w="109"/>
        <w:gridCol w:w="109"/>
        <w:gridCol w:w="278"/>
        <w:gridCol w:w="278"/>
        <w:gridCol w:w="196"/>
        <w:gridCol w:w="109"/>
        <w:gridCol w:w="109"/>
        <w:gridCol w:w="109"/>
        <w:gridCol w:w="207"/>
        <w:gridCol w:w="428"/>
        <w:gridCol w:w="116"/>
        <w:gridCol w:w="109"/>
        <w:gridCol w:w="109"/>
        <w:gridCol w:w="109"/>
        <w:gridCol w:w="196"/>
        <w:gridCol w:w="691"/>
        <w:gridCol w:w="109"/>
        <w:gridCol w:w="109"/>
        <w:gridCol w:w="109"/>
        <w:gridCol w:w="109"/>
        <w:gridCol w:w="342"/>
        <w:gridCol w:w="683"/>
        <w:gridCol w:w="191"/>
        <w:gridCol w:w="109"/>
        <w:gridCol w:w="109"/>
        <w:gridCol w:w="109"/>
        <w:gridCol w:w="235"/>
        <w:gridCol w:w="685"/>
        <w:gridCol w:w="131"/>
        <w:gridCol w:w="109"/>
        <w:gridCol w:w="109"/>
        <w:gridCol w:w="109"/>
        <w:gridCol w:w="109"/>
        <w:gridCol w:w="109"/>
        <w:gridCol w:w="109"/>
        <w:gridCol w:w="109"/>
        <w:gridCol w:w="246"/>
        <w:gridCol w:w="700"/>
        <w:gridCol w:w="195"/>
      </w:tblGrid>
      <w:tr>
        <w:trPr/>
        <w:tc>
          <w:tcPr>
            <w:tcW w:w="6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 Interest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25,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employee stock purchase plan and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issued and related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Gain on interest rate swap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October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989" w:type="dxa"/>
        <w:jc w:val="center"/>
        <w:tblInd w:w="0" w:type="dxa"/>
        <w:tblLayout w:type="fixed"/>
        <w:tblCellMar>
          <w:top w:w="28" w:type="dxa"/>
          <w:left w:w="28" w:type="dxa"/>
          <w:bottom w:w="28" w:type="dxa"/>
          <w:right w:w="28" w:type="dxa"/>
        </w:tblCellMar>
      </w:tblPr>
      <w:tblGrid>
        <w:gridCol w:w="686"/>
        <w:gridCol w:w="234"/>
        <w:gridCol w:w="236"/>
        <w:gridCol w:w="109"/>
        <w:gridCol w:w="109"/>
        <w:gridCol w:w="109"/>
        <w:gridCol w:w="305"/>
        <w:gridCol w:w="725"/>
        <w:gridCol w:w="171"/>
        <w:gridCol w:w="109"/>
        <w:gridCol w:w="109"/>
        <w:gridCol w:w="109"/>
        <w:gridCol w:w="278"/>
        <w:gridCol w:w="278"/>
        <w:gridCol w:w="196"/>
        <w:gridCol w:w="109"/>
        <w:gridCol w:w="109"/>
        <w:gridCol w:w="109"/>
        <w:gridCol w:w="207"/>
        <w:gridCol w:w="428"/>
        <w:gridCol w:w="116"/>
        <w:gridCol w:w="109"/>
        <w:gridCol w:w="109"/>
        <w:gridCol w:w="109"/>
        <w:gridCol w:w="196"/>
        <w:gridCol w:w="691"/>
        <w:gridCol w:w="109"/>
        <w:gridCol w:w="109"/>
        <w:gridCol w:w="109"/>
        <w:gridCol w:w="109"/>
        <w:gridCol w:w="349"/>
        <w:gridCol w:w="671"/>
        <w:gridCol w:w="196"/>
        <w:gridCol w:w="109"/>
        <w:gridCol w:w="109"/>
        <w:gridCol w:w="109"/>
        <w:gridCol w:w="235"/>
        <w:gridCol w:w="685"/>
        <w:gridCol w:w="131"/>
        <w:gridCol w:w="109"/>
        <w:gridCol w:w="109"/>
        <w:gridCol w:w="109"/>
        <w:gridCol w:w="109"/>
        <w:gridCol w:w="109"/>
        <w:gridCol w:w="109"/>
        <w:gridCol w:w="109"/>
        <w:gridCol w:w="214"/>
        <w:gridCol w:w="757"/>
        <w:gridCol w:w="170"/>
      </w:tblGrid>
      <w:tr>
        <w:trPr/>
        <w:tc>
          <w:tcPr>
            <w:tcW w:w="6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 Interest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employee stock purchase plan and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issued and related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equity raise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Loss on interest rate swap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September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1,342.9 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KRATOS DEFENSE &amp; SECURITY SOLUTIONS,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664"/>
        <w:gridCol w:w="2286"/>
        <w:gridCol w:w="2295"/>
        <w:gridCol w:w="319"/>
        <w:gridCol w:w="906"/>
        <w:gridCol w:w="179"/>
        <w:gridCol w:w="109"/>
        <w:gridCol w:w="109"/>
        <w:gridCol w:w="109"/>
        <w:gridCol w:w="294"/>
        <w:gridCol w:w="700"/>
        <w:gridCol w:w="235"/>
      </w:tblGrid>
      <w:tr>
        <w:trPr/>
        <w:tc>
          <w:tcPr>
            <w:tcW w:w="2664"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activities:</w:t>
            </w:r>
          </w:p>
        </w:tc>
        <w:tc>
          <w:tcPr>
            <w:tcW w:w="1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from consolidated operations</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from consolidated operations to net cash provided by (used in) operating activities:</w:t>
            </w:r>
          </w:p>
        </w:tc>
        <w:tc>
          <w:tcPr>
            <w:tcW w:w="1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lease right-of-use assets</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financing costs</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doubtful accounts</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w:t>
            </w:r>
          </w:p>
        </w:tc>
        <w:tc>
          <w:tcPr>
            <w:tcW w:w="1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Unbilled receivables</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Inventoried costs</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Billings in excess of costs and earnings on uncompleted contracts</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receivable and payable</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Investing activities:</w:t>
            </w:r>
          </w:p>
        </w:tc>
        <w:tc>
          <w:tcPr>
            <w:tcW w:w="14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acquisitions, net of cash acquired</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assets</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activities:</w:t>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issuance of common stock, net of issuance costs</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 under credit facility</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under credit facility and term loan</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under finance leases</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employee taxes withheld from share-based awards</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shares issued under equity plans</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(used)</w:t>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and cash equivalents</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end of period</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043" w:type="dxa"/>
        <w:jc w:val="center"/>
        <w:tblInd w:w="0" w:type="dxa"/>
        <w:tblLayout w:type="fixed"/>
        <w:tblCellMar>
          <w:top w:w="28" w:type="dxa"/>
          <w:left w:w="28" w:type="dxa"/>
          <w:bottom w:w="28" w:type="dxa"/>
          <w:right w:w="28" w:type="dxa"/>
        </w:tblCellMar>
      </w:tblPr>
      <w:tblGrid>
        <w:gridCol w:w="1855"/>
        <w:gridCol w:w="1631"/>
        <w:gridCol w:w="1643"/>
        <w:gridCol w:w="196"/>
        <w:gridCol w:w="466"/>
        <w:gridCol w:w="109"/>
        <w:gridCol w:w="109"/>
        <w:gridCol w:w="109"/>
        <w:gridCol w:w="109"/>
        <w:gridCol w:w="196"/>
        <w:gridCol w:w="466"/>
        <w:gridCol w:w="154"/>
      </w:tblGrid>
      <w:tr>
        <w:trPr/>
        <w:tc>
          <w:tcPr>
            <w:tcW w:w="1855"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Significant non-cash investing and financing activities:</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lease obligation incurred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 included in accounts payable and accrued expenses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issuance for purchase of noncontrolling interests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KRATOS DEFENSE &amp; SECURITY SOLUTIONS,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Summary of Significant Accounting Policies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All references to the “Company” and “Kratos” refer to Kratos Defense &amp; Security Solutions, Inc., a Delaware corporation, and its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color w:val="000000"/>
          <w:sz w:val="20"/>
        </w:rPr>
        <w:t>(a)</w:t>
      </w:r>
      <w:r>
        <w:rPr>
          <w:color w:val="000000"/>
        </w:rPr>
        <w:t>    </w:t>
      </w:r>
      <w:r>
        <w:rPr>
          <w:rFonts w:ascii="Times New Roman;sans-serif" w:hAnsi="Times New Roman;sans-serif"/>
          <w:b/>
          <w:color w:val="000000"/>
          <w:sz w:val="20"/>
        </w:rPr>
        <w:t>Basis of Presentation</w: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The information as of September 29, 2024 and for the three and nine months ended September 29, 2024 and October 1, 2023 is unaudited. The condensed consolidated balance sheet as of December 31, 2023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31, 2023, included in the Company’s Annual Report on Form 10-K filed with the U.S. Securities and Exchange Commission (the “SEC”) on February 13, 2024 (the “Form 10-K”). Interim operating results are not necessarily indicative of operating results expected in subsequent periods or for the year as a whole.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prior year items have been reclassified to be consistent with current year presentation.</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(b)    Principles of Consolidation</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The condensed consolidated financial statements include the accounts of the Company and its 100% owned subsidiaries. All inter-company transactions have been eliminated in consolidation. On June 21, 2024, the Company purchased the remaining 9.95% interest in KTT CORE, Inc., a Delaware corporation formerly known as KTT CORE, LLC (“KTT Core”) which previously had been reported as a majority owned subsidiary. KTT Core is now a 100% owned subsidiary.</w:t>
      </w:r>
      <w:r>
        <w:rPr>
          <w:color w:val="000000"/>
        </w:rPr>
        <w:t xml:space="preserve"> </w:t>
      </w:r>
      <w:r>
        <w:rPr>
          <w:rFonts w:ascii="Times New Roman;sans-serif" w:hAnsi="Times New Roman;sans-serif"/>
          <w:b w:val="false"/>
          <w:color w:val="000000"/>
          <w:sz w:val="20"/>
        </w:rPr>
        <w:t>See Note 11 for further information related to the redeemable noncontrolling interest.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(c)    Fiscal Year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52/53 week fiscal year ending on the last Sunday of the calendar year. The three month periods ended September 29, 2024 and October 1, 2023 consisted of 13-week and 14-week periods, respectively. The nine month periods ended September 29, 2024 and October 1, 2023 consisted of 39-week and 40-week periods, respectively. There are 52 calendar weeks in the fiscal year ending on December 29, 2024 and 53 calendar weeks in the fiscal year ending December 31, 2023.</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    Use of Estimates</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the Company’s accounting estimates for the nine months ended September 29, 2024 as compared to the accounting estimates described in the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    Fair Value of Financial Instruments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forward exchange contracts to manage foreign currency risks associated with certain transactions, specifically forecasted materials and salaries paid in foreign currencies. The Company also has entered into an interest rate swap contract in order to mitigate the exposure to interest rate movements associated with the Company’s Term Loan A. These derivative instruments are measured at fair value using observable market inputs such as interest rates. Based on these inputs, the derivative instruments are classified within Level 2 of the valuation hierarchy. At September 29, 2024, the derivative instruments were included in other current assets and other long-term liabilities on the Company's condensed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and the related fair values of the Company’s derivative instruments measured at fair value on a recurring basis at September 29, 2024 are presented in Note 15.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of all financial instruments, including cash equivalents, accounts receivable, unbilled receivables, accounts payable, accrued expenses, billings in excess of cost and earnings on uncompleted contracts, income taxes payable and long and short-term debt, approximated their estimated fair values at September 29, 2024 and December 31, 2023 due to the short-term nature of these instruments.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     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In November 2023, the FASB issued ASU 2023-07,</w:t>
      </w:r>
      <w:r>
        <w:rPr>
          <w:color w:val="000000"/>
        </w:rPr>
        <w:t xml:space="preserve">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expands reportable segment disclosure requirements by requiring disclosures of significant reportable segment expenses that are regularly provided to the Chief Operating Decision Maker (“CODM”) and included within each reported measure of a segment's profit or loss. ASU 2023-07 also requires all segment profit or loss and assets disclosures to be provided on an annual and interim basis. ASU 2023-07 is effective for fiscal years beginning after December 15, 2023, and interim periods within fiscal years beginning one year later. The amendments must be applied retrospectively to all prior periods presented. The Company is currently evaluating the impact of the adoption of ASU 2023-07 on its consolidated financial statements; however, the standard is not expected to have an impact on the Company’s consolidated financial position, results of operations or cash flows.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In December 2023, the FASB issued ASU 2023-09</w:t>
      </w:r>
      <w:r>
        <w:rPr>
          <w:rFonts w:ascii="Times New Roman;sans-serif" w:hAnsi="Times New Roman;sans-serif"/>
          <w:b w:val="false"/>
          <w:i/>
          <w:color w:val="000000"/>
          <w:sz w:val="20"/>
        </w:rPr>
        <w:t xml:space="preserve">, Income Taxes (Topic 740): Improvements to Income Tax Disclosures, </w:t>
      </w:r>
      <w:r>
        <w:rPr>
          <w:rFonts w:ascii="Times New Roman;sans-serif" w:hAnsi="Times New Roman;sans-serif"/>
          <w:b w:val="false"/>
          <w:color w:val="000000"/>
          <w:sz w:val="20"/>
        </w:rPr>
        <w:t>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The Company is currently evaluating the impact of the adoption of ASU 2023-09; however, the standard is not expected to have an impact on the Company’s consolidated financial position, results of operations or cash flows.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Acquisitions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Sierra Technical Services, Inc.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3, 2023, the Company entered into an agreement to acquire all of the outstanding equity securities of aerial target drone designer Sierra Technical Services, Inc. (“STS”) pursuant to which the Company (i) issued 866,026 shares of Kratos common stock valued at $12.8 million on October 3, 2023 and (ii) agreed to issue up to an additional 979,038 shares of Kratos common stock valued at $14.5 million pursuant to certain holdback and earn-out provisions, in each case, to the former stockholders of STS. The Company recorded net assets of $12.6 million and goodwill of $10.7 million related to the STS acquisition. Significant assets of STS acquired by the Company included accounts receivable of $11.0 million, and identified intangibles (contracts and backlog) of $14.0 million. Significant liabilities of STS assumed by the Company included deferred revenue of $11.4 million. The operating results of the STS acquisition have been included in the Company’s results of operations from the effective date of the acquisition. The amount of net sales and earnings of STS included in the condensed consolidated statement of operations for the year ended December 31, 2023 are not material. Had the acquisition occurred as of December 26, 2022, net sales, net income from consolidated operations, net income attributable to Kratos, and basic and diluted net income per share attributable to Kratos on a pro forma basis for the year ended December 31, 2023 would not have been materially different than the reported amounts. STS is included in the US segment.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Revenue Recognition</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val="false"/>
          <w:color w:val="000000"/>
          <w:sz w:val="20"/>
        </w:rPr>
        <w:t xml:space="preserve">The Company has adopted the FASB ASU 2014-09,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and the related amendments, which are codified into Accounting Standards Codification (“ASC”) 606 (“ASC 606”). To determine revenue recognition for arrangements that the Company determines are within the scope of ASC 606, the Company performs the following five steps: (i) identify the contract(s) with a customer; (ii) identify the performance obligations in each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based on the relative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majority of contracts, the Company satisfies the underlying performance obligations over time as the customer obtains control or receives benefits as work is performed on the contract. The Company generally recognizes revenue over time as work is performed on long-term contracts because of the continuous transfer of control to the customer. For U.S. government contracts, this continuous transfer of control to the customer is supported by clauses in the contract that allow the customer to unilaterally terminate the contract for convenience, pay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cost-to-cost method (cost incurred relative to total estimated cost at completion).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calculates revenues from remaining performance obligations as the dollar value of the remaining performance obligations on executed contracts. On September 29, 2024, the Company had approximately $1,294.0 million of remaining performance obligations. The Company expects to recognize approximately 19% of the remaining performance obligations as revenue in fiscal year 2024, an additional 50% in fiscal year 2025, and the balance thereafter.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Contract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nature of the work required to be performed on many performance obligations, the estimation of total revenue and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EAC process, any quarterly adjustments to revenues,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the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unaudited condensed consolidated financial statements for the three and nine-month periods ended September 29, 2024, and October 1, 2023. Likewise, total cumulative catch-up adjustments were not material for the three and nine-month periods ended September 29, 2024, and October 1, 2023.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Contract Assets and Liabilities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 financing component as the underlying advance payments received are generally utilized to pay for contract costs within a one-year period or are used to ensure the customer meets contractual requirements.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 assets and liabilities are as follows (in millions):</w:t>
      </w:r>
    </w:p>
    <w:tbl>
      <w:tblPr>
        <w:tblW w:w="6518" w:type="dxa"/>
        <w:jc w:val="center"/>
        <w:tblInd w:w="0" w:type="dxa"/>
        <w:tblLayout w:type="fixed"/>
        <w:tblCellMar>
          <w:top w:w="28" w:type="dxa"/>
          <w:left w:w="28" w:type="dxa"/>
          <w:bottom w:w="28" w:type="dxa"/>
          <w:right w:w="28" w:type="dxa"/>
        </w:tblCellMar>
      </w:tblPr>
      <w:tblGrid>
        <w:gridCol w:w="597"/>
        <w:gridCol w:w="525"/>
        <w:gridCol w:w="528"/>
        <w:gridCol w:w="362"/>
        <w:gridCol w:w="1056"/>
        <w:gridCol w:w="187"/>
        <w:gridCol w:w="109"/>
        <w:gridCol w:w="109"/>
        <w:gridCol w:w="109"/>
        <w:gridCol w:w="348"/>
        <w:gridCol w:w="1017"/>
        <w:gridCol w:w="180"/>
        <w:gridCol w:w="109"/>
        <w:gridCol w:w="109"/>
        <w:gridCol w:w="109"/>
        <w:gridCol w:w="236"/>
        <w:gridCol w:w="656"/>
        <w:gridCol w:w="172"/>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Change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 assets</w:t>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increased $6.0 million during the nine months ended September 29, 2024, primarily due to higher unbilled receivables, net during the nine months ended September 29, 2024. There were no significant impairment losses related to any receivables or contract assets arising from the Company’s contracts with customers during the nine months ended September 29, 2024. Contract liabilities decreased $39.9 million during the nine months ended September 29, 2024, primarily due to revenue recognized in excess of payments received on these performance obligations. For the three and nine months ended September 29, 2024, the Company recognized revenue of $10.6 million and $79.8 million, respectively, that was previously included in the contract liabilities that existed at December 31, 2023. For the three and nine months ended October 1, 2023 the Company recognized revenue of $9.5 million and $43.1 million, respectively, that was previously included in the contract liabilities that existed at December 25, 2022.</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Disaggregation of Revenue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series of tables presents the Company’s revenue disaggregated by several categories. For the majority of contracts, revenue is recognized over time as work is performed on the contract. Revenue by contract type was as follows (in millions):</w:t>
      </w:r>
    </w:p>
    <w:tbl>
      <w:tblPr>
        <w:tblW w:w="9694" w:type="dxa"/>
        <w:jc w:val="left"/>
        <w:tblInd w:w="0" w:type="dxa"/>
        <w:tblLayout w:type="fixed"/>
        <w:tblCellMar>
          <w:top w:w="28" w:type="dxa"/>
          <w:left w:w="28" w:type="dxa"/>
          <w:bottom w:w="28" w:type="dxa"/>
          <w:right w:w="28" w:type="dxa"/>
        </w:tblCellMar>
      </w:tblPr>
      <w:tblGrid>
        <w:gridCol w:w="1087"/>
        <w:gridCol w:w="953"/>
        <w:gridCol w:w="959"/>
        <w:gridCol w:w="348"/>
        <w:gridCol w:w="1017"/>
        <w:gridCol w:w="180"/>
        <w:gridCol w:w="109"/>
        <w:gridCol w:w="109"/>
        <w:gridCol w:w="109"/>
        <w:gridCol w:w="291"/>
        <w:gridCol w:w="849"/>
        <w:gridCol w:w="150"/>
        <w:gridCol w:w="109"/>
        <w:gridCol w:w="109"/>
        <w:gridCol w:w="109"/>
        <w:gridCol w:w="348"/>
        <w:gridCol w:w="1017"/>
        <w:gridCol w:w="180"/>
        <w:gridCol w:w="109"/>
        <w:gridCol w:w="109"/>
        <w:gridCol w:w="109"/>
        <w:gridCol w:w="287"/>
        <w:gridCol w:w="838"/>
        <w:gridCol w:w="209"/>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plus fee</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and materials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Kratos Government Solutions</w:t>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plus fee</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and materials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Unmanned Systems</w:t>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417"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customer was as follows (in millions):</w:t>
      </w:r>
    </w:p>
    <w:tbl>
      <w:tblPr>
        <w:tblW w:w="9844" w:type="dxa"/>
        <w:jc w:val="left"/>
        <w:tblInd w:w="0" w:type="dxa"/>
        <w:tblLayout w:type="fixed"/>
        <w:tblCellMar>
          <w:top w:w="28" w:type="dxa"/>
          <w:left w:w="28" w:type="dxa"/>
          <w:bottom w:w="28" w:type="dxa"/>
          <w:right w:w="28" w:type="dxa"/>
        </w:tblCellMar>
      </w:tblPr>
      <w:tblGrid>
        <w:gridCol w:w="1141"/>
        <w:gridCol w:w="1001"/>
        <w:gridCol w:w="1007"/>
        <w:gridCol w:w="348"/>
        <w:gridCol w:w="1017"/>
        <w:gridCol w:w="180"/>
        <w:gridCol w:w="109"/>
        <w:gridCol w:w="109"/>
        <w:gridCol w:w="109"/>
        <w:gridCol w:w="291"/>
        <w:gridCol w:w="849"/>
        <w:gridCol w:w="150"/>
        <w:gridCol w:w="109"/>
        <w:gridCol w:w="109"/>
        <w:gridCol w:w="109"/>
        <w:gridCol w:w="348"/>
        <w:gridCol w:w="1017"/>
        <w:gridCol w:w="180"/>
        <w:gridCol w:w="109"/>
        <w:gridCol w:w="109"/>
        <w:gridCol w:w="109"/>
        <w:gridCol w:w="287"/>
        <w:gridCol w:w="838"/>
        <w:gridCol w:w="209"/>
      </w:tblGrid>
      <w:tr>
        <w:trP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 Government </w:t>
            </w:r>
            <w:r>
              <w:rPr>
                <w:rFonts w:ascii="Times New Roman;sans-serif" w:hAnsi="Times New Roman;sans-serif"/>
                <w:b w:val="false"/>
                <w:color w:val="000000"/>
                <w:sz w:val="13"/>
              </w:rPr>
              <w:t>(1)</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3"/>
              </w:rPr>
              <w:t>(2)</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Commercial and other customers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Kratos Government Solutions</w:t>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 Government </w:t>
            </w:r>
            <w:r>
              <w:rPr>
                <w:rFonts w:ascii="Times New Roman;sans-serif" w:hAnsi="Times New Roman;sans-serif"/>
                <w:b w:val="false"/>
                <w:color w:val="000000"/>
                <w:sz w:val="13"/>
              </w:rPr>
              <w:t>(1)</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3"/>
              </w:rPr>
              <w:t>(2)</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Commercial and other customers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Unmanned Systems</w:t>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Sales to the U.S. Government include sales from contracts for which the Company is the prime contractor, as well as those for which the</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Company is a subcontractor and the ultimate customer is the U.S. Government. Each of the Company’s segments derives substantial revenue</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from the U.S. Government. These sales include foreign military sales contracted through the U.S. Government.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International sales include sales from contracts for which the Company is the prime contractor, as well as those for which the Company is a</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subcontractor and the ultimate customer is an international customer. These sales include direct sales with governments outside the U.S. and</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commercial sales with customers outside the U.S.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Goodwill and Intangible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(a)    Goodwill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carrying amounts of goodwill as of September 29, 2024 and December 31, 2023 by reportable segment are as follows (in millions):</w:t>
      </w:r>
    </w:p>
    <w:tbl>
      <w:tblPr>
        <w:tblW w:w="6041" w:type="dxa"/>
        <w:jc w:val="left"/>
        <w:tblInd w:w="0" w:type="dxa"/>
        <w:tblLayout w:type="fixed"/>
        <w:tblCellMar>
          <w:top w:w="28" w:type="dxa"/>
          <w:left w:w="28" w:type="dxa"/>
          <w:bottom w:w="28" w:type="dxa"/>
          <w:right w:w="28" w:type="dxa"/>
        </w:tblCellMar>
      </w:tblPr>
      <w:tblGrid>
        <w:gridCol w:w="919"/>
        <w:gridCol w:w="802"/>
        <w:gridCol w:w="813"/>
        <w:gridCol w:w="211"/>
        <w:gridCol w:w="616"/>
        <w:gridCol w:w="109"/>
        <w:gridCol w:w="109"/>
        <w:gridCol w:w="109"/>
        <w:gridCol w:w="109"/>
        <w:gridCol w:w="211"/>
        <w:gridCol w:w="616"/>
        <w:gridCol w:w="109"/>
        <w:gridCol w:w="109"/>
        <w:gridCol w:w="109"/>
        <w:gridCol w:w="109"/>
        <w:gridCol w:w="211"/>
        <w:gridCol w:w="616"/>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29, 2024</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KGS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impairment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6041" w:type="dxa"/>
        <w:jc w:val="center"/>
        <w:tblInd w:w="0" w:type="dxa"/>
        <w:tblLayout w:type="fixed"/>
        <w:tblCellMar>
          <w:top w:w="28" w:type="dxa"/>
          <w:left w:w="28" w:type="dxa"/>
          <w:bottom w:w="28" w:type="dxa"/>
          <w:right w:w="28" w:type="dxa"/>
        </w:tblCellMar>
      </w:tblPr>
      <w:tblGrid>
        <w:gridCol w:w="919"/>
        <w:gridCol w:w="802"/>
        <w:gridCol w:w="813"/>
        <w:gridCol w:w="211"/>
        <w:gridCol w:w="616"/>
        <w:gridCol w:w="109"/>
        <w:gridCol w:w="109"/>
        <w:gridCol w:w="109"/>
        <w:gridCol w:w="109"/>
        <w:gridCol w:w="211"/>
        <w:gridCol w:w="616"/>
        <w:gridCol w:w="109"/>
        <w:gridCol w:w="109"/>
        <w:gridCol w:w="109"/>
        <w:gridCol w:w="109"/>
        <w:gridCol w:w="211"/>
        <w:gridCol w:w="616"/>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KGS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value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impairment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    Purchased Intangible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for finite-lived and indefinite-lived intangible assets (in millions): </w:t>
      </w:r>
    </w:p>
    <w:tbl>
      <w:tblPr>
        <w:tblW w:w="10205" w:type="dxa"/>
        <w:jc w:val="left"/>
        <w:tblInd w:w="0" w:type="dxa"/>
        <w:tblLayout w:type="fixed"/>
        <w:tblCellMar>
          <w:top w:w="28" w:type="dxa"/>
          <w:left w:w="28" w:type="dxa"/>
          <w:bottom w:w="28" w:type="dxa"/>
          <w:right w:w="28" w:type="dxa"/>
        </w:tblCellMar>
      </w:tblPr>
      <w:tblGrid>
        <w:gridCol w:w="1025"/>
        <w:gridCol w:w="900"/>
        <w:gridCol w:w="903"/>
        <w:gridCol w:w="211"/>
        <w:gridCol w:w="616"/>
        <w:gridCol w:w="109"/>
        <w:gridCol w:w="109"/>
        <w:gridCol w:w="109"/>
        <w:gridCol w:w="109"/>
        <w:gridCol w:w="239"/>
        <w:gridCol w:w="717"/>
        <w:gridCol w:w="125"/>
        <w:gridCol w:w="109"/>
        <w:gridCol w:w="109"/>
        <w:gridCol w:w="109"/>
        <w:gridCol w:w="211"/>
        <w:gridCol w:w="511"/>
        <w:gridCol w:w="109"/>
        <w:gridCol w:w="109"/>
        <w:gridCol w:w="109"/>
        <w:gridCol w:w="109"/>
        <w:gridCol w:w="211"/>
        <w:gridCol w:w="616"/>
        <w:gridCol w:w="109"/>
        <w:gridCol w:w="109"/>
        <w:gridCol w:w="109"/>
        <w:gridCol w:w="109"/>
        <w:gridCol w:w="239"/>
        <w:gridCol w:w="717"/>
        <w:gridCol w:w="125"/>
        <w:gridCol w:w="109"/>
        <w:gridCol w:w="109"/>
        <w:gridCol w:w="109"/>
        <w:gridCol w:w="211"/>
        <w:gridCol w:w="511"/>
        <w:gridCol w:w="155"/>
      </w:tblGrid>
      <w:tr>
        <w:trPr/>
        <w:tc>
          <w:tcPr>
            <w:tcW w:w="10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Value</w:t>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finite-lived intangible assets: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and backlog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and technical know-how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finite-lived intangible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trade names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amortization expense related to intangible assets subject to amortization was $2.2 million and $1.5 million for the three months ended September 29, 2024 and October 1, 2023, respectively, and $6.5 million and $4.5 million for the nine months ended September 29, 2024 and October 1, 2023, respectively.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future amortization expense of acquired intangible assets with finite lives for the remainder of 2024 and the next five fiscal years, and thereafter as of September 29, 2024 is as follows (in millions):</w:t>
      </w:r>
    </w:p>
    <w:tbl>
      <w:tblPr>
        <w:tblW w:w="1822" w:type="dxa"/>
        <w:jc w:val="left"/>
        <w:tblInd w:w="0" w:type="dxa"/>
        <w:tblLayout w:type="fixed"/>
        <w:tblCellMar>
          <w:top w:w="28" w:type="dxa"/>
          <w:left w:w="28" w:type="dxa"/>
          <w:bottom w:w="28" w:type="dxa"/>
          <w:right w:w="28" w:type="dxa"/>
        </w:tblCellMar>
      </w:tblPr>
      <w:tblGrid>
        <w:gridCol w:w="342"/>
        <w:gridCol w:w="300"/>
        <w:gridCol w:w="304"/>
        <w:gridCol w:w="211"/>
        <w:gridCol w:w="51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Inventoried Costs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Inventoried costs, consisted of the following components (in millions):</w:t>
      </w:r>
    </w:p>
    <w:p>
      <w:pPr>
        <w:pStyle w:val="TextBody"/>
        <w:bidi w:val="0"/>
        <w:spacing w:lineRule="auto" w:line="288" w:before="0" w:after="0"/>
        <w:jc w:val="left"/>
        <w:rPr>
          <w:color w:val="000000"/>
        </w:rPr>
      </w:pPr>
      <w:r>
        <w:rPr>
          <w:color w:val="000000"/>
        </w:rPr>
        <w:t> </w:t>
      </w:r>
    </w:p>
    <w:tbl>
      <w:tblPr>
        <w:tblW w:w="5516" w:type="dxa"/>
        <w:jc w:val="left"/>
        <w:tblInd w:w="0" w:type="dxa"/>
        <w:tblLayout w:type="fixed"/>
        <w:tblCellMar>
          <w:top w:w="28" w:type="dxa"/>
          <w:left w:w="28" w:type="dxa"/>
          <w:bottom w:w="28" w:type="dxa"/>
          <w:right w:w="28" w:type="dxa"/>
        </w:tblCellMar>
      </w:tblPr>
      <w:tblGrid>
        <w:gridCol w:w="722"/>
        <w:gridCol w:w="634"/>
        <w:gridCol w:w="638"/>
        <w:gridCol w:w="362"/>
        <w:gridCol w:w="1056"/>
        <w:gridCol w:w="187"/>
        <w:gridCol w:w="109"/>
        <w:gridCol w:w="109"/>
        <w:gridCol w:w="109"/>
        <w:gridCol w:w="342"/>
        <w:gridCol w:w="999"/>
        <w:gridCol w:w="249"/>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inventoried costs</w:t>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6. Net Income (Loss) per Common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 calculates net income (loss) per share in accordance with FASB ASC Topic 260, </w:t>
      </w:r>
      <w:r>
        <w:rPr>
          <w:rFonts w:ascii="Times New Roman;sans-serif" w:hAnsi="Times New Roman;sans-serif"/>
          <w:b w:val="false"/>
          <w:i/>
          <w:color w:val="000000"/>
          <w:sz w:val="20"/>
        </w:rPr>
        <w:t xml:space="preserve">Earnings per Share </w:t>
      </w:r>
      <w:r>
        <w:rPr>
          <w:rFonts w:ascii="Times New Roman;sans-serif" w:hAnsi="Times New Roman;sans-serif"/>
          <w:b w:val="false"/>
          <w:color w:val="000000"/>
          <w:sz w:val="20"/>
        </w:rPr>
        <w:t>(“Topic 260”)</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Under Topic</w:t>
      </w:r>
      <w:r>
        <w:rPr>
          <w:color w:val="000000"/>
        </w:rPr>
        <w:t xml:space="preserve"> </w:t>
      </w:r>
      <w:r>
        <w:rPr>
          <w:rFonts w:ascii="Times New Roman;sans-serif" w:hAnsi="Times New Roman;sans-serif"/>
          <w:b w:val="false"/>
          <w:color w:val="000000"/>
          <w:sz w:val="20"/>
        </w:rPr>
        <w:t>260, basic net income (loss) per common share attributable to the Kratos shareholders is calculated by dividing net income (loss) attributable to Kratos by the weighted-average number of common shares outstanding during the reporting period. Diluted net income (loss) per common share reflects the effects of potentially dilutive securities.</w:t>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 for the three and nine months ended September 29, 2024 include the dilutive effect of an aggregate of 1.5 million and 0.0 million shares, respectively, of the Company’s common stock granted to employees under stock-based compensation plans. Diluted net loss per share for the three and nine months ended October 1, 2023 exclude the dilutive effects of awards granted to employees under stock-based compensation plans of 0.9 million and 0.9 million shares, respectively, because their inclusion would have been anti-dilutive.</w:t>
      </w:r>
    </w:p>
    <w:p>
      <w:pPr>
        <w:pStyle w:val="TextBody"/>
        <w:bidi w:val="0"/>
        <w:spacing w:lineRule="auto" w:line="288" w:before="0" w:after="0"/>
        <w:ind w:left="0" w:right="0" w:firstLine="63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Leases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lease payments are generally expensed as incurred. Leases with an initial term of 12 months or less are not recorded on the balance sheet, and the expense for these short-term leases is recognized on a straight-line basis over the lease term.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depreciable life of lease assets and leasehold improvements is limited by the expected lease term, unless there is a transfer of title or purchase option reasonably certain of exercise.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components of lease expense were as follows (in millions):</w:t>
      </w:r>
    </w:p>
    <w:tbl>
      <w:tblPr>
        <w:tblW w:w="10205" w:type="dxa"/>
        <w:jc w:val="left"/>
        <w:tblInd w:w="0" w:type="dxa"/>
        <w:tblLayout w:type="fixed"/>
        <w:tblCellMar>
          <w:top w:w="28" w:type="dxa"/>
          <w:left w:w="28" w:type="dxa"/>
          <w:bottom w:w="28" w:type="dxa"/>
          <w:right w:w="28" w:type="dxa"/>
        </w:tblCellMar>
      </w:tblPr>
      <w:tblGrid>
        <w:gridCol w:w="1436"/>
        <w:gridCol w:w="1260"/>
        <w:gridCol w:w="1267"/>
        <w:gridCol w:w="411"/>
        <w:gridCol w:w="791"/>
        <w:gridCol w:w="212"/>
        <w:gridCol w:w="109"/>
        <w:gridCol w:w="109"/>
        <w:gridCol w:w="109"/>
        <w:gridCol w:w="343"/>
        <w:gridCol w:w="660"/>
        <w:gridCol w:w="176"/>
        <w:gridCol w:w="109"/>
        <w:gridCol w:w="109"/>
        <w:gridCol w:w="109"/>
        <w:gridCol w:w="359"/>
        <w:gridCol w:w="869"/>
        <w:gridCol w:w="186"/>
        <w:gridCol w:w="109"/>
        <w:gridCol w:w="109"/>
        <w:gridCol w:w="109"/>
        <w:gridCol w:w="299"/>
        <w:gridCol w:w="727"/>
        <w:gridCol w:w="228"/>
      </w:tblGrid>
      <w:tr>
        <w:trPr/>
        <w:tc>
          <w:tcPr>
            <w:tcW w:w="143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 of use assets - finance leases</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 - finance leases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cost </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 (cost excluded from lease payments)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leases on the balance sheet were as follows (in millions):</w:t>
      </w:r>
    </w:p>
    <w:tbl>
      <w:tblPr>
        <w:tblW w:w="7976" w:type="dxa"/>
        <w:jc w:val="left"/>
        <w:tblInd w:w="0" w:type="dxa"/>
        <w:tblLayout w:type="fixed"/>
        <w:tblCellMar>
          <w:top w:w="28" w:type="dxa"/>
          <w:left w:w="28" w:type="dxa"/>
          <w:bottom w:w="28" w:type="dxa"/>
          <w:right w:w="28" w:type="dxa"/>
        </w:tblCellMar>
      </w:tblPr>
      <w:tblGrid>
        <w:gridCol w:w="1650"/>
        <w:gridCol w:w="1448"/>
        <w:gridCol w:w="1462"/>
        <w:gridCol w:w="392"/>
        <w:gridCol w:w="949"/>
        <w:gridCol w:w="204"/>
        <w:gridCol w:w="109"/>
        <w:gridCol w:w="109"/>
        <w:gridCol w:w="109"/>
        <w:gridCol w:w="372"/>
        <w:gridCol w:w="901"/>
        <w:gridCol w:w="271"/>
      </w:tblGrid>
      <w:tr>
        <w:trPr/>
        <w:tc>
          <w:tcPr>
            <w:tcW w:w="165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right-of-use assets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 was as follows (in millions):</w:t>
      </w:r>
    </w:p>
    <w:tbl>
      <w:tblPr>
        <w:tblW w:w="10205" w:type="dxa"/>
        <w:jc w:val="left"/>
        <w:tblInd w:w="0" w:type="dxa"/>
        <w:tblLayout w:type="fixed"/>
        <w:tblCellMar>
          <w:top w:w="28" w:type="dxa"/>
          <w:left w:w="28" w:type="dxa"/>
          <w:bottom w:w="28" w:type="dxa"/>
          <w:right w:w="28" w:type="dxa"/>
        </w:tblCellMar>
      </w:tblPr>
      <w:tblGrid>
        <w:gridCol w:w="1454"/>
        <w:gridCol w:w="1242"/>
        <w:gridCol w:w="1247"/>
        <w:gridCol w:w="413"/>
        <w:gridCol w:w="794"/>
        <w:gridCol w:w="213"/>
        <w:gridCol w:w="109"/>
        <w:gridCol w:w="109"/>
        <w:gridCol w:w="109"/>
        <w:gridCol w:w="344"/>
        <w:gridCol w:w="663"/>
        <w:gridCol w:w="177"/>
        <w:gridCol w:w="109"/>
        <w:gridCol w:w="109"/>
        <w:gridCol w:w="109"/>
        <w:gridCol w:w="360"/>
        <w:gridCol w:w="873"/>
        <w:gridCol w:w="187"/>
        <w:gridCol w:w="109"/>
        <w:gridCol w:w="109"/>
        <w:gridCol w:w="109"/>
        <w:gridCol w:w="300"/>
        <w:gridCol w:w="729"/>
        <w:gridCol w:w="228"/>
      </w:tblGrid>
      <w:tr>
        <w:trPr/>
        <w:tc>
          <w:tcPr>
            <w:tcW w:w="145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 cash paid for interest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 financing cash flows</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operating cash flows (fixed payments)</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supplemental noncash information (in millions):</w:t>
      </w:r>
    </w:p>
    <w:tbl>
      <w:tblPr>
        <w:tblW w:w="10205" w:type="dxa"/>
        <w:jc w:val="left"/>
        <w:tblInd w:w="0" w:type="dxa"/>
        <w:tblLayout w:type="fixed"/>
        <w:tblCellMar>
          <w:top w:w="28" w:type="dxa"/>
          <w:left w:w="28" w:type="dxa"/>
          <w:bottom w:w="28" w:type="dxa"/>
          <w:right w:w="28" w:type="dxa"/>
        </w:tblCellMar>
      </w:tblPr>
      <w:tblGrid>
        <w:gridCol w:w="1657"/>
        <w:gridCol w:w="1280"/>
        <w:gridCol w:w="1287"/>
        <w:gridCol w:w="381"/>
        <w:gridCol w:w="734"/>
        <w:gridCol w:w="197"/>
        <w:gridCol w:w="109"/>
        <w:gridCol w:w="109"/>
        <w:gridCol w:w="109"/>
        <w:gridCol w:w="318"/>
        <w:gridCol w:w="613"/>
        <w:gridCol w:w="164"/>
        <w:gridCol w:w="109"/>
        <w:gridCol w:w="109"/>
        <w:gridCol w:w="109"/>
        <w:gridCol w:w="287"/>
        <w:gridCol w:w="698"/>
        <w:gridCol w:w="369"/>
        <w:gridCol w:w="109"/>
        <w:gridCol w:w="109"/>
        <w:gridCol w:w="109"/>
        <w:gridCol w:w="250"/>
        <w:gridCol w:w="607"/>
        <w:gridCol w:w="382"/>
      </w:tblGrid>
      <w:tr>
        <w:trPr/>
        <w:tc>
          <w:tcPr>
            <w:tcW w:w="165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4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r>
      <w:tr>
        <w:trPr/>
        <w:tc>
          <w:tcPr>
            <w:tcW w:w="4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arising from obtaining right-of-use assets</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arising from obtaining right-of-use assets</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r>
      <w:tr>
        <w:trPr/>
        <w:tc>
          <w:tcPr>
            <w:tcW w:w="553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r>
      <w:tr>
        <w:trPr/>
        <w:tc>
          <w:tcPr>
            <w:tcW w:w="4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w:t>
            </w:r>
          </w:p>
        </w:tc>
      </w:tr>
      <w:tr>
        <w:trPr/>
        <w:tc>
          <w:tcPr>
            <w:tcW w:w="4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3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3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maturity of lease liabilities is (in millions):</w:t>
      </w:r>
    </w:p>
    <w:tbl>
      <w:tblPr>
        <w:tblW w:w="7046" w:type="dxa"/>
        <w:jc w:val="left"/>
        <w:tblInd w:w="0" w:type="dxa"/>
        <w:tblLayout w:type="fixed"/>
        <w:tblCellMar>
          <w:top w:w="28" w:type="dxa"/>
          <w:left w:w="28" w:type="dxa"/>
          <w:bottom w:w="28" w:type="dxa"/>
          <w:right w:w="28" w:type="dxa"/>
        </w:tblCellMar>
      </w:tblPr>
      <w:tblGrid>
        <w:gridCol w:w="1491"/>
        <w:gridCol w:w="1308"/>
        <w:gridCol w:w="1325"/>
        <w:gridCol w:w="346"/>
        <w:gridCol w:w="839"/>
        <w:gridCol w:w="180"/>
        <w:gridCol w:w="109"/>
        <w:gridCol w:w="109"/>
        <w:gridCol w:w="109"/>
        <w:gridCol w:w="296"/>
        <w:gridCol w:w="718"/>
        <w:gridCol w:w="216"/>
      </w:tblGrid>
      <w:tr>
        <w:trPr/>
        <w:tc>
          <w:tcPr>
            <w:tcW w:w="149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2024 </w:t>
            </w:r>
            <w:r>
              <w:rPr>
                <w:rFonts w:ascii="Times New Roman;sans-serif" w:hAnsi="Times New Roman;sans-serif"/>
                <w:b w:val="false"/>
                <w:color w:val="000000"/>
                <w:sz w:val="13"/>
              </w:rPr>
              <w:t>(1)</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present value of lease liabilities</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Excludes the nine months ended September 29, 2024.</w:t>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Income Taxes</w:t>
      </w:r>
    </w:p>
    <w:p>
      <w:pPr>
        <w:pStyle w:val="TextBody"/>
        <w:bidi w:val="0"/>
        <w:spacing w:before="0" w:after="0"/>
        <w:jc w:val="left"/>
        <w:rPr/>
      </w:pPr>
      <w:r>
        <w:rPr/>
      </w:r>
    </w:p>
    <w:p>
      <w:pPr>
        <w:pStyle w:val="TextBody"/>
        <w:bidi w:val="0"/>
        <w:spacing w:lineRule="auto" w:line="276"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total income tax provision to the amount computed by applying the statutory federal income tax rate of 21% to income (loss) from continuing operations before income taxes for the three and nine months ended September 29, 2024 and October 1, 2023 is as follows (in millions):</w:t>
      </w:r>
    </w:p>
    <w:tbl>
      <w:tblPr>
        <w:tblW w:w="9648" w:type="dxa"/>
        <w:jc w:val="left"/>
        <w:tblInd w:w="0" w:type="dxa"/>
        <w:tblLayout w:type="fixed"/>
        <w:tblCellMar>
          <w:top w:w="28" w:type="dxa"/>
          <w:left w:w="28" w:type="dxa"/>
          <w:bottom w:w="28" w:type="dxa"/>
          <w:right w:w="28" w:type="dxa"/>
        </w:tblCellMar>
      </w:tblPr>
      <w:tblGrid>
        <w:gridCol w:w="1610"/>
        <w:gridCol w:w="1420"/>
        <w:gridCol w:w="1425"/>
        <w:gridCol w:w="330"/>
        <w:gridCol w:w="638"/>
        <w:gridCol w:w="171"/>
        <w:gridCol w:w="134"/>
        <w:gridCol w:w="134"/>
        <w:gridCol w:w="134"/>
        <w:gridCol w:w="259"/>
        <w:gridCol w:w="500"/>
        <w:gridCol w:w="134"/>
        <w:gridCol w:w="109"/>
        <w:gridCol w:w="109"/>
        <w:gridCol w:w="109"/>
        <w:gridCol w:w="289"/>
        <w:gridCol w:w="702"/>
        <w:gridCol w:w="149"/>
        <w:gridCol w:w="121"/>
        <w:gridCol w:w="121"/>
        <w:gridCol w:w="121"/>
        <w:gridCol w:w="254"/>
        <w:gridCol w:w="490"/>
        <w:gridCol w:w="185"/>
      </w:tblGrid>
      <w:tr>
        <w:trPr/>
        <w:tc>
          <w:tcPr>
            <w:tcW w:w="161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w:t>
              <w:b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2023</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at federal statutory rate</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 and other</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 excess tax shortfalls (windfalls)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impact of research &amp; development tax credits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calculates its interim income tax provision in accordance with ASC Topic 270, “Interim Reporting,” and ASC Topic 740, “Accounting for Income Taxes.” Prior to 2022, the Company calculated the provision for income taxes during the interim reporting periods by applying an estimate of the annual effective tax rate for the full fiscal year to “ordinary” income or loss (pretax income or loss excluding unusual or infrequently occurring discrete items) for the reporting period. The Company determined that since small changes in estimated “ordinary” income would result in significant changes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estimated annual effective tax rate, the historical method used prior to 2022 would not provide a reliable estimate for the nine months ended September 29, 2024 and October 1, 2023. Therefore, a discrete effective tax rate method was used to calculate taxes for the nine months ended September 29, 2024 and October 1,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29, 2024, the Company had $25.5 million of unrecognized tax benefits. Included in the balance of unrecognized tax benefits at September 29, 2024 are $22.9 million that, if recognized, would impact the Company’s effective income tax rate.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interest and penalties related to unrecognized tax benefits in its provision for income taxes. For the nine months ended September 29, 2024 and October 1, 2023, the Company recorded an expense of $0.2 million and $0.2 million, respectively. For the nine months ended September 29, 2024 and October 1, 2023, there was no material benefit recorded related to the removal of interest and penalties. The Company believes that it is reasonably possible that as much as $0.1 million of the liabilities for uncertain tax positions will expire within the next twelve months due to the expiration of various applicable statutes of limitations.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2022, the Inflation Reduction Act of 2022 (“IRA”), was signed into law. Among other things, the IRA imposes a 15% corporate alternative minimum tax for tax years beginning after December 31, 2022, levies a 1% excise tax on net stock purchases after December 31, 2022, and provides tax incentives to promote clean energy. The IRA is not expected to have a material impact on our results of operations or financial position.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Organization for Economic Co-operation and Development (OECD) has a framework to implement a global minimum corporate tax of 15% for companies with global revenues and profits above certain thresholds (referred to as Pillar 2), with certain aspects of Pillar 2 effective January 1, 2024 and other aspects effective January 1, 2025. While it is uncertain whether the U.S. will enact legislation to adopt Pillar 2, certain countries in which we operate have adopted legislation, and other countries are in the process of introducing legislation to implement Pillar 2. Pillar 2 had no impact on our 2024 effective tax rate and we do not currently expect Pillar 2 to have a material impact on our effective tax rate or our consolidated results of operation, financial position, and cash flows going forward.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 2022 Credit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18, 2022, the Company completed the refinancing of its then-outstanding $90 million revolving credit facility and $300 million 6.5% Senior Secured Notes, with a new 5-year $200 million Revolving Credit Facility and 5-year $200 million Term Loan A (collectively, the “2022 Credit Facility”). The Company incurred debt issuance costs of $3.3 million associated with the 2022 Credit Facility. As of September 29, 2024, the Company has made an aggregate of $12.5 million in principal payments on Term Loan A and has no amounts outstanding under the Revolving Credit Facility, with $200.0 million remaining in borrowing capacity, less approximately $8.0 million of letters of credit outstanding.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2022 Credit Facility is governed by a Credit Agreement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revolving credit facility and the term loan credit facility may take the form of base rate loans or Secured Overnight Financing Rate (“SOFR”) loans. Base rate loans under the Credit Agreement will bear interest at a rate per annum equal to the sum of the Applicable Margin (as defined in the Credit Agreement) from time to time in effect plus the highest of (i) the Agent’s (as defined in the Credit Agreement)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September 29,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28, 2023, the Company entered into an interest rate swap contract to hedge U.S. dollar-one month Term SOFR in order to fix the interest rate movements associated with the Company’s Term Loan A. The initial hedge amount was $195.0 million and amortizes in accordance with Term Loan A. The swap is at a fixed rate of one-month term SOFR of 3.721% and settles monthly on the last day of each calendar month. The swap has an effective date of May 1, 2023 and terminates on May 1, 2026. Refer to Note 15 for further discussion of the accounting treatment of the swap arrangement.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Term Loan and Revolving Credit Debt</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and revolving credit debt and the current period interest rates are as follows (in millions):</w:t>
      </w:r>
    </w:p>
    <w:tbl>
      <w:tblPr>
        <w:tblW w:w="9743" w:type="dxa"/>
        <w:jc w:val="left"/>
        <w:tblInd w:w="0" w:type="dxa"/>
        <w:tblLayout w:type="fixed"/>
        <w:tblCellMar>
          <w:top w:w="28" w:type="dxa"/>
          <w:left w:w="28" w:type="dxa"/>
          <w:bottom w:w="28" w:type="dxa"/>
          <w:right w:w="28" w:type="dxa"/>
        </w:tblCellMar>
      </w:tblPr>
      <w:tblGrid>
        <w:gridCol w:w="2173"/>
        <w:gridCol w:w="1908"/>
        <w:gridCol w:w="1919"/>
        <w:gridCol w:w="109"/>
        <w:gridCol w:w="109"/>
        <w:gridCol w:w="109"/>
        <w:gridCol w:w="550"/>
        <w:gridCol w:w="283"/>
        <w:gridCol w:w="711"/>
        <w:gridCol w:w="109"/>
        <w:gridCol w:w="109"/>
        <w:gridCol w:w="109"/>
        <w:gridCol w:w="511"/>
        <w:gridCol w:w="264"/>
        <w:gridCol w:w="770"/>
      </w:tblGrid>
      <w:tr>
        <w:trPr/>
        <w:tc>
          <w:tcPr>
            <w:tcW w:w="2173"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long-term unamortized debt issuance costs -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 of unamortized debt issuance costs -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 -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Future long-term debt principal payments at September 29, 2024 were as follows (in millions):</w:t>
      </w:r>
    </w:p>
    <w:p>
      <w:pPr>
        <w:pStyle w:val="TextBody"/>
        <w:bidi w:val="0"/>
        <w:spacing w:before="0" w:after="0"/>
        <w:jc w:val="left"/>
        <w:rPr/>
      </w:pPr>
      <w:r>
        <w:rPr/>
      </w:r>
    </w:p>
    <w:tbl>
      <w:tblPr>
        <w:tblW w:w="1849"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211"/>
        <w:gridCol w:w="616"/>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Segment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in two reportable segments. The KGS reportable segment is comprised of an aggregation of KGS operating business units, including the Company’s microwave electronics products, space, satellite and cyber, training solutions, C5ISR/modular systems, turbine technologies and defense and rocket support systems operating segments. The US reportable segment consists of the Company’s unmanned aerial, unmanned ground, unmanned seaborne and command, control and communications system business.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organizes its reportable segments based on the nature of the products, solutions and services offered. Transactions between segments are generally negotiated and accounted for under terms and conditions similar to other government and commercial contracts. In the following table, total operating income from continuing operations of the reportable business segments is reconciled to the corresponding consolidated amount. The reconciling item Corporate activities includes costs for certain stock-based compensation programs (including stock-based compensation costs for stock options, the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Revenues, depreciation and amortization, and operating income generated by the Company’s reportable segments for the three and nine month periods ended September 29, 2024 and October 1, 2023 are as follows (in millions): </w:t>
      </w:r>
    </w:p>
    <w:tbl>
      <w:tblPr>
        <w:tblW w:w="9739" w:type="dxa"/>
        <w:jc w:val="left"/>
        <w:tblInd w:w="0" w:type="dxa"/>
        <w:tblLayout w:type="fixed"/>
        <w:tblCellMar>
          <w:top w:w="28" w:type="dxa"/>
          <w:left w:w="28" w:type="dxa"/>
          <w:bottom w:w="28" w:type="dxa"/>
          <w:right w:w="28" w:type="dxa"/>
        </w:tblCellMar>
      </w:tblPr>
      <w:tblGrid>
        <w:gridCol w:w="1103"/>
        <w:gridCol w:w="965"/>
        <w:gridCol w:w="976"/>
        <w:gridCol w:w="348"/>
        <w:gridCol w:w="1017"/>
        <w:gridCol w:w="180"/>
        <w:gridCol w:w="109"/>
        <w:gridCol w:w="109"/>
        <w:gridCol w:w="109"/>
        <w:gridCol w:w="291"/>
        <w:gridCol w:w="849"/>
        <w:gridCol w:w="150"/>
        <w:gridCol w:w="109"/>
        <w:gridCol w:w="109"/>
        <w:gridCol w:w="109"/>
        <w:gridCol w:w="348"/>
        <w:gridCol w:w="1017"/>
        <w:gridCol w:w="180"/>
        <w:gridCol w:w="109"/>
        <w:gridCol w:w="109"/>
        <w:gridCol w:w="109"/>
        <w:gridCol w:w="287"/>
        <w:gridCol w:w="838"/>
        <w:gridCol w:w="209"/>
      </w:tblGrid>
      <w:tr>
        <w:trPr/>
        <w:tc>
          <w:tcPr>
            <w:tcW w:w="110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Kratos Government Solutions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Unmanned Systems</w:t>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54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activities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income </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Redeemable Noncontrolling Interest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27, 2019, the Company acquired 80.1% of the issued and outstanding shares of capital stock of Florida Turbine Technologies Inc., a Florida corporation (“FTT Inc.”), and 80.1% of the membership interests in KTT Core, a Delaware limited liability company, for an aggregate purchase price of approximately $60 million. On February 18, 2022, the capital stock of FTT Inc. was conveyed to KTT Core for organizational purposes such that FTT Inc. is now a wholly owned subsidiary of KTT Core. In connection with the Company’s acquisition of FTT Inc., and KTT Core, (i) beginning in January 2024, the holders (the “Holders”) of the minority interests in KTT Core (the “Minority Interests”) had an annual right (the “Put Right”) to sell all of the Minority Interests to the Company at a purchase price based on a specified multiple of the trailing 12 months EBITDA of KTT Core and its subsidiaries (the “Acquired Companies”), subject to adjustment as set forth in the Exchange Agreement entered into by and among the Company, the Acquired Companies and the Holders, as amended on February 18, 2022 (the “Exchange Agreement”).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13, 2022, the Company entered into an Equity Purchase Agreement (the “Equity Purchase Agreement”) to acquire an additional 9.95% (the “Purchased Shares”) of the issued and outstanding shares of capital stock of KTT Core (together with its wholly-owned subsidiaries including FTT Inc.), a majority owned subsidiary of the Company, for an aggregate estimated purchase price of approximately $6.4 million, to be paid in shares of Kratos common stock. Pursuant to the Equity Purchase Agreement, the Company paid consideration of $2.7 million, paid in 190,258 shares of its common stock, based upon Kratos’ trading price on the date of distribution. Following the closing of the transactions contemplated by the Equity Purchase Agreement, the Company owned 90.05% of KTT Core. On April 7, 2023, the final aggregate purchase price, as updated to reflect the actual 2022 operating results and to reflect the market price of Kratos common stock on the day of issuance, was determined and 828,128 shares of Kratos common stock were issued to the Holders of the Minority Interests with a value of $10.7 million.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2024, the Holders notified Kratos of their intent to sell their remaining Minority Interests through the Holders’ exercise of the Put Right. On June 21, 2024, the Company acquired the remaining 9.95% of the issued and outstanding shares of capital stock of KTT Core for an aggregate purchase price of approximately $22.5 million, which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comprised of approximately $11.25 million in cash and 583,700 shares of Kratos common stock valued at $11.25 million based on Kratos’ 90 day average trading price ending on day immediately prior to the date of acquisition. Following the closing of the transaction the Company owned 100% of KTT Core.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purchase of the remaining shares of KTT Core, the Company adjusted the carrying value of the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 Adjustments to the Redemption Amount had a corresponding effect on net income per share attributable to Kratos shareholders. For the three and nine month period ended October 1, 2023, the Company recorded an adjustment of $4.2 million and $7.1 million, respectively, to increase the carrying value of the redeemable noncontrolling interest to the estimated Redemption Amount. As a result of the Company’s acquisition of the remaining 9.95% of the issued and outstanding shares of capital stock of KTT Core on June 21, 2024, the carrying value of the redeemable noncontrolling interest was reduced to zero.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Stockholders Equity - 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27, 2024, the Company sold 19,166,667 shares of its common stock at a public offering price of $18.00 per share in an underwritten offering. The Company received gross proceeds of approximately $345.0 million. After deducting underwriting fees and other offering expenses, the Company received approximately $331.2 million in net proceeds. The Company expects to use the net proceeds of this public equity offering to facilitate its long-term strategy, including potential investment in facilities, expanding manufacturing capacity, anticipated capital expenditures for expansion of current sole-source/single award programs and high probability pipeline opportunities, initiate or accelerate production or integration of unmanned drone, hypersonic or other systems in anticipation of customer contract awards, further strengthen its balance sheet in anticipation of upcoming customer and partner decisions and source selection on additional large, new program and contract opportunities, for general corporate purposes, including paydown of debt, and to pay fees and expenses in connection with this public equity offering. During the three months ended March 31, 2024, the Company used $45 million of the proceeds from this public equity offering to pay down amounts outstanding under its Revolving Credit Facility.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Significant Customers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the U.S. Government, which includes foreign military sales contracted through the U.S. Government,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$183.9 million and $185.5 million, or 67% and 68% of total Kratos revenue, for the three months ended September 29, 2024 and October 1, 2023, respectively, and $570.2 million and $524.4 million, or 67% and 69% of total Kratos revenue, for the nine months ended September 29, 2024 and October 1, 2023, respectively.</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Commitments and 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unaudited condensed consolidated financial statements. An estimated loss contingency is accrued in the unaudited condensed consolidated financial statements if it is probable that a liability has been incurred and the amount of the loss can be reasonably estimated, and such amount is deemed material.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have on the condensed consolidated financial statements; and the unique facts and circumstances of the particular matter that may give rise to additional factors.</w:t>
      </w:r>
    </w:p>
    <w:p>
      <w:pPr>
        <w:pStyle w:val="TextBody"/>
        <w:bidi w:val="0"/>
        <w:spacing w:before="0" w:after="0"/>
        <w:ind w:left="0" w:right="0" w:firstLine="720"/>
        <w:jc w:val="left"/>
        <w:rPr/>
      </w:pPr>
      <w:r>
        <w:rPr/>
      </w:r>
    </w:p>
    <w:p>
      <w:pPr>
        <w:pStyle w:val="TextBody"/>
        <w:bidi w:val="0"/>
        <w:spacing w:lineRule="auto" w:line="417" w:before="0" w:after="160"/>
        <w:ind w:left="0" w:right="0" w:hanging="720"/>
        <w:jc w:val="left"/>
        <w:rPr>
          <w:color w:val="000000"/>
        </w:rPr>
      </w:pPr>
      <w:r>
        <w:rPr>
          <w:color w:val="000000"/>
        </w:rPr>
        <w:t>    </w:t>
      </w:r>
      <w:r>
        <w:rPr>
          <w:rFonts w:ascii="Times New Roman;sans-serif" w:hAnsi="Times New Roman;sans-serif"/>
          <w:b/>
          <w:color w:val="000000"/>
          <w:sz w:val="20"/>
        </w:rPr>
        <w:t>Legal and Regulatory Matters</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U.S. Government Cost Claims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audits of the Company’s contracts, the DCAA is closely examining and questioning certain of the established and disclosed practices that it had previously audited and accepted. The Company’s personnel regularly scrutinize costs incurred and allocated to contracts with the U.S. Government for compliance with regulatory standards. For those Company subsidiaries and fiscal years which have not yet been audited by the DCAA or for those audits which are in process which have not yet been completed by the DCAA, the Company cannot reasonably estimate the range of loss, if any, that may result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Litigation Matters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normal and routine litigation arising from the ordinary course and conduct of business and, at times, as a result of mergers,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 Derivative Financial Instruments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derivative portfolio consists of forward exchange contracts used to manage foreign currency risks and an interest rate swap contract to hedge U.S. dollar-one month Term SOFR in order to mitigate the exposure to interest rate movements associated with the Company’s Term Loan A. Derivative financial instruments are recognized on the condensed consolidated balance sheets as either assets or liabilities and are measured at fair value.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Forward Exchange Contracts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values of the foreign currency exchange contracts are recorded each period in earnings. As of September 29, 2024, the Company did not use hedge accounting for its foreign currency exchange contracts. The notional value of the Company’s foreign currency exchange contracts at September 29, 2024 was $23.5 million. At September 29, 2024, the fair value amounts of the foreign currency exchange contracts were a $0.4 million asset and a $0.2 million liability. The net loss from these forward exchange contracts was $0.0 million for the three months ended September 29, 2024 and the net gain was $0.1 million for the nine months ended September 29, 2024, and is included in other expense. The notional value of the Company’s foreign currency exchange contracts at December 31, 2023, was $9.3 million. At December 31, 2023, the fair value amounts of the foreign currency exchange contracts were a $0.3 million asset and a $0.1 million liability.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Cash Flow Hedge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28, 2023, the Company entered into an interest rate swap contract with an initial notional amount of $195.0 million to manage the variability of cash flows associated with the Term Loan A. The interest rate swap contract matures on May 1, 2026 and requires periodic interest rate settlements. The swap is at a fixed SOFR of 3.721% and settles monthly on the last day of each calendar month. The Company has designated the interest rate swap contract as a cash flow hedge and assesses the hedge effectiveness both at the onset of the hedge and at regular intervals throughout the life of the derivative. Changes in fair value (gains and losses) related to derivative financial instruments that qualify as cash flow hedges are deferred in Accumulated Other Comprehensive Income (Loss) (“AOCI”) until the underlying transaction is reflected in earnings. The net gain reclassed from AOCI from the interest rate swap reflected in earnings was $0.8 million and $2.3 million for the three and nine months ended September 29, 2024, respectively, and is recorded as an offset to interest expense. The net gain reclassed from AOCI from the interest rate swap reflected in earnings was $0.8 million and $1.2 million for the three and nine months ended October 1, 2023, respectively, and is recorded as an offset to interest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this derivative represents the discounted value of the expected future discounted cash flows for the interest rate swap, based on the amortization schedule and the current forward curve for the remaining term of the contract, as of the date of each reporting period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757"/>
        <w:gridCol w:w="1544"/>
        <w:gridCol w:w="1554"/>
        <w:gridCol w:w="109"/>
        <w:gridCol w:w="109"/>
        <w:gridCol w:w="109"/>
        <w:gridCol w:w="257"/>
        <w:gridCol w:w="753"/>
        <w:gridCol w:w="132"/>
        <w:gridCol w:w="109"/>
        <w:gridCol w:w="109"/>
        <w:gridCol w:w="109"/>
        <w:gridCol w:w="228"/>
        <w:gridCol w:w="508"/>
        <w:gridCol w:w="117"/>
        <w:gridCol w:w="109"/>
        <w:gridCol w:w="109"/>
        <w:gridCol w:w="109"/>
        <w:gridCol w:w="257"/>
        <w:gridCol w:w="753"/>
        <w:gridCol w:w="132"/>
        <w:gridCol w:w="109"/>
        <w:gridCol w:w="109"/>
        <w:gridCol w:w="109"/>
        <w:gridCol w:w="245"/>
        <w:gridCol w:w="472"/>
        <w:gridCol w:w="188"/>
      </w:tblGrid>
      <w:tr>
        <w:trPr/>
        <w:tc>
          <w:tcPr>
            <w:tcW w:w="1757"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 designated as a cash flow hedge,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Quarterly Report on Form 10-Q (this “Quarterly Report”) contains “forward-looking statements” relating to our future financial performance, the market for our services and our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cutbacks or delays in spending by the U.S. Department of Defense may occur which could cause delays or cancellations of key government contracts; delays to or the cancellation of our projects as a result of protest actions submitted by our competitors; changes in federal government (or other applicable) procurement laws, regulations, policies and budgets; the availability of government funding for the Company’s products and services due to performance, cost growth, or other factors; changes in government and customer priorities and requirements; the potential of the current economic environment to adversely impact our business; currently unforeseen risks associated with any public health crisis; risks related to natural disasters or severe weather; changes in the scope or timing of our projects; the timing, rescheduling or cancellation of significant customer contracts and agreements, or consolidation by or the loss of key customers; risks of adverse regulatory action or litigation; risks related to our international operations; risks associated with debt leverage; failure to successfully achieve our integration, cost reduction or divestiture strategies;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on Form 10-Q, in “Item 1A-Risk Factors” of our Annual Report on Form 10-K for the fiscal year ended December 31, 2023 filed with the U.S. Securities and Exchange Commission (the “SEC”) on February 13, 2024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All references to “us,” “we,” “our,” the “Company” and “Kratos” refer to Kratos Defense &amp; Security Solutions, Inc., a Delaware corporation, and its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Kratos is a technology, products, system and software company addressing the defense, national security, and commercial markets. Kratos makes true internally funded research, development, capital and other investments, to rapidly develop, produce and field solutions that address our customers’ mission critical needs and requirements. At Kratos, affordability is a technology, and we seek to utilize proven, leading edge approaches and technology, not unproven bleeding edge approaches or technology, with Kratos’ approach designed to reduce cost, schedule and risk, enabling us to be first to market with cost effective solutions. We believe that Kratos is known as the innovative disruptive change agent in the industry, a company that is an expert in designing products and systems up front for successful rapid, large quantity, low cost future manufacturing, which is a value add competitive differentiator for our large traditional prime system integrator partners and also to our government and commercial customers. Kratos intends to pursue program and contract opportunities as the prime or lead contractor when we believe our probability of win is high and any investment required by Kratos is within our capital resource comfort level. We intend to partner and team with a large, traditional system integrator when our assessment of probability of win is greater or required investment is beyond Kratos comfort level. Kratos’ primary business areas include, virtualized ground systems for satellites and space vehicles including software for command &amp; control (C2) and telemetry, tracking and control (TT&amp;C), jet powered unmanned aerial drone systems, hypersonic vehicles and rocket systems, propulsion systems for drones, missiles, loitering munitions, supersonic systems, space craft and launch systems, command, control, communication, computing, combat, intelligence surveillance and reconnaissance (C5ISR) and microwave electronic products for missile, radar, air defense, missile defense, space, satellite, counter unmanned aircraft systems (CUAS), directed energy, communication and other systems, and virtual &amp; augmented reality training systems for the warfighter. We believe that there is a generational recapitalization of weapon systems occurring globally, including with the United States and its allies, to address individual and potential collective peer and near peer threats, including Russia, China, North Korea and Iran. The Company currently has record levels of backlog and opportunity pipeline. The Company is currently making significant capital, property, plant, equipment and other internally funded investments to address its backlog, current opportunity pipeline, and expected and potential future program and contract awards, including from or with the Department of Defense, traditional legacy prime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systems integrators and partners. These investments include; unmanned jet powered aircraft such as Kratos Valkyrie ahead of potential contract award; a hypersonic system fabrication and integration facility including for Kratos Zeus standard rocket missiles (SRMs) and Erinyes hypersonic flight systems; the purchase of long lead items for up to 60 Oriole SRM’s for ballistic missile defense related, hypersonic or other expected customer missions; expansion of our small turbojet engine production capacity in Michigan; establishment of a planned small turbofan jet engine production facility in the United States; expansion of our existing microwave electronics manufacturing facility in Israel, establishment of an additional microwave electronics facility in Israel, including a space qualified facility; expansion of our machining, milling, casting, 3D printing and additive manufacturing capable facility in the United States to support our jet engine and other product and system manufacturing requirements; establishment of a new facility related to the Sentinel intercontinental ballistic missile (ICBM) program; expansion of our unmanned jet drone manufacturing capability; expansion of existing and construction of additional classified facilities for certain programs and contracts.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Industry Update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2024, President Biden signed the second fiscal year 2024 Consolidated Appropriations package into law. This legislation reflects an $886 billion appropriation for national defense, of which $842 billion would be for the U.S. Department of Defense (“DoD”) base budget. On April 24, 2024, President Biden signed a bill providing a total of $95.3 billion in additional supplemental funding for Ukraine, Israel and Taiwan, including funding for the restock of U.S. munitions capacity, and a fourth bill to impose sanctions and allow the use of seized Russian assets to assist Ukraine.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11, 2024, President Biden submitted the fiscal year 2025 budget request to Congress. The request included $895 billion for national defense, of which $850 billion is for the DoD base budget. On May 22, 2024, the House Armed Services Committee approved the fiscal year 2025 National Defense Authorization Act. The bill authorizes $849.8 billion in funding for the DoD. On June 28, 2024, the House passed the fiscal year 2025 DoD Appropriations bill H.R. 8774. On July 8, 2024, the Senate Armed Service Committee filed their version of the fiscal 2025 National Defense Authorization Act at a level $25 billion above the President’s budget request. </w:t>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fiscal year 2024 ended September 30, 2024, without Congress approving, nor the President signing into law a Federal fiscal 2025 budget, including the National Security and Department of Defense Budgets. As a result, beginning October 1, 2024, the Federal Government is currently operating under a Continuing Resolution Authorization (“CRA”), under which, no new contract awards, no increases in existing contract funding, no increases in existing production contracts and no transition from development to production, among other items, can occur. Federal fiscal 2024 also operated under an approximate 6 month CRA, from October 1, 2023 through March 22, 2024. As a result, Kratos and the industry will operate under a CRA and its limitations for approximately 6 months out of the 12 months of calendar year 2024, if the current fiscal year 2025 CRA continues through December 31, 2024, which is currently expected.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5, 2025, the U.S. Presidential and Congressional elections occurred, with Donald Trump being elected President of the United States, the Republican party controlling the Senate and control of the House of Representatives undetermined as of the date of this Report. President Trump will take office on January 20, 2025, and the new Congress and Senate will be seated on January 3, 2025. As a result of these recent elections, the current Fiscal 2025 CRA could be significantly extended, with no Fiscal 2025 Federal Budget until sometime in calendar 2025. There is also the possibility that the industry could experience a full year CRA related to Federal fiscal 2025, with no Federal fiscal 2025 budget enacted.</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potential challenges presented by the recent elections, Presidential and congressional changes and the related transitions, the CRA, the current budgetary and deficit funding environment, Israel, Ukraine and Taiwan funding support, continuing heightened levels of inflation, ongoing supply chain disruption, and the challenging appropriations process, among other items, all continue to create significant short and long-term risks to the industry and the Company.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continued budget and deficit funding pressures (which are expected), CRAs.(which are also expected), future Federal Government debt ceiling issues, or Federal Government shutdowns could have serious negative consequences for the security of our country and the defense industrial base, including the Company and the related customers, employees, suppliers, investors, and communities that rely on companies in the defense industrial base. It is possible that budget and program decisions made in such an uncertain environment would have long-term implications for our Company and the entire defense industry. Additionally, funding for certain programs, including those in which we currently participate or are pursuing, may be reduced, delayed or cancelled, and budget uncertainty or funding cuts globally could adversely affect the viability of our customers, partners, teammates, subcontractors, suppliers, and our employee base. </w:t>
      </w:r>
    </w:p>
    <w:p>
      <w:pPr>
        <w:pStyle w:val="TextBody"/>
        <w:bidi w:val="0"/>
        <w:spacing w:before="0" w:after="0"/>
        <w:ind w:left="0" w:right="0" w:firstLine="63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Such a challenging federal and DoD budgetary environment may negatively impact our customers, business and programs and could have a material adverse effect on our forecasts, estimates, financial position, results of operations and/or cash flows.</w:t>
      </w:r>
    </w:p>
    <w:p>
      <w:pPr>
        <w:pStyle w:val="TextBody"/>
        <w:bidi w:val="0"/>
        <w:spacing w:before="0" w:after="0"/>
        <w:ind w:left="0" w:right="0" w:firstLine="630"/>
        <w:jc w:val="left"/>
        <w:rPr/>
      </w:pPr>
      <w:r>
        <w:rPr/>
      </w:r>
    </w:p>
    <w:p>
      <w:pPr>
        <w:pStyle w:val="TextBody"/>
        <w:bidi w:val="0"/>
        <w:spacing w:lineRule="auto" w:line="26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continue to be affected by various unfavorable macroeconomic conditions including adverse supply chain disruptions that continue throughout the industry and for us, and related delays in the receipt and delivery of materials, parts, supplies, etc., which in certain instances and for certain items is significant. To mitigate the impact of these delays, we have implemented advanced and larger lot purchases of certain materials and parts which has resulted in an increased use of our working capital, which is expected to continue. In addition, inflation and the related increased costs of inputs needed to execute our business, including materials, parts, supplies, consultants, subcontractors, vendors, etc. have significantly increased our business costs and have adversely impacted our operations, profit margins and financial forecasts.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Also, an industry wide shortage of qualified labor, and the cost of that labor for the Company and its labor base is a significant operational challenge. The cost of labor has increased significantly and current challenges in hiring, obtaining and retaining employees, including those employees requiring National Security clearances, is adversely impacting Kratos’ ability to execute its business. There is also a significant industry wide labor shortage, including in the Science, Technology, Engineering, and Math (STEM) discipline areas, and also including employees willing and/or able to obtain National Security clearances, and for high level manufacturing and production disciplines.</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actions by the Federal Reserve to increase interest rates in the past few years have impacted our interest expense on our outstanding debt borrowings and the related cost of executing Kratos’ business. Although the most recent actions by the Federal Reserve decreased rates slightly, the industry and Kratos are still impacted by rates that are higher than prevailing interest rates over the past several years. Each of these challenges are expected to continue for the foreseeable future and are expected to continue to adversely impact the Company’s operations, financial results and financial forecasts.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do believe that our business is well-positioned in areas that the DoD and other customers currently indicate are priorities for future defense spending, including as identified in the 2024 defense budget and related Future Years Defense Program (FYDP), the President’s 2025 National Security and Defense Budget Request and the 2022 National Security Strategy document. As noted above, we believe that there is a generational recapitalization of weapon systems occurring with the U.S. and its allies to address peer and near peer threats, including Russia, China, North Korea and Iran, and the Company’s positioning as a proven provider of hardware, systems and software to address these threats for and with our customers and partners is recognized in the industry. We believe that the Company’s hardware, software and solution offerings, including jet unmanned aerial drones, rocket and hypersonic systems, C5ISR and air defense systems, jet engine and propulsion systems for missiles, drones, hypersonic and supersonic vehicles, microwave electronics for missile, radar and air defense systems and training systems, address mission critical priority areas of the DoD.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Reportable Segments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currently operates in two reportable segments. The KGS reportable segment is comprised of an aggregation of KGS operating segments, including our microwave electronics products, space, satellite and cyber, training solutions, C5ISR/modular systems, turbine technologies, and defense and rocket support services operating segments. The US reportable segment consists of our unmanned aerial, unmanned ground, unmanned seaborne and command, control and communications system businesses.</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10 of the accompanying unaudited condensed consolidated financial statements. From a customer and solutions perspective, we view our business as an integrated whole, leveraging skills and assets wherever possible.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Comparison of Results for the Three Months Ended September 29, 2024 to the Three Months Ended October 1, 2023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Revenues.</w:t>
      </w:r>
      <w:r>
        <w:rPr>
          <w:color w:val="000000"/>
        </w:rPr>
        <w:t xml:space="preserve">  </w:t>
      </w:r>
      <w:r>
        <w:rPr>
          <w:rFonts w:ascii="Times New Roman;sans-serif" w:hAnsi="Times New Roman;sans-serif"/>
          <w:b w:val="false"/>
          <w:color w:val="000000"/>
          <w:sz w:val="20"/>
        </w:rPr>
        <w:t>Revenues by reporting segment for the three months ended September 29, 2024 and October 1, 2023 are as follows (dollars in millions):</w:t>
      </w:r>
    </w:p>
    <w:tbl>
      <w:tblPr>
        <w:tblW w:w="8644" w:type="dxa"/>
        <w:jc w:val="left"/>
        <w:tblInd w:w="0" w:type="dxa"/>
        <w:tblLayout w:type="fixed"/>
        <w:tblCellMar>
          <w:top w:w="28" w:type="dxa"/>
          <w:left w:w="28" w:type="dxa"/>
          <w:bottom w:w="28" w:type="dxa"/>
          <w:right w:w="28" w:type="dxa"/>
        </w:tblCellMar>
      </w:tblPr>
      <w:tblGrid>
        <w:gridCol w:w="1087"/>
        <w:gridCol w:w="953"/>
        <w:gridCol w:w="959"/>
        <w:gridCol w:w="348"/>
        <w:gridCol w:w="1017"/>
        <w:gridCol w:w="180"/>
        <w:gridCol w:w="109"/>
        <w:gridCol w:w="109"/>
        <w:gridCol w:w="109"/>
        <w:gridCol w:w="291"/>
        <w:gridCol w:w="849"/>
        <w:gridCol w:w="150"/>
        <w:gridCol w:w="109"/>
        <w:gridCol w:w="109"/>
        <w:gridCol w:w="109"/>
        <w:gridCol w:w="211"/>
        <w:gridCol w:w="481"/>
        <w:gridCol w:w="109"/>
        <w:gridCol w:w="109"/>
        <w:gridCol w:w="109"/>
        <w:gridCol w:w="109"/>
        <w:gridCol w:w="254"/>
        <w:gridCol w:w="257"/>
        <w:gridCol w:w="517"/>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Kratos Government Solutions</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Unmanned Systems</w:t>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service revenues</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sales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increased $1.3 million to $275.9 million for the three months ended September 29, 2024 from $274.6 million for the three months ended October 1, 2023. Revenues in our KGS segment decreased $6.2 million primarily due to a decline of $24.2 million in the Space and Satellite business primarily resulting from the industry related Original Equipment Manufacturers (OEM) delays in the manufacture and delivery of software defined satellites which has adversely impacted the deployment of our satellite ground equipment as well as the impact of an extended CRA, partially offset by aggregate organic revenue growth of $18.0 million generated in our turbine technologies, microwave products, C5ISR, Defense Rocket Support and Training Solutions businesses. Revenues in our US segment increased $7.5 million to $64.2 million for the three months ended September 29, 2024, reflecting the contribution from the STS acquisition and increased international target drone production activity during the quarter ended September 29, 2024.</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increased $3.9 million to $172.0 million for the three months ended September 29, 2024 from $168.1 million for the three months ended October 1, 2023, primarily as a result of increased production in our US segment. As a percentage of total consolidated revenues, product sales were 62.3% for the three months ended September 29, 2024 as compared to 61.2% for the three months ended October 1, 2023. Service revenues decreased by $2.6 million to $103.9 million for the three months ended September 29, 2024 from $106.5 million for the three months ended October 1, 2023, primarily related to decreased activity in our space and satellite business in our KGS segment.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Cost of Revenues.</w:t>
      </w:r>
      <w:r>
        <w:rPr>
          <w:color w:val="000000"/>
        </w:rPr>
        <w:t xml:space="preserve">  </w:t>
      </w:r>
      <w:r>
        <w:rPr>
          <w:rFonts w:ascii="Times New Roman;sans-serif" w:hAnsi="Times New Roman;sans-serif"/>
          <w:b w:val="false"/>
          <w:color w:val="000000"/>
          <w:sz w:val="20"/>
        </w:rPr>
        <w:t>Cost of revenues increased $5.5 million to $206.7 million for the three months ended September 29, 2024 from $201.2 million for the three months ended October 1, 2023. The increase in cost of revenues was primarily related to the increased revenues as well the impact of increased labor and material costs, with the most notable increased activity in our Unmanned Systems segment.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Gross Margin</w:t>
      </w:r>
      <w:r>
        <w:rPr>
          <w:rFonts w:ascii="Times New Roman;sans-serif" w:hAnsi="Times New Roman;sans-serif"/>
          <w:b w:val="false"/>
          <w:color w:val="000000"/>
          <w:sz w:val="20"/>
        </w:rPr>
        <w:t>.  Gross margin decreased to 25.1% for the three months ended September 29, 2024 from 26.7% for the three months ended October 1, 2023. Margins on services increased to 26.2% for the three months ended September 29, 2024 from 25.8% for the three months ended October 1, 2023. Margins on products decreased to 24.4% for the three months ended September 29, 2024 from 27.3% for the three months end October 1, 2023. Margins in the KGS segment decreased to 27.4% for the three months ended September 29, 2024 from 27.9% for the three months ended October 1, 2023. Margins in the US segment decreased to 17.6% for the three months ended September 29, 2024 from 22.0% for the three months ended October 1, 2023, primarily due to a less favorable mix of products produced and shipped, and from the impact of increased labor and material costs in the three months ended September 29, 2024.</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Selling, General and Administrative (“SG&amp;A”) Expenses</w:t>
      </w:r>
      <w:r>
        <w:rPr>
          <w:rFonts w:ascii="Times New Roman;sans-serif" w:hAnsi="Times New Roman;sans-serif"/>
          <w:b w:val="false"/>
          <w:color w:val="000000"/>
          <w:sz w:val="20"/>
        </w:rPr>
        <w:t>.  SG&amp;A expenses increased $1.7 million to $52.6 million for the three months ended September 29, 2024 from $50.9 million for the three months ended October 1, 2023 due primarily to the increased revenue volume and headcount. As a percentage of revenues, SG&amp;A increased to 19.1% at September 29, 2024 from 18.5% at October 1, 2023.</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Research and Development (“R&amp;D”) Expenses.</w:t>
      </w:r>
      <w:r>
        <w:rPr>
          <w:color w:val="000000"/>
        </w:rPr>
        <w:t xml:space="preserve">  </w:t>
      </w:r>
      <w:r>
        <w:rPr>
          <w:rFonts w:ascii="Times New Roman;sans-serif" w:hAnsi="Times New Roman;sans-serif"/>
          <w:b w:val="false"/>
          <w:color w:val="000000"/>
          <w:sz w:val="20"/>
        </w:rPr>
        <w:t xml:space="preserve">R&amp;D expenses decreased $0.4 million to $9.9 million for the three months ended September 29, 2024 from $10.3 million for the three months ended October 1, 2023, primarily due to decreased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efforts in our space and satellite communications business partially offset with increases in our unmanned systems and microwave products businesses. As a percentage of revenues, R&amp;D decreased to 3.6% for the three months ended September 29, 2024 from 3.8% for the three months ended October 1, 2023.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Restructuring Expenses and Other.</w:t>
      </w:r>
      <w:r>
        <w:rPr>
          <w:color w:val="000000"/>
        </w:rPr>
        <w:t xml:space="preserve"> </w:t>
      </w:r>
      <w:r>
        <w:rPr>
          <w:rFonts w:ascii="Times New Roman;sans-serif" w:hAnsi="Times New Roman;sans-serif"/>
          <w:b w:val="false"/>
          <w:color w:val="000000"/>
          <w:sz w:val="20"/>
        </w:rPr>
        <w:t xml:space="preserve">We had no restructuring expenses for the three months ended September 29, 2024 or for the three months ended October 1, 2023.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Total Other Expense, Net.</w:t>
      </w:r>
      <w:r>
        <w:rPr>
          <w:color w:val="000000"/>
        </w:rPr>
        <w:t xml:space="preserve">  </w:t>
      </w:r>
      <w:r>
        <w:rPr>
          <w:rFonts w:ascii="Times New Roman;sans-serif" w:hAnsi="Times New Roman;sans-serif"/>
          <w:b w:val="false"/>
          <w:color w:val="000000"/>
          <w:sz w:val="20"/>
        </w:rPr>
        <w:t>The total other expense, net was $0.7 million for the three months ended September 29, 2024 and $5.4 million for the three months ended October 1, 2023. This decrease in total other expense, net of $4.7 million was primarily related to a decrease in interest expense of $1.9 million as a result of the reduction of debt and the interest rate hedge entered into during the third quarter of 2023 on the Company’s Term Loan A, and an increase in interest income of $3.2 million in the three months ended September 29, 2024, resulting from the increased cash balances following the February 27, 2024 stock offering which raised approximately $331.2 million in net proceeds.</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val="false"/>
          <w:i/>
          <w:color w:val="000000"/>
          <w:sz w:val="20"/>
        </w:rPr>
        <w:t>Provision for Income Taxes.</w:t>
      </w:r>
      <w:r>
        <w:rPr>
          <w:color w:val="000000"/>
        </w:rPr>
        <w:t> </w:t>
      </w:r>
      <w:r>
        <w:rPr>
          <w:rFonts w:ascii="Times New Roman;sans-serif" w:hAnsi="Times New Roman;sans-serif"/>
          <w:b w:val="false"/>
          <w:color w:val="000000"/>
          <w:sz w:val="20"/>
        </w:rPr>
        <w:t>The income tax expense for the three months ended September 29, 2024 was $2.6 million and the income tax expense for the three months ended October 1, 2023 was $3.8 million. For the three months ended September 29, 2024 and October 1, 2023, the Company utilized the discrete effective tax rate method. The discrete method is applied when it is not possible to reliably estimate our full year effective tax rate due to significant permanent differences in relation to pre-tax book income, resulting in significant variability to our effective tax rate.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Comparison of Results for the Nine Months Ended September 29, 2024 to the Nine Months Ended October 1, 2023</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Revenues</w:t>
      </w:r>
      <w:r>
        <w:rPr>
          <w:rFonts w:ascii="Times New Roman;sans-serif" w:hAnsi="Times New Roman;sans-serif"/>
          <w:b w:val="false"/>
          <w:color w:val="000000"/>
          <w:sz w:val="20"/>
        </w:rPr>
        <w:t>. Revenues by reporting segment for the nine months ended September 29, 2024 and October 1, 2023 are as follows (dollars in millions):</w:t>
      </w:r>
    </w:p>
    <w:p>
      <w:pPr>
        <w:pStyle w:val="TextBody"/>
        <w:bidi w:val="0"/>
        <w:spacing w:before="0" w:after="0"/>
        <w:jc w:val="left"/>
        <w:rPr/>
      </w:pPr>
      <w:r>
        <w:rPr/>
      </w:r>
    </w:p>
    <w:tbl>
      <w:tblPr>
        <w:tblW w:w="8795" w:type="dxa"/>
        <w:jc w:val="left"/>
        <w:tblInd w:w="0" w:type="dxa"/>
        <w:tblLayout w:type="fixed"/>
        <w:tblCellMar>
          <w:top w:w="28" w:type="dxa"/>
          <w:left w:w="28" w:type="dxa"/>
          <w:bottom w:w="28" w:type="dxa"/>
          <w:right w:w="28" w:type="dxa"/>
        </w:tblCellMar>
      </w:tblPr>
      <w:tblGrid>
        <w:gridCol w:w="1130"/>
        <w:gridCol w:w="992"/>
        <w:gridCol w:w="998"/>
        <w:gridCol w:w="348"/>
        <w:gridCol w:w="1017"/>
        <w:gridCol w:w="180"/>
        <w:gridCol w:w="109"/>
        <w:gridCol w:w="109"/>
        <w:gridCol w:w="109"/>
        <w:gridCol w:w="291"/>
        <w:gridCol w:w="849"/>
        <w:gridCol w:w="150"/>
        <w:gridCol w:w="109"/>
        <w:gridCol w:w="109"/>
        <w:gridCol w:w="109"/>
        <w:gridCol w:w="211"/>
        <w:gridCol w:w="511"/>
        <w:gridCol w:w="109"/>
        <w:gridCol w:w="109"/>
        <w:gridCol w:w="109"/>
        <w:gridCol w:w="109"/>
        <w:gridCol w:w="255"/>
        <w:gridCol w:w="256"/>
        <w:gridCol w:w="517"/>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Government Solutions</w:t>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Kratos Government Solutions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Unmanned Systems</w:t>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Unmanned Systems</w:t>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service revenues</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sales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increased $89.9 million to $853.2 million for the nine months ended September 29, 2024 from $763.3 million for the nine months ended October 1, 2023. Revenues in our KGS segment increased $37.3 million, primarily due to revenue increases in our C5ISR and microwave electronics products businesses primarily resulting from increased activity for multiple air defense systems and programs, and growth in our turbine technologies, training solutions and defense and rocket support businesses primarily resulting from new contract awards, partially offset by decreases in our space and satellite businesses, which has been impacted by the extended CRA as well as OEM delayed commercial satellite launches which has adversely impacted the deployment of our commercial satellite ground equipment resulting in an aggregate reduction of $31.8 million in revenues for our space and satellite business. Revenues in our US segment increased $52.6 million to $209.4 million for the nine months ended September 29, 2024 reflecting the contribution from the STS acquisition, and increased domestic target drone production and a certain international target drone delivery which contributed $18.9 million in revenue during the nine months ended September 29, 2024, and as a result of timing of program contract awards and increased production volume as compared to the nine months ended October 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sales increased $74.8 million to $536.3 million for the nine months ended September 29, 2024 from $461.5 million for the nine months ended October 1, 2023, primarily as a result of increased production activity in our KGS segment and in our US segment. As a percentage of total revenue, product sales were 62.9% for the nine months ended September 29, 2024 as compared to 60.5% for the nine months ended October 1, 2023. Service revenues increased by $15.1 million to $316.9 million for the nine months ended September 29, 2024 from $301.8 million for the nine months ended October 1, 2023. The increase was primarily related to increased activity in our turbine technologies and defense rocket support businesses in our KGS segment.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Cost of Revenues</w:t>
      </w:r>
      <w:r>
        <w:rPr>
          <w:rFonts w:ascii="Times New Roman;sans-serif" w:hAnsi="Times New Roman;sans-serif"/>
          <w:b w:val="false"/>
          <w:color w:val="000000"/>
          <w:sz w:val="20"/>
        </w:rPr>
        <w:t>. Cost of revenues increased $69.2 million to $635.8 million for the nine months ended September 29, 2024 from $566.6 million for the nine months ended October 1, 2023. The increase in cost of revenues was primarily a result of the increase in revenues discussed above as well as the impact of increased labor and material costs.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 xml:space="preserve">Gross Margin. </w:t>
      </w:r>
      <w:r>
        <w:rPr>
          <w:rFonts w:ascii="Times New Roman;sans-serif" w:hAnsi="Times New Roman;sans-serif"/>
          <w:b w:val="false"/>
          <w:color w:val="000000"/>
          <w:sz w:val="20"/>
        </w:rPr>
        <w:t>Gross margin decreased to 25.5% for the nine months ended September 29, 2024 from 25.8% for the nine months ended October 1, 2023. Margins on services increased to 26.5% for the nine months ended September 29, 2024 from 24.7% for the nine months ended October 1, 2023. Margins on product sales decreased to 24.9% for the nine months ended September 29, 2024 from 26.5% for the nine months ended October 1, 2023. Margins in the KGS segment increased to 27.8% for the nine months ended September 29, 2024 from 27.1% for the nine months ended October 1, 2023 primarily due to a more favorable mix of revenues. Margins in the US segment decreased to 18.5% for the nine months ended September 29, 2024 from 20.7% for the nine months ended October 1, 2023 due to the mix of revenues, revenue volume and resources.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Selling, General and Administrative (“SG&amp;A”) Expenses</w:t>
      </w:r>
      <w:r>
        <w:rPr>
          <w:rFonts w:ascii="Times New Roman;sans-serif" w:hAnsi="Times New Roman;sans-serif"/>
          <w:b w:val="false"/>
          <w:color w:val="000000"/>
          <w:sz w:val="20"/>
        </w:rPr>
        <w:t>. SG&amp;A expenses increased $15.5 million from $146.0 million for the nine months ended October 1, 2023 to $161.5 million for the nine months ended September 29, 2024 due primarily to the increased revenue volume and headcount. As a percentage of revenues, SG&amp;A decreased to 18.9% at September 29, 2024, from 19.1% at October 1, 2023.</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Research and Development (“R&amp;D”) Expenses</w:t>
      </w:r>
      <w:r>
        <w:rPr>
          <w:rFonts w:ascii="Times New Roman;sans-serif" w:hAnsi="Times New Roman;sans-serif"/>
          <w:b w:val="false"/>
          <w:color w:val="000000"/>
          <w:sz w:val="20"/>
        </w:rPr>
        <w:t>. R&amp;D expenses were $29.7 million for the nine months ended September 29, 2024 and $30.4 million for the nine months ended October 1, 2023, primarily due to decreased development efforts in our space and satellite communications business partially offset with increases in our unmanned systems and microwave products businesses. As a percentage of revenues, R&amp;D expenses decreased to 3.5% for the nine months ended September 29, 2024 from 4.0% for the nine months ended October 1, 2023.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Restructuring Expenses and Other</w:t>
      </w:r>
      <w:r>
        <w:rPr>
          <w:rFonts w:ascii="Times New Roman;sans-serif" w:hAnsi="Times New Roman;sans-serif"/>
          <w:b w:val="false"/>
          <w:color w:val="000000"/>
          <w:sz w:val="20"/>
        </w:rPr>
        <w:t>. We had no restructuring expenses for the nine months ended September 29, 2024. Restructuring expenses were $0.9 million for the nine months ended October 1, 2023.</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Total Other Expense, Net</w:t>
      </w:r>
      <w:r>
        <w:rPr>
          <w:rFonts w:ascii="Times New Roman;sans-serif" w:hAnsi="Times New Roman;sans-serif"/>
          <w:b w:val="false"/>
          <w:color w:val="000000"/>
          <w:sz w:val="20"/>
        </w:rPr>
        <w:t>. Total other expense, net decreased to $3.5 million for the nine months ended September 29, 2024 from $15.9 million for the nine months ended October 1, 2023</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The decrease of $12.4 million was primarily related to a decrease in interest expense of $4.6 million, resulting from reduced debt balances and an increase in interest income of $8.2 million during the nine months ended September 29, 2024, resulting from the increased cash balances following the February 27, 2024 stock offering which raised approximately $331.2 million in net proceeds.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Provision for Income Taxes from Continuing Operations</w:t>
      </w:r>
      <w:r>
        <w:rPr>
          <w:rFonts w:ascii="Times New Roman;sans-serif" w:hAnsi="Times New Roman;sans-serif"/>
          <w:b w:val="false"/>
          <w:color w:val="000000"/>
          <w:sz w:val="20"/>
        </w:rPr>
        <w:t xml:space="preserve">. The income tax expense from continuing operations for the nine months ended September 29, 2024 was $10.1 million and the income tax expense for the nine months ended October 1, 2023 was $6.7 million. For the nine months ended September 29, 2024 and October 1, 2023, the Company utilized the discrete effective tax rate method. The discrete method is applied when it is not possible to reliably estimate our full year effective tax rate due to significant permanent differences in relation to pre-tax book income, resulting in significant variability to our estimated effective tax rate.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29, 2024, we had approximately $1,294.0 million of total backlog, of which $1,098.6 million was funded. We expect to recognize approximately 19% of the remaining total backlog as revenue in fiscal year 2024, an additional 50% in fiscal year 2025 and the balance thereafter. Our comparable total backlog balance as of October 1, 2023, was approximately $1,165.0 million, of which $850.9 million was funded. Backlog as of September 29, 2024 as compared to October 1, 2023 has increased primarily as a result of contract awards in our Microwave Products, C5ISR, Defense and Rocket Support and Unmanned Systems businesses.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we expect to be entitled to receive, to the extent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contracts, only awarded or funded task orders are included for backlog purposes.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a subsequent appropriation and the procuring agency allocates funding to the contract.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Contracts undertaken by us may extend beyond one year. Accordingly, portions are carried forward from one year to the next as part of backlog. Because many factors affect the scheduling of projects, no assurance can be given as to when or if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number of the programs that Kratos’ systems, products and solutions support are multi-year/multi-decade in nature. Accordingly, based on historical customer usage or operational tempo, we have reasonable expectations or visibility of what ultimate orders for Kratos’ systems, products and solutions will be. We do not include these expected amounts in our backlog until a related contract award is received.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29, 2024, we had cash and cash equivalents of $301.5 million compared with cash and cash equivalents of $72.8 million as of December 31, 2023, which includes $39.3 million and $44.1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United States they could be repatriated, and their repatriation into the United States may cause us to incur additional foreign withholding taxes. We do not currently intend to repatriate these earnings.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total long-term debt decreased from $227.5 million at December 31, 2023 to $187.5 million at September 29, 2024, reflecting the $5.0 million in aggregate principal payments we have made on the Term Loan A and a net $35.0 million repayment made during the nine months ended September 29, 2024 on our Revolving Credit Facility. On February 18, 2022, we completed the refinancing of our outstanding $90 million revolving credit facility and $300 million of Senior Secured Notes, with a new 5-year $200 million Revolving Credit Facility and 5-year $200 million Term Loan A. As of September 29, 2024, the Company has made an aggregate of $12.5 million of principal payments on Term Loan A, and has no amounts outstanding under the new Revolving Credit Facility, with $200.0 million remaining in borrowing capacity, less approximately $8.0 million for outstanding letters of credit (as more fully described in Note 9 of the accompanying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our operating cash flow to finance trade accounts receivable, fund necessary increases in inventory including increasing inventory stock levels and advance buys in larger lot sizes to gain pricing benefits where possible, in order to mitigate the impact of supply chain disruptions and price increases, utilize working capital to fund revenue growth, fund prepayments required for long lead items necessary for production, fund internal investments of engineering and software development costs, fund capital expenditures, our internal research and development investments and our ongoing operations, service our debt, enhance our security infrastructure, including cyber security infrastructure, and make strategic acquisitions. Financing trade accounts receivable is necessary because, on average, our customers do not pay us as quickly as we pay our vendors and employees for their goods and services because a number of our receivables are contractually billable and due to us only when certain contractual milestones are achieved. Financing increases in inventory balances are necessary to fulfill shipment requirements to meet delivery schedules of our customers, to fund advanced inventory purchases to mitigate supply chain disruptions, and to fund production for work in progress and increased inventory levels and prepayments for long-lead materials related to production and revenue growth. These financing requirements have increased and have recently negatively impacted our operating cash flows due to actions we have taken to advance inventory purchases in an attempt to mitigate supply chain disruptions and to bolster our inventory levels. For the nine months ended September 29, 2024, approximately $35.5 million of operating cash flow use was related to increases in prepaid expenses and other assets which also include certain vendor prepayments and deposits related to the procurement of long-lead materials and inventory. Cash from continuing operations is primarily derived from our customer contracts in progress and associated changes in working capital components. Our days sales outstanding (“DSO”) have decreased from 116 days as of December 31, 2023 to 105 days at September 29, 2024, primarily reflecting the timing of outstanding contractual billing milestones. Our DSOs are impacted by the achievement of contractual billing milestones such as equipment shipments and deliveries on certain products, and for certain flight requirements that must be fulfilled on certain aerial target programs, or final milestone billings which are not due until completion on certain projects, and therefore we are unable to contractually bill for amounts outstanding related to those milestones at this time.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29, 2024, approximately $1.5 million in unbilled receivables remained outstanding related to a training solutions program that was terminated for convenience (“T for C”) by the customer in 2019. The remaining unbilled receivable amount is subject to negotiation and settlement with the customer, which negotiations are expected to commence soon.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our net cash provided by (used in) operating activities, investing activities, and financing activities from our condensed consolidated statements of cash flows is as follows (in millions):</w:t>
      </w:r>
    </w:p>
    <w:tbl>
      <w:tblPr>
        <w:tblW w:w="7781" w:type="dxa"/>
        <w:jc w:val="center"/>
        <w:tblInd w:w="0" w:type="dxa"/>
        <w:tblLayout w:type="fixed"/>
        <w:tblCellMar>
          <w:top w:w="28" w:type="dxa"/>
          <w:left w:w="28" w:type="dxa"/>
          <w:bottom w:w="28" w:type="dxa"/>
          <w:right w:w="28" w:type="dxa"/>
        </w:tblCellMar>
      </w:tblPr>
      <w:tblGrid>
        <w:gridCol w:w="1657"/>
        <w:gridCol w:w="1457"/>
        <w:gridCol w:w="1460"/>
        <w:gridCol w:w="449"/>
        <w:gridCol w:w="864"/>
        <w:gridCol w:w="232"/>
        <w:gridCol w:w="109"/>
        <w:gridCol w:w="109"/>
        <w:gridCol w:w="109"/>
        <w:gridCol w:w="333"/>
        <w:gridCol w:w="759"/>
        <w:gridCol w:w="243"/>
      </w:tblGrid>
      <w:tr>
        <w:trPr/>
        <w:tc>
          <w:tcPr>
            <w:tcW w:w="16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2023</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was $4.1 million for the nine months ended September 29, 2024. Net cash provided by operating activities for the nine months ended September 29, 2024 was primarily a result of net income of $12.4 million and changes in net working capital accounts of $70.7 million partially offset by noncash charges of $62.4 million which includes stock compensation, depreciation and amortization. Net cash used in operating activities was $2.2 million for the nine months ended October 1, 2023. Net cash used in operating activities from continuing operations for the nine months ended October 1, 2023 was primarily a result of the net loss of $3.2 million and changes in net working capital accounts of $51.9 million offset by noncash charges $53.1 million which includes stock compensation, depreciation and amortization.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$56.1 million for the nine months ended September 29, 2024 and is primarily comprised of $44.6 million in capital expenditures and $11.3 million in cash paid for the remaining minority interests in KTT Core (along with a corresponding issuance of 583,700 shares of Kratos common stock valued at $11.3 million). During the nine months ended September 29, 2024, capital expenditures of approximately $20.5 million were incurred in our US business, primarily related to our unmanned tactical initiative. We expect our capital expenditures for fiscal year 2024 to continue to be significant for investments we are making, specifically in our US business totaling approximately $30 to $34 million, including approximately $18 to $22 million for capital aerial targets and related support equipment. The Company is currently producing or anticipates producing several versions of the Valkyrie within the 24 unit production, based on routine communications with the customers, which mix and ultimate duration of the 24 Lot Build may change as a result. Net cash used in investing activities for the nine months ended October 1, 2023 is comprised of $33.1 million in capital expenditures partially offset by receipt of $8.3 million of proceeds from the sale of Valkyries which had been previously built as capital assets as they were produced ahead of government contract award. During the nine months ended October 1, 2023, capital expenditures of approximately $16.5 million were incurred in our US business, primarily related to our unmanned tactical initiative. The Company made the decision in the first quarter of 2023 to move forward with its second serial production run of 12 next generation Valkyries.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estimated amount related to production of Valkyries and related equipment, ahead of government contract award, including the first and second production run, is $18 to $22 million of the estimated 2024 capital expenditures for the US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$280.6 million for the nine months ended September 29, 2024, which included employee stock purchase plan receipts of $8.2 million and net proceeds from the issuance of common stock of approximately $330.7 million. These proceeds were partially offset by $5.0 million of principal payments on our Term Loan A and a $45.0 million payment (partially offset by a $10.0 million draw) on our Revolving Credit Facility, payroll withholding taxes paid from vested restricted stock traded for taxes of $17.3 million and payments made on financing lease obligations of $1.0 million. Net cash used in financing activities was $12.1 million for the nine months ended October 1, 2023, which included $3.8 million of principal payments on our $200 million Term Loan A and a $64.0 million payment (partially offset by a $54.0 million draw) on the new Revolving Credit Facility, payroll withholding taxes paid from vested restricted stock of $3.6 million and payments made on financing lease obligations of $1.2 million. These uses were partially offset by employee stock purchase plan receipts of $6.5 million.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Contractual Obligations and Commitments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2022 Credit Facility</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 xml:space="preserve">On February 18, 2022, the Company completed the refinancing of its then-outstanding $90 million revolving credit facility and $300 million Senior Secured Notes, with a new 5-year $200 million Revolving Credit Facility and 5-year $200 million Term Loan A. The Company incurred debt issuance costs of $3.3 million associated with the 2022 Credit Facility. As of September 29, 2024, the Company has made an aggregate of $12.5 million of principal payments on Term Loan A. As of September 29, 2024, the Company has no amounts outstanding under the Revolving Credit Facility, with $200.0 million remaining in borrowing capacity, less approximately $8.0 million for outstanding letters of credit.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2022 Credit Facility is governed by a Credit Agreement (the “Credit Agreement”), which establishes the 5-year senior secured credit facility which is comprised of the $200 million Revolving Credit Facility (which includes sub-facilities for the incurrence of up to $10.0 million of swingline loans and the issuance of up to $50.0 million of Letters of Credit) and the $200 million Term Loan A. The Credit Agreement contemplates uncommitted incremental credit facilities of up to $200 million (which amount would be reduced by the aggregate amount of any and all incremental credit facilities actually established under the Credit Agreement) plus additional uncommitted incremental capacity subject to a limitation based on the Company’s pro forma total net leverage ratio (including any such additional uncommitted incremental capacity).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Revolving Credit Facility and the Term Loan A may take the form of base rate loans or SOFR loans. Base rate loans under the Credit Agreement will bear interest at a rate per annum equal to the sum of the Applicable Margin (as defined in the Credit Agreement) from time to time in effect plus the highest of (i) the Agent’s (as defined in the Credit Agreement) prime lending rate, as in effect at such time, (ii) the Federal Funds Rate (as defined in the Credit Agreement), as in effect at such time, plus 0.50%, (iii) the Adjusted Term SOFR (as defined in the Credit Agreement) for a one-month tenor in effect on such day, plus 1.00% and (iv) 1.00%. SOFR loans will bear interest a rate per annum equal to the sum of the Applicable Margin from time to time in effect plus the Adjusted Term SOFR for an Interest Period (as defined in the Credit Agreement) selected by the Company of one, three or six months. The Applicable Margin varies between 1.25% and 2.25% per annum for SOFR loans and between 0.25% and 1.25% per annum for base rate loans, and is based on the Company’s total net leverage ratio from time to time.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Mandatory amortization on the Term Loan A is 2.5% in each of the first and second years and 5.0% in each of the third, fourth and fifth years, with the remaining outstanding balance due at maturity. The Credit Agreement contains certain covenants, which include, but are not limited to, restrictions on indebtedness, liens, fundamental changes, restricted payments, asset sales, and investments, and places limits on various other payments. The Company was in compliance with the covenants contained in the Credit Agreement as of September 29,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28, 2023, the Company entered into an interest rate swap contract to hedge U.S. dollar-one month Term SOFR in order to fix the interest rate movements associated with the Company’s Term Loan A. The initial hedge amount was $195.0 million and amortizes in accordance with Term Loan A. The swap is at a fixed rate one-month term SOFR of 3.721% and settles monthly on the last day of each calendar month. The swap has an effective date of May 1, 2023 and terminates on May 1, 2026.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Liquidity Matters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on hand, together with funds available under the Credit Agreement and cash expected to be generated from operating activities, will be sufficient to fund our anticipated working capital and other cash needs for at least the next 12 months. As discussed below and in Part I, Item 1A, “Risk Factors” of our Annual Report on Form 10-K, our quarterly and annual operating results have fluctuated in the past and may vary in the future due to a variety of factors, many of which are outside our control. If the conditions in our industry deteriorate or our customers cancel or postpone projects or if we are unable to sufficiently increase our revenues or further reduce our expenses, we may experience a significant long-term negative impact to our financial results and cash flows from operations. In such a situation, we could fall out of compliance with our financial and other covenants, which, if not waived, could limit our liquidity and capital resources.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Principles and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discussion of our financial condition and results of operations is based on the condensed consolidated financial statements included in this Quarterly Report on Form 10-Q.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to our “Critical Accounting Policies or Estimates” as compared to the significant accounting policies described in our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Since December 31, 2023, there have been no material changes in the quantitative or qualitative aspects of our market risk profile. For additional information regarding our exposure to certain market risks, see “Item 7A. Quantitative and Qualitative Disclosures About Market Risk” included in our Annual Report on Form 10-K</w:t>
      </w:r>
      <w:r>
        <w:rPr>
          <w:color w:val="000000"/>
        </w:rPr>
        <w:t xml:space="preserve"> </w:t>
      </w:r>
      <w:r>
        <w:rPr>
          <w:rFonts w:ascii="Times New Roman;sans-serif" w:hAnsi="Times New Roman;sans-serif"/>
          <w:b w:val="false"/>
          <w:color w:val="000000"/>
          <w:sz w:val="20"/>
        </w:rPr>
        <w:t>for the fiscal year ended December 31, 2023 that we filed with the SEC on February 13,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Conclusions Regarding the Effectiveness of Disclosure Controls and Procedures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foregoing, our Principal Executive Officer and Principal Financial Officer concluded that our disclosure controls and procedures were effective at the reasonable assurance level as of September 29, 2024.</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ind w:left="0" w:right="0" w:hanging="36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of the Exchange Act) during the three months ended September 29, 2024 that have materially affected, or are reasonably likely to materially affect, our internal control over financial reporting.</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14 of the Notes to condensed consolidated financial statements contained within this Quarterly Report for a discussion of our legal proceedings.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evaluating us and our common stock, we urge you to carefully consider the risks and other information in this Quarterly Report on Form 10-Q, as well as the risk factors disclosed in Item 1A. to Part I of our Annual Reports on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Rule 10b5-1 Trading Plans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September 29, 2024, none of our directors or officers (as defined in Rule 16a-1 under the Exchange Act) adopted, modified or terminated a "Rule 10b5-1 trading arrangement" or "non-Rule 105b-1 trading arrangement" (as those terms are defined in Item 408 of Regulation S-K).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f84c5484bb44d31953344916ad89e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4"/>
        <w:gridCol w:w="233"/>
        <w:gridCol w:w="234"/>
        <w:gridCol w:w="109"/>
        <w:gridCol w:w="109"/>
        <w:gridCol w:w="109"/>
        <w:gridCol w:w="1705"/>
        <w:gridCol w:w="1565"/>
        <w:gridCol w:w="1568"/>
        <w:gridCol w:w="109"/>
        <w:gridCol w:w="109"/>
        <w:gridCol w:w="109"/>
        <w:gridCol w:w="170"/>
        <w:gridCol w:w="170"/>
        <w:gridCol w:w="171"/>
        <w:gridCol w:w="109"/>
        <w:gridCol w:w="109"/>
        <w:gridCol w:w="109"/>
        <w:gridCol w:w="328"/>
        <w:gridCol w:w="328"/>
        <w:gridCol w:w="329"/>
        <w:gridCol w:w="109"/>
        <w:gridCol w:w="109"/>
        <w:gridCol w:w="109"/>
        <w:gridCol w:w="210"/>
        <w:gridCol w:w="210"/>
        <w:gridCol w:w="211"/>
        <w:gridCol w:w="109"/>
        <w:gridCol w:w="109"/>
        <w:gridCol w:w="109"/>
        <w:gridCol w:w="255"/>
        <w:gridCol w:w="255"/>
        <w:gridCol w:w="364"/>
      </w:tblGrid>
      <w:tr>
        <w:trPr/>
        <w:tc>
          <w:tcPr>
            <w:tcW w:w="2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w:t>
              <w:b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br/>
              <w:t>Period End</w:t>
              <w:b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Furnished</w:t>
              <w:br/>
              <w:t>Herewith</w:t>
            </w:r>
          </w:p>
        </w:tc>
      </w:tr>
      <w:tr>
        <w:trPr/>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Stock Purchase Agreement, dated February 28, 2018, among Kratos Defense &amp; Security Solutions, Inc., Kratos Public Safety &amp; Security Solutions, Inc. and Securitas Electronic Security,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05/10/2018</w:t>
              <w:b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Purchase Agreement, dated February 27, 2019, by and among Kratos Defense &amp; Security Solutions, Inc., Shirley Brostmeyer, (“SB”), Joseph Brostmeyer (“JB”), certain trusts established by SB, JB and members of their immediate family, and JB, as the Sellers Representative.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05/08/2019</w:t>
              <w:b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Certificate of Incorporation of Kratos Defense &amp; Security Solutions, Inc.,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02/27/2017</w:t>
              <w:b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Third Amended and Restated Bylaws of Kratos Defense &amp; Security Solutions, Inc.,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05/24/2024</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Specimen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02/27/2017</w:t>
              <w:b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40929ex-311.htm">
              <w:r>
                <w:rPr>
                  <w:rStyle w:val="InternetLink"/>
                  <w:rFonts w:ascii="Times New Roman;sans-serif" w:hAnsi="Times New Roman;sans-serif"/>
                  <w:b w:val="false"/>
                  <w:color w:val="0000FF"/>
                  <w:sz w:val="20"/>
                  <w:u w:val="single"/>
                </w:rPr>
                <w:t>Certification of Chief Executive Officer pursuant to Section 302 of the Sarbanes 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40929ex-312.htm">
              <w:r>
                <w:rPr>
                  <w:rStyle w:val="InternetLink"/>
                  <w:rFonts w:ascii="Times New Roman;sans-serif" w:hAnsi="Times New Roman;sans-serif"/>
                  <w:b w:val="false"/>
                  <w:color w:val="0000FF"/>
                  <w:sz w:val="20"/>
                  <w:u w:val="single"/>
                </w:rPr>
                <w:t xml:space="preserve">Certification of Chief Financial Officer pursuant to Section 302 of the Sarbanes Oxley Act of 2002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40929ex-321.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for Eric M. DeMarco.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40929ex-322.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for Deanna Lund.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6">
              <w:r>
                <w:rPr>
                  <w:rStyle w:val="InternetLink"/>
                  <w:rFonts w:ascii="Times New Roman;sans-serif" w:hAnsi="Times New Roman;sans-serif"/>
                  <w:b w:val="false"/>
                  <w:color w:val="0000FF"/>
                  <w:sz w:val="20"/>
                  <w:u w:val="single"/>
                </w:rPr>
                <w:t>Inline XBRL Instance Document-the instance document does not appear in the Interactive Data File because its XBRL tags are embedded within the Inline XBRL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6">
              <w:r>
                <w:rPr>
                  <w:rStyle w:val="InternetLink"/>
                  <w:rFonts w:ascii="Times New Roman;sans-serif" w:hAnsi="Times New Roman;sans-serif"/>
                  <w:b w:val="false"/>
                  <w:color w:val="0000FF"/>
                  <w:sz w:val="20"/>
                  <w:u w:val="single"/>
                </w:rPr>
                <w:t>Inline XBRL Taxonomy Extension Schema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6">
              <w:r>
                <w:rPr>
                  <w:rStyle w:val="InternetLink"/>
                  <w:rFonts w:ascii="Times New Roman;sans-serif" w:hAnsi="Times New Roman;sans-serif"/>
                  <w:b w:val="false"/>
                  <w:color w:val="0000FF"/>
                  <w:sz w:val="20"/>
                  <w:u w:val="single"/>
                </w:rPr>
                <w:t>Inline XBRL Taxonomy Extension Calculation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6">
              <w:r>
                <w:rPr>
                  <w:rStyle w:val="InternetLink"/>
                  <w:rFonts w:ascii="Times New Roman;sans-serif" w:hAnsi="Times New Roman;sans-serif"/>
                  <w:b w:val="false"/>
                  <w:color w:val="0000FF"/>
                  <w:sz w:val="20"/>
                  <w:u w:val="single"/>
                </w:rPr>
                <w:t>Inline XBRL Taxonomy Extension Definition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6">
              <w:r>
                <w:rPr>
                  <w:rStyle w:val="InternetLink"/>
                  <w:rFonts w:ascii="Times New Roman;sans-serif" w:hAnsi="Times New Roman;sans-serif"/>
                  <w:b w:val="false"/>
                  <w:color w:val="0000FF"/>
                  <w:sz w:val="20"/>
                  <w:u w:val="single"/>
                </w:rPr>
                <w:t>Inline XBRL Taxonomy Extension Label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84c5484bb44d31953344916ad89e4c_16">
              <w:r>
                <w:rPr>
                  <w:rStyle w:val="InternetLink"/>
                  <w:rFonts w:ascii="Times New Roman;sans-serif" w:hAnsi="Times New Roman;sans-serif"/>
                  <w:b w:val="false"/>
                  <w:color w:val="0000FF"/>
                  <w:sz w:val="20"/>
                  <w:u w:val="single"/>
                </w:rPr>
                <w:t>Inline XBRL Taxonomy Extension Presentation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Certain confidential information contained in this Exhibit (indicated by asterisks) has been omitted because it is both (i) not material and (ii) the type of information that the registrant treats as private or confidential.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f84c5484bb44d31953344916ad89e4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tbl>
      <w:tblPr>
        <w:tblW w:w="8468"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708"/>
        <w:gridCol w:w="708"/>
        <w:gridCol w:w="708"/>
        <w:gridCol w:w="1225"/>
        <w:gridCol w:w="1225"/>
        <w:gridCol w:w="17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KRATOS DEFENSE &amp; SECURITY SOLUTIONS,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ERIC M. DEMARCO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Eric M. DeMarco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DEANNA H. LUND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Deanna H. Lund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MARIA CERVANTES DE BURGREEN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Maria Cervantes de Burgreen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Vice President and Corporate Controller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Eric M. DeMarco,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1.I have reviewed this quarterly report on Form 10-Q of Kratos Defense &amp; Security Solutions, Inc.;</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720"/>
        <w:jc w:val="left"/>
        <w:rPr/>
      </w:pPr>
      <w:r>
        <w:rPr>
          <w:rFonts w:ascii="Times New Roman;sans-serif" w:hAnsi="Times New Roman;sans-serif"/>
          <w:b w:val="false"/>
          <w:color w:val="000000"/>
          <w:sz w:val="18"/>
        </w:rPr>
        <w:t>(d)</w:t>
      </w:r>
      <w:r>
        <w:rPr>
          <w:color w:val="000000"/>
        </w:rPr>
        <w:t> </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November 7, 2024 </w:t>
      </w:r>
    </w:p>
    <w:p>
      <w:pPr>
        <w:pStyle w:val="TextBody"/>
        <w:bidi w:val="0"/>
        <w:spacing w:lineRule="auto" w:line="288" w:before="0" w:after="0"/>
        <w:jc w:val="left"/>
        <w:rPr>
          <w:color w:val="000000"/>
        </w:rPr>
      </w:pPr>
      <w:r>
        <w:rPr>
          <w:color w:val="000000"/>
        </w:rPr>
        <w:t> </w:t>
      </w:r>
    </w:p>
    <w:tbl>
      <w:tblPr>
        <w:tblW w:w="4691" w:type="dxa"/>
        <w:jc w:val="center"/>
        <w:tblInd w:w="0" w:type="dxa"/>
        <w:tblLayout w:type="fixed"/>
        <w:tblCellMar>
          <w:top w:w="28" w:type="dxa"/>
          <w:left w:w="28" w:type="dxa"/>
          <w:bottom w:w="28" w:type="dxa"/>
          <w:right w:w="28" w:type="dxa"/>
        </w:tblCellMar>
      </w:tblPr>
      <w:tblGrid>
        <w:gridCol w:w="1565"/>
        <w:gridCol w:w="1375"/>
        <w:gridCol w:w="1379"/>
        <w:gridCol w:w="109"/>
        <w:gridCol w:w="109"/>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KRATOS DEFENSE &amp; SECURITY SOLUTIONS,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ERIC M. DEMARCO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Eric M. DeMarco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 President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Deanna H. Lund,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1.</w:t>
      </w:r>
      <w:r>
        <w:rPr>
          <w:rFonts w:ascii="Times New Roman;sans-serif" w:hAnsi="Times New Roman;sans-serif"/>
          <w:b w:val="false"/>
          <w:color w:val="000000"/>
          <w:sz w:val="18"/>
        </w:rPr>
        <w:t>I have reviewed this quarterly report on Form 10-Q of Kratos Defense &amp; Security Solutions, Inc.;</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2.</w:t>
      </w: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3.</w:t>
      </w:r>
      <w:r>
        <w:rPr>
          <w:rFonts w:ascii="Times New Roman;sans-serif" w:hAnsi="Times New Roman;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4.</w:t>
      </w:r>
      <w:r>
        <w:rPr>
          <w:rFonts w:ascii="Times New Roman;sans-serif" w:hAnsi="Times New Roman;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(a)</w:t>
      </w:r>
      <w:r>
        <w:rPr>
          <w:rFonts w:ascii="Times New Roman;sans-serif" w:hAnsi="Times New Roman;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(b)</w:t>
      </w:r>
      <w:r>
        <w:rPr>
          <w:rFonts w:ascii="Times New Roman;sans-serif" w:hAnsi="Times New Roman;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(c)</w:t>
      </w:r>
      <w:r>
        <w:rPr>
          <w:rFonts w:ascii="Times New Roman;sans-serif" w:hAnsi="Times New Roman;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(d)</w:t>
      </w:r>
      <w:r>
        <w:rPr>
          <w:color w:val="000000"/>
        </w:rPr>
        <w:t> </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5.</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(a)</w:t>
      </w:r>
      <w:r>
        <w:rPr>
          <w:rFonts w:ascii="Times New Roman;sans-serif" w:hAnsi="Times New Roman;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(b)</w:t>
      </w:r>
      <w:r>
        <w:rPr>
          <w:rFonts w:ascii="Times New Roman;sans-serif" w:hAnsi="Times New Roman;sans-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November 7, 2024 </w:t>
      </w:r>
    </w:p>
    <w:p>
      <w:pPr>
        <w:pStyle w:val="TextBody"/>
        <w:bidi w:val="0"/>
        <w:spacing w:lineRule="auto" w:line="288" w:before="0" w:after="0"/>
        <w:jc w:val="left"/>
        <w:rPr>
          <w:color w:val="000000"/>
        </w:rPr>
      </w:pPr>
      <w:r>
        <w:rPr>
          <w:color w:val="000000"/>
        </w:rPr>
        <w:t> </w:t>
      </w:r>
    </w:p>
    <w:tbl>
      <w:tblPr>
        <w:tblW w:w="5427" w:type="dxa"/>
        <w:jc w:val="center"/>
        <w:tblInd w:w="0" w:type="dxa"/>
        <w:tblLayout w:type="fixed"/>
        <w:tblCellMar>
          <w:top w:w="28" w:type="dxa"/>
          <w:left w:w="28" w:type="dxa"/>
          <w:bottom w:w="28" w:type="dxa"/>
          <w:right w:w="28" w:type="dxa"/>
        </w:tblCellMar>
      </w:tblPr>
      <w:tblGrid>
        <w:gridCol w:w="1832"/>
        <w:gridCol w:w="1609"/>
        <w:gridCol w:w="1614"/>
        <w:gridCol w:w="109"/>
        <w:gridCol w:w="109"/>
        <w:gridCol w:w="154"/>
      </w:tblGrid>
      <w:tr>
        <w:trPr/>
        <w:tc>
          <w:tcPr>
            <w:tcW w:w="1832"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KRATOS DEFENSE &amp; SECURITY SOLUTIONS,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DEANNA H. LUND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Deanna H. Lund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Financial Officer and Acting Principal Accounting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 SECTION 906 OF THE SARBANES-OXLEY ACT OF 2002</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In connection with the accompanying Quarterly Report of Kratos Defense &amp; Security Solutions, Inc. (the “Company”) on Form 10-Q for the quarter ended September 29, 2024 (the “Report”), I, Eric M. DeMarco, Chief Executive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(1)The Report fully complies with the requirements of Section 13(a) or 15(d) of the Securities Exchange Act of 1934, as amended; and</w:t>
      </w:r>
    </w:p>
    <w:p>
      <w:pPr>
        <w:pStyle w:val="TextBody"/>
        <w:bidi w:val="0"/>
        <w:spacing w:lineRule="auto" w:line="288" w:before="0" w:after="0"/>
        <w:ind w:left="0" w:right="0" w:hanging="720"/>
        <w:jc w:val="left"/>
        <w:rPr/>
      </w:pPr>
      <w:r>
        <w:rPr>
          <w:rFonts w:ascii="Times New Roman;sans-serif" w:hAnsi="Times New Roman;sans-serif"/>
          <w:b w:val="false"/>
          <w:color w:val="000000"/>
          <w:sz w:val="18"/>
        </w:rPr>
        <w:t>(2)</w:t>
      </w:r>
      <w:r>
        <w:rPr>
          <w:color w:val="000000"/>
        </w:rPr>
        <w:t> </w:t>
      </w:r>
      <w:r>
        <w:rPr>
          <w:rFonts w:ascii="Times New Roman;sans-serif" w:hAnsi="Times New Roman;sans-serif"/>
          <w:b w:val="false"/>
          <w:color w:val="000000"/>
          <w:sz w:val="18"/>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November 7, 2024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KRATOS DEFENSE &amp; SECURITY SOLUTIONS, INC.</w:t>
      </w:r>
    </w:p>
    <w:p>
      <w:pPr>
        <w:pStyle w:val="TextBody"/>
        <w:bidi w:val="0"/>
        <w:spacing w:lineRule="auto" w:line="288" w:before="0" w:after="0"/>
        <w:jc w:val="center"/>
        <w:rPr>
          <w:color w:val="000000"/>
        </w:rPr>
      </w:pPr>
      <w:r>
        <w:rPr>
          <w:color w:val="000000"/>
        </w:rPr>
        <w:t> </w:t>
      </w:r>
    </w:p>
    <w:tbl>
      <w:tblPr>
        <w:tblW w:w="2877" w:type="dxa"/>
        <w:jc w:val="center"/>
        <w:tblInd w:w="0" w:type="dxa"/>
        <w:tblLayout w:type="fixed"/>
        <w:tblCellMar>
          <w:top w:w="28" w:type="dxa"/>
          <w:left w:w="28" w:type="dxa"/>
          <w:bottom w:w="28" w:type="dxa"/>
          <w:right w:w="28" w:type="dxa"/>
        </w:tblCellMar>
      </w:tblPr>
      <w:tblGrid>
        <w:gridCol w:w="907"/>
        <w:gridCol w:w="798"/>
        <w:gridCol w:w="800"/>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ERIC M. DEMARCO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Eric M. DeMarco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 President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 SECTION 906 OF THE SARBANES-OXLEY ACT OF 2002</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8"/>
        </w:rPr>
        <w:t>In connection with the accompanying Quarterly Report of Kratos Defense &amp; Security Solutions, Inc. (the “Company”) on Form 10-Q for the quarter ended September 29, 2024 (the “Report”), I, Deanna H. Lund, Chief Financial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(1)The Report fully complies with the requirements of Section 13(a) or 15(d) of the Securities Exchange Act of 1934, as amended; and</w:t>
      </w:r>
    </w:p>
    <w:p>
      <w:pPr>
        <w:pStyle w:val="TextBody"/>
        <w:bidi w:val="0"/>
        <w:spacing w:lineRule="auto" w:line="288" w:before="0" w:after="0"/>
        <w:ind w:left="0" w:right="0" w:hanging="720"/>
        <w:jc w:val="left"/>
        <w:rPr/>
      </w:pPr>
      <w:r>
        <w:rPr>
          <w:rFonts w:ascii="Times New Roman;sans-serif" w:hAnsi="Times New Roman;sans-serif"/>
          <w:b w:val="false"/>
          <w:color w:val="000000"/>
          <w:sz w:val="18"/>
        </w:rPr>
        <w:t>(2)</w:t>
      </w:r>
      <w:r>
        <w:rPr>
          <w:color w:val="000000"/>
        </w:rPr>
        <w:t> </w:t>
      </w:r>
      <w:r>
        <w:rPr>
          <w:rFonts w:ascii="Times New Roman;sans-serif" w:hAnsi="Times New Roman;sans-serif"/>
          <w:b w:val="false"/>
          <w:color w:val="000000"/>
          <w:sz w:val="18"/>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November 7, 2024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KRATOS DEFENSE &amp; SECURITY SOLUTIONS, INC.</w:t>
      </w:r>
    </w:p>
    <w:p>
      <w:pPr>
        <w:pStyle w:val="TextBody"/>
        <w:bidi w:val="0"/>
        <w:spacing w:lineRule="auto" w:line="288" w:before="0" w:after="0"/>
        <w:jc w:val="center"/>
        <w:rPr>
          <w:color w:val="000000"/>
        </w:rPr>
      </w:pPr>
      <w:r>
        <w:rPr>
          <w:color w:val="000000"/>
        </w:rPr>
        <w:t> </w:t>
      </w:r>
    </w:p>
    <w:tbl>
      <w:tblPr>
        <w:tblW w:w="5426" w:type="dxa"/>
        <w:jc w:val="center"/>
        <w:tblInd w:w="0" w:type="dxa"/>
        <w:tblLayout w:type="fixed"/>
        <w:tblCellMar>
          <w:top w:w="28" w:type="dxa"/>
          <w:left w:w="28" w:type="dxa"/>
          <w:bottom w:w="28" w:type="dxa"/>
          <w:right w:w="28" w:type="dxa"/>
        </w:tblCellMar>
      </w:tblPr>
      <w:tblGrid>
        <w:gridCol w:w="1826"/>
        <w:gridCol w:w="1610"/>
        <w:gridCol w:w="1618"/>
        <w:gridCol w:w="109"/>
        <w:gridCol w:w="109"/>
        <w:gridCol w:w="154"/>
      </w:tblGrid>
      <w:tr>
        <w:trPr/>
        <w:tc>
          <w:tcPr>
            <w:tcW w:w="182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DEANNA H. LUND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Deanna H. Lund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Financial Officer and Acting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69258/000106925818000021/ktos20180401ex-22.htm" TargetMode="External"/><Relationship Id="rId3" Type="http://schemas.openxmlformats.org/officeDocument/2006/relationships/hyperlink" Target="https://www.sec.gov/Archives/edgar/data/1069258/000106925819000017/exhibit23redacted.htm" TargetMode="External"/><Relationship Id="rId4" Type="http://schemas.openxmlformats.org/officeDocument/2006/relationships/hyperlink" Target="https://www.sec.gov/Archives/edgar/data/1069258/000106925817000009/ktos20161225ex-31.htm" TargetMode="External"/><Relationship Id="rId5" Type="http://schemas.openxmlformats.org/officeDocument/2006/relationships/hyperlink" Target="https://www.sec.gov/Archives/edgar/data/1069258/000106925824000042/exhibit31-thirdamendedandr.htm" TargetMode="External"/><Relationship Id="rId6" Type="http://schemas.openxmlformats.org/officeDocument/2006/relationships/hyperlink" Target="https://www.sec.gov/Archives/edgar/data/1069258/000106925817000009/kratoscommonformofcertif.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20695</Words>
  <Characters>113748</Characters>
  <CharactersWithSpaces>133599</CharactersWithSpaces>
  <Paragraphs>2470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