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6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26, 2010</w:t>
      </w:r>
    </w:p>
    <w:p>
      <w:pPr>
        <w:spacing w:after="0" w:line="216" w:lineRule="exact"/>
        <w:rPr>
          <w:sz w:val="24"/>
          <w:szCs w:val="24"/>
          <w:color w:val="auto"/>
        </w:rPr>
      </w:pPr>
    </w:p>
    <w:p>
      <w:pPr>
        <w:ind w:left="660" w:right="1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13-3818604</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4820 Eastgate Mall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29, 2010 18,558,743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26, 2010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vMerge w:val="restart"/>
          </w:tcPr>
          <w:p>
            <w:pPr>
              <w:spacing w:after="0"/>
              <w:rPr>
                <w:sz w:val="14"/>
                <w:szCs w:val="14"/>
                <w:color w:val="auto"/>
              </w:rPr>
            </w:pPr>
          </w:p>
        </w:tc>
        <w:tc>
          <w:tcPr>
            <w:tcW w:w="3920" w:type="dxa"/>
            <w:vAlign w:val="bottom"/>
            <w:gridSpan w:val="8"/>
            <w:vMerge w:val="restart"/>
          </w:tcPr>
          <w:p>
            <w:pPr>
              <w:jc w:val="center"/>
              <w:ind w:right="86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3920" w:type="dxa"/>
            <w:vAlign w:val="bottom"/>
            <w:gridSpan w:val="8"/>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60" w:type="dxa"/>
            <w:vAlign w:val="bottom"/>
            <w:gridSpan w:val="2"/>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color w:val="0000EE"/>
                <w:w w:val="84"/>
              </w:rPr>
            </w:pPr>
            <w:hyperlink w:anchor="page2">
              <w:r>
                <w:rPr>
                  <w:rFonts w:ascii="Arial" w:cs="Arial" w:eastAsia="Arial" w:hAnsi="Arial"/>
                  <w:sz w:val="18"/>
                  <w:szCs w:val="18"/>
                  <w:color w:val="0000EE"/>
                  <w:w w:val="84"/>
                </w:rPr>
                <w:t>Financial Statements</w:t>
              </w:r>
            </w:hyperlink>
          </w:p>
        </w:tc>
        <w:tc>
          <w:tcPr>
            <w:tcW w:w="1460" w:type="dxa"/>
            <w:vAlign w:val="bottom"/>
            <w:gridSpan w:val="3"/>
          </w:tcPr>
          <w:p>
            <w:pPr>
              <w:spacing w:after="0"/>
              <w:rPr>
                <w:sz w:val="24"/>
                <w:szCs w:val="24"/>
                <w:color w:val="auto"/>
              </w:rPr>
            </w:pPr>
          </w:p>
        </w:tc>
        <w:tc>
          <w:tcPr>
            <w:tcW w:w="3060" w:type="dxa"/>
            <w:vAlign w:val="bottom"/>
            <w:tcBorders>
              <w:top w:val="single" w:sz="8" w:color="0000EE"/>
            </w:tcBorders>
            <w:gridSpan w:val="6"/>
          </w:tcPr>
          <w:p>
            <w:pPr>
              <w:spacing w:after="0"/>
              <w:rPr>
                <w:sz w:val="24"/>
                <w:szCs w:val="24"/>
                <w:color w:val="auto"/>
              </w:rPr>
            </w:pPr>
          </w:p>
        </w:tc>
        <w:tc>
          <w:tcPr>
            <w:tcW w:w="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6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 at December 27, 2009 and September 26, 2010 (unaudited)</w:t>
              </w:r>
            </w:hyperlink>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Operations for the Three and Nine Months Ended September 27, 2009 and September 26,</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2010 (unaudited)</w:t>
              </w:r>
            </w:hyperlink>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Cash Flows for the Nine Months Ended September 27, 2009 and September 26, 2010</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(unaudited)</w:t>
              </w:r>
            </w:hyperlink>
          </w:p>
        </w:tc>
        <w:tc>
          <w:tcPr>
            <w:tcW w:w="6060" w:type="dxa"/>
            <w:vAlign w:val="bottom"/>
            <w:tcBorders>
              <w:top w:val="single" w:sz="8" w:color="0000EE"/>
            </w:tcBorders>
            <w:gridSpan w:val="1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Notes to Condensed Consolidated Financial Statements (unaudited)</w:t>
              </w:r>
            </w:hyperlink>
          </w:p>
        </w:tc>
        <w:tc>
          <w:tcPr>
            <w:tcW w:w="20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760" w:type="dxa"/>
            <w:vAlign w:val="bottom"/>
            <w:gridSpan w:val="2"/>
          </w:tcPr>
          <w:p>
            <w:pPr>
              <w:spacing w:after="0"/>
              <w:rPr>
                <w:sz w:val="24"/>
                <w:szCs w:val="24"/>
                <w:color w:val="auto"/>
              </w:rPr>
            </w:pPr>
          </w:p>
        </w:tc>
        <w:tc>
          <w:tcPr>
            <w:tcW w:w="6820" w:type="dxa"/>
            <w:vAlign w:val="bottom"/>
            <w:gridSpan w:val="18"/>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Management’s Discussion and Analysis of Financial Condition and Results of Operations</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760" w:type="dxa"/>
            <w:vAlign w:val="bottom"/>
            <w:gridSpan w:val="2"/>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2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8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gridSpan w:val="8"/>
          </w:tcPr>
          <w:p>
            <w:pPr>
              <w:jc w:val="center"/>
              <w:ind w:right="84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760" w:type="dxa"/>
            <w:vAlign w:val="bottom"/>
            <w:gridSpan w:val="2"/>
          </w:tcPr>
          <w:p>
            <w:pPr>
              <w:spacing w:after="0"/>
              <w:rPr>
                <w:sz w:val="24"/>
                <w:szCs w:val="24"/>
                <w:color w:val="auto"/>
              </w:rPr>
            </w:pPr>
          </w:p>
        </w:tc>
        <w:tc>
          <w:tcPr>
            <w:tcW w:w="306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760" w:type="dxa"/>
            <w:vAlign w:val="bottom"/>
            <w:tcBorders>
              <w:top w:val="single" w:sz="8" w:color="0000EE"/>
            </w:tcBorders>
            <w:gridSpan w:val="4"/>
          </w:tcPr>
          <w:p>
            <w:pPr>
              <w:spacing w:after="0"/>
              <w:rPr>
                <w:sz w:val="24"/>
                <w:szCs w:val="24"/>
                <w:color w:val="auto"/>
              </w:rPr>
            </w:pPr>
          </w:p>
        </w:tc>
        <w:tc>
          <w:tcPr>
            <w:tcW w:w="1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68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Unregistered Sales of Equity Securities and Use of Proceeds</w:t>
              </w:r>
            </w:hyperlink>
          </w:p>
        </w:tc>
        <w:tc>
          <w:tcPr>
            <w:tcW w:w="254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760" w:type="dxa"/>
            <w:vAlign w:val="bottom"/>
            <w:gridSpan w:val="2"/>
          </w:tcPr>
          <w:p>
            <w:pPr>
              <w:spacing w:after="0"/>
              <w:rPr>
                <w:sz w:val="24"/>
                <w:szCs w:val="24"/>
                <w:color w:val="auto"/>
              </w:rPr>
            </w:pPr>
          </w:p>
        </w:tc>
        <w:tc>
          <w:tcPr>
            <w:tcW w:w="2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Defaults Upon Senior Securities</w:t>
              </w:r>
            </w:hyperlink>
          </w:p>
        </w:tc>
        <w:tc>
          <w:tcPr>
            <w:tcW w:w="4560" w:type="dxa"/>
            <w:vAlign w:val="bottom"/>
            <w:gridSpan w:val="9"/>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760" w:type="dxa"/>
            <w:vAlign w:val="bottom"/>
            <w:gridSpan w:val="2"/>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75"/>
              </w:rPr>
            </w:pPr>
            <w:hyperlink w:anchor="page29">
              <w:r>
                <w:rPr>
                  <w:rFonts w:ascii="Arial" w:cs="Arial" w:eastAsia="Arial" w:hAnsi="Arial"/>
                  <w:sz w:val="18"/>
                  <w:szCs w:val="18"/>
                  <w:color w:val="0000EE"/>
                  <w:w w:val="75"/>
                </w:rPr>
                <w:t>Reserved</w:t>
              </w:r>
            </w:hyperlink>
          </w:p>
        </w:tc>
        <w:tc>
          <w:tcPr>
            <w:tcW w:w="6220" w:type="dxa"/>
            <w:vAlign w:val="bottom"/>
            <w:gridSpan w:val="16"/>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5.</w:t>
              </w:r>
            </w:hyperlink>
          </w:p>
        </w:tc>
        <w:tc>
          <w:tcPr>
            <w:tcW w:w="760" w:type="dxa"/>
            <w:vAlign w:val="bottom"/>
            <w:gridSpan w:val="2"/>
          </w:tcPr>
          <w:p>
            <w:pPr>
              <w:spacing w:after="0"/>
              <w:rPr>
                <w:sz w:val="24"/>
                <w:szCs w:val="24"/>
                <w:color w:val="auto"/>
              </w:rPr>
            </w:pPr>
          </w:p>
        </w:tc>
        <w:tc>
          <w:tcPr>
            <w:tcW w:w="682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760" w:type="dxa"/>
            <w:vAlign w:val="bottom"/>
            <w:gridSpan w:val="2"/>
          </w:tcPr>
          <w:p>
            <w:pPr>
              <w:spacing w:after="0"/>
              <w:rPr>
                <w:sz w:val="24"/>
                <w:szCs w:val="24"/>
                <w:color w:val="auto"/>
              </w:rPr>
            </w:pPr>
          </w:p>
        </w:tc>
        <w:tc>
          <w:tcPr>
            <w:tcW w:w="126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56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80" w:type="dxa"/>
            <w:vAlign w:val="bottom"/>
            <w:gridSpan w:val="13"/>
          </w:tcPr>
          <w:p>
            <w:pPr>
              <w:jc w:val="center"/>
              <w:ind w:left="34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00" w:type="dxa"/>
            <w:vAlign w:val="bottom"/>
            <w:gridSpan w:val="2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7"/>
          </w:tcPr>
          <w:p>
            <w:pPr>
              <w:jc w:val="center"/>
              <w:ind w:right="102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27,</w:t>
            </w:r>
          </w:p>
        </w:tc>
        <w:tc>
          <w:tcPr>
            <w:tcW w:w="15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1"/>
        </w:trPr>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tcPr>
          <w:p>
            <w:pPr>
              <w:ind w:left="180"/>
              <w:spacing w:after="0"/>
              <w:rPr>
                <w:sz w:val="20"/>
                <w:szCs w:val="20"/>
                <w:color w:val="auto"/>
              </w:rPr>
            </w:pPr>
            <w:r>
              <w:rPr>
                <w:rFonts w:ascii="Arial" w:cs="Arial" w:eastAsia="Arial" w:hAnsi="Arial"/>
                <w:sz w:val="18"/>
                <w:szCs w:val="18"/>
                <w:color w:val="auto"/>
              </w:rPr>
              <w:t>Inventoried costs, net of progress payments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1"/>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w w:val="90"/>
              </w:rPr>
              <w:t>Total assets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00" w:type="dxa"/>
            <w:vAlign w:val="bottom"/>
            <w:gridSpan w:val="21"/>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tcPr>
          <w:p>
            <w:pPr>
              <w:ind w:left="18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-5266690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-5266690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0"/>
        </w:trPr>
        <w:tc>
          <w:tcPr>
            <w:tcW w:w="8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0"/>
        </w:trPr>
        <w:tc>
          <w:tcPr>
            <w:tcW w:w="8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5,000,000 shares authorized Series B Convertible Preferred Stock, $.001 par value, 10,000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w w:val="92"/>
              </w:rPr>
              <w:t>shares outstanding at December 27, 2009 and September 26, 2010 (liquidation preference $5.0 million at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September 26, 2010)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$.001 par value, 195,000,000 shares authorized; 15,784,591 and 16,025,661 shares issued</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December 27, 2009 and September 26, 2010, respectively</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523.0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526.3</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(384.0)</w:t>
            </w:r>
          </w:p>
        </w:tc>
      </w:tr>
      <w:tr>
        <w:trPr>
          <w:trHeight w:val="21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tcPr>
          <w:p>
            <w:pPr>
              <w:spacing w:after="0"/>
              <w:rPr>
                <w:sz w:val="18"/>
                <w:szCs w:val="18"/>
                <w:color w:val="auto"/>
              </w:rPr>
            </w:pPr>
          </w:p>
        </w:tc>
      </w:tr>
      <w:tr>
        <w:trPr>
          <w:trHeight w:val="210"/>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ended</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ended</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September 27,</w:t>
            </w:r>
          </w:p>
        </w:tc>
        <w:tc>
          <w:tcPr>
            <w:tcW w:w="140" w:type="dxa"/>
            <w:vAlign w:val="bottom"/>
          </w:tcPr>
          <w:p>
            <w:pPr>
              <w:spacing w:after="0"/>
              <w:rPr>
                <w:sz w:val="10"/>
                <w:szCs w:val="10"/>
                <w:color w:val="auto"/>
              </w:rPr>
            </w:pPr>
          </w:p>
        </w:tc>
        <w:tc>
          <w:tcPr>
            <w:tcW w:w="112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September 26,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27,</w:t>
            </w:r>
          </w:p>
        </w:tc>
        <w:tc>
          <w:tcPr>
            <w:tcW w:w="140" w:type="dxa"/>
            <w:vAlign w:val="bottom"/>
          </w:tcPr>
          <w:p>
            <w:pPr>
              <w:spacing w:after="0"/>
              <w:rPr>
                <w:sz w:val="10"/>
                <w:szCs w:val="10"/>
                <w:color w:val="auto"/>
              </w:rPr>
            </w:pPr>
          </w:p>
        </w:tc>
        <w:tc>
          <w:tcPr>
            <w:tcW w:w="110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Product sales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w:t>
            </w:r>
          </w:p>
        </w:tc>
        <w:tc>
          <w:tcPr>
            <w:tcW w:w="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Recovery of legal fees in connection with litigation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Merger and acquisition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Operating income (loss) from continuing operations</w:t>
            </w: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rPr>
              <w:t>Net income (loss)</w:t>
            </w: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0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Basic income (loss) per common share:</w:t>
            </w:r>
          </w:p>
        </w:tc>
        <w:tc>
          <w:tcPr>
            <w:tcW w:w="4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per common share</w:t>
            </w:r>
          </w:p>
        </w:tc>
        <w:tc>
          <w:tcPr>
            <w:tcW w:w="4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Diluted income (loss) per common share:</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per common share</w:t>
            </w:r>
          </w:p>
        </w:tc>
        <w:tc>
          <w:tcPr>
            <w:tcW w:w="4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5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Weighted average common shares outstanding:</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September 27,</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(loss) from discontinued operations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income (loss) from continuing operations to net cash provided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by operating activities from continuing operations:</w:t>
            </w: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Goodwill impairment charges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Mark to market on swaps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accrual for unused office space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litigation settlement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acquisitions: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Inventoried costs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receivable and payable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40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the disposition of discontinued operations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40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Financing activities:</w:t>
            </w:r>
          </w:p>
        </w:tc>
        <w:tc>
          <w:tcPr>
            <w:tcW w:w="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credit facility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Repayments under credit facility</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subordinated debt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9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operating cash flows of discontinued operations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ectPr>
          <w:pgSz w:w="11900" w:h="16838" w:orient="portrait"/>
          <w:cols w:equalWidth="0" w:num="1">
            <w:col w:w="11420"/>
          </w:cols>
          <w:pgMar w:left="240" w:top="368" w:right="239" w:bottom="0" w:gutter="0" w:footer="0" w:header="0"/>
        </w:sectPr>
      </w:pPr>
    </w:p>
    <w:bookmarkStart w:id="4" w:name="page5"/>
    <w:bookmarkEnd w:id="4"/>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information as of September 26, 2010 and for the three and nine months ended September 26, 2010 and September 27, 2009 is unaudited. The condensed consolidated balance sheet as of December 27, 2009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year ended December 27, 2009, filed with the Company’s Annual Report on Form 10-K with the U.S. Securities and Exchange Commission on March 11, 2010 (the “2009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year, with interim fiscal periods ending on the last Sunday of the last month of each calendar quarter. The three and nine month periods ended September 26, 2010 and September 27, 2009 consisted of 13 and 39 week periods, respectively. There are 52 calendar weeks in the fiscal years ending on December 26, 2010 and December 27, 2009.</w:t>
      </w:r>
    </w:p>
    <w:p>
      <w:pPr>
        <w:spacing w:after="0" w:line="162"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Inventoried costs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and nine month periods ended September 26, 2010 as compared to the significant accounting policies described in the 2009 Form 10-K, with the following exceptions: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accounting for the Company’s long-term contracts for production of products provided to the federal government, the Company utilizes both cost-to-cost and units produced measures under the percentage-of-completion method of accounting under the provisions of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7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In January 2010, the Financial Accounting Standards Board (“FASB”) issued Accounting Standards Update (“ASU”) No. 2010-06, </w:t>
      </w:r>
      <w:r>
        <w:rPr>
          <w:rFonts w:ascii="Arial" w:cs="Arial" w:eastAsia="Arial" w:hAnsi="Arial"/>
          <w:sz w:val="17"/>
          <w:szCs w:val="17"/>
          <w:i w:val="1"/>
          <w:iCs w:val="1"/>
          <w:color w:val="auto"/>
        </w:rPr>
        <w:t>Improving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Fair Value Measurements, </w:t>
      </w:r>
      <w:r>
        <w:rPr>
          <w:rFonts w:ascii="Arial" w:cs="Arial" w:eastAsia="Arial" w:hAnsi="Arial"/>
          <w:sz w:val="17"/>
          <w:szCs w:val="17"/>
          <w:color w:val="auto"/>
        </w:rPr>
        <w:t>which, among other things, amends ASC Topic 820,</w:t>
      </w:r>
      <w:r>
        <w:rPr>
          <w:rFonts w:ascii="Arial" w:cs="Arial" w:eastAsia="Arial" w:hAnsi="Arial"/>
          <w:sz w:val="17"/>
          <w:szCs w:val="17"/>
          <w:i w:val="1"/>
          <w:iCs w:val="1"/>
          <w:color w:val="auto"/>
        </w:rPr>
        <w:t xml:space="preserve"> Fair Value Measurements and Disclosures </w:t>
      </w:r>
      <w:r>
        <w:rPr>
          <w:rFonts w:ascii="Arial" w:cs="Arial" w:eastAsia="Arial" w:hAnsi="Arial"/>
          <w:sz w:val="17"/>
          <w:szCs w:val="17"/>
          <w:color w:val="auto"/>
        </w:rPr>
        <w:t>(“ASC Topic</w:t>
      </w:r>
      <w:r>
        <w:rPr>
          <w:rFonts w:ascii="Arial" w:cs="Arial" w:eastAsia="Arial" w:hAnsi="Arial"/>
          <w:sz w:val="17"/>
          <w:szCs w:val="17"/>
          <w:i w:val="1"/>
          <w:iCs w:val="1"/>
          <w:color w:val="auto"/>
        </w:rPr>
        <w:t xml:space="preserve"> </w:t>
      </w:r>
      <w:r>
        <w:rPr>
          <w:rFonts w:ascii="Arial" w:cs="Arial" w:eastAsia="Arial" w:hAnsi="Arial"/>
          <w:sz w:val="17"/>
          <w:szCs w:val="17"/>
          <w:color w:val="auto"/>
        </w:rPr>
        <w:t>820”) to require entities to separately present purchases, sales, issuances, and settlements in their reconciliation of Level 3 fair value measurements (i.e., to present such items on a gross basis rather than on a net basis), and which clarifies existing disclosure requirements provided by ASC Topic 820 regarding the level of disaggregation and the inputs and valuation techniques used to measure fair value for measurements that fall within either Level 2 or Level 3 of the fair value hierarchy. ASU No.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The Company’s adoption of this standard had no impact on its consolidated financial position, results of operations or cash flows.</w:t>
      </w:r>
    </w:p>
    <w:p>
      <w:pPr>
        <w:spacing w:after="0" w:line="1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Other new accounting pronouncements issued or effective during the period ended September 26, 2010 have not had or are not expected to have a material impact on the Company’s consolidated financial position, results of operations, or cash flows.</w:t>
      </w:r>
    </w:p>
    <w:p>
      <w:pPr>
        <w:spacing w:after="0" w:line="166"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Certain amounts in the December 27, 2009 condensed consolidated balance sheet and the September 27, 2009 condensed consolidated statement of cash flows have been reclassified to conform to the September 26, 2010 presentation.</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ectPr>
          <w:pgSz w:w="11900" w:h="16838" w:orient="portrait"/>
          <w:cols w:equalWidth="0" w:num="1">
            <w:col w:w="11420"/>
          </w:cols>
          <w:pgMar w:left="240" w:top="337" w:right="239" w:bottom="0" w:gutter="0" w:footer="0" w:header="0"/>
        </w:sectPr>
      </w:pPr>
    </w:p>
    <w:bookmarkStart w:id="5" w:name="page6"/>
    <w:bookmarkEnd w:id="5"/>
    <w:p>
      <w:pPr>
        <w:spacing w:after="0" w:line="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May 19, 2010, the Company issued 10% Senior Secured Notes in the aggregate principal amount of $225.0 million (the “Original Notes”) in an unregistered offering pursuant to Rule 144A and Regulation S under the Securities Act of 1933, as amended (the “Securities Act”), of which $133.0 million was used to finance the acquisition of Gichner Holdings, Inc. (“Gichner”) (See Note 2). On August 11, 2010, the Company completed an exchange offer for the Original Notes pursuant to a registration rights agreement entered into in connection with the issuance of the Original Notes. In the exchange offer, the Company offered to exchange the Original Notes for a like aggregate amount of 10% Senior Secured Notes due June 1, 2017 registered under the Securities Act (the “Exchange Notes”). The Exchange Notes have substantially similar terms as the Original Notes, except that the Exchange Notes do not have transfer restrictions or registration rights. The Exchange Notes are fully and unconditionally guaranteed, jointly and severally, on a senior secured basis by the Company and each of its subsidiaries, as the guarantors thereof. The Company will pay interest on the Exchange Notes semi-annually, in arrears, on June 1 and December 1 of each year, beginning December 1, 2010. As of September 26, 2010, the principal amount of $225.0 million is outstanding under the Exchange Notes. In addition, the Company has $25.0 million available under a new senior secured revolving credit agreement. See Note 9 for a complete description of the Exchange Notes and revolving Credit Facility.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intends to fund its cash requirements with cash flows from operating activities and borrowings under its existing revolving credit facility, and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its control. If the conditions in its industry deteriorate or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Gichner Holdings, Inc.</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May 19, 2010, the Company acquired 100% of the voting equity interests of Gichner Holdings, Inc. (“Gichner”), headquartered in Dallastown, Pennsylvania, pursuant to the Stock Purchase Agreement, dated as of April 12, 2010 (the “Purchase Agreement”), by and between the Company and the stockholders of Gichner, in a cash for stock transaction valued at approximately $133.0 million (the “Gichner Transaction”). Gichner has manufacturing and operating facilities in Dallastown and York, Pennsylvania and Charleston, South Carolina, and is a manufacturer of tactical military products, combat support facilities, subsystems, modular systems and shelters primarily for the Department of Defense and leading defense system providers. Representative programs for which Gichner provides products and solutions include the MQ—1C Sky Warrior, Gorgon Stare, MQ—8B Fire Scout and RQ-7 Shadow Unmanned Aerial Vehicles, the Command Post Platform and Joint Light Tactical Vehicle Tactical Combat Vehicles, DDG-1000 Modular C5 Compartments and the Persistent Threat Detection System ISR Platform. Gichner is part of the Kratos Government Solutions (“KGS”) segment.</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weapons system sustainment, C5ISR, military preset/reset and foreign military sales. It will also enable the Company to realize significant cross selling opportunities, pursue new and larger contracts and increase its sales of higher margin, fixed price products.</w:t>
      </w:r>
    </w:p>
    <w:p>
      <w:pPr>
        <w:spacing w:after="0" w:line="171"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Upon completion of the Gichner Transaction, the Company deposited $8.1 million of the purchase price into an escrow account as security for Gichner’s indemnification obligations as set forth in the Purchase Agreement. In addition, the Purchase Agreement provides that the purchase price will be</w:t>
      </w:r>
    </w:p>
    <w:p>
      <w:pPr>
        <w:ind w:left="220" w:hanging="212"/>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on a dollar for dollar basis if the working capital on the closing date (as defined in the purchase agreement) exceeds $17.5 million or</w:t>
      </w:r>
    </w:p>
    <w:p>
      <w:pPr>
        <w:spacing w:after="0" w:line="20" w:lineRule="exact"/>
        <w:rPr>
          <w:rFonts w:ascii="Arial" w:cs="Arial" w:eastAsia="Arial" w:hAnsi="Arial"/>
          <w:sz w:val="17"/>
          <w:szCs w:val="17"/>
          <w:color w:val="auto"/>
        </w:rPr>
      </w:pPr>
    </w:p>
    <w:p>
      <w:pPr>
        <w:ind w:right="500" w:firstLine="8"/>
        <w:spacing w:after="0" w:line="302"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decreased on a dollar for dollar basis if the working capital is less than $17.1 million. The Company and Altus Capital Partners, Inc., the seller’s representative under the Purchase Agreement (the “Seller’s Representative”) have agreed to a working capital adjustment of $0.3 million owed to the Company. The Seller’s Representative is disputing an additional working capital adjustment of $0.9 million that the Company believes it is entitled to.</w:t>
      </w:r>
    </w:p>
    <w:p>
      <w:pPr>
        <w:spacing w:after="0" w:line="15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Gichner Transaction has been accounted for using the acquisition method of accounting which requires, among other things, the assets acquired and liabilities assumed be recognized at their fair values as of the merger date. The following table summarizes the estimated fair values of major assets acquired and liabilities assumed as part of the Gichner Transaction, after giving effect to the $0.3 million purchase price adjustment as a result of the agreed upon working capital adjustment discussed above (in millions):</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Accounts receivable</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 net of progress payments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Current deferred tax assets</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Goodwill</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r>
    </w:tbl>
    <w:p>
      <w:pPr>
        <w:sectPr>
          <w:pgSz w:w="11900" w:h="16843" w:orient="portrait"/>
          <w:cols w:equalWidth="0" w:num="1">
            <w:col w:w="11380"/>
          </w:cols>
          <w:pgMar w:left="240" w:top="125" w:right="279" w:bottom="0" w:gutter="0" w:footer="0" w:header="0"/>
        </w:sectPr>
      </w:pPr>
    </w:p>
    <w:bookmarkStart w:id="6" w:name="page7"/>
    <w:bookmarkEnd w:id="6"/>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(18.5)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As of May 19, 2010, the expected fair value of accounts receivable approximated the historical cost. The gross accounts receivable was $15.6 million, of which $0.4 million is not expected to be collectable.</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Gichner has two primary areas of contingent liabilities: environmental and uncertain tax liabilities. Additionally, Gichner is involved in various commercial disputes and employment matters. The majority of the contingent liabilities have been recorded at fair value in the allocation of acquired assets and liabilities or purchase price, aside from those pertaining to uncertainty in income taxes which are an exception to the fair value basis of accounting; however certain environmental matters that are inherently legal contingencies in nature are recorded at the probable and estimable amount. As of the acquisition date approximately $0.3 million has been recorded for probable and estimable environmental and employment litigation.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DEI Services Corporation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9, 2010, the Company acquired 100% of the equity interests of DEI Services Corporation (“DEI”), pursuant to an Agreement and Plan of Merger (the “DEI Agreement”), in a cash merger valued at approximately $14.0 million (the “DEI Transaction”), of which $9.0 million was paid in cash at closing and approximately $5.0 million of which represented the acquisition date fair value of additional performance-based consideration, of which $0.4 million was achieved and paid in September 2010.</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M1 Abrams Main Battle Tank and M2 Bradley Fighting Vehicle).</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DEI Agreement provides that upon achievement of certain cash receipts, revenue, earnings before interest, taxes, depreciation, and amortization (“EBITDA”) and backlog amounts in 2010, 2011 and 2012, the Company shall pay the former stockholders of DEI certain additional performance-based consideration (the “Contingent Consideration”). The potential undiscounted amount of all future Contingent Consideration that may be payable by the Company under the DEI Agreement is between zero and $12.3 million. The Contingent Consideration will be reduced in the event certain anticipated cash receipts are not collected within agreed upon time periods, which could decrease the future payments by approximately $8.6 million.</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fair value of the Contingent Consideration of $5.0 million was estimated by applying the income approach, which is based on significant inputs that are not observable in the market, which ASC Topic 820 refers to as Level 3 inputs. Key assumptions include a discount rate of 5.8%, a market participant cost of debt at the date of acquisition, and probability-adjusted levels of cash receipts, revenue, EBITDA and backlog. Any change in the fair value of the Contingent Consideration subsequent to August 9, 2010, including changes from events after such date, such as changes in the meeting of performance goals, will be recognized in earnings in the period the estimated fair value changes.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the Company’s workforce learning, performance and training solutions to support the warfighter as well as its other defense, security and government customers.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DEI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as part of the DEI Transaction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0" w:gutter="0" w:footer="0" w:header="0"/>
        </w:sectPr>
      </w:pPr>
    </w:p>
    <w:bookmarkStart w:id="7" w:name="page8"/>
    <w:bookmarkEnd w:id="7"/>
    <w:p>
      <w:pPr>
        <w:ind w:right="860" w:firstLine="648"/>
        <w:spacing w:after="0" w:line="342" w:lineRule="auto"/>
        <w:rPr>
          <w:sz w:val="20"/>
          <w:szCs w:val="20"/>
          <w:color w:val="auto"/>
        </w:rPr>
      </w:pPr>
      <w:r>
        <w:rPr>
          <w:rFonts w:ascii="Arial" w:cs="Arial" w:eastAsia="Arial" w:hAnsi="Arial"/>
          <w:sz w:val="16"/>
          <w:szCs w:val="16"/>
          <w:color w:val="auto"/>
        </w:rPr>
        <w:t>As of August 9, 2010, the expected fair value of accounts receivable approximated the historical cost. The gross accounts receivable was $6.9 million, all of which is expected to be collectable. There were no contingent liabilities associated with the DEI Transaction.</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accordance with ASC Topic 805, </w:t>
      </w:r>
      <w:r>
        <w:rPr>
          <w:rFonts w:ascii="Arial" w:cs="Arial" w:eastAsia="Arial" w:hAnsi="Arial"/>
          <w:sz w:val="16"/>
          <w:szCs w:val="16"/>
          <w:i w:val="1"/>
          <w:iCs w:val="1"/>
          <w:color w:val="auto"/>
        </w:rPr>
        <w:t>Business Combinations (“ASC Topic 805”)</w:t>
      </w:r>
      <w:r>
        <w:rPr>
          <w:rFonts w:ascii="Arial" w:cs="Arial" w:eastAsia="Arial" w:hAnsi="Arial"/>
          <w:sz w:val="16"/>
          <w:szCs w:val="16"/>
          <w:color w:val="auto"/>
        </w:rPr>
        <w:t>, the allocation of the purchase price for both the Gichner Transaction and DEI Transaction is subject to adjustment during the measurement period after the respective closing dates when additional information on asset and liability valuations becomes available. The Company has not finalized its valuation of certain assets and liabilities recorded in connection with the Gichner Transaction and DEI Transaction, including inventory, intangible assets, environmental liabilities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tables summarize the fair value of identifiable intangible assets acquired (in millions) for the Gichner Transaction and DEI Transaction.</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Gichner</w:t>
            </w: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14.4</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Funded backlog</w:t>
            </w:r>
          </w:p>
        </w:tc>
        <w:tc>
          <w:tcPr>
            <w:tcW w:w="9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Favorable operating lease</w:t>
            </w:r>
          </w:p>
        </w:tc>
        <w:tc>
          <w:tcPr>
            <w:tcW w:w="9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1.8</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46.3</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line="20" w:lineRule="exact"/>
              <w:rPr>
                <w:sz w:val="1"/>
                <w:szCs w:val="1"/>
                <w:color w:val="auto"/>
              </w:rPr>
            </w:pPr>
          </w:p>
        </w:tc>
      </w:tr>
      <w:tr>
        <w:trPr>
          <w:trHeight w:val="322"/>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DEI</w:t>
            </w: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9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 on Financials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has consolidated the results of Gichner and DEI for the period of control, or May 19, 2010 and August 9, 2010, respectively, with its own financial results. The impact from the inclusion of such operating results with the Company’s condensed consolidated statement of operations for the three and nine months ended September 26, 2010 includes $37.7 million and $57.7 million of revenue, respectively, and $2.9 million and $3.0 million, respectively, in income from operations before taxes for Gichner, and $2.8 million of revenue and $0.2 million in income from operations before taxes for DEI.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following table summarizes the supplemental statement of operations information on an unaudited pro forma basis as if the acquisition of Gichner and DEI had occurred on December 29, 2008, and includes adjustments that were directly attributable to the transactions or were not expected to have a continuing impact on the Company. The pro forma results are for illustrative purposes only for the applicable periods, and do not purport to be indicative of the actual results which would have occurred had the transactions been completed as of the beginning of the periods, nor are they indicative of results of operations which may occur in the future (all amounts, except per share amounts are in millions):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26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For the Nine</w:t>
            </w:r>
          </w:p>
        </w:tc>
      </w:tr>
      <w:tr>
        <w:trPr>
          <w:trHeight w:val="17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26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Months Ended</w:t>
            </w:r>
          </w:p>
        </w:tc>
      </w:tr>
      <w:tr>
        <w:trPr>
          <w:trHeight w:val="119"/>
        </w:trPr>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27,</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September 26,</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00" w:type="dxa"/>
            <w:vAlign w:val="bottom"/>
          </w:tcPr>
          <w:p>
            <w:pPr>
              <w:spacing w:after="0"/>
              <w:rPr>
                <w:sz w:val="10"/>
                <w:szCs w:val="10"/>
                <w:color w:val="auto"/>
              </w:rPr>
            </w:pPr>
          </w:p>
        </w:tc>
      </w:tr>
      <w:tr>
        <w:trPr>
          <w:trHeight w:val="171"/>
        </w:trPr>
        <w:tc>
          <w:tcPr>
            <w:tcW w:w="3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Pro forma net income (loss)</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02"/>
        </w:trPr>
        <w:tc>
          <w:tcPr>
            <w:tcW w:w="34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Basic pro forma net income (loss) per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r>
      <w:tr>
        <w:trPr>
          <w:trHeight w:val="202"/>
        </w:trPr>
        <w:tc>
          <w:tcPr>
            <w:tcW w:w="3400" w:type="dxa"/>
            <w:vAlign w:val="bottom"/>
          </w:tcPr>
          <w:p>
            <w:pPr>
              <w:ind w:left="20"/>
              <w:spacing w:after="0" w:line="201" w:lineRule="exact"/>
              <w:rPr>
                <w:sz w:val="20"/>
                <w:szCs w:val="20"/>
                <w:color w:val="auto"/>
              </w:rPr>
            </w:pPr>
            <w:r>
              <w:rPr>
                <w:rFonts w:ascii="Arial" w:cs="Arial" w:eastAsia="Arial" w:hAnsi="Arial"/>
                <w:sz w:val="18"/>
                <w:szCs w:val="18"/>
                <w:color w:val="auto"/>
              </w:rPr>
              <w:t>Diluted pro forma net income (loss) per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0" w:type="dxa"/>
            <w:vAlign w:val="bottom"/>
          </w:tcPr>
          <w:p>
            <w:pPr>
              <w:ind w:left="200"/>
              <w:spacing w:after="0"/>
              <w:rPr>
                <w:sz w:val="20"/>
                <w:szCs w:val="20"/>
                <w:color w:val="auto"/>
              </w:rPr>
            </w:pPr>
            <w:r>
              <w:rPr>
                <w:rFonts w:ascii="Arial" w:cs="Arial" w:eastAsia="Arial" w:hAnsi="Arial"/>
                <w:sz w:val="18"/>
                <w:szCs w:val="18"/>
                <w:color w:val="auto"/>
              </w:rPr>
              <w:t>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pro forma results for the three and nine month periods ended September 26, 2010 include $0.4 million and $9.2 million, respectively, of acquisition related expenses incurred by Kratos, Gichner and DEI. The pro forma financial information also reflects pro forma adjustments for the additional amortization associated with finite lived intangible assets acquired, additional incremental interest expense and deferred financing costs related to the financing undertaken for the Gichner Transaction, and the tax effect of the increased interest expense and intangible amortization. These adjustments are as follows:</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2620" w:type="dxa"/>
            <w:vAlign w:val="bottom"/>
            <w:gridSpan w:val="5"/>
          </w:tcPr>
          <w:p>
            <w:pPr>
              <w:ind w:left="800"/>
              <w:spacing w:after="0"/>
              <w:rPr>
                <w:sz w:val="20"/>
                <w:szCs w:val="20"/>
                <w:color w:val="auto"/>
              </w:rPr>
            </w:pPr>
            <w:r>
              <w:rPr>
                <w:rFonts w:ascii="Arial" w:cs="Arial" w:eastAsia="Arial" w:hAnsi="Arial"/>
                <w:sz w:val="14"/>
                <w:szCs w:val="14"/>
                <w:b w:val="1"/>
                <w:bCs w:val="1"/>
                <w:color w:val="auto"/>
              </w:rPr>
              <w:t>For the Nine</w:t>
            </w:r>
          </w:p>
        </w:tc>
      </w:tr>
      <w:tr>
        <w:trPr>
          <w:trHeight w:val="17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26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Months Ended</w:t>
            </w:r>
          </w:p>
        </w:tc>
      </w:tr>
      <w:tr>
        <w:trPr>
          <w:trHeight w:val="119"/>
        </w:trPr>
        <w:tc>
          <w:tcPr>
            <w:tcW w:w="3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27,</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September 26,</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20" w:type="dxa"/>
            <w:vAlign w:val="bottom"/>
          </w:tcPr>
          <w:p>
            <w:pPr>
              <w:spacing w:after="0"/>
              <w:rPr>
                <w:sz w:val="10"/>
                <w:szCs w:val="10"/>
                <w:color w:val="auto"/>
              </w:rPr>
            </w:pPr>
          </w:p>
        </w:tc>
      </w:tr>
      <w:tr>
        <w:trPr>
          <w:trHeight w:val="171"/>
        </w:trPr>
        <w:tc>
          <w:tcPr>
            <w:tcW w:w="3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Net change in interest-expense</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Topic 350”) as of the last day of each fiscal year or when evidence of potential impairment exists.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Kratos Government Solutions and Public Safety and Security.</w:t>
      </w:r>
    </w:p>
    <w:p>
      <w:pPr>
        <w:spacing w:after="0" w:line="19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ASC Topic 820). The Company also considers its market capitalization based upon an average of the stock price prior to and subsequent to the date the analysis is performed and reconciles the fair value of the Company’s reporting units to the Company’s market capitalization assuming a control premium. If the book value exceeds the estimated fair value for a business, a potential impairment is indicated and ASC Topic 350 prescribes the approach for determining the impairment amount, if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Given the significant decline in the stock market in general and specifically the Company’s stock price and market capitalization in 2009, which declined 39% from an average stock price of $12.90 per share as of December 28, 2008 to $7.80 per share as of February 28, 2009, the Company performed an impairment test for goodwill in accordance with ASC Topic 350 as of February 28, 2009. The test indicated that the book value for the KGS segment exceeded the fair values of these businesses and resulted in the Company recording a charge totaling $41.3 million in the KGS segment in the first quarter of 2009, for the impairment of goodwill. The impairment charge was primarily driven by adverse equity market conditions that caused a decrease in current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 Company reconciles the fair value of its reporting units, which is calculated using the income approach to the Company’s market capitalization. As a result of this reconciliation, it was noted that investors were requiring a higher rate of return, and therefore, the discount factor which is based upon an estimated market participant weighted average cost of capital increased 300 basis points from 14% in the Company’s year-end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8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2009 annual test did not result in any impairment charge as there was an increase in current market multiples and market capitalization as of December 27, 2009 compared to the 2008 annual test. If an event occurs or circumstances change that would more likely than not reduce the fair value of a reporting unit below its carrying value, the Company will evaluate goodwill for impairment between annual tests in accordance with ASC Topic 350.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 period ended September 26, 2010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80" w:type="dxa"/>
            <w:vAlign w:val="bottom"/>
          </w:tcPr>
          <w:p>
            <w:pPr>
              <w:jc w:val="center"/>
              <w:ind w:left="187"/>
              <w:spacing w:after="0"/>
              <w:rPr>
                <w:sz w:val="20"/>
                <w:szCs w:val="20"/>
                <w:color w:val="auto"/>
              </w:rPr>
            </w:pPr>
            <w:r>
              <w:rPr>
                <w:rFonts w:ascii="Arial" w:cs="Arial" w:eastAsia="Arial" w:hAnsi="Arial"/>
                <w:sz w:val="14"/>
                <w:szCs w:val="14"/>
                <w:b w:val="1"/>
                <w:bCs w:val="1"/>
                <w:color w:val="auto"/>
                <w:w w:val="95"/>
              </w:rPr>
              <w:t>Public</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98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6"/>
              </w:rPr>
              <w:t>Safety &amp;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80" w:type="dxa"/>
            <w:vAlign w:val="bottom"/>
          </w:tcPr>
          <w:p>
            <w:pPr>
              <w:jc w:val="center"/>
              <w:ind w:left="187"/>
              <w:spacing w:after="0"/>
              <w:rPr>
                <w:sz w:val="20"/>
                <w:szCs w:val="20"/>
                <w:color w:val="auto"/>
              </w:rPr>
            </w:pPr>
            <w:r>
              <w:rPr>
                <w:rFonts w:ascii="Arial" w:cs="Arial" w:eastAsia="Arial" w:hAnsi="Arial"/>
                <w:sz w:val="14"/>
                <w:szCs w:val="14"/>
                <w:b w:val="1"/>
                <w:bCs w:val="1"/>
                <w:color w:val="auto"/>
                <w:w w:val="94"/>
              </w:rPr>
              <w:t>Security</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2009</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26, 2010</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Goodwill of $41.3 million was impaired during the first nine months of 2009 and there was no impairment of goodwill during the first nine months of 2010. The accumulated impairment losses as of December 27, 2009 and September 26, 2010 were $165.4 million; $147.1 million associated with the KGS segment and $18.3 million associated with the Company’s Public Safety and Security (“PSS”)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finite-life intangible assets subject to amortization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As of December 27, 2009</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As of September 26, 2010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finite-lived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Developed technology and technical know-how</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operating lease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23"/>
        </w:trPr>
        <w:tc>
          <w:tcPr>
            <w:tcW w:w="4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Consolidated amortization expense related to finite lived intangible assets subject to amortization was $1.5 million and $2.9 million for the three months ended September 27, 2009 and September 26, 2010, respectively, and $4.4 million and $6.2 million for the nine months ended September 27, 2009 and September 26, 2010, respectively.</w:t>
      </w:r>
    </w:p>
    <w:p>
      <w:pPr>
        <w:sectPr>
          <w:pgSz w:w="11900" w:h="16838" w:orient="portrait"/>
          <w:cols w:equalWidth="0" w:num="1">
            <w:col w:w="11420"/>
          </w:cols>
          <w:pgMar w:left="240" w:top="337" w:right="239" w:bottom="0" w:gutter="0" w:footer="0" w:header="0"/>
        </w:sectPr>
      </w:pPr>
    </w:p>
    <w:bookmarkStart w:id="9" w:name="page10"/>
    <w:bookmarkEnd w:id="9"/>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September 26,,</w:t>
            </w:r>
          </w:p>
        </w:tc>
      </w:tr>
      <w:tr>
        <w:trPr>
          <w:trHeight w:val="171"/>
        </w:trPr>
        <w:tc>
          <w:tcPr>
            <w:tcW w:w="5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Production costs of contracts in process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0"/>
        </w:trPr>
        <w:tc>
          <w:tcPr>
            <w:tcW w:w="5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Less customer advances and progress payments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inventoried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increased substantially from December 27, 2009 to September 26, 2010 due to the acquisitions of Gichner and DEI.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 summary of the changes in Stockholders’ Equity for the periods ended September 27, 2009 and September 26, 2010 is provided below (in millions):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r>
      <w:tr>
        <w:trPr>
          <w:trHeight w:val="171"/>
        </w:trPr>
        <w:tc>
          <w:tcPr>
            <w:tcW w:w="5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2009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ESPP Plan and RSU settlement in cash</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from issuance of common stock</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two classes of outstanding stock, Series B Convertible Preferred Stock and common stock. There was no issuance, redemption or conversion of the Series B Convertible Preferred Stock for the three and nine months ended September 27, 2009 and September 26, 2010. Common stock issued by the Company for the nine months ended September 27, 2009, and September 26, 2010, was as follows (in millions):</w:t>
      </w:r>
    </w:p>
    <w:p>
      <w:pPr>
        <w:spacing w:after="0" w:line="145"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57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7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26,</w:t>
            </w:r>
          </w:p>
        </w:tc>
      </w:tr>
      <w:tr>
        <w:trPr>
          <w:trHeight w:val="171"/>
        </w:trPr>
        <w:tc>
          <w:tcPr>
            <w:tcW w:w="57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9"/>
              </w:rPr>
              <w:t>Stock issued for employee stock purchase plan, stock options and RSUs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acquisitions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Common stock issued for cash</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Topic 260”). Under ASC Topic 260,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basic and diluted earnings per share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For the Nine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September 26,</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from continuing operations available for common</w:t>
            </w:r>
          </w:p>
        </w:tc>
        <w:tc>
          <w:tcPr>
            <w:tcW w:w="440" w:type="dxa"/>
            <w:vAlign w:val="bottom"/>
            <w:gridSpan w:val="2"/>
            <w:vMerge w:val="restart"/>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shareholders(A)</w:t>
            </w:r>
          </w:p>
        </w:tc>
        <w:tc>
          <w:tcPr>
            <w:tcW w:w="44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outstanding shares of common stock(B)</w:t>
            </w: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awards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Dilutive effect of contingently issuable shares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and common stock equivalents(C)</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Basic(A/B)</w:t>
            </w:r>
          </w:p>
        </w:tc>
        <w:tc>
          <w:tcPr>
            <w:tcW w:w="4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Diluted(A/C)</w:t>
            </w:r>
          </w:p>
        </w:tc>
        <w:tc>
          <w:tcPr>
            <w:tcW w:w="4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80" w:type="dxa"/>
            <w:vAlign w:val="bottom"/>
          </w:tcPr>
          <w:p>
            <w:pPr>
              <w:spacing w:after="0"/>
              <w:rPr>
                <w:sz w:val="24"/>
                <w:szCs w:val="24"/>
                <w:color w:val="auto"/>
              </w:rPr>
            </w:pPr>
          </w:p>
        </w:tc>
        <w:tc>
          <w:tcPr>
            <w:tcW w:w="4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13</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1" w:orient="portrait"/>
          <w:cols w:equalWidth="0" w:num="1">
            <w:col w:w="11460"/>
          </w:cols>
          <w:pgMar w:left="240" w:top="125" w:right="199" w:bottom="0" w:gutter="0" w:footer="0" w:header="0"/>
          <w:type w:val="continuous"/>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60"/>
          </w:cols>
          <w:pgMar w:left="240" w:top="125" w:right="199" w:bottom="0" w:gutter="0" w:footer="0" w:header="0"/>
          <w:type w:val="continuous"/>
        </w:sectPr>
      </w:pPr>
    </w:p>
    <w:bookmarkStart w:id="10" w:name="page11"/>
    <w:bookmarkEnd w:id="10"/>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their inclusion would have been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For the Three</w:t>
            </w:r>
          </w:p>
        </w:tc>
        <w:tc>
          <w:tcPr>
            <w:tcW w:w="2760" w:type="dxa"/>
            <w:vAlign w:val="bottom"/>
            <w:gridSpan w:val="4"/>
          </w:tcPr>
          <w:p>
            <w:pPr>
              <w:ind w:left="940"/>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Months Ended</w:t>
            </w:r>
          </w:p>
        </w:tc>
        <w:tc>
          <w:tcPr>
            <w:tcW w:w="2760" w:type="dxa"/>
            <w:vAlign w:val="bottom"/>
            <w:gridSpan w:val="4"/>
          </w:tcPr>
          <w:p>
            <w:pPr>
              <w:ind w:left="86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1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27,</w:t>
            </w:r>
          </w:p>
        </w:tc>
        <w:tc>
          <w:tcPr>
            <w:tcW w:w="118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26,</w:t>
            </w:r>
          </w:p>
        </w:tc>
        <w:tc>
          <w:tcPr>
            <w:tcW w:w="300" w:type="dxa"/>
            <w:vAlign w:val="bottom"/>
          </w:tcPr>
          <w:p>
            <w:pPr>
              <w:spacing w:after="0"/>
              <w:rPr>
                <w:sz w:val="10"/>
                <w:szCs w:val="10"/>
                <w:color w:val="auto"/>
              </w:rPr>
            </w:pPr>
          </w:p>
        </w:tc>
        <w:tc>
          <w:tcPr>
            <w:tcW w:w="146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September 27,</w:t>
            </w:r>
          </w:p>
        </w:tc>
        <w:tc>
          <w:tcPr>
            <w:tcW w:w="120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1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180" w:type="dxa"/>
            <w:vAlign w:val="bottom"/>
          </w:tcPr>
          <w:p>
            <w:pPr>
              <w:ind w:left="440"/>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20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79"/>
              </w:rPr>
              <w:t>1.6</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contingently issuable common stock</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Shares of common stock from convertible debt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27, 2009, the Company had $12.6 million of unrecognized tax benefits that if recognized would affect the effective tax rate, subject to possible offset by an increase in the valuation allowance. During the nine months ended September 26, 2010, this amount was reduced by $0.6 million relating to the expiration of statutes of limitations. The reduction in unrecognized tax benefits was recorded as a tax benefit from discontinued operations for $0.5 million and as a tax benefit from continuing operations for $0.1 million.</w:t>
      </w:r>
    </w:p>
    <w:p>
      <w:pPr>
        <w:spacing w:after="0" w:line="187"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During the second quarter of 2010, the unrecognized tax benefits of Gichner of $0.4 million were recorded. The increase in unrecognized tax benefits was recorded as an adjustment to goodwill. The Gichner unrecognized tax benefits are related to various state tax issues.</w:t>
      </w:r>
    </w:p>
    <w:p>
      <w:pPr>
        <w:spacing w:after="0" w:line="12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The Company recorded a net benefit of $0.2 million for both the nine month periods ended September 27, 2009 and September 26, 2010. This was a result of an interest and penalty expense of $0.1 million offset by a benefit of $0.3 million for interest and penalties related to the reversal of prior positions in both periods. There were no material expense or benefit amounts recorded during the three months periods ended September 27, 2009 and September 26, 2010. As a result of the Gichner Transaction, a $0.1 million liability for cumulative interest and penalties was recorded with a corresponding increase to goodwill.</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believes that it is reasonably possible that as much as $2.8 million of the liabilities for uncertain tax positions will expire within 12 months of September 26, 2010 due to the expiration of various applicable statutes of limitations and possible settlement of a pending income tax refund claim.</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connection with the Company’s acquisitions of Gichner and DEI, the Company recorded the acquired assets and liabilities at their respective fair market value. For financial statement purposes, the Company increased the historic basis of the Gichner assets by approximately $46.3 million. For tax purposes, the Company is required to carry over the historic tax basis of the assets and liabilities of Gichner. In accordance with ASC Topic 805, the Company established deferred tax liabilities of approximately $16.2 million for the increase in the financial statement basis of the acquired assets of Gichner and $1.3 million related to the acquisition of DEI. As a result of the ability to recognize deferred tax assets for these deferred tax liabilities, the Company released valuation allowances against its deferred tax assets and recognized an income tax benefit of $1.3 million and $13.5 million for the three and nine months ended September 26, 2010,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 reconciliation of total income tax provision (benefit) to the amount computed by applying the statutory federal income tax rate of 35% to income (loss) from continuing operations before income taxes for the three and nine months ended September 27, 2009 and September 26, 2010 is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For the Three</w:t>
            </w:r>
          </w:p>
        </w:tc>
        <w:tc>
          <w:tcPr>
            <w:tcW w:w="160" w:type="dxa"/>
            <w:vAlign w:val="bottom"/>
          </w:tcPr>
          <w:p>
            <w:pPr>
              <w:spacing w:after="0"/>
              <w:rPr>
                <w:sz w:val="14"/>
                <w:szCs w:val="14"/>
                <w:color w:val="auto"/>
              </w:rPr>
            </w:pPr>
          </w:p>
        </w:tc>
        <w:tc>
          <w:tcPr>
            <w:tcW w:w="25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Nine</w:t>
            </w:r>
          </w:p>
        </w:tc>
      </w:tr>
      <w:tr>
        <w:trPr>
          <w:trHeight w:val="17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Months Ended</w:t>
            </w:r>
          </w:p>
        </w:tc>
        <w:tc>
          <w:tcPr>
            <w:tcW w:w="160" w:type="dxa"/>
            <w:vAlign w:val="bottom"/>
          </w:tcPr>
          <w:p>
            <w:pPr>
              <w:spacing w:after="0"/>
              <w:rPr>
                <w:sz w:val="14"/>
                <w:szCs w:val="14"/>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Months Ended</w:t>
            </w:r>
          </w:p>
        </w:tc>
      </w:tr>
      <w:tr>
        <w:trPr>
          <w:trHeight w:val="119"/>
        </w:trPr>
        <w:tc>
          <w:tcPr>
            <w:tcW w:w="5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September 27,</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September 26,</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September</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September</w:t>
            </w:r>
          </w:p>
        </w:tc>
        <w:tc>
          <w:tcPr>
            <w:tcW w:w="100" w:type="dxa"/>
            <w:vAlign w:val="bottom"/>
          </w:tcPr>
          <w:p>
            <w:pPr>
              <w:spacing w:after="0"/>
              <w:rPr>
                <w:sz w:val="10"/>
                <w:szCs w:val="10"/>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27, 2009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26, 2010</w:t>
            </w:r>
          </w:p>
        </w:tc>
        <w:tc>
          <w:tcPr>
            <w:tcW w:w="10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State taxes, net of federal tax benefit and valuation allowance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Release of valuation allowance due to Gichner/DEI acquisition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Decrease in federal valuation allowance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(“Section 382”) of the Internal Revenue Code of 1986, as amended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As of September 26, 2010, we believe that an “ownership change” had occurred which will limit the utilization of the loss carryforwards. We are currently evaluating the extent of the limitation on the Company’s annual utilization of the net operating loss carryforwards. Any</w:t>
      </w:r>
    </w:p>
    <w:p>
      <w:pPr>
        <w:sectPr>
          <w:pgSz w:w="11900" w:h="16879" w:orient="portrait"/>
          <w:cols w:equalWidth="0" w:num="1">
            <w:col w:w="11420"/>
          </w:cols>
          <w:pgMar w:left="240" w:top="341" w:right="239" w:bottom="0" w:gutter="0" w:footer="0" w:header="0"/>
        </w:sectPr>
      </w:pPr>
    </w:p>
    <w:bookmarkStart w:id="11" w:name="page12"/>
    <w:bookmarkEnd w:id="11"/>
    <w:p>
      <w:pPr>
        <w:ind w:right="200"/>
        <w:spacing w:after="0" w:line="264" w:lineRule="auto"/>
        <w:rPr>
          <w:sz w:val="20"/>
          <w:szCs w:val="20"/>
          <w:color w:val="auto"/>
        </w:rPr>
      </w:pPr>
      <w:r>
        <w:rPr>
          <w:rFonts w:ascii="Arial" w:cs="Arial" w:eastAsia="Arial" w:hAnsi="Arial"/>
          <w:sz w:val="18"/>
          <w:szCs w:val="18"/>
          <w:color w:val="auto"/>
        </w:rPr>
        <w:t>potential limitation would not impact the income tax provision for the three and nine months ended September 26, 2010. In addition, future equity offerings on acquisitions that have equity as a component of the purchase price could result in an “ownership change”. If and when an “ownership change” occurs, utilization of the net operating loss or other tax attributes may be further limited.</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In October 2010, the State of California passed a state budget including provisions furthering the suspension of the use of net operating losses for the 2010 and 2011 tax years. As a result, California State NOLs will not be available to offset California taxable income, if any, for the 2010 or 2011 tax years.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effects of the new tax legislation on taxes payable have not been recognized in the accompanying condensed consolidated financial statements as of and for the three and nine months ended September 26, 2010, prior to the October 2010 enactment of the new tax legislation. The tax effect of the change in tax laws on taxes payable for the current fiscal year will be recorded after the effective date prescribed in the statutes and reflected in the computation of the annual effective tax rate in the fourth quarter of 2010, the first interim period that includes the enactment date of the new legislation. However, for the tax year ending December 26, 2010, the Company does not expect this to have a material impact on the Company’s consolidated financial positions,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July 7, 2007, the Company entered into a definitive agreement with an affiliate of Platinum Equity to sell the Company’s wireless deployment business. Total consideration for the acquisition was $24.0 million including $18.0 million in cash at closing, subject to post closing working capital adjustments, and an aggregate of $6.0 million in a three-year earn-out arrangement through 2010.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16, 2008, the Company came to an agreement with Platinum Equity on a working capital adjustment of $5.0 million. In connection with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resolution, the earn-out arrangement was terminated. Payments of $1.0 million were made in each of August and September of 2008, with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paid in December 2008. In March of 2009, the Company paid $1.5 million of the working capital adjustment. On August 4, 2009,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paid $1.3 million in full settlement of all amounts due to Platinum Equity.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due diligence process related to the acquisition of SYS, senior management identified three business units of SYS which were non-core to Kratos’ base national public safety and security businesses. In accordance with ASC Topic 205</w:t>
      </w:r>
      <w:r>
        <w:rPr>
          <w:rFonts w:ascii="Arial" w:cs="Arial" w:eastAsia="Arial" w:hAnsi="Arial"/>
          <w:sz w:val="18"/>
          <w:szCs w:val="18"/>
          <w:i w:val="1"/>
          <w:iCs w:val="1"/>
          <w:color w:val="auto"/>
        </w:rPr>
        <w:t>, Presentation of Financial Statements</w:t>
      </w:r>
      <w:r>
        <w:rPr>
          <w:rFonts w:ascii="Arial" w:cs="Arial" w:eastAsia="Arial" w:hAnsi="Arial"/>
          <w:sz w:val="18"/>
          <w:szCs w:val="18"/>
          <w:color w:val="auto"/>
        </w:rPr>
        <w:t xml:space="preserve"> (“ASC Topic 205”), these business units were classified as held for sale and reported in discontinued operations. In the quarter ended March 29, 2009, all three of the businesses were sold for an aggregate cash consideration of approximately $0.4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addition, the plan to sell these businesses included a comprehensive assessment of personnel, relocation of personnel, facility consolidation and exit strategies for certain lines of business. The plan provided for approximately $2.0 million of restructuring costs associated with personnel, and additional costs of $0.6 million for facilities consolidation. The restructuring costs are primarily associated with the businesses sold and are accounted for in discontinued operations in the accompanying condensed consolidated financial statements. As of September 26, 2010, approximately $1.8 million of severance costs and $0.5 million of facilities costs have been paid. The remaining liabilities for severance and facilities are $0.2 million and $0.1 million, respectively, and are included in other current liabilities in the condensed consolidated balance sheet. The following table shows a reconciliation of the beginning accrual to the remaining balance as of September 26, 2010 (in millions):</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Severance</w:t>
            </w:r>
          </w:p>
        </w:tc>
        <w:tc>
          <w:tcPr>
            <w:tcW w:w="14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Lease</w:t>
            </w:r>
          </w:p>
        </w:tc>
        <w:tc>
          <w:tcPr>
            <w:tcW w:w="260" w:type="dxa"/>
            <w:vAlign w:val="bottom"/>
          </w:tcPr>
          <w:p>
            <w:pPr>
              <w:spacing w:after="0"/>
              <w:rPr>
                <w:sz w:val="14"/>
                <w:szCs w:val="14"/>
                <w:color w:val="auto"/>
              </w:rPr>
            </w:pPr>
          </w:p>
        </w:tc>
        <w:tc>
          <w:tcPr>
            <w:tcW w:w="9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accrual recorded in 2008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Payments in 2008</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Payments in 2009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Payments in 2010</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Balance September 26, 2010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June 24, 2009, as a result of the continued operating losses in the Southeast division of the PSS segment (the “Southeast Division”), the Company’s Board of Directors approved a plan to sell and dispose of the Southeast Division. In accordance with ASC Topic 205, this business unit was classified as held for sale and reported in discontinued operations in the accompanying condensed consolidated financial statements. The Company recorded a $2.0 million impairment charge in the second quarter of 2009 and an additional $0.2 million in the second quarter of 2010 related to management’s estimate of the fair value of the business.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August 2, 2010, the Company divested its Southeast Division for approximately $0.1 million cash consideration and the assumption of certain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Nine</w:t>
            </w:r>
          </w:p>
        </w:tc>
      </w:tr>
      <w:tr>
        <w:trPr>
          <w:trHeight w:val="171"/>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Months Ended</w:t>
            </w:r>
          </w:p>
        </w:tc>
      </w:tr>
      <w:tr>
        <w:trPr>
          <w:trHeight w:val="119"/>
        </w:trPr>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00" w:type="dxa"/>
            <w:vAlign w:val="bottom"/>
          </w:tcPr>
          <w:p>
            <w:pPr>
              <w:spacing w:after="0"/>
              <w:rPr>
                <w:sz w:val="10"/>
                <w:szCs w:val="10"/>
                <w:color w:val="auto"/>
              </w:rPr>
            </w:pPr>
          </w:p>
        </w:tc>
      </w:tr>
      <w:tr>
        <w:trPr>
          <w:trHeight w:val="171"/>
        </w:trPr>
        <w:tc>
          <w:tcPr>
            <w:tcW w:w="29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Net income (loss) after taxes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benefit for income taxes for the nine months ended September 27, 2009 and September 26, 2010 was primarily due to the expiration of the statute of limitations for certain foreign tax contingencies related to the Company’s discontinued wireless services business. The net loss before taxes for the nine months ended September 27, 2009 includes an impairment charge of $2.0 million resulting from the estimated impairment related to the sale of the Southeast Division. The net loss before taxes for the nine months ended September 26, 2010 includes an additional impairment charge of $0.2 million to reflect the final terms of the sale of the Southeast Division.</w:t>
      </w:r>
    </w:p>
    <w:p>
      <w:pPr>
        <w:sectPr>
          <w:pgSz w:w="11900" w:h="16838" w:orient="portrait"/>
          <w:cols w:equalWidth="0" w:num="1">
            <w:col w:w="11420"/>
          </w:cols>
          <w:pgMar w:left="240" w:top="125" w:right="239" w:bottom="0" w:gutter="0" w:footer="0" w:header="0"/>
        </w:sectPr>
      </w:pPr>
    </w:p>
    <w:bookmarkStart w:id="12" w:name="page13"/>
    <w:bookmarkEnd w:id="12"/>
    <w:p>
      <w:pPr>
        <w:spacing w:after="0" w:line="2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assets, other current liabilities and other long-term liabilities in the accompanying condensed consolidated balance sheets as of December 27, 2009 and September 26, 2010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27,</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26,</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assets of discontinued operations</w:t>
            </w:r>
          </w:p>
        </w:tc>
        <w:tc>
          <w:tcPr>
            <w:tcW w:w="15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Non-current assets of discontinued operations</w:t>
            </w:r>
          </w:p>
        </w:tc>
        <w:tc>
          <w:tcPr>
            <w:tcW w:w="1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5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0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2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 of discontinued operations</w:t>
            </w:r>
          </w:p>
        </w:tc>
        <w:tc>
          <w:tcPr>
            <w:tcW w:w="15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39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Non-current unrecognized tax benefits</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40" w:type="dxa"/>
            <w:vAlign w:val="bottom"/>
            <w:vMerge w:val="restart"/>
          </w:tcPr>
          <w:p>
            <w:pPr>
              <w:jc w:val="right"/>
              <w:ind w:right="89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May 2010 10% Senior Secured Note Offering</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May 19, 2010, the Company issued the Original Notes in an unregistered offering pursuant to Rule 144A and Regulation S under the Securities Act. On August 11, 2010, the Company completed an exchange offer for the Original Notes pursuant to a registration rights agreement entered into in connection with the issuance of the Original Notes. In the exchange offer, the Company offered to exchange the Original Notes for a like aggregate amount of 10% Senior Secured Notes due June 1, 2017 registered under the Securities Act. The Exchange Notes have substantially similar terms as the Original Notes, except that the Exchange Notes do not have transfer restrictions or registration rights. The Exchange Notes are fully and unconditionally guaranteed, jointly and severally, on a senior secured basis by the Company and each of its subsidiaries, as the guarantors thereof. The Company will pay interest on the Exchange Notes semi-annually, in arrears, on June 1 and December 1 of each year, beginning December 1, 2010.</w:t>
      </w:r>
    </w:p>
    <w:p>
      <w:pPr>
        <w:spacing w:after="0" w:line="16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Exchange Notes are secured by a lien on substantially all of the Company’s assets and the assets of the guarantors thereunder, subject to certain exceptions and permitted liens. The holders of the Exchange Notes have a first priority lien on substantially all assets of the Company and the guarantors, except accounts receivable, inventories, deposit accounts, securities accounts, cash, securities and general intangibles (other than intellectual property) where the holders of the Exchange Notes have a second priority lien to the $25.0 million revolving line of credit described below.</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Exchange Notes include customary covenants and events of default as well as a consolidated fixed charge ratio of 2.0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26, 2010 the Company was in compliance with the covenants contained in the Exchange Notes.</w:t>
      </w:r>
    </w:p>
    <w:p>
      <w:pPr>
        <w:spacing w:after="0" w:line="188" w:lineRule="exact"/>
        <w:rPr>
          <w:sz w:val="20"/>
          <w:szCs w:val="20"/>
          <w:color w:val="auto"/>
        </w:rPr>
      </w:pPr>
    </w:p>
    <w:p>
      <w:pPr>
        <w:ind w:right="440" w:firstLine="648"/>
        <w:spacing w:after="0" w:line="293" w:lineRule="auto"/>
        <w:rPr>
          <w:sz w:val="20"/>
          <w:szCs w:val="20"/>
          <w:color w:val="auto"/>
        </w:rPr>
      </w:pPr>
      <w:r>
        <w:rPr>
          <w:rFonts w:ascii="Arial" w:cs="Arial" w:eastAsia="Arial" w:hAnsi="Arial"/>
          <w:sz w:val="16"/>
          <w:szCs w:val="16"/>
          <w:color w:val="auto"/>
        </w:rPr>
        <w:t>On or after June 1, 2014, the Company may redeem some or all of the Exchange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Exchange Notes at 110% of the aggregate principal amount of the Exchange Notes, plus accrued and unpaid interest to the redemption date, with the net cash proceeds of certain equity offerings. In addition, the Company may, at its option, redeem some or all of the Exchange Notes at any time prior to June 1, 2014, by paying a “make whole” premium, plus accrued and unpaid interest, if any, to the date of redemption.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$25 Million Credit Facility</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May 19, 2010, the Company entered into the May 2010 Credit Agreement with KeyBank National Association (“KeyBank”), each of the Company’s subsidiaries, as guarantors, and the lenders party thereto, for a four year senior secured revolving credit facility in the amount of $25.0 million (the “Revolver”). The Revolver is secured by a lien on substantially all of the Company’s assets and the assets of the guarantors thereunder, subject to certain exceptions and permitted liens. The Revolver has a first priority lien on accounts receivable, inventories, deposit accounts, securities accounts, cash, securities and general intangibles (other than intellectual property). On all other assets, the Revolver has a second priority lien to the Exchange Notes.</w:t>
      </w:r>
    </w:p>
    <w:p>
      <w:pPr>
        <w:spacing w:after="0" w:line="15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Revolver is available for four years and may be increased to $45.0 million. The increases in the Revolver are subject to the consent of KeyBank and compliance with covenants in the Exchange Notes. The amounts of borrowings that may be made under the Revolver are based on a borrowing base and are comprised of specified percentages of eligible receivables and eligible inventory, up to a maximum of $25.0 million. If the amount of borrowings outstanding under the Revolver exceeds the borrowing base then in effect, the Company is required to repay such borrowings in an amount sufficient to eliminate such excess. The Revolver includes $10.0 million of availability for letters of credit and $5.0 million of availability for swingline loans.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ectPr>
          <w:pgSz w:w="11900" w:h="16864" w:orient="portrait"/>
          <w:cols w:equalWidth="0" w:num="1">
            <w:col w:w="11460"/>
          </w:cols>
          <w:pgMar w:left="240" w:top="125" w:right="199" w:bottom="0" w:gutter="0" w:footer="0" w:header="0"/>
        </w:sectPr>
      </w:pP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ectPr>
          <w:pgSz w:w="11900" w:h="16864" w:orient="portrait"/>
          <w:cols w:equalWidth="0" w:num="1">
            <w:col w:w="11460"/>
          </w:cols>
          <w:pgMar w:left="240" w:top="125" w:right="19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As of September 26, 2010, the Company had no outstanding borrowings on the Revolver and $2.3 million in outstanding letters of credit resulting in net availability of $22.7 million. The Company was in compliance with the covenants contained in the Revolver as of September 26, 2010.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Prior to May 19, 2010, the Company had a revolving credit facility (the “Second Credit Facility”) with KeyBank, as administrative agent and lender, in the aggregate principal amount of $60.0 million, which was secured by the assets of the Company and its subsidiaries. The Second Credit Facility was entered into on March 3, 2010 and was comprised of a (i) $35.0 million term loan facility and (ii) $25.0 million revolving line of credit. Bank of America, N.A., was syndication agent and lender, and KeyBanc Capital Markets and Banc of America Securities, LLC acted as co-lead arrangers and book runners. On May 19, 2010, the outstanding balance of $54.5 million was paid in full. As a result of the refinance, the Company recorded an interest charge of approximately $1.7 million in the second quarter of 2010 relating to the write-off of previously deferred financing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Prior to March 3, 2010, the Company had a credit facility of $85.0 million with KeyBank, as administrative agent (the “First Credit Facility”). This First Credit Facility provided for (i) two term loans consisting of a first lien term note of $50.0 million and a second lien term note of $10.0 million and (ii) a first lien $25.0 million revolving line of credit. The First Credit Facility was secured by the assets of the Company and its subsidiaries. KeyBank held the revolving line of credit and the second lien term note. Field Point III, Ltd. and SPF CDO I, Ltd., both affiliates of Silverpoint Capital LP (“Silverpoint”), held the first lien term note.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2010 the outstanding balance of $55.4 million was paid in full as a result of the refinance described above. Approximately</w:t>
      </w:r>
    </w:p>
    <w:p>
      <w:pPr>
        <w:spacing w:after="0" w:line="23"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$25.0 million of the proceeds were used to pay in full the remaining balance on the first lien term loan under the First Credit Facility held by Silverpoint, at par, with no prepayment penalties, pursuant to the Settlement Agreement that the Company entered into with Silverpoint in October 2009. As a result of the refinance, the Company recorded an interest charge of approximately $2.2 million in the first quarter of 2010 relating to the write-off of previously deferred financing costs.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the Company paid-off approximately $0.5 million of the notes plus accrued interest in cash. Holders of approximately $0.5 million of the notes elected to have their notes converted into approximately 45,000 shares of the Company’s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ASC Topic 820 defines fair value, establishes a market-based framework or hierarchy for measuring fair value, and expands disclosures about fair value measurements. ASC Topic 820 is applicable whenever another accounting pronouncement requires or permits assets and liabilities to be measured at fair value, but does not require any new fair value measurements.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hierarchy established in ASC Topic 820 prioritizes the inputs used in valuation techniques into three levels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assets and liabilities measured and recorded at fair value on the Company’s condensed consolidated balance sheets on a recurring basis and their level within the fair value hierarchy as of December 27, 2009 and September 26, 2010: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980" w:type="dxa"/>
            <w:vAlign w:val="bottom"/>
            <w:vMerge w:val="restart"/>
          </w:tcPr>
          <w:p>
            <w:pPr>
              <w:jc w:val="center"/>
              <w:ind w:left="204"/>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27"/>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left="167"/>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98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3"/>
              </w:rPr>
              <w:t>markets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980" w:type="dxa"/>
            <w:vAlign w:val="bottom"/>
          </w:tcPr>
          <w:p>
            <w:pPr>
              <w:jc w:val="center"/>
              <w:ind w:left="204"/>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27"/>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left="16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27, 2009</w:t>
            </w:r>
          </w:p>
        </w:tc>
        <w:tc>
          <w:tcPr>
            <w:tcW w:w="98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September 26, 2010</w:t>
            </w:r>
          </w:p>
        </w:tc>
        <w:tc>
          <w:tcPr>
            <w:tcW w:w="980" w:type="dxa"/>
            <w:vAlign w:val="bottom"/>
          </w:tcPr>
          <w:p>
            <w:pPr>
              <w:spacing w:after="0"/>
              <w:rPr>
                <w:sz w:val="20"/>
                <w:szCs w:val="2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060" w:type="dxa"/>
            <w:vAlign w:val="bottom"/>
          </w:tcPr>
          <w:p>
            <w:pPr>
              <w:spacing w:after="0"/>
              <w:rPr>
                <w:sz w:val="20"/>
                <w:szCs w:val="20"/>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517" w:right="259" w:bottom="0" w:gutter="0" w:footer="0" w:header="0"/>
        </w:sectPr>
      </w:pPr>
    </w:p>
    <w:bookmarkStart w:id="14" w:name="page15"/>
    <w:bookmarkEnd w:id="14"/>
    <w:p>
      <w:pPr>
        <w:spacing w:after="0" w:line="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significant Level 2 observable inputs utilized to value the Company’s interest rate swaps are based upon the terminal value of the swaps. The terminal value of the interest rate swaps is calculated by comparing the fixed rate on the swap to the rate that would be received by entering into an identical swap at the rates in effect at the time of termination. The percentage difference in these two rates is then multiplied by the notional amount of the swap in each remaining period and discounted to present value. The major inputs utilized in the terminal value calculation are valuation date, original swap rate, replacement swap rate, and discount rate. The terminal value calculations are validated with the use of quotes on similar financial instruments from a nationally recognized financial reporting service.</w:t>
      </w:r>
    </w:p>
    <w:p>
      <w:pPr>
        <w:spacing w:after="0" w:line="193"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carrying value of the interest rate swaps is classified as other current liabilities as of September 26, 2010 and long term liabilities as of December 27, 2009 in the condensed consolidated balance sheets. Mark to market adjustments for the interest rate swaps are recorded in other income (expense), net in the condensed consolidated statements of operations.</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Carrying amounts and the related estimated fair values of the Company’s financial instruments not measured at fair value on a recurring basis at December 27, 2009 and September 26, 2010 are presented in the following table. The carrying value of all other financial instruments, including cash and cash equivalents, accounts receivable, accounts payable and short-term debt, approximated their estimated fair values at December 27, 2009 and September 26, 2010.</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right"/>
              <w:ind w:right="284"/>
              <w:spacing w:after="0"/>
              <w:rPr>
                <w:sz w:val="20"/>
                <w:szCs w:val="20"/>
                <w:color w:val="auto"/>
              </w:rPr>
            </w:pPr>
            <w:r>
              <w:rPr>
                <w:rFonts w:ascii="Arial" w:cs="Arial" w:eastAsia="Arial" w:hAnsi="Arial"/>
                <w:sz w:val="14"/>
                <w:szCs w:val="14"/>
                <w:b w:val="1"/>
                <w:bCs w:val="1"/>
                <w:color w:val="auto"/>
              </w:rPr>
              <w:t>December 27, 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26, 2010</w:t>
            </w:r>
          </w:p>
        </w:tc>
        <w:tc>
          <w:tcPr>
            <w:tcW w:w="0" w:type="dxa"/>
            <w:vAlign w:val="bottom"/>
          </w:tcPr>
          <w:p>
            <w:pPr>
              <w:spacing w:after="0"/>
              <w:rPr>
                <w:sz w:val="1"/>
                <w:szCs w:val="1"/>
                <w:color w:val="auto"/>
              </w:rPr>
            </w:pPr>
          </w:p>
        </w:tc>
      </w:tr>
      <w:tr>
        <w:trPr>
          <w:trHeight w:val="11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Carrying</w:t>
            </w:r>
          </w:p>
        </w:tc>
        <w:tc>
          <w:tcPr>
            <w:tcW w:w="800" w:type="dxa"/>
            <w:vAlign w:val="bottom"/>
            <w:tcBorders>
              <w:top w:val="single" w:sz="8" w:color="auto"/>
            </w:tcBorders>
          </w:tcPr>
          <w:p>
            <w:pPr>
              <w:jc w:val="center"/>
              <w:ind w:left="284"/>
              <w:spacing w:after="0" w:line="119" w:lineRule="exact"/>
              <w:rPr>
                <w:sz w:val="20"/>
                <w:szCs w:val="20"/>
                <w:color w:val="auto"/>
              </w:rPr>
            </w:pPr>
            <w:r>
              <w:rPr>
                <w:rFonts w:ascii="Arial" w:cs="Arial" w:eastAsia="Arial" w:hAnsi="Arial"/>
                <w:sz w:val="13"/>
                <w:szCs w:val="13"/>
                <w:b w:val="1"/>
                <w:bCs w:val="1"/>
                <w:color w:val="auto"/>
              </w:rPr>
              <w:t>Fair</w:t>
            </w: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6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ind w:left="284"/>
              <w:spacing w:after="0"/>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54.1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Long-Term Debt—the fair value of the long-term debt as of December 27, 2009 was calculated using present value techniques based on interest rates available for debt with terms and due dates similar to the Company’s existing debt arrangements and the Company’s current scheduled principal payments (Level 2, Significant other observable inputs). The fair value of the Company’s long-term debt as of September 26, 2010 was based upon actual trading activity as of September 24, 2010 (Level 1, Observable inputs—quoted prices in active markets).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In connection with the acquisition of DEI, the Company agreed to an earn-out payment of up to $12.3 million, which may be paid if certain financial performance measures are met in 2010, 2011 and 2012 subject to reduction of approximately $8.6 million in the event DEI does not collect certain customer collection milestone receivables. To date, DEI has collected $1.0 million of such milestone receivables. The Company has recorded the acquisition-date estimated fair value of the earn-out payment of $5.0 million as a component of the consideration transferred by applying the income approach and using Level 3 inputs. The estimated acquisition-date fair value was measured based on the probability-adjusted present value of the amount expected to be paid and assumes the specified receivables will be collected. The probability adjusted earn-out payment was discounted at 5.8%, a market participant cost of debt at the date of acquisition. As of September 26, 2010, DEI has been paid $0.4 million in earn-out consideration. The fair value of the earn-out payment was $4.6 million as of September 26, 2010 with $0.5 million reflected in other current liabilities and $4.1 million reflected in other long-term liabilities in the accompanying condensed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Company’s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(i.e., changes in interest rate payments) attributable to fluctuations in the three month LIBOR on certain previously outstanding variable-rate debt.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September 26, 2010 was $45.0 million.</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First Credit Facility in March 2008. The effect of marking the derivative instruments to market for the three and nine months ended September 27, 2009 was expense of $0.3 million and income of $0.1 million, respectively, and for the three and nine months ended September 26, 2010 was income of $0.3 million and $0.8 million, respectively; all of which is reflected in other income (expense) in the accompanying condensed consolidated statements of operations. The fair value of the Company’s derivative liabilities as of December 27, 2009 and September 26, 2010 was $1.4 million and $0.6 million, respectively, and is carried in other long term liabilities and other current liabilities, respectively, in the accompanying condensed consolidated balance sheets. See Note 10 for further discussion on the fair value measurements related to the Company’s derivative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the Company’s key customers for the periods presented and the percentage of net sales made to such customers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Key</w:t>
            </w:r>
          </w:p>
        </w:tc>
        <w:tc>
          <w:tcPr>
            <w:tcW w:w="2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6"/>
          </w:tcPr>
          <w:p>
            <w:pPr>
              <w:jc w:val="right"/>
              <w:ind w:right="836"/>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5"/>
          </w:tcPr>
          <w:p>
            <w:pPr>
              <w:jc w:val="right"/>
              <w:ind w:right="836"/>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27, 2009</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26, 2010</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27, 2009</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26, 2010</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27.1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17.4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81.0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52.1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18.1%</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U.S. Army</w:t>
            </w:r>
          </w:p>
        </w:tc>
        <w:tc>
          <w:tcPr>
            <w:tcW w:w="260" w:type="dxa"/>
            <w:vAlign w:val="bottom"/>
          </w:tcPr>
          <w:p>
            <w:pPr>
              <w:spacing w:after="0"/>
              <w:rPr>
                <w:sz w:val="20"/>
                <w:szCs w:val="20"/>
                <w:color w:val="auto"/>
              </w:rPr>
            </w:pPr>
          </w:p>
        </w:tc>
        <w:tc>
          <w:tcPr>
            <w:tcW w:w="1420" w:type="dxa"/>
            <w:vAlign w:val="bottom"/>
          </w:tcPr>
          <w:p>
            <w:pPr>
              <w:jc w:val="right"/>
              <w:ind w:right="679"/>
              <w:spacing w:after="0"/>
              <w:rPr>
                <w:sz w:val="20"/>
                <w:szCs w:val="20"/>
                <w:color w:val="auto"/>
              </w:rPr>
            </w:pPr>
            <w:r>
              <w:rPr>
                <w:rFonts w:ascii="Arial" w:cs="Arial" w:eastAsia="Arial" w:hAnsi="Arial"/>
                <w:sz w:val="18"/>
                <w:szCs w:val="18"/>
                <w:color w:val="auto"/>
              </w:rPr>
              <w:t>18.1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696"/>
              <w:spacing w:after="0"/>
              <w:rPr>
                <w:sz w:val="20"/>
                <w:szCs w:val="20"/>
                <w:color w:val="auto"/>
              </w:rPr>
            </w:pPr>
            <w:r>
              <w:rPr>
                <w:rFonts w:ascii="Arial" w:cs="Arial" w:eastAsia="Arial" w:hAnsi="Arial"/>
                <w:sz w:val="18"/>
                <w:szCs w:val="18"/>
                <w:color w:val="auto"/>
              </w:rPr>
              <w:t>36.9</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30.8%</w:t>
            </w:r>
          </w:p>
        </w:tc>
        <w:tc>
          <w:tcPr>
            <w:tcW w:w="260" w:type="dxa"/>
            <w:vAlign w:val="bottom"/>
          </w:tcPr>
          <w:p>
            <w:pPr>
              <w:spacing w:after="0"/>
              <w:rPr>
                <w:sz w:val="20"/>
                <w:szCs w:val="20"/>
                <w:color w:val="auto"/>
              </w:rPr>
            </w:pPr>
          </w:p>
        </w:tc>
        <w:tc>
          <w:tcPr>
            <w:tcW w:w="1400" w:type="dxa"/>
            <w:vAlign w:val="bottom"/>
          </w:tcPr>
          <w:p>
            <w:pPr>
              <w:jc w:val="right"/>
              <w:ind w:right="679"/>
              <w:spacing w:after="0"/>
              <w:rPr>
                <w:sz w:val="20"/>
                <w:szCs w:val="20"/>
                <w:color w:val="auto"/>
              </w:rPr>
            </w:pPr>
            <w:r>
              <w:rPr>
                <w:rFonts w:ascii="Arial" w:cs="Arial" w:eastAsia="Arial" w:hAnsi="Arial"/>
                <w:sz w:val="18"/>
                <w:szCs w:val="18"/>
                <w:color w:val="auto"/>
              </w:rPr>
              <w:t>54.9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21.2%</w:t>
            </w:r>
          </w:p>
        </w:tc>
        <w:tc>
          <w:tcPr>
            <w:tcW w:w="260" w:type="dxa"/>
            <w:vAlign w:val="bottom"/>
          </w:tcPr>
          <w:p>
            <w:pPr>
              <w:spacing w:after="0"/>
              <w:rPr>
                <w:sz w:val="20"/>
                <w:szCs w:val="20"/>
                <w:color w:val="auto"/>
              </w:rPr>
            </w:pPr>
          </w:p>
        </w:tc>
        <w:tc>
          <w:tcPr>
            <w:tcW w:w="1400" w:type="dxa"/>
            <w:vAlign w:val="bottom"/>
          </w:tcPr>
          <w:p>
            <w:pPr>
              <w:jc w:val="right"/>
              <w:ind w:right="676"/>
              <w:spacing w:after="0"/>
              <w:rPr>
                <w:sz w:val="20"/>
                <w:szCs w:val="20"/>
                <w:color w:val="auto"/>
              </w:rPr>
            </w:pPr>
            <w:r>
              <w:rPr>
                <w:rFonts w:ascii="Arial" w:cs="Arial" w:eastAsia="Arial" w:hAnsi="Arial"/>
                <w:sz w:val="18"/>
                <w:szCs w:val="18"/>
                <w:color w:val="auto"/>
              </w:rPr>
              <w:t>66.1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23.0%</w:t>
            </w:r>
          </w:p>
        </w:tc>
      </w:tr>
    </w:tbl>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customers are all part of the Kratos Government Services segment. The Company’s top five customers accounted for approximately 63% of total revenue for the three and nine months ended September 27, 2009, respectively, and for approximately 58% and 56% for the three and nine months ended</w:t>
      </w:r>
    </w:p>
    <w:p>
      <w:pPr>
        <w:sectPr>
          <w:pgSz w:w="11900" w:h="16840" w:orient="portrait"/>
          <w:cols w:equalWidth="0" w:num="1">
            <w:col w:w="11420"/>
          </w:cols>
          <w:pgMar w:left="240" w:top="125" w:right="239" w:bottom="0" w:gutter="0" w:footer="0" w:header="0"/>
        </w:sectPr>
      </w:pPr>
    </w:p>
    <w:bookmarkStart w:id="15" w:name="page16"/>
    <w:bookmarkEnd w:id="15"/>
    <w:p>
      <w:pPr>
        <w:spacing w:after="0" w:line="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September 26, 2010, respectively. Total revenue from the federal government for the three and nine months ended September 27, 2009 was $74.1 million and $223.7 million, respectively, and for the three and nine months ended September 26, 2010 was $106.5 million and $250.6 million,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operates in two principal business segments: Kratos Government Solutions and Public Safety and Security. The Company organizes its business segments based on the nature of the services offered. In the following table, total operating income of the business segments is reconciled to the corresponding consolidated amount. The reconciling item “Unallocated corporate income (expense), net” includes costs for certain stock-based compensation programs (including stock-based compensation costs for stock options and restricted stock units), the effects of items not 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Revenues and operating income (loss) generated by the Company’s current reporting segments for the three and nine months ended September 27, 2009 and September 26, 2010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27,</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5"/>
              <w:spacing w:after="0" w:line="119" w:lineRule="exact"/>
              <w:rPr>
                <w:sz w:val="20"/>
                <w:szCs w:val="20"/>
                <w:color w:val="auto"/>
              </w:rPr>
            </w:pPr>
            <w:r>
              <w:rPr>
                <w:rFonts w:ascii="Arial" w:cs="Arial" w:eastAsia="Arial" w:hAnsi="Arial"/>
                <w:sz w:val="13"/>
                <w:szCs w:val="13"/>
                <w:b w:val="1"/>
                <w:bCs w:val="1"/>
                <w:color w:val="auto"/>
              </w:rPr>
              <w:t>September 26</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September 27,</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September 26,</w:t>
            </w:r>
          </w:p>
        </w:tc>
        <w:tc>
          <w:tcPr>
            <w:tcW w:w="100" w:type="dxa"/>
            <w:vAlign w:val="bottom"/>
          </w:tcPr>
          <w:p>
            <w:pPr>
              <w:spacing w:after="0"/>
              <w:rPr>
                <w:sz w:val="10"/>
                <w:szCs w:val="10"/>
                <w:color w:val="auto"/>
              </w:rPr>
            </w:pPr>
          </w:p>
        </w:tc>
      </w:tr>
      <w:tr>
        <w:trPr>
          <w:trHeight w:val="171"/>
        </w:trPr>
        <w:tc>
          <w:tcPr>
            <w:tcW w:w="42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Government Solutions</w:t>
            </w:r>
          </w:p>
        </w:tc>
        <w:tc>
          <w:tcPr>
            <w:tcW w:w="9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50"/>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tcPr>
          <w:p>
            <w:pPr>
              <w:spacing w:after="0"/>
              <w:rPr>
                <w:sz w:val="21"/>
                <w:szCs w:val="21"/>
                <w:color w:val="auto"/>
              </w:rPr>
            </w:pPr>
          </w:p>
        </w:tc>
      </w:tr>
      <w:tr>
        <w:trPr>
          <w:trHeight w:val="170"/>
        </w:trPr>
        <w:tc>
          <w:tcPr>
            <w:tcW w:w="4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Government Solutions</w:t>
            </w:r>
          </w:p>
        </w:tc>
        <w:tc>
          <w:tcPr>
            <w:tcW w:w="9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Unallocated corporate income (expense), net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4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(loss)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For the nine months ended September 27, 2009, the operating loss of the KGS segment includes a non-cash charge of $41.3 million related to goodwill impairment.</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r>
      <w:tr>
        <w:trPr>
          <w:trHeight w:val="171"/>
        </w:trPr>
        <w:tc>
          <w:tcPr>
            <w:tcW w:w="6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217.7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394.5</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increase in assets in the KGS segment is primarily attributable to the acquisition of Gichner and DEI. The increase in assets in Corporate activities is primarily due to an increase in cash and cash equivalents from the sale of the Exchange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Legal Matters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was previously a defendant in two derivative lawsuits, In re Wireless Facilities, Inc. Derivative Litigation, Lead Case No 04CV1663-JAH and In re Wireless Facilities, Inc. Derivative Litigation, California Superior Court, San Diego County, Lead Case GIC 834253. In October 2009, the parties reached an agreement in principle to settle all claims. In March 2010, the district court granted final approval of the proposed settlement and issued its Final Judgment and Order of Dismissal. In May 2010, all appeal rights expired. The details of the settlement are set forth in the settlement papers filed with the court.</w:t>
      </w:r>
    </w:p>
    <w:p>
      <w:pPr>
        <w:spacing w:after="0" w:line="18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described above, there have been no material developments in the Company’s legal proceedings since December 27, 2009. For additional information regarding the Company’s legal proceedings, see Item 3, “Legal Proceedings” in the Company’s 2009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Pending Acquisition of Henry Bros. Electronics, Inc.</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On October 5, 2010 (the “Agreement Date”), the Company entered into an Agreement and Plan of Merger (the “HBE Agreement”), with Hammer Acquisition Inc., a Delaware corporation and a wholly-owned subsidiary of the Company (“Merger Sub”), and Henry Bros. Electronics, Inc., a Delaware corporation (“HBE”). Pursuant to the terms and subject to the conditions set forth in the HBE Agreement, Merger Sub will merge with and into HBE, and HBE will continue as the surviving corporation and as a wholly-owned subsidiary of the Company (the “Merger”).</w:t>
      </w:r>
    </w:p>
    <w:p>
      <w:pPr>
        <w:spacing w:after="0" w:line="171"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HBE is a provider of homeland security solutions, products, and system integration services, including the design, engineering and operation of command and control systems for the protection of strategic assets and critical infrastructure in the United States. HBE also has particular expertise in the design, engineering, and deployment of specialized surveillance, thermal imaging, analytics, radar, and biometrics technology based security systems.</w:t>
      </w:r>
    </w:p>
    <w:p>
      <w:pPr>
        <w:sectPr>
          <w:pgSz w:w="11900" w:h="16925" w:orient="portrait"/>
          <w:cols w:equalWidth="0" w:num="1">
            <w:col w:w="11420"/>
          </w:cols>
          <w:pgMar w:left="240" w:top="125" w:right="239" w:bottom="0" w:gutter="0" w:footer="0" w:header="0"/>
        </w:sectPr>
      </w:pPr>
    </w:p>
    <w:bookmarkStart w:id="16" w:name="page17"/>
    <w:bookmarkEnd w:id="16"/>
    <w:p>
      <w:pPr>
        <w:spacing w:after="0" w:line="6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Representative HBE programs and customers include U.S. Department of Defense (“DoD”) agencies, nuclear power generation facilities, state government and municipality related agencies, major national airports, major harbors, railways, tunnel systems, energy centers, power plants, and related infrastructure.</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Pursuant to the terms of the HBE Agreement, the Company will acquire all outstanding shares of HBE common stock in a cash merger valued at approximately $45 million. Upon completion of the Merger (i) each outstanding share of HBE common stock (other than shares of HBE common stock owned by the Company, Merger Sub, or HBE stockholders, if any, who have perfected statutory dissenters’ rights under Delaware law) will be converted into the right to receive $7.00 in cash, without interest, (ii) all outstanding options to purchase HBE common stock will be assumed by the Company and converted into options to purchase common stock of the Company (the “Assumed Options”); and (iii) all warrants to purchase HBE common stock, whether or not then exerciseable or vested, shall be canceled. The number of shares of common stock of the Company subject to each Assumed Option and the exercise price of each such option will be appropriately adjusted based on the exchange ratio, which shall be equal to 0.6552.</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Completion of the Merger is subject to various customary conditions, including, among other things: (i) the adoption of the Merger Agreement by stockholders holding at least a majority of the outstanding common stock of HBE; (ii) subject to certain materiality exceptions, the accuracy of the representations and warranties made by each of the Company and HBE and the compliance by each of the Company and HBE with their respective obligations under the HBE Agreement; and (iii) the absence of any pending or threatened legal proceedings challenging or seeking to restrain the consummation of the Merger. Holders of approximately 60% of the common stock of HBE have agreed to vote their shares in favor of the proposed merger.</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HBE Agreement also contains a “go-shop” provision and a “no-shop” provision. Under the terms of the “go-shop” provision, during the period beginning on the Agreement Date and continuing until 11:59 p.m. Eastern Time on the 40th calendar day thereafter (the “No-Shop Period Start Date”), HBE and its subsidiaries and their respective representatives shall have the right to: (i) initiate, solicit, and facilitate any inquiry or the making, submission or announcement of any proposals or offers that constitute a proposal to (a) acquire by merger, issuance or acquisition of securities, business combination or other similar transaction, 15% or more of the outstanding securities of HBE or any of its subsidiaries, or (b) sell, exchange, transfer or otherwise dispose of any business or assets that account for 15% or more of the consolidated net revenues, net income or assets of HBE and its subsidiaries (any of the forgoing, an “Acquisition Proposal”); and (ii) engage or enter into, or otherwise participate in any discussions or negotiations with any person with respect to any Acquisition Proposals or otherwise cooperate with or facilitate any such inquiries, proposals, discussions or negotiations to make any Acquisition Proposals.</w:t>
      </w:r>
    </w:p>
    <w:p>
      <w:pPr>
        <w:spacing w:after="0" w:line="16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terms of the “no-shop provision” from the No-Shop Period Start Date until the effective time of the merger, HBE and its subsidiaries and their respective representatives are not permitted to (i) solicit, initiate or knowingly encourage, or facilitate the making, submission or announcement of any Acquisition Proposal or take any action that would reasonably be expected to lead to an Acquisition Proposal; (ii) furnish any information regarding HBE or any of its subsidiaries to any person in connection with an Acquisition Proposal; (iii) engage in discussions or negotiations with any person with respect to any Acquisition Proposal; (iv) approve or recommend any Acquisition Proposal; or (v) enter into any letter of intent or other agreement relating to an Acquisition Proposal, subject to customary exceptions for HBE to respond to and support a proposal that is more favorable from a financial point of view to HBE’s stockholders than the terms of the Merger and is reasonably capable of being consummated (a “Superior Proposal”) or an Acquisition Proposal that is reasonably likely to lead to a Superior Proposal and to otherwise act in accordance with the exercise of the fiduciary duties of the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HBE will be obligated to pay a termination fee of $1.8 million to the Company upon termination of the HBE Agreement (i) by HBE in connection with a Superior Proposal; or (ii) by the Company in connection with an HBE triggering event, including, among other things, if the board of directors of HBE changes or otherwise modifies its recommendation that the stockholders of HBE vote in favor of the adoption of the HBE Agreement or HBE or any of its subsidiaries or representatives thereof has materially breached the “no-shop” provision of the HBE Agreement. In addition, HBE will be obligated to pay the termination fee if the HBE Agreement is terminated because (i) the HBE has not been consummated by February 28, 2011; or (ii) the meeting of the stockholders of HBE to approve the adoption of the Merger Agreement shall have been held and such stockholders did not approve the adoption of the HBE Agreement, and at the time of termination, an Acquisition Proposal with respect to HBE shall have been made or publicly announced and not withdrawn and HBE enters into an acquisition agreement related to an Acquisition Proposal or consummates an Acquisition Proposal within six months following the date the HBE Agreement is terminated.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Underwritten Offering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October 12, 2010, the Company sold approximately 2.5 million shares of its common stock at a purchase price of $10.20 per share in an underwritten public offering. The Company received gross proceeds of approximately $25.8 million. After deducting underwriting fees and other offering expenses, the Company received approximately $24.6 million in net proceeds. The Company expects to use the net proceeds from this transaction to fund the purchase price for the acquisition of HBE. To the extent that the net proceeds are not applied to the HBE acquisition, the Company intends to use the proceeds for general corporate purposes, including the funding of potential strategic acquisitions and other general corporate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and competition in the marketplace which could reduce revenues and profit margins.</w:t>
      </w:r>
    </w:p>
    <w:p>
      <w:pPr>
        <w:spacing w:after="0" w:line="1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 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to conform such statements to actual results or to changes in our expectations.</w:t>
      </w:r>
    </w:p>
    <w:p>
      <w:pPr>
        <w:sectPr>
          <w:pgSz w:w="11900" w:h="16908" w:orient="portrait"/>
          <w:cols w:equalWidth="0" w:num="1">
            <w:col w:w="11420"/>
          </w:cols>
          <w:pgMar w:left="240" w:top="125" w:right="239" w:bottom="0" w:gutter="0" w:footer="0" w:header="0"/>
        </w:sectPr>
      </w:pPr>
    </w:p>
    <w:p>
      <w:pPr>
        <w:spacing w:after="0" w:line="18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amortization expense and the discussion of net debt, may be considered non-GAAP financial measures. We believe this information is useful to investors because it provides a basis for measuring the</w:t>
      </w:r>
    </w:p>
    <w:p>
      <w:pPr>
        <w:sectPr>
          <w:pgSz w:w="11900" w:h="16908" w:orient="portrait"/>
          <w:cols w:equalWidth="0" w:num="1">
            <w:col w:w="11420"/>
          </w:cols>
          <w:pgMar w:left="240" w:top="125" w:right="239" w:bottom="0" w:gutter="0" w:footer="0" w:header="0"/>
          <w:type w:val="continuous"/>
        </w:sectPr>
      </w:pPr>
    </w:p>
    <w:bookmarkStart w:id="17" w:name="page18"/>
    <w:bookmarkEnd w:id="17"/>
    <w:p>
      <w:pPr>
        <w:spacing w:after="0" w:line="6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2009 Form 10-K, including the disclosures made in Item 1A “Risk Factors” and the audited consolidated financial statements and related notes included therein, and the disclosures made in Item 1A “Risk Factors” in this Quarterly Report on Form 10-Q.</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Kratos is a national security products, solutions and services provider. We are one of the leading providers of mission-critical engineering, information technology services, strategic communications and warfighter products, solutions and services for customers primarily within the DoD, U.S. intelligence agencies and other U.S. federal agencies. We believe we have particular expertise in providing products, solutions and services related to command, control, communications, computing, combat systems, intelligence, surveillance and reconnaissance (“C5ISR”); weapons systems sustainment; military weapon range operations; network engineering services; information assurance and cyber security solutions and security and surveillance systems. Our employees are strategically located throughout the U.S. and at key military installations, and a majority of our over 2,800 employees have national security clearances. These security clearances, along with our past performance qualifications, are a requirement for the majority of our contract vehicles and customer engagements.</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offer our customers solutions and expertise to support their mission-critical needs by leveraging our skills across our core service areas. Our primary customers include the U.S. Army, U.S. Navy, U.S. Air Force, other agencies under the DoD and other federal agencies. In addition, we provide services to various state and local governments as well as commercial customers. We believe our strong customer relationships provide for a diversified and stable contract base. We provide products, solutions and services for a wide range of established, deployed and operating national security platforms, including, but not limited to: Aegis Ballistic Missile Defense systems, M1A1 Abrams tanks, Bradley fighting vehicles, F-5 Tiger, HiMARS, Chaparral and Hawk missile systems, Kiowa AH-60 helicopters, DDG-1000 Zumwalt destroyers, attack and missile submarines, certain intelligence surveillance and reconnaissance systems and various unmanned systems.</w:t>
      </w:r>
    </w:p>
    <w:p>
      <w:pPr>
        <w:spacing w:after="0" w:line="18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also provide tactical combat vehicle shelters for C5ISR systems, weapon systems and warfighters. Our tactical military facilities and products include lightweight, high-strength enclosures for widely recognized military programs and platforms, as well as ruggedized and readily transported enclosures. Our product design approach focuses on highly engineered enclosures and facilities that have the flexibility to be modified to customer specifications. We routinely design, integrate and install components into our standard products, such as communication systems infrastructure, racks and cabinets and power distribution and lighting, among others.</w:t>
      </w:r>
    </w:p>
    <w:p>
      <w:pPr>
        <w:spacing w:after="0" w:line="18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May 19, 2010, we completed the offering of 10% Senior Secured Notes in the aggregate amount of $225.0 million and our acquisition of Gichner, a privately held leading manufacturer, designer and integrator of customized tactical military products and facilities, subsystems and modular systems for the U.S. military and its allies, for a total purchase price of approximately $133.0 million in cash. Concurrent with the completion of the offering of the Original Notes, on May 19, 2010, we entered into a Credit and Security Agreement (the “May 2010 Credit Agreement”) with certain lenders and with KeyBank, as administrative agent, lead arranger and sole book runner, for a four year senior secured revolving credit facility in the amount of $25.0 million. See “Contractual Obligations and Commitments” for a further discussion of the Original Notes, their subsequent exchange for a like aggregate amount of 10% senior secured notes registered under the Securities Act and the revolving credit facility.</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August 9, 2010, the Company acquired 100% of the equity interests of DEI,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The DEI Agreement provides that upon achievement of certain cash receipts, revenue, EBITDA and backlog amounts in 2010, 2011 and 2012, the Company shall pay the former stockholders of DEI certain additional Contingent Consideration. The potential undiscounted amount of all future Contingent Consideration that may be payable by the Company under the DEI Agreement is between zero and $12.3 million. The Contingent Consideration will be reduced in the event certain anticipated cash receipts are not collected within agreed upon time periods, which could decrease the future payments by approximately $8.6 million. 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M1 Abrams Main Battle Tank and M2 Bradley Fighting Vehicle).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operate in two principal business segments: Kratos Government Solutions and Public Safety and Security.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Quarterly Report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ectPr>
          <w:pgSz w:w="11900" w:h="16906" w:orient="portrait"/>
          <w:cols w:equalWidth="0" w:num="1">
            <w:col w:w="11420"/>
          </w:cols>
          <w:pgMar w:left="240" w:top="125" w:right="239" w:bottom="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KGS segment provides engineering, information technology and weapons systems to federal, state, and local government agencies, but primarily to the DoD. Our work includes weapon systems sustainment, lifecycle support and extension; C5ISR services; military range operations and technical services; missile, rocket, and weapons systems test and evaluation; mission launch services; modeling and simulation, UAV products and technology, and advanced network engineering and information technology services; and public safety, security and surveillance systems integration. We produce products, solutions and services related to certain C5ISR platforms, unmanned system platforms, weapons systems, national security related assets and warfighter systems.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PSS segment provides independent integrated solutions for advanced homeland security, public safety, security and surveillance systems for government and commercial applications. Our solutions include designing, installing and servicing building technologies that protect people, critical infrastructure, assets, information and property and make facilities more secure and efficient. We provide solutions in such areas as access control, building automation and control, communications, digital and closed circuit television security and surveillance, fire and life safety, maintenance and services and product support services.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provide solutions for customers in the financial, information technology, healthcare, education, transportation and petro-chemical industries, as well as certain government and military customers. For example, we provide biometrics and other access control technologies to customers such as large data centers, government installations and other commercial enterprises.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2009 Form 10-K.</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10, 2009, we completed a 1-for-10 reverse split of our common stock. All common stock, stock options, and warrants to purchase common stock and earnings per share amounts have been retroactively restated as if the reverse stock split occurred at the beginning of the applicable periods presented.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26, 2010, we consider the factors discussed below to be important to understanding our financial statements.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federal government and provided to our PSS customers under fixed price contracts, the Company utilizes both cost-to-cost and units produced measures under the percentage-of-completion method of accounting under the provisions of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deliveries or as computed on the basis of the estimated final average unit costs plus profit. The Company classifies contract revenues as product sales or service revenues depending upon the predominant attributes of the relevant underlying contracts.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described in the 2009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monthly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27, 2009 to the Three Months Ended September 26, 2010</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$33.8 million from $86.1 million for the three months ended September 27, 2009 to $119.9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26, 2010. This increase was primarily due to the acquisitions of Gichner and DEI, which had combined revenues of $40.5 million, partially offset by the planned reductions of lower margin pass through work, and to a lesser extent, expected reductions of small business set aside contract work from companies we previously acquired and in-sourcing of our employees by the U.S. Government in the KGS segment. Revenues by operating segment for the three months ended September 27, 2009 and September 26, 2010 are as follows (in millions):</w:t>
      </w:r>
    </w:p>
    <w:p>
      <w:pPr>
        <w:sectPr>
          <w:pgSz w:w="11900" w:h="16838" w:orient="portrait"/>
          <w:cols w:equalWidth="0" w:num="1">
            <w:col w:w="11360"/>
          </w:cols>
          <w:pgMar w:left="240" w:top="341" w:right="299" w:bottom="0" w:gutter="0" w:footer="0" w:header="0"/>
        </w:sectPr>
      </w:pPr>
    </w:p>
    <w:bookmarkStart w:id="19" w:name="page20"/>
    <w:bookmarkEnd w:id="19"/>
    <w:tbl>
      <w:tblPr>
        <w:tblLayout w:type="fixed"/>
        <w:tblInd w:w="1300" w:type="dxa"/>
        <w:tblCellMar>
          <w:top w:w="0" w:type="dxa"/>
          <w:left w:w="0" w:type="dxa"/>
          <w:bottom w:w="0" w:type="dxa"/>
          <w:right w:w="0" w:type="dxa"/>
        </w:tblCellMar>
      </w:tblPr>
      <w:tr>
        <w:trPr>
          <w:trHeight w:val="171"/>
        </w:trPr>
        <w:tc>
          <w:tcPr>
            <w:tcW w:w="2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4"/>
                <w:szCs w:val="14"/>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36.6%</w:t>
            </w:r>
          </w:p>
        </w:tc>
      </w:tr>
      <w:tr>
        <w:trPr>
          <w:trHeight w:val="210"/>
        </w:trPr>
        <w:tc>
          <w:tcPr>
            <w:tcW w:w="2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Product revenues increased $35.8 million from $8.3 million for the three months ended September 27, 2009 to $44.1 million for the three months ended September 26, 2010. As a percentage of total revenue, product revenues were 9.6% for the three months ended September 27, 2009 as compared to 36.8% for the three months ended September 26, 2010. This increase was primarily related to an air defense weapon system munitions contract we were awarded during the first quarter of 2010 and the acquisitions of Gichner and DEI. Service revenue decreased by $2.0 million from $77.8 million for the three months ended September 27, 2009 to $75.8 million for the three months ended September 26, 2010. The decrease was primarily related to the reductions discussed above offset by $5.8 million in service revenue from the Gichner acquisition.</w:t>
      </w:r>
    </w:p>
    <w:p>
      <w:pPr>
        <w:spacing w:after="0" w:line="17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from $68.4 million for the three months ended September 27, 2009 to $94.1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26, 2010. The $25.7 million increase in cost of revenues was primarily a result of the acquisition of Gichner and DEI which had combined cost of revenues of $33.6 million offset by reductions in revenue in our KGS segment. Gross margin increased from 20.6% for the three months ended September 27, 2009 to 21.5% for the three months ended September 26, 2010 as a result of the mix of revenues and the reduction of lower margin work. Margins on services increased for the three months ended September 27, 2009 as compared to September 26, 2010 from 18.1% to 22.7%, respectively, as a result of the planned reductions of lower margin pass through work. Margins on products decreased for the three months ended September 27, 2009 as compared to September 26, 2010 from 43.4% to 19.5%, respectively, as a result of the Gichner acquisition and the associated product mix. Margins in the PSS segment increased from 28.2% for the three months ended September 27, 2009 to 30.9% for the three months ended September 26, 2010 as a result of performance improvements and revenue growth.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$4.6 million from $13.3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27, 2009 to $17.9 million for the three months ended September 26, 2010. The increase was primarily a result of the acquisitions of Gichner and DEI. As a percentage of revenues, SG&amp;A decreased from 15.4% to 14.9% reflecting leverage on our increased revenue. Excluding amortization of intangibles of $1.5 million for the three months ended September 27, 2009 and amortization of intangibles of $2.9 million for the three months ended September 26, 2010, SG&amp;A decreased as a percentage of revenues from 13.7% to 12.5% for the three months ended September 27, 2009 and September 26, 2010, respectively.</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Recovery of Legal Fees in Connection with Litigation. </w:t>
      </w:r>
      <w:r>
        <w:rPr>
          <w:rFonts w:ascii="Arial" w:cs="Arial" w:eastAsia="Arial" w:hAnsi="Arial"/>
          <w:sz w:val="18"/>
          <w:szCs w:val="18"/>
          <w:color w:val="auto"/>
        </w:rPr>
        <w:t>In September 2009, we reached an agreement with the plaintiffs to settle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2004 and 2007 derivative lawsuits. We had previously accrued $0.7 million related to these matters. Based upon the final settlement agreement, we recorded a reduction in the estimated accrual of $0.5 million in the third quarter of 2009. In September 2010, we reached a settlement with one of our D&amp;O insurance carriers to cover costs related to our completed stock option and Department of Justice (“DOJ”) investigations. The settlement received, net of legal expenses, was $1.4 million.</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were $0.4 million for the three months ended September 26, 2010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acquisition of DEI. We had no acquisition expenses for the three months ended September 27, 2009.</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$0.4 million for the three months ended September 27,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for the three months ended September 26, 2010.</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$2.2 million to $6.2 million for the three months ended September 27,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2010, respectively. The increase in expense of $4.0 million is primarily related to a $4.2 million increase in interest expense as a result of the Original Notes issued in May, 2010, primarily to fund the Gichner acquisition.</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Income taxes changed from a benefit of $0.1 million on income of $2.3 million before income taxes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27, 2009 to a benefit of $1.1 million on income of $2.2 million before income taxes for the three months ended September 26, 2010. The benefit for the three months ended September 27, 2009 was primarily due to the true-up of prior-year estimates in the financial statement tax provision to the tax returns actually filed for the year. The benefit for the three months ended September 26, 2010 was primarily related to the acquisition of DEI. In accordance with ASC Topic 805, we established deferred tax liabilities of approximately $1.3 million for the increase in the financial statement basis of the acquired assets of DEI. As a result of our ability to recognize deferred tax assets to offset these deferred tax liabilities, we released the valuation allowances against our deferred tax assets and recognized an income tax benefit of $1.3 million. This benefit was partially offset by federal AMT and current state taxes.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Income (loss) from discontinued operations decreased from income of $0.3 million to a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three months ended September 27, 2009 and September 26, 2010, respectively. The income of $0.3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2009 was primarily due to a reduction in liabilities as a result of the final settlement of sales and use tax liabilities related to our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wireless deployment business. Revenues generated by these businesses were approximately $1.5 million and $0.3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2009 and September 26, 2010, respectively. Income before taxes was $0.3 million for the three months ended September 27, 2009 and a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three months ended September 26, 2010. In August, 2010, the Company divested its Southeast Division for approximately $0.1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consideration and the assumption of certain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27, 2009 to the Nine Months Ended September 26, 2010</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$28.4 million from $259.3 million for the nine months ended September 27, 2009 to $287.7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26, 2010. As a percentage of total revenue, product revenues were 6.5% for the nine months ended September 27, 2009 as compared to 26.5% for the nine months ended September 26, 2010. This increase was primarily due to the acquisition of Gichner and DEI, which had combined revenues of $60.5 million, offset by planned reductions of lower margin pass through work, and to a lesser extent, reductions of small business set aside contract work from companies we previously acquired and in-sourcing of our employees by the U.S. government in KGS segment. Revenues by operating segment for the nine months ended September 27, 2009 and September 26, 2010 are as follows (in millions):</w:t>
      </w:r>
    </w:p>
    <w:p>
      <w:pPr>
        <w:sectPr>
          <w:pgSz w:w="11900" w:h="16838" w:orient="portrait"/>
          <w:cols w:equalWidth="0" w:num="1">
            <w:col w:w="11420"/>
          </w:cols>
          <w:pgMar w:left="240" w:top="118" w:right="239" w:bottom="0" w:gutter="0" w:footer="0" w:header="0"/>
        </w:sectPr>
      </w:pPr>
    </w:p>
    <w:bookmarkStart w:id="20" w:name="page21"/>
    <w:bookmarkEnd w:id="20"/>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3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Product revenues increased $59.3 million from $16.9 million for the nine months ended September 27, 2009 to $76.2 million for the nine months ended September 26, 2010. As a percent of total revenues, products sales were 6.5% of revenue for the nine months ended September 27, 2009 as compared to 26.5% of revenue for the nine months ended September 26, 2010. This increase was primarily related to the acquisition of Gichner and DEI, and an air defense weapon system munitions contract we were awarded during the first quarter of 2010. Service revenue decreased by $30.9 million from $242.4 million for the nine months ended September 27, 2009 to $211.5 million for the nine months ended September 26, 2010 primarily related to the planned reductions discussed above.</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$207.0 million for the nine months ended September 27, 2009 to $224.0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26, 2010. The $17.0 million increase in cost of revenues was primarily a result of reductions in revenue in our KGS segment partially offset by the acquisition of Gichner and DEI which had combined cost of revenues of $49.5 million. Gross margin increased from 20.2% for the nine months ended September 27, 2009 to 22.1% for the nine months ended September 26, 2010. Margins on services increased for the nine months ended September 27, 2009 as compared to September 26, 2010 from 19.4% to 23.4%, respectively, as a result of the planned reductions of lower margin pass through work, and margins on products decreased for the nine months ended September 27, 2009 as compared to September 26, 2010 from 30.8% to 18.6%, respectively, primarily as a result of the acquisition of Gichner and the associated product mix. Margins in the PSS segment increased from 29.1% for the nine months ended September 27, 2009 to 33.2% for the nine months ended September 26, 2010 as a result of performance improvements and revenue growth.</w:t>
      </w:r>
    </w:p>
    <w:p>
      <w:pPr>
        <w:spacing w:after="0" w:line="16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increased $5.2 million from $40.3 million for the nine months ended September 27, 2009 to</w:t>
      </w:r>
      <w:r>
        <w:rPr>
          <w:rFonts w:ascii="Arial" w:cs="Arial" w:eastAsia="Arial" w:hAnsi="Arial"/>
          <w:sz w:val="18"/>
          <w:szCs w:val="18"/>
          <w:i w:val="1"/>
          <w:iCs w:val="1"/>
          <w:color w:val="auto"/>
        </w:rPr>
        <w:t xml:space="preserve"> </w:t>
      </w:r>
      <w:r>
        <w:rPr>
          <w:rFonts w:ascii="Arial" w:cs="Arial" w:eastAsia="Arial" w:hAnsi="Arial"/>
          <w:sz w:val="18"/>
          <w:szCs w:val="18"/>
          <w:color w:val="auto"/>
        </w:rPr>
        <w:t>$45.5 million for the nine months ended September 26, 2010. The increase was primarily a result of $6.4 million in SG&amp;A expenses related to Gichner and DEI in the nine months ended September 26, 2010, partially offset by non-recurring expenses for the nine months ended September 27, 2009 of $0.6 million related to an accrual of unused office space. As a percentage of revenues, SG&amp;A increased slightly from 15.5% to 15.8%. Excluding amortization of intangibles of $4.4 million for the nine months ended September 27, 2009 and amortization of intangibles of $6.2 million for the nine months ended September 26, 2010, SG&amp;A decreased slightly as a percentage of revenues from 13.8% to 13.7% for the nine months ended September 27, 2009 and September 26, 2010, respectively.</w:t>
      </w:r>
    </w:p>
    <w:p>
      <w:pPr>
        <w:spacing w:after="0" w:line="18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i w:val="1"/>
          <w:iCs w:val="1"/>
          <w:color w:val="auto"/>
        </w:rPr>
        <w:t xml:space="preserve">Recovery of legal fees in connection with litigation. </w:t>
      </w:r>
      <w:r>
        <w:rPr>
          <w:rFonts w:ascii="Arial" w:cs="Arial" w:eastAsia="Arial" w:hAnsi="Arial"/>
          <w:sz w:val="16"/>
          <w:szCs w:val="16"/>
          <w:color w:val="auto"/>
        </w:rPr>
        <w:t>In September 2009, we reached an agreement with the plaintiffs to settle the outstanding 2004</w:t>
      </w:r>
      <w:r>
        <w:rPr>
          <w:rFonts w:ascii="Arial" w:cs="Arial" w:eastAsia="Arial" w:hAnsi="Arial"/>
          <w:sz w:val="16"/>
          <w:szCs w:val="16"/>
          <w:i w:val="1"/>
          <w:iCs w:val="1"/>
          <w:color w:val="auto"/>
        </w:rPr>
        <w:t xml:space="preserve"> </w:t>
      </w:r>
      <w:r>
        <w:rPr>
          <w:rFonts w:ascii="Arial" w:cs="Arial" w:eastAsia="Arial" w:hAnsi="Arial"/>
          <w:sz w:val="16"/>
          <w:szCs w:val="16"/>
          <w:color w:val="auto"/>
        </w:rPr>
        <w:t>and 2007 derivative lawsuits. We had previously accrued $0.7 million related to these matters. Based upon the final settlement agreement, we recorded a reduction in the estimated accrual of $0.5 million in the third quarter of 2009. In September 2010, we reached a settlement with one of our D&amp;O insurance carriers to cover costs related to our completed stock option and DOJ investigations. The settlement received, net of legal expenses, was $1.4 million.</w:t>
      </w:r>
    </w:p>
    <w:p>
      <w:pPr>
        <w:spacing w:after="0" w:line="154"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i w:val="1"/>
          <w:iCs w:val="1"/>
          <w:color w:val="auto"/>
        </w:rPr>
        <w:t xml:space="preserve">Merger and Acquisition Expenses. </w:t>
      </w:r>
      <w:r>
        <w:rPr>
          <w:rFonts w:ascii="Arial" w:cs="Arial" w:eastAsia="Arial" w:hAnsi="Arial"/>
          <w:sz w:val="17"/>
          <w:szCs w:val="17"/>
          <w:color w:val="auto"/>
        </w:rPr>
        <w:t>Merger and acquisition expenses were $1.5 million for the nine months ended September 26, 2010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our acquisitions of Gichner and DEI. We had no acquisition expenses for the nine months ended September 27, 2009.</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$1.3 million for the nine months ended September 27,</w:t>
      </w:r>
      <w:r>
        <w:rPr>
          <w:rFonts w:ascii="Arial" w:cs="Arial" w:eastAsia="Arial" w:hAnsi="Arial"/>
          <w:sz w:val="18"/>
          <w:szCs w:val="18"/>
          <w:i w:val="1"/>
          <w:iCs w:val="1"/>
          <w:color w:val="auto"/>
        </w:rPr>
        <w:t xml:space="preserve"> </w:t>
      </w:r>
      <w:r>
        <w:rPr>
          <w:rFonts w:ascii="Arial" w:cs="Arial" w:eastAsia="Arial" w:hAnsi="Arial"/>
          <w:sz w:val="18"/>
          <w:szCs w:val="18"/>
          <w:color w:val="auto"/>
        </w:rPr>
        <w:t>2009 to $1.6 million for the nine months ended September 26, 2010.</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The impairment charge of $41.3 million for the nine months ended September 27, 2009, was primarily driven by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market conditions that caused a decrease in current market multiples and our average stock price as of February 28, 2009, compared with the impairment test performed as of December 28, 2008. In our analysis, we used the income approach and validated its reasonableness by considering our market capitalization based upon an average of our stock price for a period prior to and subsequent to the date we performed our analysis. The average market price of our stock as of February 28, 2009 was $7.80 per share which equates to a 39% drop in our average stock price and corresponding market capitalization from December 28, 2008 which had an average stock price of $12.90 per share. We reconciled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from a commercial wireless service provider to a U.S. government defense contractor. The decline in revenues,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6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contracts are long-term in nature and are supported by significant backlog. Because our contracts are of a long-term nature and a majority of our receivables are with agencies within the U.S. government or we are a subcontractor to a customer whose receivables are with agencies within the U.S. government, we are not subject to significant short term changes in operating cash flow. Moreover, because of the nature of our current business we do not have significant capital expenditure requirements. Additionally, our contract base is highly diversified and the loss of any one contract would not impact</w:t>
      </w:r>
    </w:p>
    <w:p>
      <w:pPr>
        <w:sectPr>
          <w:pgSz w:w="11900" w:h="16945" w:orient="portrait"/>
          <w:cols w:equalWidth="0" w:num="1">
            <w:col w:w="11460"/>
          </w:cols>
          <w:pgMar w:left="240" w:top="118" w:right="199" w:bottom="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t>revenues by more than 6%. In addition, we did not assume a recovery of the global or national economy in our cash flow projections in either analysis. The charge does not impact our normal business operations.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$7.9 million to $15.0 million for the nine months ended September 27,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2010, respectively. The increase in other expense of $7.1 million is primarily related to an increase in interest expense of $3.9 million as a result of the write-off of deferred financing fees associated with our prior credit facilities and an increase in interest expense as a result of the $225.0 million offering of the Original Notes partially offset by a decrease of $1.0 million in other expense primarily related to the non-cash charges to mark our interest rate derivative to market.</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decreased from a provision of $0.5 million on a loss of $38.3 million before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27, 2009 to a benefit of $12.5 million on income before income taxes of $1.5 million for the nine months ended September 26, 2010. The provision for the nine months ended September 27, 2009 was primarily due to current state taxes. The benefit for the nine months ended September 26, 2010 was primarily related to the acquisitions of Gichner and DEI. In accordance with ASC Topic 805, we established deferred tax liabilities of approximately $16.2 million and $1.3 million for the increase in the financial statement basis of the acquired assets of Gichner and DEI, respectively. As a result of our ability to offset deferred tax assets for these deferred tax liabilities, we released the valuation allowances against our deferred tax assets and recognized an income tax benefit of $13.5 million. This benefit was partially offset by current state taxes of $1.0 million.</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Loss from discontinued operations improved from a loss of $3.1 million to income of $0.1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27, 2009 and September 26, 2010, respectively. In 2009, $2.0 million of the loss was related to the impairment of assets related to the Southeast Division recorded to reflect management’s estimate of the fair value of this business. In 2010, the income was primarily due to a reduction in liabilities as a result of the final settlement of sales and use tax liabilities related to our discontinued wireless deployment business partially offset by losses in the Southeast Division. Revenues generated by these businesses were approximately $4.1 million and $2.2 million for the nine months ended September 27, 2009 and September 26, 2010, respectively. Excluding the impairment charge, losses before taxes were $1.5 million for the nine months ended September 27, 2009 and $0.7 million for the nine months ended September 26, 2010. For the nine months ended September 27, 2009 and September 26, 2010, we recognized a tax benefit of $0.4 million and $0.8 million, respectively, primarily related to the expiration of the statute of limitations for certain domestic and foreign tax contingencies. In August 2010, the Company divested its Southeast Division for approximately $0.1 million cash consideration and the assumption of certain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As of September 27, 2009 and September 26, 2010, our backlog was approximately $620 million and $660 million, respectively, of which</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$130 million was funded in 2009 and $285 million in 2010.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ended the third quarter of 2010 with a cash balance of $51.3 million, compared with a cash balance of $9.9 million at the end of 2009. Our net debt (total debt less cash and cash equivalents) increased by $128.2 million, from $45.5 million on December 27, 2009 to $173.7 million at September 26, 2010. This increase was the result of the offering of the Original Notes in the aggregate amount of $225.0 million, the proceeds of which were primarily used to (i) finance the acquisition of Gichner for a total purchase price of $133.0 million, (ii) refinance existing debt of $54.5 million under our senior secured credit facility with KeyBank and Bank of America Securities, LLC, (iii) finance the acquisition of DEI, and (iv) provide additional cash for general corporate purposes. Concurrent with the completion of the offering of the Original Notes, we entered into the May 2010 Credit Agreement with certain lenders and with KeyBank, for a four year senior secured revolving credit facility in the amount of $25.0 million.</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w:t>
      </w:r>
    </w:p>
    <w:p>
      <w:pPr>
        <w:sectPr>
          <w:pgSz w:w="11900" w:h="16838" w:orient="portrait"/>
          <w:cols w:equalWidth="0" w:num="1">
            <w:col w:w="11400"/>
          </w:cols>
          <w:pgMar w:left="240" w:top="125" w:right="259" w:bottom="0" w:gutter="0" w:footer="0" w:header="0"/>
        </w:sectPr>
      </w:pPr>
    </w:p>
    <w:bookmarkStart w:id="22" w:name="page23"/>
    <w:bookmarkEnd w:id="22"/>
    <w:p>
      <w:pPr>
        <w:ind w:right="500"/>
        <w:spacing w:after="0" w:line="277" w:lineRule="auto"/>
        <w:rPr>
          <w:sz w:val="20"/>
          <w:szCs w:val="20"/>
          <w:color w:val="auto"/>
        </w:rPr>
      </w:pPr>
      <w:r>
        <w:rPr>
          <w:rFonts w:ascii="Arial" w:cs="Arial" w:eastAsia="Arial" w:hAnsi="Arial"/>
          <w:sz w:val="18"/>
          <w:szCs w:val="18"/>
          <w:color w:val="auto"/>
        </w:rPr>
        <w:t>as quickly as we pay our vendors and employees for their goods and services. Cash from continuing operations is primarily derived from our customer contracts in progress and associated changes in working capital components.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r>
      <w:tr>
        <w:trPr>
          <w:trHeight w:val="171"/>
        </w:trPr>
        <w:tc>
          <w:tcPr>
            <w:tcW w:w="5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provided by operating activities from continuing operations for the nine months ended September 26, 2010 includes $1.5 million in transaction costs paid related to the Gichner and DEI acquisitions.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Nine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r>
      <w:tr>
        <w:trPr>
          <w:trHeight w:val="171"/>
        </w:trPr>
        <w:tc>
          <w:tcPr>
            <w:tcW w:w="5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(142.3)</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Payments from the disposition of discontinued operations</w:t>
            </w:r>
          </w:p>
        </w:tc>
        <w:tc>
          <w:tcPr>
            <w:tcW w:w="14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May 19, 2010, we purchased Gichner for $132.9 million net of cash acquired of $0.1 million. On August 9, 2010, we purchased DEI for $9.0 million, net of cash acquired of $0.0 million. In September 2010, we paid $0.4 million related to the Contingent Consideration for the DEI acquisition as a result of a collection milestone that was achieved. For the nine months ended September 27, 2009, cash paid for contingent acquisition consideration accounted for the most significant outlays for investing activities as a result of the implementation of our strategies to diversify our business while focusing on our core competencies. During the nine months ended September 27, 2009, we made the final holdback payment of $2.4 million for the MRC acquisition and the first holdback payment of $0.6 million related to the Haverstick acquisition. In addition, we paid $1.5 million to Platinum Equity related to the working capital adjustment for the sale of our domestic wireless business which was partially offset by proceeds of $0.4 million related to the sale of our discontinued SYS commercial businesses.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financing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Borrowings under credit facility</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under credit facility</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Payments of subordinated debt</w:t>
            </w: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Net cash provided by (used in) financing activities from continuing</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6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140" w:type="dxa"/>
            <w:vAlign w:val="bottom"/>
            <w:vMerge w:val="continue"/>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nine months ended September 26, 2010, cash provided by financing activities was primarily related to the proceeds from the offering of the Original Notes in the aggregate amount of $225.0 million, which proceeds were primarily used to finance the acquisitions of Gichner and DEI, as well as, refinance our senior secured credit facility with KeyBank and Bank of America, N.A.</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the nine months ended September 27, 2009, cash used in financing activities was primarily related to payments of $2.1 million on the subordinated debt we assumed in the SYS acquisition and principal payments under the terms of our credit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discontinued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26,</w:t>
            </w:r>
          </w:p>
        </w:tc>
      </w:tr>
      <w:tr>
        <w:trPr>
          <w:trHeight w:val="171"/>
        </w:trPr>
        <w:tc>
          <w:tcPr>
            <w:tcW w:w="5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bl>
    <w:p>
      <w:pPr>
        <w:spacing w:after="0" w:line="202"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cash flows used by discontinued operations decreased by $2.6 million primarily as a result of the use of less cash by the SYS commercial businesses which were sold during the first quarter of 2009 and collection of receivables in our Southeast Division in 2010.</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ectPr>
          <w:pgSz w:w="11900" w:h="16838" w:orient="portrait"/>
          <w:cols w:equalWidth="0" w:num="1">
            <w:col w:w="11360"/>
          </w:cols>
          <w:pgMar w:left="240" w:top="125" w:right="299" w:bottom="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May 2010 10% Senior Secured Note Offering</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19, 2010, we issued the Original Notes in an unregistered offering pursuant to Rule 144A and Regulation S under the Securities Act. On August 11, 2010, the Company completed an exchange offer for the Original Notes pursuant to a registration rights agreement entered into in connection with the issuance of the Original Notes. In the exchange offer, we offered to exchange the Original Notes for a like aggregate amount of 10% Senior Secured Notes due June 1, 2017 registered under the Securities Act. The Exchange Notes have substantially similar terms as the Original Notes, except that the Exchange Notes do not have transfer restrictions or registration rights. The Exchange Notes are fully and unconditionally guaranteed, jointly and severally, on a senior secured basis by the Company and each of its subsidiaries, as the guarantors thereof. We will pay interest on the Exchange Notes semi-annually, in arrears, on June 1 and December 1 of each year, beginning December 1, 2010.</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Exchange Notes are secured by a lien on substantially all of the Company’s assets and the assets of the guarantors thereunder, subject to certain exceptions and permitted liens. The holders of the Exchange Notes have a first priority lien on substantially all assets of the Company and the guarantors, except accounts receivable, inventories, deposit accounts, securities accounts, cash, securities and general intangibles (other than intellectual property) where the holders of the Exchange Notes have a second priority lien to the $25.0 million revolving line of credit described below.</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Exchange Notes include customary covenants and events of default as well as a consolidated fixed charge ratio of 2.0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26, 2010 the Company was in compliance with the covenants contained in the Exchange Notes.</w:t>
      </w:r>
    </w:p>
    <w:p>
      <w:pPr>
        <w:spacing w:after="0" w:line="18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On or after June 1, 2014, we may redeem some or all of the Exchange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Exchange Notes at 110% of the aggregate principal amount of the Exchange Notes, plus accrued and unpaid interest to the redemption date, with the net cash proceeds of certain equity offerings. In addition, we may, at our option, redeem some or all of the Exchange Notes at any time prior to June 1, 2014, by paying a “make whole” premium, plus accrued and unpaid interest, if any, to the date of redemption.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$25 Million Credit Facility</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May 19, 2010, we entered into the May 2010 Credit Agreement with KeyBank, each of our subsidiaries, as guarantors, and the lenders party thereto, for a four year senior secured revolving credit facility in the amount of $25.0 million. The Revolver is secured by a lien on substantially all of the Company’s assets and the assets of the guarantors thereunder, subject to certain exceptions and permitted liens. The Revolver has a first priority lien on accounts receivable, inventories, deposit accounts, securities accounts, cash, securities and general intangibles (other than intellectual property). On all other assets, the Revolver has a second priority lien to the Exchange Notes.</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Revolver is available for four years and may be increased to $45.0 million. The increases in the Revolver are subject to the consent of KeyBank and compliance with covenants in the Exchange Notes. The amounts of borrowings that may be made under the Revolver are based on a borrowing base and are comprised of specified percentages of eligible receivables and eligible inventory, up to a maximum of $25.0 million. If the amount of borrowings outstanding under the Revolver exceeds the borrowing base then in effect, then we are required to repay such borrowings in an amount sufficient to eliminate such excess. The Revolver includes $10.0 million of availability for letters of credit and $5.0 million of availability for swingline loans.</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3"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As of September 26, 2010 we had no outstanding borrowings on the Revolver and $2.3 million in outstanding letters of credit resulting in net availability of $22.7 million. We were in compliance with the covenants contained in the Revolver as of September 26, 2010.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May 19, 2010, we had a revolving credit facility with KeyBank, as administrative agent and lender, in the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$60.0 million, which was secured by the assets of the Company and its subsidiaries. This Second Credit Facility was entered into on March 3, 2010 and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comprised of (i) $35.0 million term loan facility and (ii) $25.0 million revolving line of credit. Bank of America, N.A., was syndication agent and lender,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KeyBanc Capital Markets and Banc of America Securities LLC, acted as co-lead arrangers and book runners. All rates were subject to a LIBOR floor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2.75% and a “prime rate” floor of 5.25%. On May 19, 2010 the outstanding balance of $54.5 million was paid in full. As a result of the refinance,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recorded an interest charge of approximately $1.7 million in the second quarter of 2010 relating to the write-off of previously deferred financing costs.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$85 Million Credit Facility</w:t>
      </w:r>
    </w:p>
    <w:p>
      <w:pPr>
        <w:sectPr>
          <w:pgSz w:w="11900" w:h="16838" w:orient="portrait"/>
          <w:cols w:equalWidth="0" w:num="1">
            <w:col w:w="11420"/>
          </w:cols>
          <w:pgMar w:left="240" w:top="341" w:right="239" w:bottom="100" w:gutter="0" w:footer="0" w:header="0"/>
        </w:sectPr>
      </w:pPr>
    </w:p>
    <w:bookmarkStart w:id="24" w:name="page25"/>
    <w:bookmarkEnd w:id="24"/>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March 3, 2010, we had a credit facility of $85.0 million with KeyBank, as administrative agent. This First Credit Facility provided for</w:t>
      </w:r>
    </w:p>
    <w:p>
      <w:pPr>
        <w:spacing w:after="0" w:line="35" w:lineRule="exact"/>
        <w:rPr>
          <w:sz w:val="20"/>
          <w:szCs w:val="20"/>
          <w:color w:val="auto"/>
        </w:rPr>
      </w:pPr>
    </w:p>
    <w:p>
      <w:pPr>
        <w:ind w:right="120" w:firstLine="8"/>
        <w:spacing w:after="0" w:line="277" w:lineRule="auto"/>
        <w:tabs>
          <w:tab w:leader="none" w:pos="2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two term loans consisting of a first lien term note of $50.0 million and a second lien term note of $10.0 million and (ii) a first lien $25.0 million revolving line of credit. The First Credit Facility was secured by the assets of the Company and its subsidiaries. KeyBank held the revolving line of credit and the second lien term note. Field Point III, Ltd. and SPF CDO I, Ltd., both affiliates of Silverpoint, held the first lien term note.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2010 the outstanding balance of $55.4 million was paid in full as a result of the refinance described above. Approximately</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$25.0 million of the proceeds were used to pay in full the remaining balance on the first lien term loan under the First Credit Facility held by Silverpoint, at par, with no prepayment penalties, pursuant to the Settlement Agreement that we entered into with Silverpoint in October 2009. As a result of the refinance, we recorded an interest charge of approximately $2.2 million in the first quarter of 2010 relating to the write-off of previously deferred financing costs.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the Company paid-off approximately $0.5 million of the notes plus accrued interest in cash. Holders of approximately $0.5 million of the notes elected to have their notes converted into approximately 45,000 shares of the Company’s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related to the DEI Transaction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DEI Agreement provides that upon achievement of certain cash receipts, revenue, EBITDA and backlog amounts in 2010, 2011 and 2012, the Company shall pay the former stockholders of DEI certain additional Contingent Consideration. The potential undiscounted amount of all future Contingent Consideration that may be payable by the Company under the DEI Agreement is between zero and $12.3 million. The Contingent Consideration will be reduced in the event certain anticipated cash receipts are not collected within agreed upon time periods, which could decrease the future payments by approximately $8.6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October 5, 2010, we announced that the Company had entered into the HBE Agreement, with Hammer Acquisition Inc., a Delaware corporation and a wholly-owned subsidiary of the Company, and Henry Bros. Electronics, Inc., a Delaware corporation. Pursuant to the terms and subject to the conditions set forth in the HBE Agreement, Merger Sub will merge with and into HBE, and HBE will continue as the surviving corporation and as a wholly-owned subsidiary of the Company.</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Pursuant to the terms of the HBE Agreement, the Company will acquire all outstanding shares of HBE common stock in a cash merger valued at approximately $45 million. Upon completion of the Merger (i) each outstanding share of HBE common stock (other than shares of HBE common stock owned by the Company, Merger Sub, or HBE stockholders, if any, who have perfected statutory dissenters’ rights under Delaware law) will be converted into the right to receive $7.00 in cash, without interest, (ii) all outstanding options to purchase HBE common stock will be assumed by the Company and converted into options to purchase common stock of the Company; and (iii) all warrants to purchase HBE common stock, whether or not then exerciseable or vested, shall be canceled. The number of shares of common stock of the Company subject to each Assumed Option and the exercise price of each such option will be appropriately adjusted based on the exchange ratio, which shall be equal to 0.6552. See Note 15 to the Notes to the Condensed Consolidated Financial Statements for a further discussion of this transaction.</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October 12, 2010, the Company sold approximately 2.5 million shares of its common stock at a purchase price of $10.20 per share in an underwritten public offering. The Company received gross proceeds of approximately $25.8 million. After deducting underwriting fees and other offering expenses, the Company received approximately $24.6 million in net proceeds. The Company expects to use the net proceeds from this transaction to fund the purchase price for the acquisition of HBE. To the extent that the net proceeds are not applied to the HBE acquisition, the Company intends to use the proceeds for general corporate purposes, including the funding of potential strategic acquisitions and other general corporate expenses.</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September 26, 2010, we had working capital of $92.5 million compared to $37.1 million at December 27, 2009. The increase was primarily due to the acquisition of Gichner and issuance of the Original Notes. We believe that our cash on hand, together with funds available under the Revolver and cash expected to be generated from operating activities, will be sufficient to fund our anticipated working capital and other cash needs for at least the next 12 months.</w:t>
      </w:r>
    </w:p>
    <w:p>
      <w:pPr>
        <w:spacing w:after="0" w:line="18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may also pursue business acquisitions and other transactions designed to expand our business, which we would expect to fund from borrowings under the Revolver, other future indebtedness or, if appropriate, the private and/or public sale or exchange of our debt or equity securities.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discussed in Part II, Item 1A, “Risk Factors” of the 2009 Form 10-K, our quarterly and annual operating results have fluctuated in the past and may vary in the future due to a variety of factors, many of which are external to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Form 10-Q, which have been prepared in accordance with GAAP.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nine months ended September 26, 2010, there have been no significant changes to our Critical Accounting Policies or Estimates compared to the significant accounting policies described in the 2009 Form 10-K, with the following exceptions: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In accounting for the Company’s long-term contracts for production of products provided to the federal government, the Company utilizes both cost-to-cost and units produced measures under the percentage-of-completion method of accounting under the provisions of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w:t>
      </w:r>
    </w:p>
    <w:p>
      <w:pPr>
        <w:sectPr>
          <w:pgSz w:w="11900" w:h="16885" w:orient="portrait"/>
          <w:cols w:equalWidth="0" w:num="1">
            <w:col w:w="11420"/>
          </w:cols>
          <w:pgMar w:left="240" w:top="125" w:right="239" w:bottom="0" w:gutter="0" w:footer="0" w:header="0"/>
        </w:sectPr>
      </w:pPr>
    </w:p>
    <w:bookmarkStart w:id="25" w:name="page26"/>
    <w:bookmarkEnd w:id="25"/>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generally using sales values for units in accordance with the contract terms. The Company estimates profit as the difference between total estimated revenue and total estimated cost of a contract and recognizes that profit over the life of the contract based on units produced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2010, the FASB issued ASU No. 2010-06, </w:t>
      </w:r>
      <w:r>
        <w:rPr>
          <w:rFonts w:ascii="Arial" w:cs="Arial" w:eastAsia="Arial" w:hAnsi="Arial"/>
          <w:sz w:val="18"/>
          <w:szCs w:val="18"/>
          <w:i w:val="1"/>
          <w:iCs w:val="1"/>
          <w:color w:val="auto"/>
        </w:rPr>
        <w:t>Improving Disclosures about Fair Value Measurements</w:t>
      </w:r>
      <w:r>
        <w:rPr>
          <w:rFonts w:ascii="Arial" w:cs="Arial" w:eastAsia="Arial" w:hAnsi="Arial"/>
          <w:sz w:val="18"/>
          <w:szCs w:val="18"/>
          <w:color w:val="auto"/>
        </w:rPr>
        <w:t>, which, among other things, amends ASC Topic 820 to require entities to separately present purchases, sales, issuances, and settlements in their reconciliation of Level 3 fair value measurements (i.e., to present such items on a gross basis rather than on a net basis), and which clarifies existing disclosure requirements provided by ASC 820 regarding the level of disaggregation and the inputs and valuation techniques used to measure fair value for measurements that fall within either Level 2 or Level 3 of the fair value hierarchy. ASU No.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Our adoption of this standard had no impact on our consolidated financial position, results of operations or cash flows.</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new accounting pronouncements issued or effective during the nine month period ended September 26, 2010 have not had or are not expected to have a material impact on the Company’s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Exposure to market risk for changes in interest rates relates to our outstanding debt. At September 26, 2010, we had no debt outstanding that was subject to variable interest rates. We are exposed to interest rate risk primarily through our borrowing activities under our Revolver discussed in Item 2 of this Report. Based on our current outstanding balances as a result of the refinancing in May 2010,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6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Cash and cash equivalents as of September 26, 2010 were $51.3 million and are primarily invested in money market interest bearing accounts. A hypothetical 10% adverse change in the average interest rate on our money market cash investments and short-term investments would have had no material effect on net income for the nine month period ended September 26,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September 26, 2010.</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nine months ended September 26, 2010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was previously a defendant in two derivative lawsuits, In re Wireless Facilities, Inc. Derivative Litigation, Lead Case No 04CV1663-JAH and In re Wireless Facilities, Inc. Derivative Litigation, California Superior Court, San Diego County, Lead Case GIC 834253. In October 2009, the parties reached an agreement in principle to settle all claims. In March 2010, the district court granted final approval of the proposed settlement and issued its Final Judgment and Order of Dismissal. In May 2010, all appeal rights expired. The details of the settlement are set forth in the settlement papers filed with the court.</w:t>
      </w:r>
    </w:p>
    <w:p>
      <w:pPr>
        <w:spacing w:after="0" w:line="18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Except as described above, there have been no material developments in our legal proceedings since December 27, 2009. For additional information regarding the Company’s legal proceedings, see Item 3, “Legal Proceedings” in our Annual Report on Form 10-K for the year ended December 27, 2009.</w:t>
      </w:r>
    </w:p>
    <w:p>
      <w:pPr>
        <w:sectPr>
          <w:pgSz w:w="11900" w:h="16975"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the 2009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2009 Form 10-K, except as follows:</w:t>
      </w:r>
    </w:p>
    <w:p>
      <w:pPr>
        <w:spacing w:after="0" w:line="18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new credit facility contains restrictive covenants that could limit our ability to operate our business and, if not satisfied, could result in the acceleration of any amounts then due under the credit facility.</w:t>
      </w:r>
    </w:p>
    <w:p>
      <w:pPr>
        <w:spacing w:after="0" w:line="170" w:lineRule="exact"/>
        <w:rPr>
          <w:sz w:val="20"/>
          <w:szCs w:val="20"/>
          <w:color w:val="auto"/>
        </w:rPr>
      </w:pPr>
    </w:p>
    <w:p>
      <w:pPr>
        <w:ind w:right="100" w:firstLine="504"/>
        <w:spacing w:after="0" w:line="277" w:lineRule="auto"/>
        <w:rPr>
          <w:sz w:val="20"/>
          <w:szCs w:val="20"/>
          <w:color w:val="auto"/>
        </w:rPr>
      </w:pPr>
      <w:r>
        <w:rPr>
          <w:rFonts w:ascii="Arial" w:cs="Arial" w:eastAsia="Arial" w:hAnsi="Arial"/>
          <w:sz w:val="18"/>
          <w:szCs w:val="18"/>
          <w:color w:val="auto"/>
        </w:rPr>
        <w:t>The agreement governing our credit facility subjects us to various financial and other covenants with which we must comply. These covenants require that we maintain a minimum fixed charge coverage ratio and include restrictions on our ability to:</w:t>
      </w:r>
    </w:p>
    <w:p>
      <w:pPr>
        <w:spacing w:after="0" w:line="170"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 and effect certain acquisitions;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acquire new subsidiaries;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w:t>
      </w:r>
    </w:p>
    <w:p>
      <w:pPr>
        <w:spacing w:after="0" w:line="211"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Upon the occurrence of any event of default under our credit agreement, our lenders could elect to declare all amounts then outstanding on our credit facility, together with accrued interest, to be immediately due and payable. If our lenders were to accelerate payment of these amounts, we may not have sufficient assets to repay them in full. In addition, if we fail to comply with these financial and other covenants, or are otherwise unable to make scheduled debt payments or comply with the other provisions of our debt instruments, our lenders may be permitted under certain circumstances to deny future access to liquidity, seize control of substantially all of our assets and exercise other remedies provided for in those agreements and under applicable law.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If we determine that it is necessary to raise additional funds, either through an expansion or refinancing of our credit facility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facility may limit our access to capital, and we could fall out of compliance with financial and other covenants contained in our credit facility which, if not waived, would restrict our access to capital and could require us to pay down our existing debt under the credit facility. Our lenders may not agree to extend additional or continuing credit under our credit facility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Federal and state income tax laws impose restrictions on the utilization of NOLs and tax credit carryforwards in the event that an “ownership change” occurs for tax purposes, as defined by Section 382 of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times the greater of the long-term tax-exempt rate determined by the IRS in the month of the ownership change or the two preceding months. We believe that an “ownership change” may have occurred which could limit the utilization of the loss carryforwards. We are currently evaluating the extent of the limitation on our annual utilization of the NOL carryforwards. Any potential limitation would not impact the income tax provision for the quarter ended September 26, 2010. In addition, future equity offerings or acquisitions that have equity as a component of the purchase price could result in an “ownership change”. If and when an “ownership change” occurs, utilization of the NOL or other tax attributes may be further limited.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Recent Acquisition of Gichner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of our recent acquisition of Gichner because of integration difficulties.</w:t>
      </w:r>
    </w:p>
    <w:p>
      <w:pPr>
        <w:spacing w:after="0" w:line="225"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On May 19, 2010, we acquired 100% of the voting equity interests of Gichner headquartered in Dallastown, Pennsylvania, pursuant to the Purchase Agreement. Integrating the operations of the businesses of Gichner successfully or otherwise realizing any of the anticipated benefits of the acquisition of Gichner, including anticipated cost savings and additional revenue opportunities, involves a number of potential challenges. The failure to meet these integration challenges could seriously harm our financial condition and results of operations. Realizing the benefits of the acquisition will depend in part on the integration of information technology (“IT”) operations and personnel. These integration activities are complex and time-consuming and we may encounter unexpected difficulties or incur unexpected costs, including:</w:t>
      </w:r>
    </w:p>
    <w:p>
      <w:pPr>
        <w:spacing w:after="0" w:line="193"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ectPr>
          <w:pgSz w:w="11900" w:h="16838" w:orient="portrait"/>
          <w:cols w:equalWidth="0" w:num="1">
            <w:col w:w="11420"/>
          </w:cols>
          <w:pgMar w:left="240" w:top="337" w:right="239" w:bottom="0" w:gutter="0" w:footer="0" w:header="0"/>
        </w:sectPr>
      </w:pPr>
    </w:p>
    <w:bookmarkStart w:id="27" w:name="page28"/>
    <w:bookmarkEnd w:id="27"/>
    <w:p>
      <w:pPr>
        <w:ind w:left="660" w:right="26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in integrating personnel from different corporate cultures while maintaining focus on providing consistent, high quality customer service;</w:t>
      </w:r>
    </w:p>
    <w:p>
      <w:pPr>
        <w:spacing w:after="0" w:line="46" w:lineRule="exact"/>
        <w:rPr>
          <w:rFonts w:ascii="Arial" w:cs="Arial" w:eastAsia="Arial" w:hAnsi="Arial"/>
          <w:sz w:val="16"/>
          <w:szCs w:val="16"/>
          <w:color w:val="auto"/>
        </w:rPr>
      </w:pPr>
    </w:p>
    <w:p>
      <w:pPr>
        <w:ind w:left="660" w:right="24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Gichner that the acquisition will not result in adverse changes in customer service standards or business focus; and</w:t>
      </w: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may not successfully integrate the operations of the businesses of Gichner in a timely manner, and we may not realize the anticipated benefits and synergies of the acquisition of Gichner to the extent, or in the time frame, anticipated.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significantly increased our leverage in connection with our financing of our acquisition of Gichner.</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incurred approximately $225.0 million of indebtedness in the form of 10% Senior Secured Notes in connection with our financing of our acquisition of Gichner. As a result of this indebtedness, our interest payment obligations have increased. The degree to which we will be leveraged could have adverse effects on our business, including the following:</w:t>
      </w:r>
    </w:p>
    <w:p>
      <w:pPr>
        <w:spacing w:after="0" w:line="181" w:lineRule="exact"/>
        <w:rPr>
          <w:sz w:val="20"/>
          <w:szCs w:val="20"/>
          <w:color w:val="auto"/>
        </w:rPr>
      </w:pPr>
    </w:p>
    <w:p>
      <w:pPr>
        <w:ind w:left="1140" w:right="500" w:hanging="322"/>
        <w:spacing w:after="0" w:line="277" w:lineRule="auto"/>
        <w:tabs>
          <w:tab w:leader="none" w:pos="11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the Original Notes or the Exchange Notes, and our other indebtedness and contractual and commercial commitments;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right="360" w:hanging="322"/>
        <w:spacing w:after="0" w:line="274" w:lineRule="auto"/>
        <w:tabs>
          <w:tab w:leader="none" w:pos="11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100" w:hanging="28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jc w:val="both"/>
        <w:ind w:left="1140" w:right="140" w:hanging="322"/>
        <w:spacing w:after="0" w:line="250" w:lineRule="auto"/>
        <w:tabs>
          <w:tab w:leader="none" w:pos="11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the Original Notes or the Exchange Notes tendered to us if there is a change of control, which would constitute a default under the indentures governing the Original Notes and the Exchange Notes and under our credit facility; and</w:t>
      </w:r>
    </w:p>
    <w:p>
      <w:pPr>
        <w:spacing w:after="0" w:line="1" w:lineRule="exact"/>
        <w:rPr>
          <w:rFonts w:ascii="Arial" w:cs="Arial" w:eastAsia="Arial" w:hAnsi="Arial"/>
          <w:sz w:val="18"/>
          <w:szCs w:val="18"/>
          <w:color w:val="auto"/>
        </w:rPr>
      </w:pPr>
    </w:p>
    <w:p>
      <w:pPr>
        <w:ind w:left="1100" w:hanging="28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new debt is incurred, these risks may intensify. Our ability to meet our debt service obligations will depend upon our future performance, which may be subject to the financial, business and other factors affecting our operations,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increase in our debt service obligations may adversely affect our cash flow.</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8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We cannot assure that any of these alternative strategies could be effected on satisfactory terms, if at all, or that they would yield sufficient funds to make required payments on the Original Notes and the Exchange Notes and our other indebtedness.</w:t>
      </w:r>
    </w:p>
    <w:p>
      <w:pPr>
        <w:spacing w:after="0" w:line="17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the Original Notes or the Exchange Notes. If the amounts outstanding under any outstanding indebtedness, were to be accelerated, we cannot assure that our assets would be sufficient to repay in full the money owed to the lenders or to our other debt 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on a combined basis, our business and financial results could suffer.</w:t>
      </w:r>
    </w:p>
    <w:p>
      <w:pPr>
        <w:spacing w:after="0" w:line="225"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Our future financial results will depend in part on our ability to profitably manage our growth on a combined basis with Gichner. Management will need to maintain existing customers and attract new customers, recruit, retain and effectively manage employees, as well as expand operations and integrate customer support and financial control systems. If the integration-related expenses and capital expenditure requirements are greater than anticipated or if we are unable to manage our growth profitably after the acquisition, our financial condition and results of operations may suffer.</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As a result of the acquisition of Gichner, we use hazardous materials common to the industry in which Gichner operates. We are required to follow federal, state and local environmental laws and regulations regarding the handling, storage and disposal of these materials, including the Clean Air Act, the Clean Water Act, the Resource Conservation and</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2"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hazardous substances or petroleum products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Gichner has incurred and is incurring currently, and we may incur in the future, liabilities under CERCLA and other environmental cleanup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or petroleum products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Acquisition of HBE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proposed acquisition of HBE may not be completed within the expected timeframe, or at all, and the failure to complete such acquisition could adversely affect our stock price and our future business and financial results.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October 5, 2010, we entered into the HBE Agreement. The HBE Agreement is an executory contract subject to numerous closing conditions beyond our control, and there is no guarantee that these conditions will be satisfied in a timely manner or at all. If any of the conditions to the proposed merger are not satisfied (or waived by the other party), we may not complete the Merger or realize the anticipated benefits thereof. Disputes regarding interpretations of the HBE Agreement could also delay or prevent the closing. In addition, the market price of our common stock may reflect various market assumptions as to whether and when the proposed merger will occur. Consequently, the failure to complete the Merger within the expected timeframe, or at all, could result in a significant change in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integrating HBE’s business and realizing the expected benefits of the proposed Merger.</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ability to achieve the benefits we anticipate from the proposed Merger will depend in large part upon whether we are able to integrate HBE’s business into our business in an efficient and effective manner. Because the businesses of HBE and the Company differ, we may not be able to integrate HBE’s business smoothly or successfully and the process may take longer than expected. The integration of certain operations and the differences in operational culture following the Merger will require the dedication of significant management resources, which may distract management’s attention from day-to-day business operations. If we are unable to successfully integrate the operations of HBE’s business into our business, we may be unable to realize the revenue growth and other anticipated benefits we expect to achieve as a result of the proposed Merger and our business and results of operations could be adversely affected.</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announcement and pendency of the proposed Merger may cause disruptions in our and/or HBE’s business, which could have an adverse effect on our business, financial condition or results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announcement and pendency of the proposed Merger could cause disruptions in the business of HBE. Specifically:</w:t>
      </w:r>
    </w:p>
    <w:p>
      <w:pPr>
        <w:spacing w:after="0" w:line="225" w:lineRule="exact"/>
        <w:rPr>
          <w:sz w:val="20"/>
          <w:szCs w:val="20"/>
          <w:color w:val="auto"/>
        </w:rPr>
      </w:pPr>
    </w:p>
    <w:p>
      <w:pPr>
        <w:ind w:left="1300" w:right="240" w:hanging="320"/>
        <w:spacing w:after="0" w:line="277"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and prospective employees of HBE may experience uncertainty about their future roles with the Company, which might adversely affect the ability of HBE to retain key personnel and attract new personnel;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38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and prospective customers of HBE may experience uncertainty about the ability of HBE to meet their needs, which might cause customers to seek other suppliers for the products and services provided by HBE; and</w:t>
      </w:r>
    </w:p>
    <w:p>
      <w:pPr>
        <w:spacing w:after="0" w:line="170"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management’s attention has been focused on the Merger, which may divert management’s attention from the core business of HBE and other opportunities that could have been beneficial to HBE.</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This could have an adverse effect on the business, financial condition or results of operations of HBE prior to the completion of the Merger and on us following consummation of the Merger. These disruptions to HBE’s business could be exacerbated by a delay in the completion of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517" w:right="23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4"/>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 Date/</w:t>
            </w: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50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Exhibit Description</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5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6"/>
                <w:szCs w:val="16"/>
                <w:color w:val="auto"/>
              </w:rPr>
            </w:pPr>
          </w:p>
        </w:tc>
        <w:tc>
          <w:tcPr>
            <w:tcW w:w="63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Stock Purchase Agreement, dated as of April 12, 2010, by and between Kratos</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04/12/10</w:t>
            </w: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Defense &amp; Security Solutions, Inc. and the Stockholders of Gichner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Holdings, Inc. Certain schedules and exhibits referenced in the Stock Purchase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6"/>
              </w:rPr>
              <w:t>Agreement have been omitted in accordance with Item 601(b)(2) of Regulation S-K. 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copy of any omitted schedule and/or exhibit will be furnished supplementally to the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Securities and Exchange Commission upon request.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Amended and Restated Certificate of Incorporation of Kratos Defense &amp; Security</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Solutions,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Certificate of Designations, Preferences and Rights of Series A Preferred Stock of</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Kratos Defense &amp; Security Solutions,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Certificate of Designations, Preferences and Rights of Series B Preferred Stock of</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rPr>
              <w:t>8-K/A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Kratos Defense &amp; Security Solutions,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9"/>
              </w:rPr>
              <w:t>Certificate of Designation of Series C Preferred Stock of Kratos Defense &amp; Security</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Solutions,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6"/>
              </w:rPr>
              <w:t>Certificate of Ownership and Merger of Kratos Defense &amp; Security Solutions, Inc. into</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09/12/07</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Wireless Facilities,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Certificate of Amended to Amended and Restated Certificate of Incorporation of</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09/27/09</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Kratos Defense &amp; Security Solutions,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Amended and Restated Bylaws of Kratos Defense &amp; Security Solutions, Inc.</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05/17/10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Indenture, dated as of May 19, 2010, by and among Kratos Defense &amp; Security</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5"/>
              </w:rPr>
              <w:t>Solutions, Inc., the Guarantors set forth therein and Wilmington Trust FSB, as Trustee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4"/>
              </w:rPr>
              <w:t>and Collateral Agent (including the Form of 10% Senior Secured Notes due 2017 as an</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exhibit thereto)</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gridSpan w:val="2"/>
          </w:tcPr>
          <w:p>
            <w:pPr>
              <w:ind w:left="44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4"/>
          </w:tcPr>
          <w:p>
            <w:pPr>
              <w:spacing w:after="0"/>
              <w:rPr>
                <w:sz w:val="11"/>
                <w:szCs w:val="11"/>
                <w:color w:val="auto"/>
              </w:rPr>
            </w:pPr>
          </w:p>
        </w:tc>
        <w:tc>
          <w:tcPr>
            <w:tcW w:w="6500" w:type="dxa"/>
            <w:vAlign w:val="bottom"/>
            <w:tcBorders>
              <w:bottom w:val="single" w:sz="8" w:color="010101"/>
            </w:tcBorders>
            <w:gridSpan w:val="2"/>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 Date/</w:t>
            </w: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50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Exhibit Description</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5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63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8"/>
              </w:rPr>
              <w:t>Registration Rights Agreement, dated as of May 19, 2010, by and among Kratos</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05/25/10</w:t>
            </w: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Defense &amp; Security Solutions, Inc., the Guarantors set forth therein, Jefferies &amp;</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Company, Inc., B. Riley &amp; Co., LLC, Imperial Capital, LLC, Keybanc Capital</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Markets Inc. and Noble International Investments,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Security Agreement, dated as of May 19, 2010, by and among Kratos Defense &amp;</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4"/>
              </w:rPr>
              <w:t>Security Solutions, Inc., the Guarantors set forth therein, and Wilmington Trust FSB, as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Collateral Agent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7"/>
              </w:rPr>
              <w:t>Intercreditor Agreement, dated as of May 19, 2010, by and among Kratos Defense &amp;</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9"/>
              </w:rPr>
              <w:t>Security Solutions, Inc., the Guarantors set forth therein, Wilmington Trust FSB, as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Indenture Agent and KeyBank National Association, as Credit Facility Agent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Purchase Agreement, dated as of May 12, 2010, by and among Kratos Defense &amp;</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5"/>
              </w:rPr>
              <w:t>Security Solutions, Inc., the Guarantors set forth therein, Jefferies &amp; Company, Inc., B.</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Riley &amp; Co., LLC, Imperial Capital, LLC, Keybanc Capital Markets Inc. and Noble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International Investments, Inc.</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7"/>
              </w:rPr>
              <w:t>Credit and Security Agreement, dated as of May 19, 2010, among Kratos Defense &amp;</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Security Solutions, Inc., as Borrower, the Lenders named therein, and Key Bank</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7"/>
              </w:rPr>
              <w:t>National Association, as Lead Arranger, Sole Book Runner and Administrative Agent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gridSpan w:val="2"/>
          </w:tcPr>
          <w:p>
            <w:pPr>
              <w:ind w:left="3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w w:val="96"/>
              </w:rPr>
              <w:t>Certification of Chief Executive Officer pursuant to Section 302 of the Sarbanes Oxley</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Act of 2002</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-4211955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-4211955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0" w:name="page31"/>
    <w:bookmarkEnd w:id="30"/>
    <w:tbl>
      <w:tblPr>
        <w:tblLayout w:type="fixed"/>
        <w:tblInd w:w="360" w:type="dxa"/>
        <w:tblCellMar>
          <w:top w:w="0" w:type="dxa"/>
          <w:left w:w="0" w:type="dxa"/>
          <w:bottom w:w="0" w:type="dxa"/>
          <w:right w:w="0" w:type="dxa"/>
        </w:tblCellMar>
      </w:tblP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31.2</w:t>
            </w:r>
          </w:p>
        </w:tc>
        <w:tc>
          <w:tcPr>
            <w:tcW w:w="822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 Oxley</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p>
        </w:tc>
        <w:tc>
          <w:tcPr>
            <w:tcW w:w="8220" w:type="dxa"/>
            <w:vAlign w:val="bottom"/>
          </w:tcPr>
          <w:p>
            <w:pPr>
              <w:ind w:left="260"/>
              <w:spacing w:after="0"/>
              <w:rPr>
                <w:sz w:val="20"/>
                <w:szCs w:val="20"/>
                <w:color w:val="auto"/>
              </w:rPr>
            </w:pPr>
            <w:r>
              <w:rPr>
                <w:rFonts w:ascii="Arial" w:cs="Arial" w:eastAsia="Arial" w:hAnsi="Arial"/>
                <w:sz w:val="18"/>
                <w:szCs w:val="18"/>
                <w:color w:val="auto"/>
              </w:rPr>
              <w:t>Act of 2002</w:t>
            </w:r>
          </w:p>
        </w:tc>
        <w:tc>
          <w:tcPr>
            <w:tcW w:w="174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32.1</w:t>
            </w:r>
          </w:p>
        </w:tc>
        <w:tc>
          <w:tcPr>
            <w:tcW w:w="822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p>
        </w:tc>
        <w:tc>
          <w:tcPr>
            <w:tcW w:w="8220" w:type="dxa"/>
            <w:vAlign w:val="bottom"/>
          </w:tcPr>
          <w:p>
            <w:pPr>
              <w:ind w:left="260"/>
              <w:spacing w:after="0"/>
              <w:rPr>
                <w:sz w:val="20"/>
                <w:szCs w:val="20"/>
                <w:color w:val="auto"/>
              </w:rPr>
            </w:pPr>
            <w:r>
              <w:rPr>
                <w:rFonts w:ascii="Arial" w:cs="Arial" w:eastAsia="Arial" w:hAnsi="Arial"/>
                <w:sz w:val="18"/>
                <w:szCs w:val="18"/>
                <w:color w:val="auto"/>
              </w:rPr>
              <w:t>the Sarbanes-Oxley Act of 2002</w:t>
            </w:r>
          </w:p>
        </w:tc>
        <w:tc>
          <w:tcPr>
            <w:tcW w:w="174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32.2</w:t>
            </w:r>
          </w:p>
        </w:tc>
        <w:tc>
          <w:tcPr>
            <w:tcW w:w="822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p>
        </w:tc>
        <w:tc>
          <w:tcPr>
            <w:tcW w:w="8220" w:type="dxa"/>
            <w:vAlign w:val="bottom"/>
          </w:tcPr>
          <w:p>
            <w:pPr>
              <w:ind w:left="260"/>
              <w:spacing w:after="0"/>
              <w:rPr>
                <w:sz w:val="20"/>
                <w:szCs w:val="20"/>
                <w:color w:val="auto"/>
              </w:rPr>
            </w:pPr>
            <w:r>
              <w:rPr>
                <w:rFonts w:ascii="Arial" w:cs="Arial" w:eastAsia="Arial" w:hAnsi="Arial"/>
                <w:sz w:val="18"/>
                <w:szCs w:val="18"/>
                <w:color w:val="auto"/>
              </w:rPr>
              <w:t>the Sarbanes-Oxley Act of 2002</w:t>
            </w:r>
          </w:p>
        </w:tc>
        <w:tc>
          <w:tcPr>
            <w:tcW w:w="1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ind w:left="542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c>
          <w:tcPr>
            <w:tcW w:w="40" w:type="dxa"/>
            <w:vAlign w:val="bottom"/>
          </w:tcPr>
          <w:p>
            <w:pPr>
              <w:spacing w:after="0"/>
              <w:rPr>
                <w:sz w:val="20"/>
                <w:szCs w:val="20"/>
                <w:color w:val="auto"/>
              </w:rPr>
            </w:pPr>
          </w:p>
        </w:tc>
      </w:tr>
      <w:tr>
        <w:trPr>
          <w:trHeight w:val="195"/>
        </w:trPr>
        <w:tc>
          <w:tcPr>
            <w:tcW w:w="6020" w:type="dxa"/>
            <w:vAlign w:val="bottom"/>
          </w:tcPr>
          <w:p>
            <w:pPr>
              <w:spacing w:after="0"/>
              <w:rPr>
                <w:sz w:val="16"/>
                <w:szCs w:val="16"/>
                <w:color w:val="auto"/>
              </w:rPr>
            </w:pPr>
          </w:p>
        </w:tc>
        <w:tc>
          <w:tcPr>
            <w:tcW w:w="5400" w:type="dxa"/>
            <w:vAlign w:val="bottom"/>
          </w:tcPr>
          <w:p>
            <w:pPr>
              <w:jc w:val="center"/>
              <w:spacing w:after="0" w:line="195" w:lineRule="exact"/>
              <w:rPr>
                <w:sz w:val="20"/>
                <w:szCs w:val="20"/>
                <w:color w:val="auto"/>
              </w:rPr>
            </w:pPr>
            <w:r>
              <w:rPr>
                <w:rFonts w:ascii="Arial" w:cs="Arial" w:eastAsia="Arial" w:hAnsi="Arial"/>
                <w:sz w:val="18"/>
                <w:szCs w:val="18"/>
                <w:color w:val="auto"/>
                <w:w w:val="95"/>
              </w:rPr>
              <w:t>Eric M. DeMarco</w:t>
            </w:r>
          </w:p>
        </w:tc>
        <w:tc>
          <w:tcPr>
            <w:tcW w:w="4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c>
          <w:tcPr>
            <w:tcW w:w="4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648"/>
        </w:trPr>
        <w:tc>
          <w:tcPr>
            <w:tcW w:w="6020" w:type="dxa"/>
            <w:vAlign w:val="bottom"/>
          </w:tcPr>
          <w:p>
            <w:pPr>
              <w:ind w:left="542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c>
          <w:tcPr>
            <w:tcW w:w="4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5400" w:type="dxa"/>
            <w:vAlign w:val="bottom"/>
          </w:tcPr>
          <w:p>
            <w:pPr>
              <w:jc w:val="center"/>
              <w:spacing w:after="0" w:line="195" w:lineRule="exact"/>
              <w:rPr>
                <w:sz w:val="20"/>
                <w:szCs w:val="20"/>
                <w:color w:val="auto"/>
              </w:rPr>
            </w:pPr>
            <w:r>
              <w:rPr>
                <w:rFonts w:ascii="Arial" w:cs="Arial" w:eastAsia="Arial" w:hAnsi="Arial"/>
                <w:sz w:val="18"/>
                <w:szCs w:val="18"/>
                <w:color w:val="auto"/>
                <w:w w:val="91"/>
              </w:rPr>
              <w:t>Deanna H. Lund</w:t>
            </w:r>
          </w:p>
        </w:tc>
        <w:tc>
          <w:tcPr>
            <w:tcW w:w="4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c>
          <w:tcPr>
            <w:tcW w:w="4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648"/>
        </w:trPr>
        <w:tc>
          <w:tcPr>
            <w:tcW w:w="6020" w:type="dxa"/>
            <w:vAlign w:val="bottom"/>
          </w:tcPr>
          <w:p>
            <w:pPr>
              <w:ind w:left="542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LAURA L. SIEGAL</w:t>
            </w:r>
          </w:p>
        </w:tc>
        <w:tc>
          <w:tcPr>
            <w:tcW w:w="40" w:type="dxa"/>
            <w:vAlign w:val="bottom"/>
          </w:tcPr>
          <w:p>
            <w:pPr>
              <w:spacing w:after="0"/>
              <w:rPr>
                <w:sz w:val="24"/>
                <w:szCs w:val="24"/>
                <w:color w:val="auto"/>
              </w:rPr>
            </w:pPr>
          </w:p>
        </w:tc>
      </w:tr>
      <w:tr>
        <w:trPr>
          <w:trHeight w:val="195"/>
        </w:trPr>
        <w:tc>
          <w:tcPr>
            <w:tcW w:w="6020" w:type="dxa"/>
            <w:vAlign w:val="bottom"/>
          </w:tcPr>
          <w:p>
            <w:pPr>
              <w:spacing w:after="0"/>
              <w:rPr>
                <w:sz w:val="16"/>
                <w:szCs w:val="16"/>
                <w:color w:val="auto"/>
              </w:rPr>
            </w:pPr>
          </w:p>
        </w:tc>
        <w:tc>
          <w:tcPr>
            <w:tcW w:w="5400" w:type="dxa"/>
            <w:vAlign w:val="bottom"/>
          </w:tcPr>
          <w:p>
            <w:pPr>
              <w:jc w:val="center"/>
              <w:spacing w:after="0" w:line="195" w:lineRule="exact"/>
              <w:rPr>
                <w:sz w:val="20"/>
                <w:szCs w:val="20"/>
                <w:color w:val="auto"/>
              </w:rPr>
            </w:pPr>
            <w:r>
              <w:rPr>
                <w:rFonts w:ascii="Arial" w:cs="Arial" w:eastAsia="Arial" w:hAnsi="Arial"/>
                <w:sz w:val="18"/>
                <w:szCs w:val="18"/>
                <w:color w:val="auto"/>
                <w:w w:val="92"/>
              </w:rPr>
              <w:t>Laura L. Siegal</w:t>
            </w:r>
          </w:p>
        </w:tc>
        <w:tc>
          <w:tcPr>
            <w:tcW w:w="4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Corporate Controller</w:t>
            </w:r>
          </w:p>
        </w:tc>
        <w:tc>
          <w:tcPr>
            <w:tcW w:w="4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40" w:type="dxa"/>
            <w:vAlign w:val="bottom"/>
          </w:tcPr>
          <w:p>
            <w:pPr>
              <w:spacing w:after="0"/>
              <w:rPr>
                <w:sz w:val="20"/>
                <w:szCs w:val="20"/>
                <w:color w:val="auto"/>
              </w:rPr>
            </w:pPr>
          </w:p>
        </w:tc>
      </w:tr>
      <w:tr>
        <w:trPr>
          <w:trHeight w:val="432"/>
        </w:trPr>
        <w:tc>
          <w:tcPr>
            <w:tcW w:w="6020" w:type="dxa"/>
            <w:vAlign w:val="bottom"/>
          </w:tcPr>
          <w:p>
            <w:pPr>
              <w:spacing w:after="0"/>
              <w:rPr>
                <w:sz w:val="20"/>
                <w:szCs w:val="20"/>
                <w:color w:val="auto"/>
              </w:rPr>
            </w:pPr>
            <w:r>
              <w:rPr>
                <w:rFonts w:ascii="Arial" w:cs="Arial" w:eastAsia="Arial" w:hAnsi="Arial"/>
                <w:sz w:val="18"/>
                <w:szCs w:val="18"/>
                <w:color w:val="auto"/>
              </w:rPr>
              <w:t>Date: November 4, 2010</w:t>
            </w:r>
          </w:p>
        </w:tc>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020" w:type="dxa"/>
            <w:vAlign w:val="bottom"/>
          </w:tcPr>
          <w:p>
            <w:pPr>
              <w:ind w:left="5620"/>
              <w:spacing w:after="0"/>
              <w:rPr>
                <w:sz w:val="20"/>
                <w:szCs w:val="20"/>
                <w:color w:val="auto"/>
              </w:rPr>
            </w:pPr>
            <w:r>
              <w:rPr>
                <w:rFonts w:ascii="Arial" w:cs="Arial" w:eastAsia="Arial" w:hAnsi="Arial"/>
                <w:sz w:val="18"/>
                <w:szCs w:val="18"/>
                <w:color w:val="auto"/>
              </w:rPr>
              <w:t>42</w:t>
            </w:r>
          </w:p>
        </w:tc>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020" w:type="dxa"/>
            <w:vAlign w:val="bottom"/>
            <w:tcBorders>
              <w:bottom w:val="single" w:sz="8" w:color="010101"/>
            </w:tcBorders>
          </w:tcPr>
          <w:p>
            <w:pPr>
              <w:spacing w:after="0"/>
              <w:rPr>
                <w:sz w:val="11"/>
                <w:szCs w:val="11"/>
                <w:color w:val="auto"/>
              </w:rPr>
            </w:pPr>
          </w:p>
        </w:tc>
        <w:tc>
          <w:tcPr>
            <w:tcW w:w="54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640" w:hanging="644"/>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640" w:hanging="644"/>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26, 2010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26, 2010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2"/>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6"/>
    </w:lvl>
  </w:abstractNum>
  <w:abstractNum w:abstractNumId="8">
    <w:nsid w:val="6B68079A"/>
    <w:multiLevelType w:val="hybridMultilevel"/>
    <w:lvl w:ilvl="0">
      <w:lvlJc w:val="left"/>
      <w:lvlText w:val="(%1)"/>
      <w:numFmt w:val="lowerLetter"/>
      <w:start w:val="7"/>
    </w:lvl>
  </w:abstractNum>
  <w:abstractNum w:abstractNumId="9">
    <w:nsid w:val="4E6AFB66"/>
    <w:multiLevelType w:val="hybridMultilevel"/>
    <w:lvl w:ilvl="0">
      <w:lvlJc w:val="left"/>
      <w:lvlText w:val="(%1)"/>
      <w:numFmt w:val="lowerRoman"/>
      <w:start w:val="1"/>
    </w:lvl>
  </w:abstractNum>
  <w:abstractNum w:abstractNumId="10">
    <w:nsid w:val="25E45D32"/>
    <w:multiLevelType w:val="hybridMultilevel"/>
    <w:lvl w:ilvl="0">
      <w:lvlJc w:val="left"/>
      <w:lvlText w:val="(%1)"/>
      <w:numFmt w:val="lowerRoman"/>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2019-12-10T16:12:54Z</dcterms:created>
  <dcterms:modified xsi:type="dcterms:W3CDTF">2019-12-10T16:12:54Z</dcterms:modified>
</cp:coreProperties>
</file>