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213360</wp:posOffset>
            </wp:positionH>
            <wp:positionV relativeFrom="page">
              <wp:posOffset>530860</wp:posOffset>
            </wp:positionV>
            <wp:extent cx="7122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555625</wp:posOffset>
            </wp:positionV>
            <wp:extent cx="7122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16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1720850</wp:posOffset>
            </wp:positionH>
            <wp:positionV relativeFrom="paragraph">
              <wp:posOffset>109220</wp:posOffset>
            </wp:positionV>
            <wp:extent cx="3708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08400" cy="8255"/>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1720850</wp:posOffset>
            </wp:positionH>
            <wp:positionV relativeFrom="paragraph">
              <wp:posOffset>85090</wp:posOffset>
            </wp:positionV>
            <wp:extent cx="3708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08400" cy="825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p>
      <w:pPr>
        <w:spacing w:after="0" w:line="292" w:lineRule="exact"/>
        <w:rPr>
          <w:sz w:val="24"/>
          <w:szCs w:val="24"/>
          <w:color w:val="auto"/>
        </w:rPr>
      </w:pPr>
    </w:p>
    <w:p>
      <w:pPr>
        <w:ind w:left="1300"/>
        <w:spacing w:after="0"/>
        <w:rPr>
          <w:sz w:val="20"/>
          <w:szCs w:val="20"/>
          <w:color w:val="auto"/>
        </w:rPr>
      </w:pPr>
      <w:r>
        <w:rPr>
          <w:rFonts w:ascii="Arial" w:cs="Arial" w:eastAsia="Arial" w:hAnsi="Arial"/>
          <w:sz w:val="13"/>
          <w:szCs w:val="13"/>
          <w:b w:val="1"/>
          <w:bCs w:val="1"/>
          <w:color w:val="auto"/>
        </w:rPr>
        <w:t>(Mark One)</w:t>
      </w:r>
    </w:p>
    <w:p>
      <w:pPr>
        <w:spacing w:after="0" w:line="131" w:lineRule="exact"/>
        <w:rPr>
          <w:sz w:val="24"/>
          <w:szCs w:val="24"/>
          <w:color w:val="auto"/>
        </w:rPr>
      </w:pPr>
    </w:p>
    <w:p>
      <w:pPr>
        <w:ind w:left="1140"/>
        <w:spacing w:after="0" w:line="191" w:lineRule="exact"/>
        <w:rPr>
          <w:sz w:val="20"/>
          <w:szCs w:val="20"/>
          <w:color w:val="auto"/>
        </w:rPr>
      </w:pPr>
      <w:r>
        <w:rPr>
          <w:rFonts w:ascii="MS PGothic" w:cs="MS PGothic" w:eastAsia="MS PGothic" w:hAnsi="MS PGothic"/>
          <w:sz w:val="19"/>
          <w:szCs w:val="19"/>
          <w:color w:val="auto"/>
        </w:rPr>
        <w:t>☒</w:t>
      </w:r>
    </w:p>
    <w:p>
      <w:pPr>
        <w:spacing w:after="0" w:line="138" w:lineRule="exact"/>
        <w:rPr>
          <w:sz w:val="24"/>
          <w:szCs w:val="24"/>
          <w:color w:val="auto"/>
        </w:rPr>
      </w:pPr>
    </w:p>
    <w:p>
      <w:pPr>
        <w:ind w:left="1140"/>
        <w:spacing w:after="0" w:line="211" w:lineRule="exact"/>
        <w:rPr>
          <w:sz w:val="20"/>
          <w:szCs w:val="20"/>
          <w:color w:val="auto"/>
        </w:rPr>
      </w:pP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1" w:lineRule="exact"/>
        <w:rPr>
          <w:sz w:val="24"/>
          <w:szCs w:val="24"/>
          <w:color w:val="auto"/>
        </w:rPr>
      </w:pPr>
    </w:p>
    <w:p>
      <w:pPr>
        <w:ind w:right="1140"/>
        <w:spacing w:after="0" w:line="251" w:lineRule="auto"/>
        <w:rPr>
          <w:sz w:val="20"/>
          <w:szCs w:val="20"/>
          <w:color w:val="auto"/>
        </w:rPr>
      </w:pPr>
      <w:r>
        <w:rPr>
          <w:rFonts w:ascii="Arial" w:cs="Arial" w:eastAsia="Arial" w:hAnsi="Arial"/>
          <w:sz w:val="15"/>
          <w:szCs w:val="15"/>
          <w:b w:val="1"/>
          <w:bCs w:val="1"/>
          <w:color w:val="auto"/>
        </w:rPr>
        <w:t>ANNUAL REPORT PURSUANT TO SECTION 13 OR 15(d) OF THE SECURITIES EXCHANGE ACT OF 1934 FOR THE FISCAL YEAR ENDED DECEMBER 26, 2021</w:t>
      </w:r>
    </w:p>
    <w:p>
      <w:pPr>
        <w:ind w:right="1400"/>
        <w:spacing w:after="0" w:line="256" w:lineRule="auto"/>
        <w:rPr>
          <w:sz w:val="20"/>
          <w:szCs w:val="20"/>
          <w:color w:val="auto"/>
        </w:rPr>
      </w:pPr>
      <w:r>
        <w:rPr>
          <w:rFonts w:ascii="Arial" w:cs="Arial" w:eastAsia="Arial" w:hAnsi="Arial"/>
          <w:sz w:val="15"/>
          <w:szCs w:val="15"/>
          <w:b w:val="1"/>
          <w:bCs w:val="1"/>
          <w:color w:val="auto"/>
        </w:rPr>
        <w:t>TRANSITION REPORT PURSUANT TO SECTION 13 OR 15(d) OF THE SECURITIES AND EXCHANGE ACT OF 1934</w:t>
      </w:r>
    </w:p>
    <w:p>
      <w:pPr>
        <w:spacing w:after="0" w:line="75" w:lineRule="exact"/>
        <w:rPr>
          <w:sz w:val="24"/>
          <w:szCs w:val="24"/>
          <w:color w:val="auto"/>
        </w:rPr>
      </w:pPr>
    </w:p>
    <w:p>
      <w:pPr>
        <w:jc w:val="center"/>
        <w:ind w:right="2180"/>
        <w:spacing w:after="0"/>
        <w:rPr>
          <w:sz w:val="20"/>
          <w:szCs w:val="20"/>
          <w:color w:val="auto"/>
        </w:rPr>
      </w:pPr>
      <w:r>
        <w:rPr>
          <w:rFonts w:ascii="Arial" w:cs="Arial" w:eastAsia="Arial" w:hAnsi="Arial"/>
          <w:sz w:val="14"/>
          <w:szCs w:val="14"/>
          <w:b w:val="1"/>
          <w:bCs w:val="1"/>
          <w:color w:val="auto"/>
        </w:rPr>
        <w:t>Commission file number 001-34460</w:t>
      </w:r>
    </w:p>
    <w:p>
      <w:pPr>
        <w:spacing w:after="0" w:line="105" w:lineRule="exact"/>
        <w:rPr>
          <w:sz w:val="24"/>
          <w:szCs w:val="24"/>
          <w:color w:val="auto"/>
        </w:rPr>
      </w:pPr>
    </w:p>
    <w:p>
      <w:pPr>
        <w:jc w:val="center"/>
        <w:ind w:right="2180"/>
        <w:spacing w:after="0"/>
        <w:rPr>
          <w:sz w:val="20"/>
          <w:szCs w:val="20"/>
          <w:color w:val="auto"/>
        </w:rPr>
      </w:pPr>
      <w:r>
        <w:rPr>
          <w:rFonts w:ascii="Arial" w:cs="Arial" w:eastAsia="Arial" w:hAnsi="Arial"/>
          <w:sz w:val="21"/>
          <w:szCs w:val="21"/>
          <w:b w:val="1"/>
          <w:bCs w:val="1"/>
          <w:color w:val="auto"/>
        </w:rPr>
        <w:t>KRATOS DEFENSE &amp; SECURITY SOLUTIONS, INC.</w:t>
      </w:r>
    </w:p>
    <w:p>
      <w:pPr>
        <w:spacing w:after="0" w:line="19" w:lineRule="exact"/>
        <w:rPr>
          <w:sz w:val="24"/>
          <w:szCs w:val="24"/>
          <w:color w:val="auto"/>
        </w:rPr>
      </w:pPr>
    </w:p>
    <w:p>
      <w:pPr>
        <w:jc w:val="center"/>
        <w:ind w:right="2180"/>
        <w:spacing w:after="0"/>
        <w:rPr>
          <w:sz w:val="20"/>
          <w:szCs w:val="20"/>
          <w:color w:val="auto"/>
        </w:rPr>
      </w:pPr>
      <w:r>
        <w:rPr>
          <w:rFonts w:ascii="Arial" w:cs="Arial" w:eastAsia="Arial" w:hAnsi="Arial"/>
          <w:sz w:val="14"/>
          <w:szCs w:val="14"/>
          <w:color w:val="auto"/>
        </w:rPr>
        <w:t>(Exact name of Registrant as specified in its charter</w:t>
      </w:r>
      <w:r>
        <w:rPr>
          <w:rFonts w:ascii="Arial" w:cs="Arial" w:eastAsia="Arial" w:hAnsi="Arial"/>
          <w:sz w:val="17"/>
          <w:szCs w:val="17"/>
          <w:color w:val="auto"/>
        </w:rPr>
        <w:t>)</w:t>
      </w:r>
    </w:p>
    <w:p>
      <w:pPr>
        <w:spacing w:after="0" w:line="107" w:lineRule="exact"/>
        <w:rPr>
          <w:sz w:val="24"/>
          <w:szCs w:val="24"/>
          <w:color w:val="auto"/>
        </w:rPr>
      </w:pPr>
    </w:p>
    <w:p>
      <w:pPr>
        <w:ind w:left="820"/>
        <w:spacing w:after="0"/>
        <w:tabs>
          <w:tab w:leader="none" w:pos="5300" w:val="left"/>
        </w:tabs>
        <w:rPr>
          <w:sz w:val="20"/>
          <w:szCs w:val="20"/>
          <w:color w:val="auto"/>
        </w:rPr>
      </w:pPr>
      <w:r>
        <w:rPr>
          <w:rFonts w:ascii="Arial" w:cs="Arial" w:eastAsia="Arial" w:hAnsi="Arial"/>
          <w:sz w:val="17"/>
          <w:szCs w:val="17"/>
          <w:b w:val="1"/>
          <w:bCs w:val="1"/>
          <w:color w:val="auto"/>
        </w:rPr>
        <w:t>Delaware</w:t>
      </w:r>
      <w:r>
        <w:rPr>
          <w:sz w:val="20"/>
          <w:szCs w:val="20"/>
          <w:color w:val="auto"/>
        </w:rPr>
        <w:tab/>
      </w:r>
      <w:r>
        <w:rPr>
          <w:rFonts w:ascii="Arial" w:cs="Arial" w:eastAsia="Arial" w:hAnsi="Arial"/>
          <w:sz w:val="17"/>
          <w:szCs w:val="17"/>
          <w:b w:val="1"/>
          <w:bCs w:val="1"/>
          <w:color w:val="auto"/>
        </w:rPr>
        <w:t>13-3818604</w:t>
      </w:r>
    </w:p>
    <w:p>
      <w:pPr>
        <w:spacing w:after="0" w:line="4" w:lineRule="exact"/>
        <w:rPr>
          <w:sz w:val="24"/>
          <w:szCs w:val="24"/>
          <w:color w:val="auto"/>
        </w:rPr>
      </w:pPr>
    </w:p>
    <w:p>
      <w:pPr>
        <w:ind w:left="360"/>
        <w:spacing w:after="0"/>
        <w:tabs>
          <w:tab w:leader="none" w:pos="4700" w:val="left"/>
        </w:tabs>
        <w:rPr>
          <w:sz w:val="20"/>
          <w:szCs w:val="20"/>
          <w:color w:val="auto"/>
        </w:rPr>
      </w:pPr>
      <w:r>
        <w:rPr>
          <w:rFonts w:ascii="Arial" w:cs="Arial" w:eastAsia="Arial" w:hAnsi="Arial"/>
          <w:sz w:val="14"/>
          <w:szCs w:val="14"/>
          <w:color w:val="auto"/>
        </w:rPr>
        <w:t>(State or other jurisdiction of</w:t>
      </w:r>
      <w:r>
        <w:rPr>
          <w:sz w:val="20"/>
          <w:szCs w:val="20"/>
          <w:color w:val="auto"/>
        </w:rPr>
        <w:tab/>
      </w:r>
      <w:r>
        <w:rPr>
          <w:rFonts w:ascii="Arial" w:cs="Arial" w:eastAsia="Arial" w:hAnsi="Arial"/>
          <w:sz w:val="11"/>
          <w:szCs w:val="11"/>
          <w:color w:val="auto"/>
        </w:rPr>
        <w:t>(I.R.S. Employer Identification No.)</w:t>
      </w:r>
    </w:p>
    <w:p>
      <w:pPr>
        <w:ind w:left="340"/>
        <w:spacing w:after="0"/>
        <w:rPr>
          <w:sz w:val="20"/>
          <w:szCs w:val="20"/>
          <w:color w:val="auto"/>
        </w:rPr>
      </w:pPr>
      <w:r>
        <w:rPr>
          <w:rFonts w:ascii="Arial" w:cs="Arial" w:eastAsia="Arial" w:hAnsi="Arial"/>
          <w:sz w:val="14"/>
          <w:szCs w:val="14"/>
          <w:color w:val="auto"/>
        </w:rPr>
        <w:t>incorporation or organization)</w:t>
      </w:r>
    </w:p>
    <w:p>
      <w:pPr>
        <w:spacing w:after="0" w:line="124" w:lineRule="exact"/>
        <w:rPr>
          <w:sz w:val="24"/>
          <w:szCs w:val="24"/>
          <w:color w:val="auto"/>
        </w:rPr>
      </w:pPr>
    </w:p>
    <w:p>
      <w:pPr>
        <w:sectPr>
          <w:pgSz w:w="11900" w:h="16838" w:orient="portrait"/>
          <w:cols w:equalWidth="0" w:num="2">
            <w:col w:w="2000" w:space="180"/>
            <w:col w:w="9060"/>
          </w:cols>
          <w:pgMar w:left="320" w:top="976"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1 Chisholm Trail, Suite 3200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Round Rock, TX 78681</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(512) 238-9840</w:t>
      </w:r>
    </w:p>
    <w:p>
      <w:pPr>
        <w:jc w:val="center"/>
        <w:spacing w:after="0"/>
        <w:rPr>
          <w:sz w:val="20"/>
          <w:szCs w:val="20"/>
          <w:color w:val="auto"/>
        </w:rPr>
      </w:pPr>
      <w:r>
        <w:rPr>
          <w:rFonts w:ascii="Arial" w:cs="Arial" w:eastAsia="Arial" w:hAnsi="Arial"/>
          <w:sz w:val="14"/>
          <w:szCs w:val="14"/>
          <w:color w:val="auto"/>
        </w:rPr>
        <w:t>(Address, including zip code, and telephone number, including</w:t>
      </w:r>
    </w:p>
    <w:p>
      <w:pPr>
        <w:jc w:val="center"/>
        <w:spacing w:after="0"/>
        <w:rPr>
          <w:sz w:val="20"/>
          <w:szCs w:val="20"/>
          <w:color w:val="auto"/>
        </w:rPr>
      </w:pPr>
      <w:r>
        <w:rPr>
          <w:rFonts w:ascii="Arial" w:cs="Arial" w:eastAsia="Arial" w:hAnsi="Arial"/>
          <w:sz w:val="14"/>
          <w:szCs w:val="14"/>
          <w:color w:val="auto"/>
        </w:rPr>
        <w:t>area code, of Registrant’s principal executive offices)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93"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2220" w:type="dxa"/>
            <w:vAlign w:val="bottom"/>
          </w:tcPr>
          <w:p>
            <w:pPr>
              <w:spacing w:after="0"/>
              <w:rPr>
                <w:sz w:val="14"/>
                <w:szCs w:val="14"/>
                <w:color w:val="auto"/>
              </w:rPr>
            </w:pPr>
          </w:p>
        </w:tc>
        <w:tc>
          <w:tcPr>
            <w:tcW w:w="17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Trading Symbol(s)</w:t>
            </w:r>
          </w:p>
        </w:tc>
        <w:tc>
          <w:tcPr>
            <w:tcW w:w="3220" w:type="dxa"/>
            <w:vAlign w:val="bottom"/>
            <w:gridSpan w:val="2"/>
          </w:tcPr>
          <w:p>
            <w:pPr>
              <w:jc w:val="center"/>
              <w:ind w:left="611"/>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0"/>
        </w:trPr>
        <w:tc>
          <w:tcPr>
            <w:tcW w:w="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188"/>
        </w:trPr>
        <w:tc>
          <w:tcPr>
            <w:tcW w:w="3660" w:type="dxa"/>
            <w:vAlign w:val="bottom"/>
            <w:gridSpan w:val="3"/>
          </w:tcPr>
          <w:p>
            <w:pPr>
              <w:jc w:val="center"/>
              <w:ind w:right="1820"/>
              <w:spacing w:after="0"/>
              <w:rPr>
                <w:sz w:val="20"/>
                <w:szCs w:val="20"/>
                <w:color w:val="auto"/>
              </w:rPr>
            </w:pPr>
            <w:r>
              <w:rPr>
                <w:rFonts w:ascii="Arial" w:cs="Arial" w:eastAsia="Arial" w:hAnsi="Arial"/>
                <w:sz w:val="14"/>
                <w:szCs w:val="14"/>
                <w:color w:val="auto"/>
                <w:w w:val="88"/>
              </w:rPr>
              <w:t>Common Stock, $0.001 par value</w:t>
            </w:r>
          </w:p>
        </w:tc>
        <w:tc>
          <w:tcPr>
            <w:tcW w:w="1780" w:type="dxa"/>
            <w:vAlign w:val="bottom"/>
            <w:gridSpan w:val="2"/>
          </w:tcPr>
          <w:p>
            <w:pPr>
              <w:jc w:val="center"/>
              <w:ind w:right="700"/>
              <w:spacing w:after="0"/>
              <w:rPr>
                <w:sz w:val="20"/>
                <w:szCs w:val="20"/>
                <w:color w:val="auto"/>
              </w:rPr>
            </w:pPr>
            <w:r>
              <w:rPr>
                <w:rFonts w:ascii="Arial" w:cs="Arial" w:eastAsia="Arial" w:hAnsi="Arial"/>
                <w:sz w:val="14"/>
                <w:szCs w:val="14"/>
                <w:color w:val="auto"/>
                <w:w w:val="94"/>
              </w:rPr>
              <w:t>KTOS</w:t>
            </w:r>
          </w:p>
        </w:tc>
        <w:tc>
          <w:tcPr>
            <w:tcW w:w="68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1"/>
              </w:rPr>
              <w:t>The NASDAQ Global Select Market</w:t>
            </w: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12(g) OF THE ACT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None</w:t>
      </w:r>
    </w:p>
    <w:p>
      <w:pPr>
        <w:spacing w:after="0" w:line="11" w:lineRule="exact"/>
        <w:rPr>
          <w:sz w:val="24"/>
          <w:szCs w:val="24"/>
          <w:color w:val="auto"/>
        </w:rPr>
      </w:pPr>
    </w:p>
    <w:p>
      <w:pPr>
        <w:ind w:left="320" w:right="3600"/>
        <w:spacing w:after="0" w:line="229"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68" w:lineRule="exact"/>
        <w:rPr>
          <w:sz w:val="24"/>
          <w:szCs w:val="24"/>
          <w:color w:val="auto"/>
        </w:rPr>
      </w:pPr>
    </w:p>
    <w:p>
      <w:pPr>
        <w:ind w:right="120" w:firstLine="309"/>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69" w:lineRule="exact"/>
        <w:rPr>
          <w:sz w:val="24"/>
          <w:szCs w:val="24"/>
          <w:color w:val="auto"/>
        </w:rPr>
      </w:pPr>
    </w:p>
    <w:p>
      <w:pPr>
        <w:ind w:right="260" w:firstLine="309"/>
        <w:spacing w:after="0" w:line="17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69" w:lineRule="exact"/>
        <w:rPr>
          <w:sz w:val="24"/>
          <w:szCs w:val="24"/>
          <w:color w:val="auto"/>
        </w:rPr>
      </w:pPr>
    </w:p>
    <w:p>
      <w:pPr>
        <w:ind w:firstLine="309"/>
        <w:spacing w:after="0" w:line="25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p>
      <w:pPr>
        <w:ind w:left="4780"/>
        <w:spacing w:after="0" w:line="171" w:lineRule="exact"/>
        <w:tabs>
          <w:tab w:leader="none" w:pos="1044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p>
    <w:p>
      <w:pPr>
        <w:spacing w:after="0" w:line="49" w:lineRule="exact"/>
        <w:rPr>
          <w:sz w:val="24"/>
          <w:szCs w:val="24"/>
          <w:color w:val="auto"/>
        </w:rPr>
      </w:pPr>
    </w:p>
    <w:p>
      <w:pPr>
        <w:ind w:left="1620"/>
        <w:spacing w:after="0"/>
        <w:tabs>
          <w:tab w:leader="none" w:pos="73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Arial" w:cs="Arial" w:eastAsia="Arial" w:hAnsi="Arial"/>
          <w:sz w:val="11"/>
          <w:szCs w:val="11"/>
          <w:color w:val="auto"/>
        </w:rPr>
        <w:t>Accelerated filer</w:t>
      </w:r>
    </w:p>
    <w:p>
      <w:pPr>
        <w:spacing w:after="0" w:line="200" w:lineRule="exact"/>
        <w:rPr>
          <w:sz w:val="24"/>
          <w:szCs w:val="24"/>
          <w:color w:val="auto"/>
        </w:rPr>
      </w:pPr>
    </w:p>
    <w:p>
      <w:pPr>
        <w:ind w:left="4780"/>
        <w:spacing w:after="0" w:line="171" w:lineRule="exact"/>
        <w:tabs>
          <w:tab w:leader="none" w:pos="1044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p>
    <w:p>
      <w:pPr>
        <w:spacing w:after="0" w:line="49" w:lineRule="exact"/>
        <w:rPr>
          <w:sz w:val="24"/>
          <w:szCs w:val="24"/>
          <w:color w:val="auto"/>
        </w:rPr>
      </w:pPr>
    </w:p>
    <w:p>
      <w:pPr>
        <w:ind w:left="1640"/>
        <w:spacing w:after="0"/>
        <w:tabs>
          <w:tab w:leader="none" w:pos="706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Arial" w:cs="Arial" w:eastAsia="Arial" w:hAnsi="Arial"/>
          <w:sz w:val="11"/>
          <w:szCs w:val="11"/>
          <w:color w:val="auto"/>
        </w:rPr>
        <w:t>Smaller reporting company</w:t>
      </w:r>
    </w:p>
    <w:p>
      <w:pPr>
        <w:spacing w:after="0" w:line="33" w:lineRule="exact"/>
        <w:rPr>
          <w:sz w:val="24"/>
          <w:szCs w:val="24"/>
          <w:color w:val="auto"/>
        </w:rPr>
      </w:pPr>
    </w:p>
    <w:p>
      <w:pPr>
        <w:ind w:left="10460"/>
        <w:spacing w:after="0" w:line="171" w:lineRule="exact"/>
        <w:rPr>
          <w:sz w:val="20"/>
          <w:szCs w:val="20"/>
          <w:color w:val="auto"/>
        </w:rPr>
      </w:pPr>
      <w:r>
        <w:rPr>
          <w:rFonts w:ascii="MS PGothic" w:cs="MS PGothic" w:eastAsia="MS PGothic" w:hAnsi="MS PGothic"/>
          <w:sz w:val="17"/>
          <w:szCs w:val="17"/>
          <w:color w:val="auto"/>
        </w:rPr>
        <w:t>☐</w:t>
      </w:r>
    </w:p>
    <w:p>
      <w:pPr>
        <w:spacing w:after="0" w:line="49" w:lineRule="exact"/>
        <w:rPr>
          <w:sz w:val="24"/>
          <w:szCs w:val="24"/>
          <w:color w:val="auto"/>
        </w:rPr>
      </w:pPr>
    </w:p>
    <w:p>
      <w:pPr>
        <w:ind w:left="7100"/>
        <w:spacing w:after="0"/>
        <w:rPr>
          <w:sz w:val="20"/>
          <w:szCs w:val="20"/>
          <w:color w:val="auto"/>
        </w:rPr>
      </w:pPr>
      <w:r>
        <w:rPr>
          <w:rFonts w:ascii="Arial" w:cs="Arial" w:eastAsia="Arial" w:hAnsi="Arial"/>
          <w:sz w:val="14"/>
          <w:szCs w:val="14"/>
          <w:color w:val="auto"/>
        </w:rPr>
        <w:t>Emerging growth company</w:t>
      </w:r>
    </w:p>
    <w:p>
      <w:pPr>
        <w:spacing w:after="0" w:line="188" w:lineRule="exact"/>
        <w:rPr>
          <w:sz w:val="24"/>
          <w:szCs w:val="24"/>
          <w:color w:val="auto"/>
        </w:rPr>
      </w:pPr>
    </w:p>
    <w:p>
      <w:pPr>
        <w:ind w:right="200" w:firstLine="309"/>
        <w:spacing w:after="0" w:line="26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5" w:lineRule="exact"/>
        <w:rPr>
          <w:sz w:val="24"/>
          <w:szCs w:val="24"/>
          <w:color w:val="auto"/>
        </w:rPr>
      </w:pPr>
    </w:p>
    <w:p>
      <w:pPr>
        <w:ind w:right="260" w:firstLine="309"/>
        <w:spacing w:after="0" w:line="18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41" w:lineRule="exact"/>
        <w:rPr>
          <w:sz w:val="24"/>
          <w:szCs w:val="24"/>
          <w:color w:val="auto"/>
        </w:rPr>
      </w:pPr>
    </w:p>
    <w:p>
      <w:pPr>
        <w:ind w:left="320"/>
        <w:spacing w:after="0" w:line="17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0" w:lineRule="exact"/>
        <w:rPr>
          <w:sz w:val="24"/>
          <w:szCs w:val="24"/>
          <w:color w:val="auto"/>
        </w:rPr>
      </w:pPr>
    </w:p>
    <w:p>
      <w:pPr>
        <w:ind w:right="20" w:firstLine="309"/>
        <w:spacing w:after="0" w:line="261" w:lineRule="auto"/>
        <w:rPr>
          <w:sz w:val="20"/>
          <w:szCs w:val="20"/>
          <w:color w:val="auto"/>
        </w:rPr>
      </w:pPr>
      <w:r>
        <w:rPr>
          <w:rFonts w:ascii="Arial" w:cs="Arial" w:eastAsia="Arial" w:hAnsi="Arial"/>
          <w:sz w:val="13"/>
          <w:szCs w:val="13"/>
          <w:color w:val="auto"/>
        </w:rPr>
        <w:t>The aggregate market value of the registrant’s voting and non-voting common stock held by non-affiliates as of June 25, 2021, the last business day of the registrant’s most recently completed second fiscal quarter, was approximately $3.4 billion, based on the closing sale price for shares of the registrant’s common stock as reported by the NASDAQ Global Select Market on such date. This disclosure excludes shares of common stock held by executive officers, directors and stockholders whose individual ownership exceeded 10% of the common stock outstanding on June 25, 2021 because such persons may be deemed to be affiliates. This determination of affiliate status is not necessarily a conclusive determination for any other purpose.</w:t>
      </w:r>
    </w:p>
    <w:p>
      <w:pPr>
        <w:spacing w:after="0" w:line="72" w:lineRule="exact"/>
        <w:rPr>
          <w:sz w:val="24"/>
          <w:szCs w:val="24"/>
          <w:color w:val="auto"/>
        </w:rPr>
      </w:pPr>
    </w:p>
    <w:p>
      <w:pPr>
        <w:ind w:left="320"/>
        <w:spacing w:after="0"/>
        <w:rPr>
          <w:sz w:val="20"/>
          <w:szCs w:val="20"/>
          <w:color w:val="auto"/>
        </w:rPr>
      </w:pPr>
      <w:r>
        <w:rPr>
          <w:rFonts w:ascii="Arial" w:cs="Arial" w:eastAsia="Arial" w:hAnsi="Arial"/>
          <w:sz w:val="14"/>
          <w:szCs w:val="14"/>
          <w:color w:val="auto"/>
        </w:rPr>
        <w:t>As of February 18, 2022, 124,643,140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510540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106045</wp:posOffset>
            </wp:positionV>
            <wp:extent cx="7122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130810</wp:posOffset>
            </wp:positionV>
            <wp:extent cx="7122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1" w:name="page2"/>
    <w:bookmarkEnd w:id="1"/>
    <w:p>
      <w:pPr>
        <w:jc w:val="center"/>
        <w:ind w:right="-179"/>
        <w:spacing w:after="0"/>
        <w:rPr>
          <w:sz w:val="20"/>
          <w:szCs w:val="20"/>
          <w:color w:val="auto"/>
        </w:rPr>
      </w:pPr>
      <w:r>
        <w:rPr>
          <w:rFonts w:ascii="Arial" w:cs="Arial" w:eastAsia="Arial" w:hAnsi="Arial"/>
          <w:sz w:val="17"/>
          <w:szCs w:val="17"/>
          <w:b w:val="1"/>
          <w:bCs w:val="1"/>
          <w:color w:val="auto"/>
        </w:rPr>
        <w:t>Documents Incorporated by Reference</w:t>
      </w:r>
    </w:p>
    <w:p>
      <w:pPr>
        <w:spacing w:after="0" w:line="223"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Items 10, 11, 12, 13 and 14 of Part III of this annual report on Form 10-K incorporate information by reference from the registrant’s definitive proxy statement to be filed pursuant to Regulation 14A in connection with the registrant’s 2022 Annual Meeting of Stockholders or an amendment to this annual report on Form 10-K to be filed with the Securities and Exchange Commission within 120 days after the close of the fiscal year covered by this annual report on Form 10-K.</w:t>
      </w:r>
    </w:p>
    <w:p>
      <w:pPr>
        <w:spacing w:after="0" w:line="200" w:lineRule="exact"/>
        <w:rPr>
          <w:sz w:val="20"/>
          <w:szCs w:val="20"/>
          <w:color w:val="auto"/>
        </w:rPr>
      </w:pPr>
    </w:p>
    <w:p>
      <w:pPr>
        <w:spacing w:after="0" w:line="33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663"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80" w:type="dxa"/>
            <w:vAlign w:val="bottom"/>
            <w:gridSpan w:val="11"/>
          </w:tcPr>
          <w:p>
            <w:pPr>
              <w:jc w:val="center"/>
              <w:ind w:right="1820"/>
              <w:spacing w:after="0"/>
              <w:rPr>
                <w:sz w:val="20"/>
                <w:szCs w:val="20"/>
                <w:color w:val="auto"/>
              </w:rPr>
            </w:pPr>
            <w:r>
              <w:rPr>
                <w:rFonts w:ascii="Arial" w:cs="Arial" w:eastAsia="Arial" w:hAnsi="Arial"/>
                <w:sz w:val="17"/>
                <w:szCs w:val="17"/>
                <w:b w:val="1"/>
                <w:bCs w:val="1"/>
                <w:color w:val="auto"/>
              </w:rPr>
              <w:t>KRATOS DEFENSE &amp; SECURITY SOLUTIONS, INC.</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20" w:type="dxa"/>
            <w:vAlign w:val="bottom"/>
            <w:gridSpan w:val="7"/>
          </w:tcPr>
          <w:p>
            <w:pPr>
              <w:jc w:val="center"/>
              <w:ind w:right="3720"/>
              <w:spacing w:after="0"/>
              <w:rPr>
                <w:sz w:val="20"/>
                <w:szCs w:val="20"/>
                <w:color w:val="auto"/>
              </w:rPr>
            </w:pPr>
            <w:r>
              <w:rPr>
                <w:rFonts w:ascii="Arial" w:cs="Arial" w:eastAsia="Arial" w:hAnsi="Arial"/>
                <w:sz w:val="17"/>
                <w:szCs w:val="17"/>
                <w:b w:val="1"/>
                <w:bCs w:val="1"/>
                <w:color w:val="auto"/>
              </w:rPr>
              <w:t>FORM 10-K</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80" w:type="dxa"/>
            <w:vAlign w:val="bottom"/>
            <w:gridSpan w:val="11"/>
          </w:tcPr>
          <w:p>
            <w:pPr>
              <w:jc w:val="center"/>
              <w:ind w:right="1760"/>
              <w:spacing w:after="0"/>
              <w:rPr>
                <w:sz w:val="20"/>
                <w:szCs w:val="20"/>
                <w:color w:val="auto"/>
              </w:rPr>
            </w:pPr>
            <w:r>
              <w:rPr>
                <w:rFonts w:ascii="Arial" w:cs="Arial" w:eastAsia="Arial" w:hAnsi="Arial"/>
                <w:sz w:val="17"/>
                <w:szCs w:val="17"/>
                <w:b w:val="1"/>
                <w:bCs w:val="1"/>
                <w:color w:val="auto"/>
              </w:rPr>
              <w:t>FOR THE FISCAL YEAR ENDED DECEMBER 26, 2021</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40" w:type="dxa"/>
            <w:vAlign w:val="bottom"/>
            <w:gridSpan w:val="8"/>
          </w:tcPr>
          <w:p>
            <w:pPr>
              <w:jc w:val="center"/>
              <w:ind w:right="3060"/>
              <w:spacing w:after="0"/>
              <w:rPr>
                <w:sz w:val="20"/>
                <w:szCs w:val="20"/>
                <w:color w:val="auto"/>
              </w:rPr>
            </w:pPr>
            <w:r>
              <w:rPr>
                <w:rFonts w:ascii="Arial" w:cs="Arial" w:eastAsia="Arial" w:hAnsi="Arial"/>
                <w:sz w:val="17"/>
                <w:szCs w:val="17"/>
                <w:b w:val="1"/>
                <w:bCs w:val="1"/>
                <w:color w:val="auto"/>
              </w:rPr>
              <w:t>TABLE OF CONTENTS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0" w:type="dxa"/>
            <w:vAlign w:val="bottom"/>
          </w:tcPr>
          <w:p>
            <w:pPr>
              <w:spacing w:after="0"/>
              <w:rPr>
                <w:sz w:val="24"/>
                <w:szCs w:val="24"/>
                <w:color w:val="auto"/>
              </w:rPr>
            </w:pPr>
          </w:p>
        </w:tc>
        <w:tc>
          <w:tcPr>
            <w:tcW w:w="560" w:type="dxa"/>
            <w:vAlign w:val="bottom"/>
            <w:gridSpan w:val="2"/>
            <w:vMerge w:val="restart"/>
          </w:tcPr>
          <w:p>
            <w:pPr>
              <w:spacing w:after="0"/>
              <w:rPr>
                <w:rFonts w:ascii="Arial" w:cs="Arial" w:eastAsia="Arial" w:hAnsi="Arial"/>
                <w:sz w:val="17"/>
                <w:szCs w:val="17"/>
                <w:b w:val="1"/>
                <w:bCs w:val="1"/>
                <w:color w:val="0000FF"/>
                <w:w w:val="93"/>
              </w:rPr>
            </w:pPr>
            <w:hyperlink w:anchor="page4">
              <w:r>
                <w:rPr>
                  <w:rFonts w:ascii="Arial" w:cs="Arial" w:eastAsia="Arial" w:hAnsi="Arial"/>
                  <w:sz w:val="17"/>
                  <w:szCs w:val="17"/>
                  <w:b w:val="1"/>
                  <w:bCs w:val="1"/>
                  <w:color w:val="0000FF"/>
                  <w:w w:val="93"/>
                </w:rPr>
                <w:t>PART I</w:t>
              </w:r>
            </w:hyperlink>
          </w:p>
        </w:tc>
        <w:tc>
          <w:tcPr>
            <w:tcW w:w="360" w:type="dxa"/>
            <w:vAlign w:val="bottom"/>
            <w:gridSpan w:val="4"/>
            <w:vMerge w:val="restart"/>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Borders>
              <w:bottom w:val="single" w:sz="8" w:color="auto"/>
            </w:tcBorders>
            <w:gridSpan w:val="4"/>
          </w:tcPr>
          <w:p>
            <w:pPr>
              <w:ind w:left="48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60" w:type="dxa"/>
            <w:vAlign w:val="bottom"/>
            <w:tcBorders>
              <w:bottom w:val="single" w:sz="8" w:color="0000FF"/>
            </w:tcBorders>
            <w:gridSpan w:val="2"/>
            <w:vMerge w:val="continue"/>
          </w:tcPr>
          <w:p>
            <w:pPr>
              <w:spacing w:after="0"/>
              <w:rPr>
                <w:sz w:val="14"/>
                <w:szCs w:val="14"/>
                <w:color w:val="auto"/>
              </w:rPr>
            </w:pPr>
          </w:p>
        </w:tc>
        <w:tc>
          <w:tcPr>
            <w:tcW w:w="3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rFonts w:ascii="Arial" w:cs="Arial" w:eastAsia="Arial" w:hAnsi="Arial"/>
                <w:sz w:val="17"/>
                <w:szCs w:val="17"/>
                <w:color w:val="0000FF"/>
                <w:w w:val="88"/>
              </w:rPr>
            </w:pPr>
            <w:hyperlink w:anchor="page4">
              <w:r>
                <w:rPr>
                  <w:rFonts w:ascii="Arial" w:cs="Arial" w:eastAsia="Arial" w:hAnsi="Arial"/>
                  <w:sz w:val="17"/>
                  <w:szCs w:val="17"/>
                  <w:color w:val="0000FF"/>
                  <w:w w:val="88"/>
                </w:rPr>
                <w:t>Item 1.</w:t>
              </w:r>
            </w:hyperlink>
          </w:p>
        </w:tc>
        <w:tc>
          <w:tcPr>
            <w:tcW w:w="440" w:type="dxa"/>
            <w:vAlign w:val="bottom"/>
            <w:gridSpan w:val="5"/>
          </w:tcPr>
          <w:p>
            <w:pPr>
              <w:spacing w:after="0"/>
              <w:rPr>
                <w:sz w:val="17"/>
                <w:szCs w:val="17"/>
                <w:color w:val="auto"/>
              </w:rPr>
            </w:pPr>
          </w:p>
        </w:tc>
        <w:tc>
          <w:tcPr>
            <w:tcW w:w="8960" w:type="dxa"/>
            <w:vAlign w:val="bottom"/>
            <w:gridSpan w:val="20"/>
          </w:tcPr>
          <w:p>
            <w:pPr>
              <w:ind w:left="240"/>
              <w:spacing w:after="0"/>
              <w:rPr>
                <w:rFonts w:ascii="Arial" w:cs="Arial" w:eastAsia="Arial" w:hAnsi="Arial"/>
                <w:sz w:val="17"/>
                <w:szCs w:val="17"/>
                <w:color w:val="0000FF"/>
              </w:rPr>
            </w:pPr>
            <w:hyperlink w:anchor="page4">
              <w:r>
                <w:rPr>
                  <w:rFonts w:ascii="Arial" w:cs="Arial" w:eastAsia="Arial" w:hAnsi="Arial"/>
                  <w:sz w:val="17"/>
                  <w:szCs w:val="17"/>
                  <w:color w:val="0000FF"/>
                </w:rPr>
                <w:t>Business</w:t>
              </w:r>
            </w:hyperlink>
          </w:p>
        </w:tc>
        <w:tc>
          <w:tcPr>
            <w:tcW w:w="1320" w:type="dxa"/>
            <w:vAlign w:val="bottom"/>
            <w:gridSpan w:val="4"/>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560" w:type="dxa"/>
            <w:vAlign w:val="bottom"/>
            <w:gridSpan w:val="2"/>
          </w:tcPr>
          <w:p>
            <w:pPr>
              <w:spacing w:after="0"/>
              <w:rPr>
                <w:rFonts w:ascii="Arial" w:cs="Arial" w:eastAsia="Arial" w:hAnsi="Arial"/>
                <w:sz w:val="17"/>
                <w:szCs w:val="17"/>
                <w:color w:val="0000FF"/>
                <w:w w:val="82"/>
              </w:rPr>
            </w:pPr>
            <w:hyperlink w:anchor="page18">
              <w:r>
                <w:rPr>
                  <w:rFonts w:ascii="Arial" w:cs="Arial" w:eastAsia="Arial" w:hAnsi="Arial"/>
                  <w:sz w:val="17"/>
                  <w:szCs w:val="17"/>
                  <w:color w:val="0000FF"/>
                  <w:w w:val="82"/>
                </w:rPr>
                <w:t>Item 1A.</w:t>
              </w:r>
            </w:hyperlink>
          </w:p>
        </w:tc>
        <w:tc>
          <w:tcPr>
            <w:tcW w:w="360" w:type="dxa"/>
            <w:vAlign w:val="bottom"/>
            <w:gridSpan w:val="4"/>
          </w:tcPr>
          <w:p>
            <w:pPr>
              <w:spacing w:after="0"/>
              <w:rPr>
                <w:sz w:val="17"/>
                <w:szCs w:val="17"/>
                <w:color w:val="auto"/>
              </w:rPr>
            </w:pPr>
          </w:p>
        </w:tc>
        <w:tc>
          <w:tcPr>
            <w:tcW w:w="8960" w:type="dxa"/>
            <w:vAlign w:val="bottom"/>
            <w:gridSpan w:val="20"/>
          </w:tcPr>
          <w:p>
            <w:pPr>
              <w:ind w:left="240"/>
              <w:spacing w:after="0"/>
              <w:rPr>
                <w:rFonts w:ascii="Arial" w:cs="Arial" w:eastAsia="Arial" w:hAnsi="Arial"/>
                <w:sz w:val="17"/>
                <w:szCs w:val="17"/>
                <w:color w:val="0000FF"/>
              </w:rPr>
            </w:pPr>
            <w:hyperlink w:anchor="page18">
              <w:r>
                <w:rPr>
                  <w:rFonts w:ascii="Arial" w:cs="Arial" w:eastAsia="Arial" w:hAnsi="Arial"/>
                  <w:sz w:val="17"/>
                  <w:szCs w:val="17"/>
                  <w:color w:val="0000FF"/>
                </w:rPr>
                <w:t>Risk Factors</w:t>
              </w:r>
            </w:hyperlink>
          </w:p>
        </w:tc>
        <w:tc>
          <w:tcPr>
            <w:tcW w:w="1300" w:type="dxa"/>
            <w:vAlign w:val="bottom"/>
            <w:gridSpan w:val="3"/>
          </w:tcPr>
          <w:p>
            <w:pPr>
              <w:jc w:val="right"/>
              <w:spacing w:after="0"/>
              <w:rPr>
                <w:rFonts w:ascii="Arial" w:cs="Arial" w:eastAsia="Arial" w:hAnsi="Arial"/>
                <w:sz w:val="17"/>
                <w:szCs w:val="17"/>
                <w:color w:val="0000FF"/>
              </w:rPr>
            </w:pPr>
            <w:hyperlink w:anchor="page18">
              <w:r>
                <w:rPr>
                  <w:rFonts w:ascii="Arial" w:cs="Arial" w:eastAsia="Arial" w:hAnsi="Arial"/>
                  <w:sz w:val="17"/>
                  <w:szCs w:val="17"/>
                  <w:color w:val="0000FF"/>
                </w:rPr>
                <w:t>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560" w:type="dxa"/>
            <w:vAlign w:val="bottom"/>
            <w:gridSpan w:val="2"/>
          </w:tcPr>
          <w:p>
            <w:pPr>
              <w:spacing w:after="0"/>
              <w:rPr>
                <w:rFonts w:ascii="Arial" w:cs="Arial" w:eastAsia="Arial" w:hAnsi="Arial"/>
                <w:sz w:val="17"/>
                <w:szCs w:val="17"/>
                <w:color w:val="0000FF"/>
                <w:w w:val="82"/>
              </w:rPr>
            </w:pPr>
            <w:hyperlink w:anchor="page44">
              <w:r>
                <w:rPr>
                  <w:rFonts w:ascii="Arial" w:cs="Arial" w:eastAsia="Arial" w:hAnsi="Arial"/>
                  <w:sz w:val="17"/>
                  <w:szCs w:val="17"/>
                  <w:color w:val="0000FF"/>
                  <w:w w:val="82"/>
                </w:rPr>
                <w:t>Item 1B.</w:t>
              </w:r>
            </w:hyperlink>
          </w:p>
        </w:tc>
        <w:tc>
          <w:tcPr>
            <w:tcW w:w="360" w:type="dxa"/>
            <w:vAlign w:val="bottom"/>
            <w:gridSpan w:val="4"/>
          </w:tcPr>
          <w:p>
            <w:pPr>
              <w:spacing w:after="0"/>
              <w:rPr>
                <w:sz w:val="17"/>
                <w:szCs w:val="17"/>
                <w:color w:val="auto"/>
              </w:rPr>
            </w:pPr>
          </w:p>
        </w:tc>
        <w:tc>
          <w:tcPr>
            <w:tcW w:w="8960" w:type="dxa"/>
            <w:vAlign w:val="bottom"/>
            <w:gridSpan w:val="20"/>
          </w:tcPr>
          <w:p>
            <w:pPr>
              <w:ind w:left="240"/>
              <w:spacing w:after="0"/>
              <w:rPr>
                <w:rFonts w:ascii="Arial" w:cs="Arial" w:eastAsia="Arial" w:hAnsi="Arial"/>
                <w:sz w:val="17"/>
                <w:szCs w:val="17"/>
                <w:color w:val="0000FF"/>
              </w:rPr>
            </w:pPr>
            <w:hyperlink w:anchor="page44">
              <w:r>
                <w:rPr>
                  <w:rFonts w:ascii="Arial" w:cs="Arial" w:eastAsia="Arial" w:hAnsi="Arial"/>
                  <w:sz w:val="17"/>
                  <w:szCs w:val="17"/>
                  <w:color w:val="0000FF"/>
                </w:rPr>
                <w:t>Unresolved Staff Comments</w:t>
              </w:r>
            </w:hyperlink>
          </w:p>
        </w:tc>
        <w:tc>
          <w:tcPr>
            <w:tcW w:w="1300" w:type="dxa"/>
            <w:vAlign w:val="bottom"/>
            <w:gridSpan w:val="3"/>
          </w:tcPr>
          <w:p>
            <w:pPr>
              <w:jc w:val="right"/>
              <w:spacing w:after="0"/>
              <w:rPr>
                <w:rFonts w:ascii="Arial" w:cs="Arial" w:eastAsia="Arial" w:hAnsi="Arial"/>
                <w:sz w:val="17"/>
                <w:szCs w:val="17"/>
                <w:color w:val="0000FF"/>
              </w:rPr>
            </w:pPr>
            <w:hyperlink w:anchor="page44">
              <w:r>
                <w:rPr>
                  <w:rFonts w:ascii="Arial" w:cs="Arial" w:eastAsia="Arial" w:hAnsi="Arial"/>
                  <w:sz w:val="17"/>
                  <w:szCs w:val="17"/>
                  <w:color w:val="0000FF"/>
                </w:rPr>
                <w:t>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rFonts w:ascii="Arial" w:cs="Arial" w:eastAsia="Arial" w:hAnsi="Arial"/>
                <w:sz w:val="17"/>
                <w:szCs w:val="17"/>
                <w:color w:val="0000FF"/>
                <w:w w:val="88"/>
              </w:rPr>
            </w:pPr>
            <w:hyperlink w:anchor="page44">
              <w:r>
                <w:rPr>
                  <w:rFonts w:ascii="Arial" w:cs="Arial" w:eastAsia="Arial" w:hAnsi="Arial"/>
                  <w:sz w:val="17"/>
                  <w:szCs w:val="17"/>
                  <w:color w:val="0000FF"/>
                  <w:w w:val="88"/>
                </w:rPr>
                <w:t>Item 2.</w:t>
              </w:r>
            </w:hyperlink>
          </w:p>
        </w:tc>
        <w:tc>
          <w:tcPr>
            <w:tcW w:w="80" w:type="dxa"/>
            <w:vAlign w:val="bottom"/>
          </w:tcPr>
          <w:p>
            <w:pPr>
              <w:spacing w:after="0"/>
              <w:rPr>
                <w:sz w:val="17"/>
                <w:szCs w:val="17"/>
                <w:color w:val="auto"/>
              </w:rPr>
            </w:pPr>
          </w:p>
        </w:tc>
        <w:tc>
          <w:tcPr>
            <w:tcW w:w="360" w:type="dxa"/>
            <w:vAlign w:val="bottom"/>
            <w:gridSpan w:val="4"/>
          </w:tcPr>
          <w:p>
            <w:pPr>
              <w:spacing w:after="0"/>
              <w:rPr>
                <w:sz w:val="17"/>
                <w:szCs w:val="17"/>
                <w:color w:val="auto"/>
              </w:rPr>
            </w:pPr>
          </w:p>
        </w:tc>
        <w:tc>
          <w:tcPr>
            <w:tcW w:w="8960" w:type="dxa"/>
            <w:vAlign w:val="bottom"/>
            <w:gridSpan w:val="20"/>
          </w:tcPr>
          <w:p>
            <w:pPr>
              <w:ind w:left="240"/>
              <w:spacing w:after="0"/>
              <w:rPr>
                <w:rFonts w:ascii="Arial" w:cs="Arial" w:eastAsia="Arial" w:hAnsi="Arial"/>
                <w:sz w:val="17"/>
                <w:szCs w:val="17"/>
                <w:color w:val="0000FF"/>
              </w:rPr>
            </w:pPr>
            <w:hyperlink w:anchor="page44">
              <w:r>
                <w:rPr>
                  <w:rFonts w:ascii="Arial" w:cs="Arial" w:eastAsia="Arial" w:hAnsi="Arial"/>
                  <w:sz w:val="17"/>
                  <w:szCs w:val="17"/>
                  <w:color w:val="0000FF"/>
                </w:rPr>
                <w:t>Properties</w:t>
              </w:r>
            </w:hyperlink>
          </w:p>
        </w:tc>
        <w:tc>
          <w:tcPr>
            <w:tcW w:w="1300" w:type="dxa"/>
            <w:vAlign w:val="bottom"/>
            <w:gridSpan w:val="3"/>
          </w:tcPr>
          <w:p>
            <w:pPr>
              <w:jc w:val="right"/>
              <w:spacing w:after="0"/>
              <w:rPr>
                <w:rFonts w:ascii="Arial" w:cs="Arial" w:eastAsia="Arial" w:hAnsi="Arial"/>
                <w:sz w:val="17"/>
                <w:szCs w:val="17"/>
                <w:color w:val="0000FF"/>
              </w:rPr>
            </w:pPr>
            <w:hyperlink w:anchor="page44">
              <w:r>
                <w:rPr>
                  <w:rFonts w:ascii="Arial" w:cs="Arial" w:eastAsia="Arial" w:hAnsi="Arial"/>
                  <w:sz w:val="17"/>
                  <w:szCs w:val="17"/>
                  <w:color w:val="0000FF"/>
                </w:rPr>
                <w:t>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rFonts w:ascii="Arial" w:cs="Arial" w:eastAsia="Arial" w:hAnsi="Arial"/>
                <w:sz w:val="17"/>
                <w:szCs w:val="17"/>
                <w:color w:val="0000FF"/>
                <w:w w:val="88"/>
              </w:rPr>
            </w:pPr>
            <w:hyperlink w:anchor="page44">
              <w:r>
                <w:rPr>
                  <w:rFonts w:ascii="Arial" w:cs="Arial" w:eastAsia="Arial" w:hAnsi="Arial"/>
                  <w:sz w:val="17"/>
                  <w:szCs w:val="17"/>
                  <w:color w:val="0000FF"/>
                  <w:w w:val="88"/>
                </w:rPr>
                <w:t>Item 3.</w:t>
              </w:r>
            </w:hyperlink>
          </w:p>
        </w:tc>
        <w:tc>
          <w:tcPr>
            <w:tcW w:w="440" w:type="dxa"/>
            <w:vAlign w:val="bottom"/>
            <w:gridSpan w:val="5"/>
          </w:tcPr>
          <w:p>
            <w:pPr>
              <w:spacing w:after="0"/>
              <w:rPr>
                <w:sz w:val="17"/>
                <w:szCs w:val="17"/>
                <w:color w:val="auto"/>
              </w:rPr>
            </w:pPr>
          </w:p>
        </w:tc>
        <w:tc>
          <w:tcPr>
            <w:tcW w:w="8960" w:type="dxa"/>
            <w:vAlign w:val="bottom"/>
            <w:gridSpan w:val="20"/>
          </w:tcPr>
          <w:p>
            <w:pPr>
              <w:ind w:left="240"/>
              <w:spacing w:after="0"/>
              <w:rPr>
                <w:rFonts w:ascii="Arial" w:cs="Arial" w:eastAsia="Arial" w:hAnsi="Arial"/>
                <w:sz w:val="17"/>
                <w:szCs w:val="17"/>
                <w:color w:val="0000FF"/>
              </w:rPr>
            </w:pPr>
            <w:hyperlink w:anchor="page44">
              <w:r>
                <w:rPr>
                  <w:rFonts w:ascii="Arial" w:cs="Arial" w:eastAsia="Arial" w:hAnsi="Arial"/>
                  <w:sz w:val="17"/>
                  <w:szCs w:val="17"/>
                  <w:color w:val="0000FF"/>
                </w:rPr>
                <w:t>Legal Proceedings</w:t>
              </w:r>
            </w:hyperlink>
          </w:p>
        </w:tc>
        <w:tc>
          <w:tcPr>
            <w:tcW w:w="1300" w:type="dxa"/>
            <w:vAlign w:val="bottom"/>
            <w:gridSpan w:val="3"/>
          </w:tcPr>
          <w:p>
            <w:pPr>
              <w:jc w:val="right"/>
              <w:spacing w:after="0"/>
              <w:rPr>
                <w:rFonts w:ascii="Arial" w:cs="Arial" w:eastAsia="Arial" w:hAnsi="Arial"/>
                <w:sz w:val="17"/>
                <w:szCs w:val="17"/>
                <w:color w:val="0000FF"/>
              </w:rPr>
            </w:pPr>
            <w:hyperlink w:anchor="page44">
              <w:r>
                <w:rPr>
                  <w:rFonts w:ascii="Arial" w:cs="Arial" w:eastAsia="Arial" w:hAnsi="Arial"/>
                  <w:sz w:val="17"/>
                  <w:szCs w:val="17"/>
                  <w:color w:val="0000FF"/>
                </w:rPr>
                <w:t>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rFonts w:ascii="Arial" w:cs="Arial" w:eastAsia="Arial" w:hAnsi="Arial"/>
                <w:sz w:val="17"/>
                <w:szCs w:val="17"/>
                <w:color w:val="0000FF"/>
                <w:w w:val="88"/>
              </w:rPr>
            </w:pPr>
            <w:hyperlink w:anchor="page44">
              <w:r>
                <w:rPr>
                  <w:rFonts w:ascii="Arial" w:cs="Arial" w:eastAsia="Arial" w:hAnsi="Arial"/>
                  <w:sz w:val="17"/>
                  <w:szCs w:val="17"/>
                  <w:color w:val="0000FF"/>
                  <w:w w:val="88"/>
                </w:rPr>
                <w:t>Item 4.</w:t>
              </w:r>
            </w:hyperlink>
          </w:p>
        </w:tc>
        <w:tc>
          <w:tcPr>
            <w:tcW w:w="440" w:type="dxa"/>
            <w:vAlign w:val="bottom"/>
            <w:gridSpan w:val="5"/>
          </w:tcPr>
          <w:p>
            <w:pPr>
              <w:spacing w:after="0"/>
              <w:rPr>
                <w:sz w:val="17"/>
                <w:szCs w:val="17"/>
                <w:color w:val="auto"/>
              </w:rPr>
            </w:pPr>
          </w:p>
        </w:tc>
        <w:tc>
          <w:tcPr>
            <w:tcW w:w="8960" w:type="dxa"/>
            <w:vAlign w:val="bottom"/>
            <w:gridSpan w:val="20"/>
          </w:tcPr>
          <w:p>
            <w:pPr>
              <w:ind w:left="240"/>
              <w:spacing w:after="0"/>
              <w:rPr>
                <w:rFonts w:ascii="Arial" w:cs="Arial" w:eastAsia="Arial" w:hAnsi="Arial"/>
                <w:sz w:val="17"/>
                <w:szCs w:val="17"/>
                <w:color w:val="0000FF"/>
              </w:rPr>
            </w:pPr>
            <w:hyperlink w:anchor="page44">
              <w:r>
                <w:rPr>
                  <w:rFonts w:ascii="Arial" w:cs="Arial" w:eastAsia="Arial" w:hAnsi="Arial"/>
                  <w:sz w:val="17"/>
                  <w:szCs w:val="17"/>
                  <w:color w:val="0000FF"/>
                </w:rPr>
                <w:t>Mine Safety Disclosures</w:t>
              </w:r>
            </w:hyperlink>
          </w:p>
        </w:tc>
        <w:tc>
          <w:tcPr>
            <w:tcW w:w="1300" w:type="dxa"/>
            <w:vAlign w:val="bottom"/>
            <w:gridSpan w:val="3"/>
          </w:tcPr>
          <w:p>
            <w:pPr>
              <w:jc w:val="right"/>
              <w:spacing w:after="0"/>
              <w:rPr>
                <w:rFonts w:ascii="Arial" w:cs="Arial" w:eastAsia="Arial" w:hAnsi="Arial"/>
                <w:sz w:val="17"/>
                <w:szCs w:val="17"/>
                <w:color w:val="0000FF"/>
              </w:rPr>
            </w:pPr>
            <w:hyperlink w:anchor="page44">
              <w:r>
                <w:rPr>
                  <w:rFonts w:ascii="Arial" w:cs="Arial" w:eastAsia="Arial" w:hAnsi="Arial"/>
                  <w:sz w:val="17"/>
                  <w:szCs w:val="17"/>
                  <w:color w:val="0000FF"/>
                </w:rPr>
                <w:t>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640" w:type="dxa"/>
            <w:vAlign w:val="bottom"/>
            <w:tcBorders>
              <w:bottom w:val="single" w:sz="8" w:color="0000FF"/>
            </w:tcBorders>
            <w:gridSpan w:val="3"/>
          </w:tcPr>
          <w:p>
            <w:pPr>
              <w:spacing w:after="0"/>
              <w:rPr>
                <w:rFonts w:ascii="Arial" w:cs="Arial" w:eastAsia="Arial" w:hAnsi="Arial"/>
                <w:sz w:val="17"/>
                <w:szCs w:val="17"/>
                <w:b w:val="1"/>
                <w:bCs w:val="1"/>
                <w:color w:val="0000FF"/>
              </w:rPr>
            </w:pPr>
            <w:hyperlink w:anchor="page45">
              <w:r>
                <w:rPr>
                  <w:rFonts w:ascii="Arial" w:cs="Arial" w:eastAsia="Arial" w:hAnsi="Arial"/>
                  <w:sz w:val="17"/>
                  <w:szCs w:val="17"/>
                  <w:b w:val="1"/>
                  <w:bCs w:val="1"/>
                  <w:color w:val="0000FF"/>
                </w:rPr>
                <w:t>PART II</w:t>
              </w:r>
            </w:hyperlink>
          </w:p>
        </w:tc>
        <w:tc>
          <w:tcPr>
            <w:tcW w:w="2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rFonts w:ascii="Arial" w:cs="Arial" w:eastAsia="Arial" w:hAnsi="Arial"/>
                <w:sz w:val="17"/>
                <w:szCs w:val="17"/>
                <w:color w:val="0000FF"/>
                <w:w w:val="88"/>
              </w:rPr>
            </w:pPr>
            <w:hyperlink w:anchor="page45">
              <w:r>
                <w:rPr>
                  <w:rFonts w:ascii="Arial" w:cs="Arial" w:eastAsia="Arial" w:hAnsi="Arial"/>
                  <w:sz w:val="17"/>
                  <w:szCs w:val="17"/>
                  <w:color w:val="0000FF"/>
                  <w:w w:val="88"/>
                </w:rPr>
                <w:t>Item 5.</w:t>
              </w:r>
            </w:hyperlink>
          </w:p>
        </w:tc>
        <w:tc>
          <w:tcPr>
            <w:tcW w:w="440" w:type="dxa"/>
            <w:vAlign w:val="bottom"/>
            <w:gridSpan w:val="5"/>
          </w:tcPr>
          <w:p>
            <w:pPr>
              <w:spacing w:after="0"/>
              <w:rPr>
                <w:sz w:val="17"/>
                <w:szCs w:val="17"/>
                <w:color w:val="auto"/>
              </w:rPr>
            </w:pPr>
          </w:p>
        </w:tc>
        <w:tc>
          <w:tcPr>
            <w:tcW w:w="8960" w:type="dxa"/>
            <w:vAlign w:val="bottom"/>
            <w:gridSpan w:val="20"/>
          </w:tcPr>
          <w:p>
            <w:pPr>
              <w:ind w:left="240"/>
              <w:spacing w:after="0"/>
              <w:rPr>
                <w:rFonts w:ascii="Arial" w:cs="Arial" w:eastAsia="Arial" w:hAnsi="Arial"/>
                <w:sz w:val="17"/>
                <w:szCs w:val="17"/>
                <w:color w:val="0000FF"/>
              </w:rPr>
            </w:pPr>
            <w:hyperlink w:anchor="page45">
              <w:r>
                <w:rPr>
                  <w:rFonts w:ascii="Arial" w:cs="Arial" w:eastAsia="Arial" w:hAnsi="Arial"/>
                  <w:sz w:val="17"/>
                  <w:szCs w:val="17"/>
                  <w:color w:val="0000FF"/>
                </w:rPr>
                <w:t>Market for the Registrant’s Common Equity, Related Stockholder Matters and Issuer Purchases of Equity Securities</w:t>
              </w:r>
            </w:hyperlink>
          </w:p>
        </w:tc>
        <w:tc>
          <w:tcPr>
            <w:tcW w:w="1300" w:type="dxa"/>
            <w:vAlign w:val="bottom"/>
            <w:gridSpan w:val="3"/>
          </w:tcPr>
          <w:p>
            <w:pPr>
              <w:jc w:val="right"/>
              <w:spacing w:after="0"/>
              <w:rPr>
                <w:rFonts w:ascii="Arial" w:cs="Arial" w:eastAsia="Arial" w:hAnsi="Arial"/>
                <w:sz w:val="17"/>
                <w:szCs w:val="17"/>
                <w:color w:val="0000FF"/>
              </w:rPr>
            </w:pPr>
            <w:hyperlink w:anchor="page45">
              <w:r>
                <w:rPr>
                  <w:rFonts w:ascii="Arial" w:cs="Arial" w:eastAsia="Arial" w:hAnsi="Arial"/>
                  <w:sz w:val="17"/>
                  <w:szCs w:val="17"/>
                  <w:color w:val="0000FF"/>
                </w:rPr>
                <w:t>44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rFonts w:ascii="Arial" w:cs="Arial" w:eastAsia="Arial" w:hAnsi="Arial"/>
                <w:sz w:val="17"/>
                <w:szCs w:val="17"/>
                <w:color w:val="0000FF"/>
                <w:w w:val="88"/>
              </w:rPr>
            </w:pPr>
            <w:hyperlink w:anchor="page47">
              <w:r>
                <w:rPr>
                  <w:rFonts w:ascii="Arial" w:cs="Arial" w:eastAsia="Arial" w:hAnsi="Arial"/>
                  <w:sz w:val="17"/>
                  <w:szCs w:val="17"/>
                  <w:color w:val="0000FF"/>
                  <w:w w:val="88"/>
                </w:rPr>
                <w:t>Item 6.</w:t>
              </w:r>
            </w:hyperlink>
          </w:p>
        </w:tc>
        <w:tc>
          <w:tcPr>
            <w:tcW w:w="440" w:type="dxa"/>
            <w:vAlign w:val="bottom"/>
            <w:gridSpan w:val="5"/>
          </w:tcPr>
          <w:p>
            <w:pPr>
              <w:spacing w:after="0"/>
              <w:rPr>
                <w:sz w:val="17"/>
                <w:szCs w:val="17"/>
                <w:color w:val="auto"/>
              </w:rPr>
            </w:pPr>
          </w:p>
        </w:tc>
        <w:tc>
          <w:tcPr>
            <w:tcW w:w="8960" w:type="dxa"/>
            <w:vAlign w:val="bottom"/>
            <w:gridSpan w:val="20"/>
          </w:tcPr>
          <w:p>
            <w:pPr>
              <w:ind w:left="240"/>
              <w:spacing w:after="0"/>
              <w:rPr>
                <w:rFonts w:ascii="Arial" w:cs="Arial" w:eastAsia="Arial" w:hAnsi="Arial"/>
                <w:sz w:val="17"/>
                <w:szCs w:val="17"/>
                <w:color w:val="0000FF"/>
              </w:rPr>
            </w:pPr>
            <w:hyperlink w:anchor="page47">
              <w:r>
                <w:rPr>
                  <w:rFonts w:ascii="Arial" w:cs="Arial" w:eastAsia="Arial" w:hAnsi="Arial"/>
                  <w:sz w:val="17"/>
                  <w:szCs w:val="17"/>
                  <w:color w:val="0000FF"/>
                </w:rPr>
                <w:t>Reserved</w:t>
              </w:r>
            </w:hyperlink>
          </w:p>
        </w:tc>
        <w:tc>
          <w:tcPr>
            <w:tcW w:w="1300" w:type="dxa"/>
            <w:vAlign w:val="bottom"/>
            <w:gridSpan w:val="3"/>
          </w:tcPr>
          <w:p>
            <w:pPr>
              <w:jc w:val="right"/>
              <w:spacing w:after="0"/>
              <w:rPr>
                <w:rFonts w:ascii="Arial" w:cs="Arial" w:eastAsia="Arial" w:hAnsi="Arial"/>
                <w:sz w:val="17"/>
                <w:szCs w:val="17"/>
                <w:color w:val="0000FF"/>
              </w:rPr>
            </w:pPr>
            <w:hyperlink w:anchor="page47">
              <w:r>
                <w:rPr>
                  <w:rFonts w:ascii="Arial" w:cs="Arial" w:eastAsia="Arial" w:hAnsi="Arial"/>
                  <w:sz w:val="17"/>
                  <w:szCs w:val="17"/>
                  <w:color w:val="0000FF"/>
                </w:rPr>
                <w:t>46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rFonts w:ascii="Arial" w:cs="Arial" w:eastAsia="Arial" w:hAnsi="Arial"/>
                <w:sz w:val="17"/>
                <w:szCs w:val="17"/>
                <w:color w:val="0000FF"/>
                <w:w w:val="88"/>
              </w:rPr>
            </w:pPr>
            <w:hyperlink w:anchor="page47">
              <w:r>
                <w:rPr>
                  <w:rFonts w:ascii="Arial" w:cs="Arial" w:eastAsia="Arial" w:hAnsi="Arial"/>
                  <w:sz w:val="17"/>
                  <w:szCs w:val="17"/>
                  <w:color w:val="0000FF"/>
                  <w:w w:val="88"/>
                </w:rPr>
                <w:t>Item 7.</w:t>
              </w:r>
            </w:hyperlink>
          </w:p>
        </w:tc>
        <w:tc>
          <w:tcPr>
            <w:tcW w:w="440" w:type="dxa"/>
            <w:vAlign w:val="bottom"/>
            <w:gridSpan w:val="5"/>
          </w:tcPr>
          <w:p>
            <w:pPr>
              <w:spacing w:after="0"/>
              <w:rPr>
                <w:sz w:val="17"/>
                <w:szCs w:val="17"/>
                <w:color w:val="auto"/>
              </w:rPr>
            </w:pPr>
          </w:p>
        </w:tc>
        <w:tc>
          <w:tcPr>
            <w:tcW w:w="8960" w:type="dxa"/>
            <w:vAlign w:val="bottom"/>
            <w:gridSpan w:val="20"/>
          </w:tcPr>
          <w:p>
            <w:pPr>
              <w:ind w:left="240"/>
              <w:spacing w:after="0"/>
              <w:rPr>
                <w:rFonts w:ascii="Arial" w:cs="Arial" w:eastAsia="Arial" w:hAnsi="Arial"/>
                <w:sz w:val="17"/>
                <w:szCs w:val="17"/>
                <w:color w:val="0000FF"/>
              </w:rPr>
            </w:pPr>
            <w:hyperlink w:anchor="page47">
              <w:r>
                <w:rPr>
                  <w:rFonts w:ascii="Arial" w:cs="Arial" w:eastAsia="Arial" w:hAnsi="Arial"/>
                  <w:sz w:val="17"/>
                  <w:szCs w:val="17"/>
                  <w:color w:val="0000FF"/>
                </w:rPr>
                <w:t>Management’s Discussion and Analysis of Financial Condition and Results of Operations</w:t>
              </w:r>
            </w:hyperlink>
          </w:p>
        </w:tc>
        <w:tc>
          <w:tcPr>
            <w:tcW w:w="1300" w:type="dxa"/>
            <w:vAlign w:val="bottom"/>
            <w:gridSpan w:val="3"/>
          </w:tcPr>
          <w:p>
            <w:pPr>
              <w:jc w:val="right"/>
              <w:spacing w:after="0"/>
              <w:rPr>
                <w:rFonts w:ascii="Arial" w:cs="Arial" w:eastAsia="Arial" w:hAnsi="Arial"/>
                <w:sz w:val="17"/>
                <w:szCs w:val="17"/>
                <w:color w:val="0000FF"/>
              </w:rPr>
            </w:pPr>
            <w:hyperlink w:anchor="page47">
              <w:r>
                <w:rPr>
                  <w:rFonts w:ascii="Arial" w:cs="Arial" w:eastAsia="Arial" w:hAnsi="Arial"/>
                  <w:sz w:val="17"/>
                  <w:szCs w:val="17"/>
                  <w:color w:val="0000FF"/>
                </w:rPr>
                <w:t>46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560" w:type="dxa"/>
            <w:vAlign w:val="bottom"/>
            <w:gridSpan w:val="2"/>
          </w:tcPr>
          <w:p>
            <w:pPr>
              <w:spacing w:after="0"/>
              <w:rPr>
                <w:rFonts w:ascii="Arial" w:cs="Arial" w:eastAsia="Arial" w:hAnsi="Arial"/>
                <w:sz w:val="17"/>
                <w:szCs w:val="17"/>
                <w:color w:val="0000FF"/>
                <w:w w:val="82"/>
              </w:rPr>
            </w:pPr>
            <w:hyperlink w:anchor="page60">
              <w:r>
                <w:rPr>
                  <w:rFonts w:ascii="Arial" w:cs="Arial" w:eastAsia="Arial" w:hAnsi="Arial"/>
                  <w:sz w:val="17"/>
                  <w:szCs w:val="17"/>
                  <w:color w:val="0000FF"/>
                  <w:w w:val="82"/>
                </w:rPr>
                <w:t>Item 7A.</w:t>
              </w:r>
            </w:hyperlink>
          </w:p>
        </w:tc>
        <w:tc>
          <w:tcPr>
            <w:tcW w:w="360" w:type="dxa"/>
            <w:vAlign w:val="bottom"/>
            <w:gridSpan w:val="4"/>
          </w:tcPr>
          <w:p>
            <w:pPr>
              <w:spacing w:after="0"/>
              <w:rPr>
                <w:sz w:val="17"/>
                <w:szCs w:val="17"/>
                <w:color w:val="auto"/>
              </w:rPr>
            </w:pPr>
          </w:p>
        </w:tc>
        <w:tc>
          <w:tcPr>
            <w:tcW w:w="8960" w:type="dxa"/>
            <w:vAlign w:val="bottom"/>
            <w:gridSpan w:val="20"/>
          </w:tcPr>
          <w:p>
            <w:pPr>
              <w:ind w:left="240"/>
              <w:spacing w:after="0"/>
              <w:rPr>
                <w:rFonts w:ascii="Arial" w:cs="Arial" w:eastAsia="Arial" w:hAnsi="Arial"/>
                <w:sz w:val="17"/>
                <w:szCs w:val="17"/>
                <w:color w:val="0000FF"/>
              </w:rPr>
            </w:pPr>
            <w:hyperlink w:anchor="page60">
              <w:r>
                <w:rPr>
                  <w:rFonts w:ascii="Arial" w:cs="Arial" w:eastAsia="Arial" w:hAnsi="Arial"/>
                  <w:sz w:val="17"/>
                  <w:szCs w:val="17"/>
                  <w:color w:val="0000FF"/>
                </w:rPr>
                <w:t>Quantitative and Qualitative Disclosures About Market Risk</w:t>
              </w:r>
            </w:hyperlink>
          </w:p>
        </w:tc>
        <w:tc>
          <w:tcPr>
            <w:tcW w:w="1300" w:type="dxa"/>
            <w:vAlign w:val="bottom"/>
            <w:gridSpan w:val="3"/>
          </w:tcPr>
          <w:p>
            <w:pPr>
              <w:jc w:val="right"/>
              <w:spacing w:after="0"/>
              <w:rPr>
                <w:rFonts w:ascii="Arial" w:cs="Arial" w:eastAsia="Arial" w:hAnsi="Arial"/>
                <w:sz w:val="17"/>
                <w:szCs w:val="17"/>
                <w:color w:val="0000FF"/>
              </w:rPr>
            </w:pPr>
            <w:hyperlink w:anchor="page60">
              <w:r>
                <w:rPr>
                  <w:rFonts w:ascii="Arial" w:cs="Arial" w:eastAsia="Arial" w:hAnsi="Arial"/>
                  <w:sz w:val="17"/>
                  <w:szCs w:val="17"/>
                  <w:color w:val="0000FF"/>
                </w:rPr>
                <w:t>59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rFonts w:ascii="Arial" w:cs="Arial" w:eastAsia="Arial" w:hAnsi="Arial"/>
                <w:sz w:val="17"/>
                <w:szCs w:val="17"/>
                <w:color w:val="0000FF"/>
                <w:w w:val="88"/>
              </w:rPr>
            </w:pPr>
            <w:hyperlink w:anchor="page61">
              <w:r>
                <w:rPr>
                  <w:rFonts w:ascii="Arial" w:cs="Arial" w:eastAsia="Arial" w:hAnsi="Arial"/>
                  <w:sz w:val="17"/>
                  <w:szCs w:val="17"/>
                  <w:color w:val="0000FF"/>
                  <w:w w:val="88"/>
                </w:rPr>
                <w:t>Item 8.</w:t>
              </w:r>
            </w:hyperlink>
          </w:p>
        </w:tc>
        <w:tc>
          <w:tcPr>
            <w:tcW w:w="80" w:type="dxa"/>
            <w:vAlign w:val="bottom"/>
          </w:tcPr>
          <w:p>
            <w:pPr>
              <w:spacing w:after="0"/>
              <w:rPr>
                <w:sz w:val="17"/>
                <w:szCs w:val="17"/>
                <w:color w:val="auto"/>
              </w:rPr>
            </w:pPr>
          </w:p>
        </w:tc>
        <w:tc>
          <w:tcPr>
            <w:tcW w:w="360" w:type="dxa"/>
            <w:vAlign w:val="bottom"/>
            <w:gridSpan w:val="4"/>
          </w:tcPr>
          <w:p>
            <w:pPr>
              <w:spacing w:after="0"/>
              <w:rPr>
                <w:sz w:val="17"/>
                <w:szCs w:val="17"/>
                <w:color w:val="auto"/>
              </w:rPr>
            </w:pPr>
          </w:p>
        </w:tc>
        <w:tc>
          <w:tcPr>
            <w:tcW w:w="8960" w:type="dxa"/>
            <w:vAlign w:val="bottom"/>
            <w:gridSpan w:val="20"/>
          </w:tcPr>
          <w:p>
            <w:pPr>
              <w:ind w:left="240"/>
              <w:spacing w:after="0"/>
              <w:rPr>
                <w:rFonts w:ascii="Arial" w:cs="Arial" w:eastAsia="Arial" w:hAnsi="Arial"/>
                <w:sz w:val="17"/>
                <w:szCs w:val="17"/>
                <w:color w:val="0000FF"/>
              </w:rPr>
            </w:pPr>
            <w:hyperlink w:anchor="page61">
              <w:r>
                <w:rPr>
                  <w:rFonts w:ascii="Arial" w:cs="Arial" w:eastAsia="Arial" w:hAnsi="Arial"/>
                  <w:sz w:val="17"/>
                  <w:szCs w:val="17"/>
                  <w:color w:val="0000FF"/>
                </w:rPr>
                <w:t>Financial Statements and Supplementary Data</w:t>
              </w:r>
            </w:hyperlink>
          </w:p>
        </w:tc>
        <w:tc>
          <w:tcPr>
            <w:tcW w:w="1300" w:type="dxa"/>
            <w:vAlign w:val="bottom"/>
            <w:gridSpan w:val="3"/>
          </w:tcPr>
          <w:p>
            <w:pPr>
              <w:jc w:val="right"/>
              <w:spacing w:after="0"/>
              <w:rPr>
                <w:rFonts w:ascii="Arial" w:cs="Arial" w:eastAsia="Arial" w:hAnsi="Arial"/>
                <w:sz w:val="17"/>
                <w:szCs w:val="17"/>
                <w:color w:val="0000FF"/>
              </w:rPr>
            </w:pPr>
            <w:hyperlink w:anchor="page61">
              <w:r>
                <w:rPr>
                  <w:rFonts w:ascii="Arial" w:cs="Arial" w:eastAsia="Arial" w:hAnsi="Arial"/>
                  <w:sz w:val="17"/>
                  <w:szCs w:val="17"/>
                  <w:color w:val="0000FF"/>
                </w:rPr>
                <w:t>60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rFonts w:ascii="Arial" w:cs="Arial" w:eastAsia="Arial" w:hAnsi="Arial"/>
                <w:sz w:val="17"/>
                <w:szCs w:val="17"/>
                <w:color w:val="0000FF"/>
                <w:w w:val="88"/>
              </w:rPr>
            </w:pPr>
            <w:hyperlink w:anchor="page61">
              <w:r>
                <w:rPr>
                  <w:rFonts w:ascii="Arial" w:cs="Arial" w:eastAsia="Arial" w:hAnsi="Arial"/>
                  <w:sz w:val="17"/>
                  <w:szCs w:val="17"/>
                  <w:color w:val="0000FF"/>
                  <w:w w:val="88"/>
                </w:rPr>
                <w:t>Item 9.</w:t>
              </w:r>
            </w:hyperlink>
          </w:p>
        </w:tc>
        <w:tc>
          <w:tcPr>
            <w:tcW w:w="440" w:type="dxa"/>
            <w:vAlign w:val="bottom"/>
            <w:gridSpan w:val="5"/>
          </w:tcPr>
          <w:p>
            <w:pPr>
              <w:spacing w:after="0"/>
              <w:rPr>
                <w:sz w:val="17"/>
                <w:szCs w:val="17"/>
                <w:color w:val="auto"/>
              </w:rPr>
            </w:pPr>
          </w:p>
        </w:tc>
        <w:tc>
          <w:tcPr>
            <w:tcW w:w="8960" w:type="dxa"/>
            <w:vAlign w:val="bottom"/>
            <w:gridSpan w:val="20"/>
          </w:tcPr>
          <w:p>
            <w:pPr>
              <w:ind w:left="240"/>
              <w:spacing w:after="0"/>
              <w:rPr>
                <w:rFonts w:ascii="Arial" w:cs="Arial" w:eastAsia="Arial" w:hAnsi="Arial"/>
                <w:sz w:val="17"/>
                <w:szCs w:val="17"/>
                <w:color w:val="0000FF"/>
              </w:rPr>
            </w:pPr>
            <w:hyperlink w:anchor="page61">
              <w:r>
                <w:rPr>
                  <w:rFonts w:ascii="Arial" w:cs="Arial" w:eastAsia="Arial" w:hAnsi="Arial"/>
                  <w:sz w:val="17"/>
                  <w:szCs w:val="17"/>
                  <w:color w:val="0000FF"/>
                </w:rPr>
                <w:t>Changes in and Disagreements with Accountants on Accounting and Financial Disclosure</w:t>
              </w:r>
            </w:hyperlink>
          </w:p>
        </w:tc>
        <w:tc>
          <w:tcPr>
            <w:tcW w:w="1300" w:type="dxa"/>
            <w:vAlign w:val="bottom"/>
            <w:gridSpan w:val="3"/>
          </w:tcPr>
          <w:p>
            <w:pPr>
              <w:jc w:val="right"/>
              <w:spacing w:after="0"/>
              <w:rPr>
                <w:rFonts w:ascii="Arial" w:cs="Arial" w:eastAsia="Arial" w:hAnsi="Arial"/>
                <w:sz w:val="17"/>
                <w:szCs w:val="17"/>
                <w:color w:val="0000FF"/>
              </w:rPr>
            </w:pPr>
            <w:hyperlink w:anchor="page61">
              <w:r>
                <w:rPr>
                  <w:rFonts w:ascii="Arial" w:cs="Arial" w:eastAsia="Arial" w:hAnsi="Arial"/>
                  <w:sz w:val="17"/>
                  <w:szCs w:val="17"/>
                  <w:color w:val="0000FF"/>
                </w:rPr>
                <w:t>60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560" w:type="dxa"/>
            <w:vAlign w:val="bottom"/>
            <w:gridSpan w:val="2"/>
          </w:tcPr>
          <w:p>
            <w:pPr>
              <w:spacing w:after="0"/>
              <w:rPr>
                <w:rFonts w:ascii="Arial" w:cs="Arial" w:eastAsia="Arial" w:hAnsi="Arial"/>
                <w:sz w:val="17"/>
                <w:szCs w:val="17"/>
                <w:color w:val="0000FF"/>
                <w:w w:val="82"/>
              </w:rPr>
            </w:pPr>
            <w:hyperlink w:anchor="page61">
              <w:r>
                <w:rPr>
                  <w:rFonts w:ascii="Arial" w:cs="Arial" w:eastAsia="Arial" w:hAnsi="Arial"/>
                  <w:sz w:val="17"/>
                  <w:szCs w:val="17"/>
                  <w:color w:val="0000FF"/>
                  <w:w w:val="82"/>
                </w:rPr>
                <w:t>Item 9A.</w:t>
              </w:r>
            </w:hyperlink>
          </w:p>
        </w:tc>
        <w:tc>
          <w:tcPr>
            <w:tcW w:w="360" w:type="dxa"/>
            <w:vAlign w:val="bottom"/>
            <w:gridSpan w:val="4"/>
          </w:tcPr>
          <w:p>
            <w:pPr>
              <w:spacing w:after="0"/>
              <w:rPr>
                <w:sz w:val="17"/>
                <w:szCs w:val="17"/>
                <w:color w:val="auto"/>
              </w:rPr>
            </w:pPr>
          </w:p>
        </w:tc>
        <w:tc>
          <w:tcPr>
            <w:tcW w:w="8960" w:type="dxa"/>
            <w:vAlign w:val="bottom"/>
            <w:gridSpan w:val="20"/>
          </w:tcPr>
          <w:p>
            <w:pPr>
              <w:ind w:left="240"/>
              <w:spacing w:after="0"/>
              <w:rPr>
                <w:rFonts w:ascii="Arial" w:cs="Arial" w:eastAsia="Arial" w:hAnsi="Arial"/>
                <w:sz w:val="17"/>
                <w:szCs w:val="17"/>
                <w:color w:val="0000FF"/>
              </w:rPr>
            </w:pPr>
            <w:hyperlink w:anchor="page61">
              <w:r>
                <w:rPr>
                  <w:rFonts w:ascii="Arial" w:cs="Arial" w:eastAsia="Arial" w:hAnsi="Arial"/>
                  <w:sz w:val="17"/>
                  <w:szCs w:val="17"/>
                  <w:color w:val="0000FF"/>
                </w:rPr>
                <w:t>Controls and Procedures</w:t>
              </w:r>
            </w:hyperlink>
          </w:p>
        </w:tc>
        <w:tc>
          <w:tcPr>
            <w:tcW w:w="1300" w:type="dxa"/>
            <w:vAlign w:val="bottom"/>
            <w:gridSpan w:val="3"/>
          </w:tcPr>
          <w:p>
            <w:pPr>
              <w:jc w:val="right"/>
              <w:spacing w:after="0"/>
              <w:rPr>
                <w:rFonts w:ascii="Arial" w:cs="Arial" w:eastAsia="Arial" w:hAnsi="Arial"/>
                <w:sz w:val="17"/>
                <w:szCs w:val="17"/>
                <w:color w:val="0000FF"/>
              </w:rPr>
            </w:pPr>
            <w:hyperlink w:anchor="page61">
              <w:r>
                <w:rPr>
                  <w:rFonts w:ascii="Arial" w:cs="Arial" w:eastAsia="Arial" w:hAnsi="Arial"/>
                  <w:sz w:val="17"/>
                  <w:szCs w:val="17"/>
                  <w:color w:val="0000FF"/>
                </w:rPr>
                <w:t>60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560" w:type="dxa"/>
            <w:vAlign w:val="bottom"/>
            <w:gridSpan w:val="2"/>
          </w:tcPr>
          <w:p>
            <w:pPr>
              <w:spacing w:after="0"/>
              <w:rPr>
                <w:rFonts w:ascii="Arial" w:cs="Arial" w:eastAsia="Arial" w:hAnsi="Arial"/>
                <w:sz w:val="17"/>
                <w:szCs w:val="17"/>
                <w:color w:val="0000FF"/>
                <w:w w:val="82"/>
              </w:rPr>
            </w:pPr>
            <w:hyperlink w:anchor="page62">
              <w:r>
                <w:rPr>
                  <w:rFonts w:ascii="Arial" w:cs="Arial" w:eastAsia="Arial" w:hAnsi="Arial"/>
                  <w:sz w:val="17"/>
                  <w:szCs w:val="17"/>
                  <w:color w:val="0000FF"/>
                  <w:w w:val="82"/>
                </w:rPr>
                <w:t>Item 9B.</w:t>
              </w:r>
            </w:hyperlink>
          </w:p>
        </w:tc>
        <w:tc>
          <w:tcPr>
            <w:tcW w:w="360" w:type="dxa"/>
            <w:vAlign w:val="bottom"/>
            <w:gridSpan w:val="4"/>
          </w:tcPr>
          <w:p>
            <w:pPr>
              <w:spacing w:after="0"/>
              <w:rPr>
                <w:sz w:val="17"/>
                <w:szCs w:val="17"/>
                <w:color w:val="auto"/>
              </w:rPr>
            </w:pPr>
          </w:p>
        </w:tc>
        <w:tc>
          <w:tcPr>
            <w:tcW w:w="8960" w:type="dxa"/>
            <w:vAlign w:val="bottom"/>
            <w:gridSpan w:val="20"/>
          </w:tcPr>
          <w:p>
            <w:pPr>
              <w:ind w:left="240"/>
              <w:spacing w:after="0"/>
              <w:rPr>
                <w:rFonts w:ascii="Arial" w:cs="Arial" w:eastAsia="Arial" w:hAnsi="Arial"/>
                <w:sz w:val="17"/>
                <w:szCs w:val="17"/>
                <w:color w:val="0000FF"/>
              </w:rPr>
            </w:pPr>
            <w:hyperlink w:anchor="page62">
              <w:r>
                <w:rPr>
                  <w:rFonts w:ascii="Arial" w:cs="Arial" w:eastAsia="Arial" w:hAnsi="Arial"/>
                  <w:sz w:val="17"/>
                  <w:szCs w:val="17"/>
                  <w:color w:val="0000FF"/>
                </w:rPr>
                <w:t>Other Information</w:t>
              </w:r>
            </w:hyperlink>
          </w:p>
        </w:tc>
        <w:tc>
          <w:tcPr>
            <w:tcW w:w="1300" w:type="dxa"/>
            <w:vAlign w:val="bottom"/>
            <w:gridSpan w:val="3"/>
          </w:tcPr>
          <w:p>
            <w:pPr>
              <w:jc w:val="right"/>
              <w:spacing w:after="0"/>
              <w:rPr>
                <w:rFonts w:ascii="Arial" w:cs="Arial" w:eastAsia="Arial" w:hAnsi="Arial"/>
                <w:sz w:val="17"/>
                <w:szCs w:val="17"/>
                <w:color w:val="0000FF"/>
              </w:rPr>
            </w:pPr>
            <w:hyperlink w:anchor="page62">
              <w:r>
                <w:rPr>
                  <w:rFonts w:ascii="Arial" w:cs="Arial" w:eastAsia="Arial" w:hAnsi="Arial"/>
                  <w:sz w:val="17"/>
                  <w:szCs w:val="17"/>
                  <w:color w:val="0000FF"/>
                </w:rPr>
                <w:t>61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560" w:type="dxa"/>
            <w:vAlign w:val="bottom"/>
            <w:gridSpan w:val="2"/>
          </w:tcPr>
          <w:p>
            <w:pPr>
              <w:spacing w:after="0"/>
              <w:rPr>
                <w:rFonts w:ascii="Arial" w:cs="Arial" w:eastAsia="Arial" w:hAnsi="Arial"/>
                <w:sz w:val="17"/>
                <w:szCs w:val="17"/>
                <w:color w:val="0000FF"/>
                <w:w w:val="80"/>
              </w:rPr>
            </w:pPr>
            <w:hyperlink w:anchor="page62">
              <w:r>
                <w:rPr>
                  <w:rFonts w:ascii="Arial" w:cs="Arial" w:eastAsia="Arial" w:hAnsi="Arial"/>
                  <w:sz w:val="17"/>
                  <w:szCs w:val="17"/>
                  <w:color w:val="0000FF"/>
                  <w:w w:val="80"/>
                </w:rPr>
                <w:t>Item 9C.</w:t>
              </w:r>
            </w:hyperlink>
          </w:p>
        </w:tc>
        <w:tc>
          <w:tcPr>
            <w:tcW w:w="360" w:type="dxa"/>
            <w:vAlign w:val="bottom"/>
            <w:gridSpan w:val="4"/>
          </w:tcPr>
          <w:p>
            <w:pPr>
              <w:spacing w:after="0"/>
              <w:rPr>
                <w:sz w:val="17"/>
                <w:szCs w:val="17"/>
                <w:color w:val="auto"/>
              </w:rPr>
            </w:pPr>
          </w:p>
        </w:tc>
        <w:tc>
          <w:tcPr>
            <w:tcW w:w="8960" w:type="dxa"/>
            <w:vAlign w:val="bottom"/>
            <w:gridSpan w:val="20"/>
          </w:tcPr>
          <w:p>
            <w:pPr>
              <w:ind w:left="240"/>
              <w:spacing w:after="0"/>
              <w:rPr>
                <w:rFonts w:ascii="Arial" w:cs="Arial" w:eastAsia="Arial" w:hAnsi="Arial"/>
                <w:sz w:val="17"/>
                <w:szCs w:val="17"/>
                <w:color w:val="0000FF"/>
              </w:rPr>
            </w:pPr>
            <w:hyperlink w:anchor="page62">
              <w:r>
                <w:rPr>
                  <w:rFonts w:ascii="Arial" w:cs="Arial" w:eastAsia="Arial" w:hAnsi="Arial"/>
                  <w:sz w:val="17"/>
                  <w:szCs w:val="17"/>
                  <w:color w:val="0000FF"/>
                </w:rPr>
                <w:t>Disclosure Regarding Foreign Jurisdiction that Prevent Inspection</w:t>
              </w:r>
            </w:hyperlink>
          </w:p>
        </w:tc>
        <w:tc>
          <w:tcPr>
            <w:tcW w:w="1300" w:type="dxa"/>
            <w:vAlign w:val="bottom"/>
            <w:gridSpan w:val="3"/>
          </w:tcPr>
          <w:p>
            <w:pPr>
              <w:jc w:val="right"/>
              <w:spacing w:after="0"/>
              <w:rPr>
                <w:rFonts w:ascii="Arial" w:cs="Arial" w:eastAsia="Arial" w:hAnsi="Arial"/>
                <w:sz w:val="17"/>
                <w:szCs w:val="17"/>
                <w:color w:val="0000FF"/>
              </w:rPr>
            </w:pPr>
            <w:hyperlink w:anchor="page62">
              <w:r>
                <w:rPr>
                  <w:rFonts w:ascii="Arial" w:cs="Arial" w:eastAsia="Arial" w:hAnsi="Arial"/>
                  <w:sz w:val="17"/>
                  <w:szCs w:val="17"/>
                  <w:color w:val="0000FF"/>
                </w:rPr>
                <w:t>61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700" w:type="dxa"/>
            <w:vAlign w:val="bottom"/>
            <w:tcBorders>
              <w:bottom w:val="single" w:sz="8" w:color="0000FF"/>
            </w:tcBorders>
            <w:gridSpan w:val="5"/>
          </w:tcPr>
          <w:p>
            <w:pPr>
              <w:spacing w:after="0"/>
              <w:rPr>
                <w:rFonts w:ascii="Arial" w:cs="Arial" w:eastAsia="Arial" w:hAnsi="Arial"/>
                <w:sz w:val="17"/>
                <w:szCs w:val="17"/>
                <w:b w:val="1"/>
                <w:bCs w:val="1"/>
                <w:color w:val="0000FF"/>
              </w:rPr>
            </w:pPr>
            <w:hyperlink w:anchor="page62">
              <w:r>
                <w:rPr>
                  <w:rFonts w:ascii="Arial" w:cs="Arial" w:eastAsia="Arial" w:hAnsi="Arial"/>
                  <w:sz w:val="17"/>
                  <w:szCs w:val="17"/>
                  <w:b w:val="1"/>
                  <w:bCs w:val="1"/>
                  <w:color w:val="0000FF"/>
                </w:rPr>
                <w:t>PART III</w:t>
              </w:r>
            </w:hyperlink>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920" w:type="dxa"/>
            <w:vAlign w:val="bottom"/>
            <w:gridSpan w:val="6"/>
          </w:tcPr>
          <w:p>
            <w:pPr>
              <w:spacing w:after="0"/>
              <w:rPr>
                <w:rFonts w:ascii="Arial" w:cs="Arial" w:eastAsia="Arial" w:hAnsi="Arial"/>
                <w:sz w:val="17"/>
                <w:szCs w:val="17"/>
                <w:color w:val="0000FF"/>
              </w:rPr>
            </w:pPr>
            <w:hyperlink w:anchor="page62">
              <w:r>
                <w:rPr>
                  <w:rFonts w:ascii="Arial" w:cs="Arial" w:eastAsia="Arial" w:hAnsi="Arial"/>
                  <w:sz w:val="17"/>
                  <w:szCs w:val="17"/>
                  <w:color w:val="0000FF"/>
                </w:rPr>
                <w:t>Item 10.</w:t>
              </w:r>
            </w:hyperlink>
          </w:p>
        </w:tc>
        <w:tc>
          <w:tcPr>
            <w:tcW w:w="8960" w:type="dxa"/>
            <w:vAlign w:val="bottom"/>
            <w:gridSpan w:val="20"/>
          </w:tcPr>
          <w:p>
            <w:pPr>
              <w:ind w:left="240"/>
              <w:spacing w:after="0"/>
              <w:rPr>
                <w:rFonts w:ascii="Arial" w:cs="Arial" w:eastAsia="Arial" w:hAnsi="Arial"/>
                <w:sz w:val="17"/>
                <w:szCs w:val="17"/>
                <w:color w:val="0000FF"/>
              </w:rPr>
            </w:pPr>
            <w:hyperlink w:anchor="page62">
              <w:r>
                <w:rPr>
                  <w:rFonts w:ascii="Arial" w:cs="Arial" w:eastAsia="Arial" w:hAnsi="Arial"/>
                  <w:sz w:val="17"/>
                  <w:szCs w:val="17"/>
                  <w:color w:val="0000FF"/>
                </w:rPr>
                <w:t>Directors, Executive Officers and Corporate Governance</w:t>
              </w:r>
            </w:hyperlink>
          </w:p>
        </w:tc>
        <w:tc>
          <w:tcPr>
            <w:tcW w:w="1300" w:type="dxa"/>
            <w:vAlign w:val="bottom"/>
            <w:gridSpan w:val="3"/>
          </w:tcPr>
          <w:p>
            <w:pPr>
              <w:jc w:val="right"/>
              <w:spacing w:after="0"/>
              <w:rPr>
                <w:rFonts w:ascii="Arial" w:cs="Arial" w:eastAsia="Arial" w:hAnsi="Arial"/>
                <w:sz w:val="17"/>
                <w:szCs w:val="17"/>
                <w:color w:val="0000FF"/>
              </w:rPr>
            </w:pPr>
            <w:hyperlink w:anchor="page62">
              <w:r>
                <w:rPr>
                  <w:rFonts w:ascii="Arial" w:cs="Arial" w:eastAsia="Arial" w:hAnsi="Arial"/>
                  <w:sz w:val="17"/>
                  <w:szCs w:val="17"/>
                  <w:color w:val="0000FF"/>
                </w:rPr>
                <w:t>61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560" w:type="dxa"/>
            <w:vAlign w:val="bottom"/>
            <w:gridSpan w:val="2"/>
          </w:tcPr>
          <w:p>
            <w:pPr>
              <w:spacing w:after="0"/>
              <w:rPr>
                <w:rFonts w:ascii="Arial" w:cs="Arial" w:eastAsia="Arial" w:hAnsi="Arial"/>
                <w:sz w:val="17"/>
                <w:szCs w:val="17"/>
                <w:color w:val="0000FF"/>
                <w:w w:val="84"/>
              </w:rPr>
            </w:pPr>
            <w:hyperlink w:anchor="page62">
              <w:r>
                <w:rPr>
                  <w:rFonts w:ascii="Arial" w:cs="Arial" w:eastAsia="Arial" w:hAnsi="Arial"/>
                  <w:sz w:val="17"/>
                  <w:szCs w:val="17"/>
                  <w:color w:val="0000FF"/>
                  <w:w w:val="84"/>
                </w:rPr>
                <w:t>Item 11.</w:t>
              </w:r>
            </w:hyperlink>
          </w:p>
        </w:tc>
        <w:tc>
          <w:tcPr>
            <w:tcW w:w="360" w:type="dxa"/>
            <w:vAlign w:val="bottom"/>
            <w:gridSpan w:val="4"/>
          </w:tcPr>
          <w:p>
            <w:pPr>
              <w:spacing w:after="0"/>
              <w:rPr>
                <w:sz w:val="17"/>
                <w:szCs w:val="17"/>
                <w:color w:val="auto"/>
              </w:rPr>
            </w:pPr>
          </w:p>
        </w:tc>
        <w:tc>
          <w:tcPr>
            <w:tcW w:w="8960" w:type="dxa"/>
            <w:vAlign w:val="bottom"/>
            <w:gridSpan w:val="20"/>
          </w:tcPr>
          <w:p>
            <w:pPr>
              <w:ind w:left="240"/>
              <w:spacing w:after="0"/>
              <w:rPr>
                <w:rFonts w:ascii="Arial" w:cs="Arial" w:eastAsia="Arial" w:hAnsi="Arial"/>
                <w:sz w:val="17"/>
                <w:szCs w:val="17"/>
                <w:color w:val="0000FF"/>
              </w:rPr>
            </w:pPr>
            <w:hyperlink w:anchor="page62">
              <w:r>
                <w:rPr>
                  <w:rFonts w:ascii="Arial" w:cs="Arial" w:eastAsia="Arial" w:hAnsi="Arial"/>
                  <w:sz w:val="17"/>
                  <w:szCs w:val="17"/>
                  <w:color w:val="0000FF"/>
                </w:rPr>
                <w:t>Executive Compensation</w:t>
              </w:r>
            </w:hyperlink>
          </w:p>
        </w:tc>
        <w:tc>
          <w:tcPr>
            <w:tcW w:w="1300" w:type="dxa"/>
            <w:vAlign w:val="bottom"/>
            <w:gridSpan w:val="3"/>
          </w:tcPr>
          <w:p>
            <w:pPr>
              <w:jc w:val="right"/>
              <w:spacing w:after="0"/>
              <w:rPr>
                <w:rFonts w:ascii="Arial" w:cs="Arial" w:eastAsia="Arial" w:hAnsi="Arial"/>
                <w:sz w:val="17"/>
                <w:szCs w:val="17"/>
                <w:color w:val="0000FF"/>
              </w:rPr>
            </w:pPr>
            <w:hyperlink w:anchor="page62">
              <w:r>
                <w:rPr>
                  <w:rFonts w:ascii="Arial" w:cs="Arial" w:eastAsia="Arial" w:hAnsi="Arial"/>
                  <w:sz w:val="17"/>
                  <w:szCs w:val="17"/>
                  <w:color w:val="0000FF"/>
                </w:rPr>
                <w:t>61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920" w:type="dxa"/>
            <w:vAlign w:val="bottom"/>
            <w:gridSpan w:val="6"/>
          </w:tcPr>
          <w:p>
            <w:pPr>
              <w:spacing w:after="0"/>
              <w:rPr>
                <w:rFonts w:ascii="Arial" w:cs="Arial" w:eastAsia="Arial" w:hAnsi="Arial"/>
                <w:sz w:val="17"/>
                <w:szCs w:val="17"/>
                <w:color w:val="0000FF"/>
              </w:rPr>
            </w:pPr>
            <w:hyperlink w:anchor="page62">
              <w:r>
                <w:rPr>
                  <w:rFonts w:ascii="Arial" w:cs="Arial" w:eastAsia="Arial" w:hAnsi="Arial"/>
                  <w:sz w:val="17"/>
                  <w:szCs w:val="17"/>
                  <w:color w:val="0000FF"/>
                </w:rPr>
                <w:t>Item 12.</w:t>
              </w:r>
            </w:hyperlink>
          </w:p>
        </w:tc>
        <w:tc>
          <w:tcPr>
            <w:tcW w:w="8960" w:type="dxa"/>
            <w:vAlign w:val="bottom"/>
            <w:gridSpan w:val="20"/>
          </w:tcPr>
          <w:p>
            <w:pPr>
              <w:ind w:left="240"/>
              <w:spacing w:after="0"/>
              <w:rPr>
                <w:rFonts w:ascii="Arial" w:cs="Arial" w:eastAsia="Arial" w:hAnsi="Arial"/>
                <w:sz w:val="17"/>
                <w:szCs w:val="17"/>
                <w:color w:val="0000FF"/>
              </w:rPr>
            </w:pPr>
            <w:hyperlink w:anchor="page62">
              <w:r>
                <w:rPr>
                  <w:rFonts w:ascii="Arial" w:cs="Arial" w:eastAsia="Arial" w:hAnsi="Arial"/>
                  <w:sz w:val="17"/>
                  <w:szCs w:val="17"/>
                  <w:color w:val="0000FF"/>
                </w:rPr>
                <w:t>Security Ownership of Certain Beneficial Owners and Management and Related Stockholder Matters</w:t>
              </w:r>
            </w:hyperlink>
          </w:p>
        </w:tc>
        <w:tc>
          <w:tcPr>
            <w:tcW w:w="1300" w:type="dxa"/>
            <w:vAlign w:val="bottom"/>
            <w:gridSpan w:val="3"/>
          </w:tcPr>
          <w:p>
            <w:pPr>
              <w:jc w:val="right"/>
              <w:spacing w:after="0"/>
              <w:rPr>
                <w:rFonts w:ascii="Arial" w:cs="Arial" w:eastAsia="Arial" w:hAnsi="Arial"/>
                <w:sz w:val="17"/>
                <w:szCs w:val="17"/>
                <w:color w:val="0000FF"/>
              </w:rPr>
            </w:pPr>
            <w:hyperlink w:anchor="page62">
              <w:r>
                <w:rPr>
                  <w:rFonts w:ascii="Arial" w:cs="Arial" w:eastAsia="Arial" w:hAnsi="Arial"/>
                  <w:sz w:val="17"/>
                  <w:szCs w:val="17"/>
                  <w:color w:val="0000FF"/>
                </w:rPr>
                <w:t>61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920" w:type="dxa"/>
            <w:vAlign w:val="bottom"/>
            <w:gridSpan w:val="6"/>
          </w:tcPr>
          <w:p>
            <w:pPr>
              <w:spacing w:after="0"/>
              <w:rPr>
                <w:rFonts w:ascii="Arial" w:cs="Arial" w:eastAsia="Arial" w:hAnsi="Arial"/>
                <w:sz w:val="17"/>
                <w:szCs w:val="17"/>
                <w:color w:val="0000FF"/>
              </w:rPr>
            </w:pPr>
            <w:hyperlink w:anchor="page62">
              <w:r>
                <w:rPr>
                  <w:rFonts w:ascii="Arial" w:cs="Arial" w:eastAsia="Arial" w:hAnsi="Arial"/>
                  <w:sz w:val="17"/>
                  <w:szCs w:val="17"/>
                  <w:color w:val="0000FF"/>
                </w:rPr>
                <w:t>Item 13.</w:t>
              </w:r>
            </w:hyperlink>
          </w:p>
        </w:tc>
        <w:tc>
          <w:tcPr>
            <w:tcW w:w="8960" w:type="dxa"/>
            <w:vAlign w:val="bottom"/>
            <w:gridSpan w:val="20"/>
          </w:tcPr>
          <w:p>
            <w:pPr>
              <w:ind w:left="240"/>
              <w:spacing w:after="0"/>
              <w:rPr>
                <w:rFonts w:ascii="Arial" w:cs="Arial" w:eastAsia="Arial" w:hAnsi="Arial"/>
                <w:sz w:val="17"/>
                <w:szCs w:val="17"/>
                <w:color w:val="0000FF"/>
              </w:rPr>
            </w:pPr>
            <w:hyperlink w:anchor="page62">
              <w:r>
                <w:rPr>
                  <w:rFonts w:ascii="Arial" w:cs="Arial" w:eastAsia="Arial" w:hAnsi="Arial"/>
                  <w:sz w:val="17"/>
                  <w:szCs w:val="17"/>
                  <w:color w:val="0000FF"/>
                </w:rPr>
                <w:t>Certain Relationships and Related Transactions, and Director Independence</w:t>
              </w:r>
            </w:hyperlink>
          </w:p>
        </w:tc>
        <w:tc>
          <w:tcPr>
            <w:tcW w:w="1300" w:type="dxa"/>
            <w:vAlign w:val="bottom"/>
            <w:gridSpan w:val="3"/>
          </w:tcPr>
          <w:p>
            <w:pPr>
              <w:jc w:val="right"/>
              <w:spacing w:after="0"/>
              <w:rPr>
                <w:rFonts w:ascii="Arial" w:cs="Arial" w:eastAsia="Arial" w:hAnsi="Arial"/>
                <w:sz w:val="17"/>
                <w:szCs w:val="17"/>
                <w:color w:val="0000FF"/>
              </w:rPr>
            </w:pPr>
            <w:hyperlink w:anchor="page62">
              <w:r>
                <w:rPr>
                  <w:rFonts w:ascii="Arial" w:cs="Arial" w:eastAsia="Arial" w:hAnsi="Arial"/>
                  <w:sz w:val="17"/>
                  <w:szCs w:val="17"/>
                  <w:color w:val="0000FF"/>
                </w:rPr>
                <w:t>61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920" w:type="dxa"/>
            <w:vAlign w:val="bottom"/>
            <w:gridSpan w:val="6"/>
          </w:tcPr>
          <w:p>
            <w:pPr>
              <w:spacing w:after="0"/>
              <w:rPr>
                <w:rFonts w:ascii="Arial" w:cs="Arial" w:eastAsia="Arial" w:hAnsi="Arial"/>
                <w:sz w:val="17"/>
                <w:szCs w:val="17"/>
                <w:color w:val="0000FF"/>
              </w:rPr>
            </w:pPr>
            <w:hyperlink w:anchor="page62">
              <w:r>
                <w:rPr>
                  <w:rFonts w:ascii="Arial" w:cs="Arial" w:eastAsia="Arial" w:hAnsi="Arial"/>
                  <w:sz w:val="17"/>
                  <w:szCs w:val="17"/>
                  <w:color w:val="0000FF"/>
                </w:rPr>
                <w:t>Item 14.</w:t>
              </w:r>
            </w:hyperlink>
          </w:p>
        </w:tc>
        <w:tc>
          <w:tcPr>
            <w:tcW w:w="8960" w:type="dxa"/>
            <w:vAlign w:val="bottom"/>
            <w:gridSpan w:val="20"/>
          </w:tcPr>
          <w:p>
            <w:pPr>
              <w:ind w:left="240"/>
              <w:spacing w:after="0"/>
              <w:rPr>
                <w:rFonts w:ascii="Arial" w:cs="Arial" w:eastAsia="Arial" w:hAnsi="Arial"/>
                <w:sz w:val="17"/>
                <w:szCs w:val="17"/>
                <w:color w:val="0000FF"/>
              </w:rPr>
            </w:pPr>
            <w:hyperlink w:anchor="page62">
              <w:r>
                <w:rPr>
                  <w:rFonts w:ascii="Arial" w:cs="Arial" w:eastAsia="Arial" w:hAnsi="Arial"/>
                  <w:sz w:val="17"/>
                  <w:szCs w:val="17"/>
                  <w:color w:val="0000FF"/>
                </w:rPr>
                <w:t>Principal Accountant Fees and Services</w:t>
              </w:r>
            </w:hyperlink>
          </w:p>
        </w:tc>
        <w:tc>
          <w:tcPr>
            <w:tcW w:w="1300" w:type="dxa"/>
            <w:vAlign w:val="bottom"/>
            <w:gridSpan w:val="3"/>
          </w:tcPr>
          <w:p>
            <w:pPr>
              <w:jc w:val="right"/>
              <w:spacing w:after="0"/>
              <w:rPr>
                <w:rFonts w:ascii="Arial" w:cs="Arial" w:eastAsia="Arial" w:hAnsi="Arial"/>
                <w:sz w:val="17"/>
                <w:szCs w:val="17"/>
                <w:color w:val="0000FF"/>
              </w:rPr>
            </w:pPr>
            <w:hyperlink w:anchor="page62">
              <w:r>
                <w:rPr>
                  <w:rFonts w:ascii="Arial" w:cs="Arial" w:eastAsia="Arial" w:hAnsi="Arial"/>
                  <w:sz w:val="17"/>
                  <w:szCs w:val="17"/>
                  <w:color w:val="0000FF"/>
                </w:rPr>
                <w:t>61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680" w:type="dxa"/>
            <w:vAlign w:val="bottom"/>
            <w:tcBorders>
              <w:bottom w:val="single" w:sz="8" w:color="0000FF"/>
            </w:tcBorders>
            <w:gridSpan w:val="4"/>
          </w:tcPr>
          <w:p>
            <w:pPr>
              <w:spacing w:after="0"/>
              <w:rPr>
                <w:rFonts w:ascii="Arial" w:cs="Arial" w:eastAsia="Arial" w:hAnsi="Arial"/>
                <w:sz w:val="17"/>
                <w:szCs w:val="17"/>
                <w:b w:val="1"/>
                <w:bCs w:val="1"/>
                <w:color w:val="0000FF"/>
                <w:w w:val="98"/>
              </w:rPr>
            </w:pPr>
            <w:hyperlink w:anchor="page62">
              <w:r>
                <w:rPr>
                  <w:rFonts w:ascii="Arial" w:cs="Arial" w:eastAsia="Arial" w:hAnsi="Arial"/>
                  <w:sz w:val="17"/>
                  <w:szCs w:val="17"/>
                  <w:b w:val="1"/>
                  <w:bCs w:val="1"/>
                  <w:color w:val="0000FF"/>
                  <w:w w:val="98"/>
                </w:rPr>
                <w:t>PART IV</w:t>
              </w:r>
            </w:hyperlink>
          </w:p>
        </w:tc>
        <w:tc>
          <w:tcPr>
            <w:tcW w:w="2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920" w:type="dxa"/>
            <w:vAlign w:val="bottom"/>
            <w:gridSpan w:val="6"/>
          </w:tcPr>
          <w:p>
            <w:pPr>
              <w:spacing w:after="0"/>
              <w:rPr>
                <w:rFonts w:ascii="Arial" w:cs="Arial" w:eastAsia="Arial" w:hAnsi="Arial"/>
                <w:sz w:val="17"/>
                <w:szCs w:val="17"/>
                <w:color w:val="0000FF"/>
              </w:rPr>
            </w:pPr>
            <w:hyperlink w:anchor="page63">
              <w:r>
                <w:rPr>
                  <w:rFonts w:ascii="Arial" w:cs="Arial" w:eastAsia="Arial" w:hAnsi="Arial"/>
                  <w:sz w:val="17"/>
                  <w:szCs w:val="17"/>
                  <w:color w:val="0000FF"/>
                </w:rPr>
                <w:t>Item 15.</w:t>
              </w:r>
            </w:hyperlink>
          </w:p>
        </w:tc>
        <w:tc>
          <w:tcPr>
            <w:tcW w:w="8960" w:type="dxa"/>
            <w:vAlign w:val="bottom"/>
            <w:gridSpan w:val="20"/>
          </w:tcPr>
          <w:p>
            <w:pPr>
              <w:ind w:left="240"/>
              <w:spacing w:after="0"/>
              <w:rPr>
                <w:rFonts w:ascii="Arial" w:cs="Arial" w:eastAsia="Arial" w:hAnsi="Arial"/>
                <w:sz w:val="17"/>
                <w:szCs w:val="17"/>
                <w:color w:val="0000FF"/>
              </w:rPr>
            </w:pPr>
            <w:hyperlink w:anchor="page63">
              <w:r>
                <w:rPr>
                  <w:rFonts w:ascii="Arial" w:cs="Arial" w:eastAsia="Arial" w:hAnsi="Arial"/>
                  <w:sz w:val="17"/>
                  <w:szCs w:val="17"/>
                  <w:color w:val="0000FF"/>
                </w:rPr>
                <w:t>Exhibit and Financial Statement Schedules</w:t>
              </w:r>
            </w:hyperlink>
          </w:p>
        </w:tc>
        <w:tc>
          <w:tcPr>
            <w:tcW w:w="1300" w:type="dxa"/>
            <w:vAlign w:val="bottom"/>
            <w:gridSpan w:val="3"/>
          </w:tcPr>
          <w:p>
            <w:pPr>
              <w:jc w:val="right"/>
              <w:spacing w:after="0"/>
              <w:rPr>
                <w:rFonts w:ascii="Arial" w:cs="Arial" w:eastAsia="Arial" w:hAnsi="Arial"/>
                <w:sz w:val="17"/>
                <w:szCs w:val="17"/>
                <w:color w:val="0000FF"/>
              </w:rPr>
            </w:pPr>
            <w:hyperlink w:anchor="page63">
              <w:r>
                <w:rPr>
                  <w:rFonts w:ascii="Arial" w:cs="Arial" w:eastAsia="Arial" w:hAnsi="Arial"/>
                  <w:sz w:val="17"/>
                  <w:szCs w:val="17"/>
                  <w:color w:val="0000FF"/>
                </w:rPr>
                <w:t>62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5780" w:type="dxa"/>
            <w:vAlign w:val="bottom"/>
            <w:gridSpan w:val="9"/>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920" w:type="dxa"/>
            <w:vAlign w:val="bottom"/>
            <w:gridSpan w:val="6"/>
          </w:tcPr>
          <w:p>
            <w:pPr>
              <w:spacing w:after="0"/>
              <w:rPr>
                <w:rFonts w:ascii="Arial" w:cs="Arial" w:eastAsia="Arial" w:hAnsi="Arial"/>
                <w:sz w:val="17"/>
                <w:szCs w:val="17"/>
                <w:color w:val="0000FF"/>
              </w:rPr>
            </w:pPr>
            <w:hyperlink w:anchor="page66">
              <w:r>
                <w:rPr>
                  <w:rFonts w:ascii="Arial" w:cs="Arial" w:eastAsia="Arial" w:hAnsi="Arial"/>
                  <w:sz w:val="17"/>
                  <w:szCs w:val="17"/>
                  <w:color w:val="0000FF"/>
                </w:rPr>
                <w:t>Item 16.</w:t>
              </w:r>
            </w:hyperlink>
          </w:p>
        </w:tc>
        <w:tc>
          <w:tcPr>
            <w:tcW w:w="8960" w:type="dxa"/>
            <w:vAlign w:val="bottom"/>
            <w:gridSpan w:val="20"/>
          </w:tcPr>
          <w:p>
            <w:pPr>
              <w:ind w:left="240"/>
              <w:spacing w:after="0"/>
              <w:rPr>
                <w:rFonts w:ascii="Arial" w:cs="Arial" w:eastAsia="Arial" w:hAnsi="Arial"/>
                <w:sz w:val="17"/>
                <w:szCs w:val="17"/>
                <w:color w:val="0000FF"/>
              </w:rPr>
            </w:pPr>
            <w:hyperlink w:anchor="page66">
              <w:r>
                <w:rPr>
                  <w:rFonts w:ascii="Arial" w:cs="Arial" w:eastAsia="Arial" w:hAnsi="Arial"/>
                  <w:sz w:val="17"/>
                  <w:szCs w:val="17"/>
                  <w:color w:val="0000FF"/>
                </w:rPr>
                <w:t>Form 10-K Summary</w:t>
              </w:r>
            </w:hyperlink>
          </w:p>
        </w:tc>
        <w:tc>
          <w:tcPr>
            <w:tcW w:w="1300" w:type="dxa"/>
            <w:vAlign w:val="bottom"/>
            <w:gridSpan w:val="3"/>
          </w:tcPr>
          <w:p>
            <w:pPr>
              <w:jc w:val="right"/>
              <w:spacing w:after="0"/>
              <w:rPr>
                <w:rFonts w:ascii="Arial" w:cs="Arial" w:eastAsia="Arial" w:hAnsi="Arial"/>
                <w:sz w:val="17"/>
                <w:szCs w:val="17"/>
                <w:color w:val="0000FF"/>
              </w:rPr>
            </w:pPr>
            <w:hyperlink w:anchor="page66">
              <w:r>
                <w:rPr>
                  <w:rFonts w:ascii="Arial" w:cs="Arial" w:eastAsia="Arial" w:hAnsi="Arial"/>
                  <w:sz w:val="17"/>
                  <w:szCs w:val="17"/>
                  <w:color w:val="0000FF"/>
                </w:rPr>
                <w:t>65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1"/>
        </w:trPr>
        <w:tc>
          <w:tcPr>
            <w:tcW w:w="4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Borders>
              <w:top w:val="single" w:sz="8" w:color="0000FF"/>
            </w:tcBorders>
            <w:gridSpan w:val="5"/>
          </w:tcPr>
          <w:p>
            <w:pPr>
              <w:spacing w:after="0"/>
              <w:rPr>
                <w:sz w:val="24"/>
                <w:szCs w:val="24"/>
                <w:color w:val="auto"/>
              </w:rPr>
            </w:pPr>
          </w:p>
        </w:tc>
        <w:tc>
          <w:tcPr>
            <w:tcW w:w="3060" w:type="dxa"/>
            <w:vAlign w:val="bottom"/>
            <w:gridSpan w:val="9"/>
          </w:tcPr>
          <w:p>
            <w:pPr>
              <w:jc w:val="center"/>
              <w:ind w:left="2734"/>
              <w:spacing w:after="0"/>
              <w:rPr>
                <w:sz w:val="20"/>
                <w:szCs w:val="20"/>
                <w:color w:val="auto"/>
              </w:rPr>
            </w:pPr>
            <w:r>
              <w:rPr>
                <w:rFonts w:ascii="Arial" w:cs="Arial" w:eastAsia="Arial" w:hAnsi="Arial"/>
                <w:sz w:val="17"/>
                <w:szCs w:val="17"/>
                <w:color w:val="auto"/>
                <w:w w:val="84"/>
              </w:rPr>
              <w:t>2</w:t>
            </w: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 w:name="page4"/>
    <w:bookmarkEnd w:id="3"/>
    <w:p>
      <w:pPr>
        <w:ind w:right="380" w:firstLine="619"/>
        <w:spacing w:after="0" w:line="279" w:lineRule="auto"/>
        <w:rPr>
          <w:sz w:val="20"/>
          <w:szCs w:val="20"/>
          <w:color w:val="auto"/>
        </w:rPr>
      </w:pPr>
      <w:r>
        <w:rPr>
          <w:rFonts w:ascii="Arial" w:cs="Arial" w:eastAsia="Arial" w:hAnsi="Arial"/>
          <w:sz w:val="17"/>
          <w:szCs w:val="17"/>
          <w:color w:val="auto"/>
        </w:rPr>
        <w:t>All references to “us,” “we,” “our,” the “Company” and “Kratos” refer to Kratos Defense &amp; Security Solutions, Inc., a Delaware corporation, and its subsidiaries.</w:t>
      </w:r>
    </w:p>
    <w:p>
      <w:pPr>
        <w:spacing w:after="0" w:line="158" w:lineRule="exact"/>
        <w:rPr>
          <w:sz w:val="20"/>
          <w:szCs w:val="20"/>
          <w:color w:val="auto"/>
        </w:rPr>
      </w:pPr>
    </w:p>
    <w:p>
      <w:pPr>
        <w:jc w:val="center"/>
        <w:ind w:right="-19"/>
        <w:spacing w:after="0" w:line="196" w:lineRule="exact"/>
        <w:rPr>
          <w:sz w:val="20"/>
          <w:szCs w:val="20"/>
          <w:color w:val="auto"/>
        </w:rPr>
      </w:pPr>
      <w:r>
        <w:rPr>
          <w:rFonts w:ascii="Arial" w:cs="Arial" w:eastAsia="Arial" w:hAnsi="Arial"/>
          <w:sz w:val="17"/>
          <w:szCs w:val="17"/>
          <w:b w:val="1"/>
          <w:bCs w:val="1"/>
          <w:color w:val="auto"/>
        </w:rPr>
        <w:t>FORWARD</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LOOKING STATEMENTS</w:t>
      </w:r>
    </w:p>
    <w:p>
      <w:pPr>
        <w:spacing w:after="0" w:line="223" w:lineRule="exact"/>
        <w:rPr>
          <w:sz w:val="20"/>
          <w:szCs w:val="20"/>
          <w:color w:val="auto"/>
        </w:rPr>
      </w:pPr>
    </w:p>
    <w:p>
      <w:pPr>
        <w:spacing w:after="0" w:line="273" w:lineRule="auto"/>
        <w:rPr>
          <w:sz w:val="20"/>
          <w:szCs w:val="20"/>
          <w:color w:val="auto"/>
        </w:rPr>
      </w:pPr>
      <w:r>
        <w:rPr>
          <w:rFonts w:ascii="Arial" w:cs="Arial" w:eastAsia="Arial" w:hAnsi="Arial"/>
          <w:sz w:val="15"/>
          <w:szCs w:val="15"/>
          <w:i w:val="1"/>
          <w:iCs w:val="1"/>
          <w:color w:val="auto"/>
        </w:rPr>
        <w:t>This Annual Report on Form 10-K (this “Annual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cutbacks or delays in spending by the U.S. Department of Defense may occur which could cause delays or cancellations of key government contracts; delays to or the cancellation of our projects as a result of protest actions submitted by our competitors; changes in federal government (or other applicable) procurement laws, regulations, policies and budgets; the availability of government funding for the Company’s products and services due to performance, cost growth, or other factors; changes in government and customer priorities and requirements; the potential of the current economic environment to adversely impact our business; currently unforeseen risks associated with COVID-19; risks related to natural disasters or severe weather;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w:t>
      </w:r>
    </w:p>
    <w:p>
      <w:pPr>
        <w:spacing w:after="0" w:line="200" w:lineRule="exact"/>
        <w:rPr>
          <w:sz w:val="20"/>
          <w:szCs w:val="20"/>
          <w:color w:val="auto"/>
        </w:rPr>
      </w:pPr>
    </w:p>
    <w:p>
      <w:pPr>
        <w:spacing w:after="0" w:line="209" w:lineRule="exact"/>
        <w:rPr>
          <w:sz w:val="20"/>
          <w:szCs w:val="20"/>
          <w:color w:val="auto"/>
        </w:rPr>
      </w:pPr>
    </w:p>
    <w:p>
      <w:pPr>
        <w:ind w:right="100" w:firstLine="619"/>
        <w:spacing w:after="0" w:line="248" w:lineRule="auto"/>
        <w:rPr>
          <w:sz w:val="20"/>
          <w:szCs w:val="20"/>
          <w:color w:val="auto"/>
        </w:rPr>
      </w:pPr>
      <w:r>
        <w:rPr>
          <w:rFonts w:ascii="Arial" w:cs="Arial" w:eastAsia="Arial" w:hAnsi="Arial"/>
          <w:sz w:val="17"/>
          <w:szCs w:val="17"/>
          <w:i w:val="1"/>
          <w:iCs w:val="1"/>
          <w:color w:val="auto"/>
        </w:rPr>
        <w:t>Additional significant risks and uncertainties that could cause our actual results or achievements to differ materially from the results or achievements expressed in or implied by our forward-looking statements, include, but are not limited to those specifically addressed in Item 1A “Risk Factors” in this Annual Report, as well as those discussed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4" w:right="35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6" w:lineRule="exact"/>
        <w:rPr>
          <w:sz w:val="20"/>
          <w:szCs w:val="20"/>
          <w:color w:val="auto"/>
        </w:rPr>
      </w:pPr>
    </w:p>
    <w:p>
      <w:pPr>
        <w:ind w:firstLine="619"/>
        <w:spacing w:after="0" w:line="257" w:lineRule="auto"/>
        <w:rPr>
          <w:sz w:val="20"/>
          <w:szCs w:val="20"/>
          <w:color w:val="auto"/>
        </w:rPr>
      </w:pPr>
      <w:r>
        <w:rPr>
          <w:rFonts w:ascii="Arial" w:cs="Arial" w:eastAsia="Arial" w:hAnsi="Arial"/>
          <w:sz w:val="15"/>
          <w:szCs w:val="15"/>
          <w:color w:val="auto"/>
        </w:rPr>
        <w:t>Kratos is a government contractor at the forefront of the U.S. Department of Defense’s (the “DoD”) recapitalization of strategic weapon systems to address peer and near peer threats and the DoD’s related Rapid Innovation Initiatives. Kratos is a leading technology, intellectual property, proprietary product and system company focused on the U.S. and its allies’ national security. Kratos is a recognized industry leader in the rapid development, demonstration and fielding of disruptive, transformative and high technology systems and products at an affordable cost. At Kratos, affordability is a technology. Kratos’ primary focus areas are unmanned systems, space and satellite communications, microwave electronics, cybersecurity/warfare, rocket, hypersonic and missile defense systems, turbine technologies, Command, Control, Communication, Computing, Combat, Intelligence Surveillance and Reconnaissance (“C5ISR”) Systems and training systems. 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workforce is primarily engineering and technically oriented with a significant number of employees holding national security clearances. Much of our work is performed at customer locations, or in a secure manufacturing facility. Our primary end customers are national security related agencies. Our entire organization is focused on executing our strategy of being the leading technology and intellectual property based product and system company in our industry.</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were incorporated in the state of New York on December 19, 1994 and began operations in March 1995. We reincorporated in the state of Delaware in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1998.</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Update</w:t>
      </w:r>
    </w:p>
    <w:p>
      <w:pPr>
        <w:spacing w:after="0" w:line="210" w:lineRule="exact"/>
        <w:rPr>
          <w:sz w:val="20"/>
          <w:szCs w:val="20"/>
          <w:color w:val="auto"/>
        </w:rPr>
      </w:pPr>
    </w:p>
    <w:p>
      <w:pPr>
        <w:ind w:right="20" w:firstLine="619"/>
        <w:spacing w:after="0" w:line="239" w:lineRule="auto"/>
        <w:rPr>
          <w:sz w:val="20"/>
          <w:szCs w:val="20"/>
          <w:color w:val="auto"/>
        </w:rPr>
      </w:pPr>
      <w:r>
        <w:rPr>
          <w:rFonts w:ascii="Arial" w:cs="Arial" w:eastAsia="Arial" w:hAnsi="Arial"/>
          <w:sz w:val="16"/>
          <w:szCs w:val="16"/>
          <w:color w:val="auto"/>
        </w:rPr>
        <w:t>In May 2021, the Biden administration released a $6.011 trillion federal budget proposal for the U.S. Government’s 2022 fiscal year (“FY”) that began on October 1, 2021. The budget proposal, includes $753 billion in National Security funding, an increase of 1.6 percent over FY 2021, $715 billion of which is for the DoD. The 2022 National Security request amounts to a slight decrease for the Pentagon when adjusted for inflation, and is also slightly below the previous administration’s $722 billion FY 2022 request for the DoD. This is the first budget over the past decade that is not restricted by the discretionary spending caps under the Budget Control Act of 2011 (the “BCA”). The FY 2022 proposal also ends the “off-budget” funding pool known as the Overseas Contingency Operations, or OCO, account. A five-year Future Years Defense Program strategic priority spending plan that is typically submitted annually along with that year’s annual budget request, has not been submitted at this time. The FY 2022 National Security budget includes a focus on research and development for new technologies to address peer and near peer threats, including specifically China. The FY 2022 budget request prioritizes defense research and development, test and evaluation funding to invest in breakthrough technologies that are also focused on innovation and the development of next generation defense capabilities. The FY 2022 budget request also supports the DoD’s plan to divest legacy systems and programs in order to redirect the related resources to innovation, new technology and new programs, platforms and systems.</w:t>
      </w:r>
    </w:p>
    <w:p>
      <w:pPr>
        <w:spacing w:after="0" w:line="202" w:lineRule="exact"/>
        <w:rPr>
          <w:sz w:val="20"/>
          <w:szCs w:val="20"/>
          <w:color w:val="auto"/>
        </w:rPr>
      </w:pPr>
    </w:p>
    <w:p>
      <w:pPr>
        <w:ind w:firstLine="619"/>
        <w:spacing w:after="0" w:line="256" w:lineRule="auto"/>
        <w:rPr>
          <w:sz w:val="20"/>
          <w:szCs w:val="20"/>
          <w:color w:val="auto"/>
        </w:rPr>
      </w:pPr>
      <w:r>
        <w:rPr>
          <w:rFonts w:ascii="Arial" w:cs="Arial" w:eastAsia="Arial" w:hAnsi="Arial"/>
          <w:sz w:val="15"/>
          <w:szCs w:val="15"/>
          <w:color w:val="auto"/>
        </w:rPr>
        <w:t>The budget environment, including COVID-19 spending increases proposed by the Biden administration, and uncertainty surrounding the debt ceiling and the appropriations process, remain significant short and long-term risks. Considerable uncertainty exists regarding how future budget and program decisions will unfold, including the defense spending priorities of the current administration and Congress. FY 2022 appropriations have not been enacted to date. To avert a government shutdown, on September 30, 2021, one day before the start of the U.S. Government’s FY 2022, President Biden signed H.R. 5305, a Continuing Resolution, (“CR” ) into law. The CR, which was further extended through March 11, 2022, continues funding of most current programs and activities at FY 2021 government funding levels through March 11, 2002, i.e. a Continuing Resolution Authorization (“CRA”). While a CRA temporarily allows continued funding of contracts and programs at prior fiscal year levels, a CRA also restricts new contract and program starts and restricts planned increases on existing production and other contracts, presenting resource allocation challenges for the Government customer and placing limitations on future planned program budgets. In October 2021 President Biden signed legislation temporarily raising the U.S. Government’s borrowing limits by $480 billion and in December 2021 it was further increased by $2.5 trillion. The increase in borrowing limit is expected to keep the US Federal Government funded into 2023. If an annual appropriations bill for FY 2022 is not timely enacted, we may face another government shutdown of unknown duration. If a prolonged CRA and/or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200"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We believe continued budget pressures, CRAs or US Government shutdowns would have serious negative consequences for the security of our country and the defense industrial base, including the Company and the customers, employees, suppliers, investors, and communities that rely on companies in the defense industrial base. It is likely budget and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program decisions made in such an uncertain environment would have long-term implications for our Company and the entire defense industry.</w:t>
      </w:r>
    </w:p>
    <w:p>
      <w:pPr>
        <w:spacing w:after="0" w:line="243"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Additionally, funding for certain programs in which we currently participate may be reduced, delayed or cancelled, and budget uncertainty or funding cuts globally could adversely affect the viability of our partners, teammates, subcontractors and suppliers, and our employee base. While we believe that our business is well-positioned in areas that the DoD and other customers indicate are priorities for future defense spending, including in the 2018 and 2020 National Defense Strategy documents, the short and long-term impact of federal budgetary uncertainty, CRAs, the BCA, other defense spending cuts, challenges in the appropriations process, the debt ceiling and the ongoing fiscal debates remain uncertain. Such a challenging federal and DoD budgetary environment may negatively impact our business and programs and could have a material adverse effect on our forecasts, estimates, financial position, results of operations and/or cash flows.</w:t>
      </w:r>
    </w:p>
    <w:p>
      <w:pPr>
        <w:spacing w:after="0" w:line="211" w:lineRule="exact"/>
        <w:rPr>
          <w:sz w:val="20"/>
          <w:szCs w:val="20"/>
          <w:color w:val="auto"/>
        </w:rPr>
      </w:pPr>
    </w:p>
    <w:p>
      <w:pPr>
        <w:ind w:right="80" w:firstLine="619"/>
        <w:spacing w:after="0" w:line="258" w:lineRule="auto"/>
        <w:rPr>
          <w:sz w:val="20"/>
          <w:szCs w:val="20"/>
          <w:color w:val="auto"/>
        </w:rPr>
      </w:pPr>
      <w:r>
        <w:rPr>
          <w:rFonts w:ascii="Arial" w:cs="Arial" w:eastAsia="Arial" w:hAnsi="Arial"/>
          <w:sz w:val="17"/>
          <w:szCs w:val="17"/>
          <w:color w:val="auto"/>
        </w:rPr>
        <w:t>The nature of our operations exposes us to risks associated with pandemics, epidemics or other public health emergencies, such as the outbreak of COVID-19. In March 2020, the World Health Organization categorized COVID-19 as a pandemic, and the President of the United States declared the COVID-19 outbreak a national emergency. The outbreak has resulted in governments around the world, including the U.S. Government and the DoD, implementing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209" w:lineRule="exact"/>
        <w:rPr>
          <w:sz w:val="20"/>
          <w:szCs w:val="20"/>
          <w:color w:val="auto"/>
        </w:rPr>
      </w:pPr>
    </w:p>
    <w:p>
      <w:pPr>
        <w:ind w:right="60" w:firstLine="619"/>
        <w:spacing w:after="0" w:line="297" w:lineRule="auto"/>
        <w:rPr>
          <w:sz w:val="20"/>
          <w:szCs w:val="20"/>
          <w:color w:val="auto"/>
        </w:rPr>
      </w:pPr>
      <w:r>
        <w:rPr>
          <w:rFonts w:ascii="Arial" w:cs="Arial" w:eastAsia="Arial" w:hAnsi="Arial"/>
          <w:sz w:val="15"/>
          <w:szCs w:val="15"/>
          <w:color w:val="auto"/>
        </w:rPr>
        <w:t>We are a company operating in a “critical infrastructure industry”, as defined by the U.S. Department of Homeland Security. Consistent with federal guidelines and with state and local orders to date, we currently continue to operate, including our international operations. Notwithstanding our continued operations, COVID-19 has had negative impacts on certain of our operations, including employee absenteeism, our supply chain, vendors, transportation networks and customers, which have reduced certain of our sales and our margins, including as a result of preventative and precautionary measures that we, our suppliers, other businesses and governments are taking. The COVID-19 outbreak is a widespread public health crisis that is adversely affecting the economies and financial markets globally. Any resulting economic downturn could adversely affect demand for our products. The progression of this matter could also negatively impact our business or results of operations through the temporary or extended closure of our operating locations or those of our customers or suppliers.</w:t>
      </w:r>
    </w:p>
    <w:p>
      <w:pPr>
        <w:spacing w:after="0" w:line="182"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The ability of our employees, our suppliers’ employees and our customers’ employees to work may be significantly impacted by individuals contracting or being exposed to COVID-19, or as a result of the control measures noted above, which may significantly hamper our production and operations, including throughout the supply chain. In addition to the $900 billion in stimulus relief for the COVID-19 pandemic included in the current spending bill, on March 27, 2020, the Coronavirus Aid, Relief, and Economic Security Act (the “CARES Act”), a $2 trillion economic relief bill was signed into law. Subsequently, on March 11, 2021, the American Rescue Plan Act, a $1.9 trillion economic stimulus bill was enacted. We are continuing to evaluate the impact of these two budget packages including related stimulus and economic relief actions on our business.</w:t>
      </w:r>
    </w:p>
    <w:p>
      <w:pPr>
        <w:spacing w:after="0" w:line="209"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Since the end of the first quarter of 2020, COVID-19 has continued to impact our customers, markets and operations, including supply chain disruptions, delays of certain supplier deliveries, difficulties gaining access to certain locations, difficulties gaining access to customers, including instances related to previously scheduled drone and rocket system flights, demonstrations and exercises, and decreased demand requirements of certain of our commercial aero, power and satcom customers. Importantly, COVID-19 customer and contractor-related travel and social distancing restrictions have delayed a number of our target drone, tactical drone and rocket system programs, missions and exercises, and has delayed delivery and execution on certain of our international commercial satcom projects. Despite progress in vaccination efforts, global economic activity remains uncertain and cannot be predicted with confidence. Further, in the first half of 2021, a new Delta variant of COVID-19 began to spread globally and caused an increase in COVID-19 cases in many places in the United States, and in November 2021, a new Omicron variant, which appears to be the most transmissible variant to date, was detected, which Omicron variant has since caused an increase in COVID-19 cases in multiple countries, including the United States. Public health officials and medical professionals have warned that COVID-19 cases may continue to spike due to the Delta variant and/or the Omicron variant, particularly if vaccination rates do not quickly increase or if additional, potent disease variants emerge. It is unclear how long the resurgence due to Delta or the resurgence due to Omicron will last, how severe the Delta resurgence or Omicron resurgence will be, and what safety measures governments will impose in response to the Delta resurgence or Omicron resurgence. The extent to which COVID-19 may further impact our business depends on future developments, which are highly uncertain and unpredictable, including new information concerning the severity of the outbreak and the effectiveness of actions globally to contain or mitigate its effects.</w:t>
      </w:r>
    </w:p>
    <w:p>
      <w:pPr>
        <w:spacing w:after="0" w:line="201"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While we currently do not expect this matter to have a material impact on our results of operations, cash flows and financial position, the current level of uncertainty over the economic, business and operational impacts of COVID-19, including</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6" w:name="page7"/>
    <w:bookmarkEnd w:id="6"/>
    <w:p>
      <w:pPr>
        <w:spacing w:after="0" w:line="283" w:lineRule="auto"/>
        <w:rPr>
          <w:sz w:val="20"/>
          <w:szCs w:val="20"/>
          <w:color w:val="auto"/>
        </w:rPr>
      </w:pPr>
      <w:r>
        <w:rPr>
          <w:rFonts w:ascii="Arial" w:cs="Arial" w:eastAsia="Arial" w:hAnsi="Arial"/>
          <w:sz w:val="16"/>
          <w:szCs w:val="16"/>
          <w:color w:val="auto"/>
        </w:rPr>
        <w:t>the impact on employee absenteeism, vendor and supply chain and other resources, means the related financial impact cannot be reasonably estimated at this time. Our Consolidated Financial Statements and Management’s Discussion and Analysis of Financial Condition and Results of Operations reflect estimates and assumptions made by management as of December 26, 2021. Events and changes in circumstances arising after December 26, 2021, including those resulting from the continuing impacts of COVID-19, will be reflected in management’s estimates for future periods.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Reporting Segments</w:t>
      </w:r>
    </w:p>
    <w:p>
      <w:pPr>
        <w:spacing w:after="0" w:line="210" w:lineRule="exact"/>
        <w:rPr>
          <w:sz w:val="20"/>
          <w:szCs w:val="20"/>
          <w:color w:val="auto"/>
        </w:rPr>
      </w:pPr>
    </w:p>
    <w:p>
      <w:pPr>
        <w:ind w:right="220" w:firstLine="619"/>
        <w:spacing w:after="0" w:line="249" w:lineRule="auto"/>
        <w:rPr>
          <w:sz w:val="20"/>
          <w:szCs w:val="20"/>
          <w:color w:val="auto"/>
        </w:rPr>
      </w:pPr>
      <w:r>
        <w:rPr>
          <w:rFonts w:ascii="Arial" w:cs="Arial" w:eastAsia="Arial" w:hAnsi="Arial"/>
          <w:sz w:val="16"/>
          <w:szCs w:val="16"/>
          <w:color w:val="auto"/>
        </w:rPr>
        <w:t>The Company currently operates in two reportable segments. The Kratos Government Solutions (“KGS”) reportable segment is comprised of an aggregation of KGS operating segments, including our microwave electronic products, space and satellite communications, training and cybersecurity, C5ISR/modular systems, turbine technologies, and defense and rocket support services operating segments. The Unmanned Systems (“US”) reportable segment consists of our unmanned aerial, unmanned ground, unmanned seaborne and command, control and communications system businesses.</w:t>
      </w:r>
    </w:p>
    <w:p>
      <w:pPr>
        <w:spacing w:after="0" w:line="203" w:lineRule="exact"/>
        <w:rPr>
          <w:sz w:val="20"/>
          <w:szCs w:val="20"/>
          <w:color w:val="auto"/>
        </w:rPr>
      </w:pPr>
    </w:p>
    <w:p>
      <w:pPr>
        <w:ind w:right="320" w:firstLine="619"/>
        <w:spacing w:after="0" w:line="259" w:lineRule="auto"/>
        <w:rPr>
          <w:sz w:val="20"/>
          <w:szCs w:val="20"/>
          <w:color w:val="auto"/>
        </w:rPr>
      </w:pPr>
      <w:r>
        <w:rPr>
          <w:rFonts w:ascii="Arial" w:cs="Arial" w:eastAsia="Arial" w:hAnsi="Arial"/>
          <w:sz w:val="17"/>
          <w:szCs w:val="17"/>
          <w:color w:val="auto"/>
        </w:rPr>
        <w:t>We organize our operating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14 of the Notes to Consolidated Financial Statements contained within this Annual Report. From a customer and solutions perspective, we view our business as an integrated whole, leveraging skills and assets wherever possible.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w:t>
      </w:r>
    </w:p>
    <w:p>
      <w:pPr>
        <w:spacing w:after="0" w:line="223"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We believe that our intellectual property, proprietary products, and technology are strongly aligned with certain of the highest priority spending areas of the DoD, and the DoD’s focus on leveraging technology to defeat or deter peer and near-peer adversaries. We also believe that our proven ability to rapidly design, develop, demonstrate and field disruptive, transformative and leading technology products and systems at an affordable cost differentiates us from our competitors. We believe that our longstanding customer relationships, and the designed-in position of our systems, technology and products into our customers’ platforms, programs and systems, provide a unique competitive advantage and position us well for accelerated growth.</w:t>
      </w:r>
    </w:p>
    <w:p>
      <w:pPr>
        <w:spacing w:after="0" w:line="191" w:lineRule="exact"/>
        <w:rPr>
          <w:sz w:val="20"/>
          <w:szCs w:val="20"/>
          <w:color w:val="auto"/>
        </w:rPr>
      </w:pPr>
    </w:p>
    <w:p>
      <w:pPr>
        <w:ind w:right="40" w:firstLine="619"/>
        <w:spacing w:after="0" w:line="297" w:lineRule="auto"/>
        <w:rPr>
          <w:sz w:val="20"/>
          <w:szCs w:val="20"/>
          <w:color w:val="auto"/>
        </w:rPr>
      </w:pPr>
      <w:r>
        <w:rPr>
          <w:rFonts w:ascii="Arial" w:cs="Arial" w:eastAsia="Arial" w:hAnsi="Arial"/>
          <w:sz w:val="15"/>
          <w:szCs w:val="15"/>
          <w:i w:val="1"/>
          <w:iCs w:val="1"/>
          <w:color w:val="auto"/>
        </w:rPr>
        <w:t xml:space="preserve">Specialized national security focus aligned with mission-critical national security priorities. </w:t>
      </w:r>
      <w:r>
        <w:rPr>
          <w:rFonts w:ascii="Arial" w:cs="Arial" w:eastAsia="Arial" w:hAnsi="Arial"/>
          <w:sz w:val="15"/>
          <w:szCs w:val="15"/>
          <w:color w:val="auto"/>
        </w:rPr>
        <w:t>Continued concerns related to the threats posed by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foreign nations, including nations with peer or near peer capabilities have caused the U.S. Government to identify national security as an area of functional and spending priority. Budget pressures, particularly related to DoD spending, have placed a premium on developing and fielding low-cost, high-technology solutions to assist in national security missions. While budget pressures have at times caused delays in orders for our business, current budget projections suggest defense spending will continue to be significant over the next few years. The outlook for defense spending is primarily focused on enhanced power projection, warfighting readiness, lethality, and recapitalization of key strategic defense systems to address peer and near peer threats. Our primary capabilities and areas of focus, listed below, are strongly aligned with the objectives of the U.S. Government including those outlined in the 2018 and 2020 National Defense Strategy documents:</w:t>
      </w:r>
    </w:p>
    <w:p>
      <w:pPr>
        <w:spacing w:after="0" w:line="156" w:lineRule="exact"/>
        <w:rPr>
          <w:sz w:val="20"/>
          <w:szCs w:val="20"/>
          <w:color w:val="auto"/>
        </w:rPr>
      </w:pPr>
    </w:p>
    <w:p>
      <w:pPr>
        <w:ind w:left="1240" w:hanging="309"/>
        <w:spacing w:after="0"/>
        <w:tabs>
          <w:tab w:leader="none" w:pos="1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Unmanned aerial drone, unmanned ground and unmanned seaborne systems and artificial intelligence.</w:t>
      </w:r>
    </w:p>
    <w:p>
      <w:pPr>
        <w:spacing w:after="0" w:line="21" w:lineRule="exact"/>
        <w:rPr>
          <w:rFonts w:ascii="Arial" w:cs="Arial" w:eastAsia="Arial" w:hAnsi="Arial"/>
          <w:sz w:val="17"/>
          <w:szCs w:val="17"/>
          <w:color w:val="auto"/>
        </w:rPr>
      </w:pPr>
    </w:p>
    <w:p>
      <w:pPr>
        <w:ind w:left="1240" w:hanging="309"/>
        <w:spacing w:after="0"/>
        <w:tabs>
          <w:tab w:leader="none" w:pos="1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Satellite communications and radio frequency interference detection location and mitigation.</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Microwave electronics supporting warfare, missile, radar and communication systems.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Electronic warfare, attack, missile, and radar systems.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Intelligence, surveillance and reconnaissance.</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Ballistic missile defense and hypersonic systems.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C5ISR systems, including Strategic Deterrence Systems.</w:t>
      </w:r>
    </w:p>
    <w:p>
      <w:pPr>
        <w:spacing w:after="0" w:line="1" w:lineRule="exact"/>
        <w:rPr>
          <w:rFonts w:ascii="Arial" w:cs="Arial" w:eastAsia="Arial" w:hAnsi="Arial"/>
          <w:sz w:val="17"/>
          <w:szCs w:val="17"/>
          <w:color w:val="auto"/>
        </w:rPr>
      </w:pPr>
    </w:p>
    <w:p>
      <w:pPr>
        <w:ind w:left="1240" w:hanging="309"/>
        <w:spacing w:after="0"/>
        <w:tabs>
          <w:tab w:leader="none" w:pos="1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Cybersecurity and information assurance, and</w:t>
      </w:r>
    </w:p>
    <w:p>
      <w:pPr>
        <w:spacing w:after="0" w:line="7" w:lineRule="exact"/>
        <w:rPr>
          <w:rFonts w:ascii="Arial" w:cs="Arial" w:eastAsia="Arial" w:hAnsi="Arial"/>
          <w:sz w:val="17"/>
          <w:szCs w:val="17"/>
          <w:color w:val="auto"/>
        </w:rPr>
      </w:pPr>
    </w:p>
    <w:p>
      <w:pPr>
        <w:ind w:left="1240" w:hanging="309"/>
        <w:spacing w:after="0"/>
        <w:tabs>
          <w:tab w:leader="none" w:pos="1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Specialized training systems and operational readiness.</w:t>
      </w:r>
    </w:p>
    <w:p>
      <w:pPr>
        <w:spacing w:after="0" w:line="232" w:lineRule="exact"/>
        <w:rPr>
          <w:sz w:val="20"/>
          <w:szCs w:val="20"/>
          <w:color w:val="auto"/>
        </w:rPr>
      </w:pPr>
    </w:p>
    <w:p>
      <w:pPr>
        <w:ind w:right="40" w:firstLine="541"/>
        <w:spacing w:after="0" w:line="277" w:lineRule="auto"/>
        <w:rPr>
          <w:sz w:val="20"/>
          <w:szCs w:val="20"/>
          <w:color w:val="auto"/>
        </w:rPr>
      </w:pPr>
      <w:r>
        <w:rPr>
          <w:rFonts w:ascii="Arial" w:cs="Arial" w:eastAsia="Arial" w:hAnsi="Arial"/>
          <w:sz w:val="15"/>
          <w:szCs w:val="15"/>
          <w:i w:val="1"/>
          <w:iCs w:val="1"/>
          <w:color w:val="auto"/>
        </w:rPr>
        <w:t xml:space="preserve">IP-centric defense company with proprietary products and technology which address critical current and emerging threats faced by U.S. and allied militaries. </w:t>
      </w:r>
      <w:r>
        <w:rPr>
          <w:rFonts w:ascii="Arial" w:cs="Arial" w:eastAsia="Arial" w:hAnsi="Arial"/>
          <w:sz w:val="15"/>
          <w:szCs w:val="15"/>
          <w:color w:val="auto"/>
        </w:rPr>
        <w:t>As a technology-focused defense company at the forefront of the DoD’s strategy for technology rich, transformative, disruptive and affordable systems,</w:t>
      </w:r>
      <w:r>
        <w:rPr>
          <w:rFonts w:ascii="Arial" w:cs="Arial" w:eastAsia="Arial" w:hAnsi="Arial"/>
          <w:sz w:val="15"/>
          <w:szCs w:val="15"/>
          <w:i w:val="1"/>
          <w:iCs w:val="1"/>
          <w:color w:val="auto"/>
        </w:rPr>
        <w:t xml:space="preserve"> </w:t>
      </w:r>
      <w:r>
        <w:rPr>
          <w:rFonts w:ascii="Arial" w:cs="Arial" w:eastAsia="Arial" w:hAnsi="Arial"/>
          <w:sz w:val="15"/>
          <w:szCs w:val="15"/>
          <w:color w:val="auto"/>
        </w:rPr>
        <w:t>our current and growing portfolio of proprietary systems, products, solutions, and related intellectual property addresses some of the most critical mission needs and requirements of U.S. and allied militaries in the fields of unmanned systems, space &amp; satellite communications, microwave electronics, cybersecurity/warfare, missile defense, combat and training systems. A key element of our customers’ strategy, and where we have invested significantly, is the development of capabilities and intellectual property addressing the recent challenges faced by U.S. and allied militaries in potential Anti-Access and Aerial-Denial (“A2/AD”) environments. This is evidenced by our significant investment in high-performance Unmanned Aerial Drone System (“UADS”) platforms and technology, which has culminated in a series of Unmanned Combat Aerial System (“UCAS”) contract wins. Additionally, with our space &amp; satellite</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7" w:name="page8"/>
    <w:bookmarkEnd w:id="7"/>
    <w:p>
      <w:pPr>
        <w:ind w:right="20"/>
        <w:spacing w:after="0" w:line="281" w:lineRule="auto"/>
        <w:rPr>
          <w:sz w:val="20"/>
          <w:szCs w:val="20"/>
          <w:color w:val="auto"/>
        </w:rPr>
      </w:pPr>
      <w:r>
        <w:rPr>
          <w:rFonts w:ascii="Arial" w:cs="Arial" w:eastAsia="Arial" w:hAnsi="Arial"/>
          <w:sz w:val="15"/>
          <w:szCs w:val="15"/>
          <w:color w:val="auto"/>
        </w:rPr>
        <w:t>and terrestrial ground segment command, control, radio frequency interference monitoring, geolocation and mitigation products and capabilities, we believe we are well-positioned to capitalize on the DoD budget for space investments, a significant portion of which is for the development and protection of U.S. national security space assets and infrastructure. Accordingly, our proprietary products, systems and technologies are developed and refined with the goal of enabling our customers to maintain an advantage over the advanced and constantly evolving threats of adversaries, at an affordable cost. In many instances, we are one of the few companies that produce the mission-critical technology our customers require, or we outperformed our peers in a competitive bidding process. We maintain a strategy of internally funding research and development and owning the intellectual property of many of these high-performance capabilities and systems.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Technology-driven company aligned with and supporting our customers’ increased innovation, technology, and strategic national security initiatives, with</w:t>
      </w:r>
    </w:p>
    <w:p>
      <w:pPr>
        <w:spacing w:after="0" w:line="45" w:lineRule="exact"/>
        <w:rPr>
          <w:sz w:val="20"/>
          <w:szCs w:val="20"/>
          <w:color w:val="auto"/>
        </w:rPr>
      </w:pPr>
    </w:p>
    <w:p>
      <w:pPr>
        <w:ind w:right="240"/>
        <w:spacing w:after="0" w:line="293" w:lineRule="auto"/>
        <w:rPr>
          <w:sz w:val="20"/>
          <w:szCs w:val="20"/>
          <w:color w:val="auto"/>
        </w:rPr>
      </w:pPr>
      <w:r>
        <w:rPr>
          <w:rFonts w:ascii="Arial" w:cs="Arial" w:eastAsia="Arial" w:hAnsi="Arial"/>
          <w:sz w:val="15"/>
          <w:szCs w:val="15"/>
          <w:i w:val="1"/>
          <w:iCs w:val="1"/>
          <w:color w:val="auto"/>
        </w:rPr>
        <w:t xml:space="preserve">focus on speed and affordability. </w:t>
      </w:r>
      <w:r>
        <w:rPr>
          <w:rFonts w:ascii="Arial" w:cs="Arial" w:eastAsia="Arial" w:hAnsi="Arial"/>
          <w:sz w:val="15"/>
          <w:szCs w:val="15"/>
          <w:color w:val="auto"/>
        </w:rPr>
        <w:t>As the DoD works to increase or maintain its technological advantage over adversaries, it has continued its efforts to create</w:t>
      </w:r>
      <w:r>
        <w:rPr>
          <w:rFonts w:ascii="Arial" w:cs="Arial" w:eastAsia="Arial" w:hAnsi="Arial"/>
          <w:sz w:val="15"/>
          <w:szCs w:val="15"/>
          <w:i w:val="1"/>
          <w:iCs w:val="1"/>
          <w:color w:val="auto"/>
        </w:rPr>
        <w:t xml:space="preserve"> </w:t>
      </w:r>
      <w:r>
        <w:rPr>
          <w:rFonts w:ascii="Arial" w:cs="Arial" w:eastAsia="Arial" w:hAnsi="Arial"/>
          <w:sz w:val="15"/>
          <w:szCs w:val="15"/>
          <w:color w:val="auto"/>
        </w:rPr>
        <w:t>breakthrough technologies for national security, accelerate innovation to the warfighter, and repurpose current capabilities to create cost-effective, disruptive technology advances. With our focus on delivering proven leading edge systems, products and technologies that address the most critical current and emerging threats, our customers include some of the most technologically advanced organizations of the defense establishment, including the Defense Innovation Unit (“DIU”) (formerly the Defense Innovation Unit Experimental (“DIUx”)), Defense Advanced Research Projects Agency (“DARPA”), Air Force Research Laboratory (“AFRL”), the Strategic Capabilities Office (SCO), the Strategic Command (STRATCOM), the National Aeronautics and Space Administration, the U.S. intelligence community, and other confidential customers. We believe our focus on constant innovation, capability improvements across our product and solutions portfolio, speed of development, and production and affordability are key differentiators that align us with and address our customers’ key initiatives.</w:t>
      </w:r>
    </w:p>
    <w:p>
      <w:pPr>
        <w:spacing w:after="0" w:line="161" w:lineRule="exact"/>
        <w:rPr>
          <w:sz w:val="20"/>
          <w:szCs w:val="20"/>
          <w:color w:val="auto"/>
        </w:rPr>
      </w:pPr>
    </w:p>
    <w:p>
      <w:pPr>
        <w:ind w:right="100" w:firstLine="541"/>
        <w:spacing w:after="0" w:line="275" w:lineRule="auto"/>
        <w:rPr>
          <w:sz w:val="20"/>
          <w:szCs w:val="20"/>
          <w:color w:val="auto"/>
        </w:rPr>
      </w:pPr>
      <w:r>
        <w:rPr>
          <w:rFonts w:ascii="Arial" w:cs="Arial" w:eastAsia="Arial" w:hAnsi="Arial"/>
          <w:sz w:val="16"/>
          <w:szCs w:val="16"/>
          <w:i w:val="1"/>
          <w:iCs w:val="1"/>
          <w:color w:val="auto"/>
        </w:rPr>
        <w:t xml:space="preserve">In-depth understanding of customer missions. </w:t>
      </w:r>
      <w:r>
        <w:rPr>
          <w:rFonts w:ascii="Arial" w:cs="Arial" w:eastAsia="Arial" w:hAnsi="Arial"/>
          <w:sz w:val="16"/>
          <w:szCs w:val="16"/>
          <w:color w:val="auto"/>
        </w:rPr>
        <w:t>We have a reputation for successfully and rapidly designing, developing, demonstrating and fielding</w:t>
      </w:r>
      <w:r>
        <w:rPr>
          <w:rFonts w:ascii="Arial" w:cs="Arial" w:eastAsia="Arial" w:hAnsi="Arial"/>
          <w:sz w:val="16"/>
          <w:szCs w:val="16"/>
          <w:i w:val="1"/>
          <w:iCs w:val="1"/>
          <w:color w:val="auto"/>
        </w:rPr>
        <w:t xml:space="preserve"> </w:t>
      </w:r>
      <w:r>
        <w:rPr>
          <w:rFonts w:ascii="Arial" w:cs="Arial" w:eastAsia="Arial" w:hAnsi="Arial"/>
          <w:sz w:val="16"/>
          <w:szCs w:val="16"/>
          <w:color w:val="auto"/>
        </w:rPr>
        <w:t>mission-critical products, solutions and services to our customers, at an affordable cost. Our long-term relationships with the U.S. Air Force, U.S. Army, U.S. Navy and other national security related customers and agencies enable us to develop an in-depth understanding of their missions, problems and technical requirements. In addition, a substantial number of our employees are located at our customer locations, or at secure manufacturing facilities, all of which provides Kratos with valuable strategic insight into our customers’ ongoing missions and future program and mission requirements. This understanding of our customers’ missions, requirements, and needs, in conjunction with the strategic location of our employees, enables us to offer technical solutions tailored to our customers’ specific requirements and evolving mission objectives. In addition, once our products are “designed in” and we are on-site with a customer and providing our products and solutions, we have historically been successful in winning new and recompete business.</w:t>
      </w:r>
    </w:p>
    <w:p>
      <w:pPr>
        <w:spacing w:after="0" w:line="170" w:lineRule="exact"/>
        <w:rPr>
          <w:sz w:val="20"/>
          <w:szCs w:val="20"/>
          <w:color w:val="auto"/>
        </w:rPr>
      </w:pPr>
    </w:p>
    <w:p>
      <w:pPr>
        <w:ind w:firstLine="541"/>
        <w:spacing w:after="0" w:line="276" w:lineRule="auto"/>
        <w:rPr>
          <w:sz w:val="20"/>
          <w:szCs w:val="20"/>
          <w:color w:val="auto"/>
        </w:rPr>
      </w:pPr>
      <w:r>
        <w:rPr>
          <w:rFonts w:ascii="Arial" w:cs="Arial" w:eastAsia="Arial" w:hAnsi="Arial"/>
          <w:sz w:val="16"/>
          <w:szCs w:val="16"/>
          <w:color w:val="auto"/>
        </w:rPr>
        <w:t>Kratos is an industry leader in high performance, jet powered, unmanned aerial target drone systems which are designed to replicate state of the art adversarial fighter aircraft, missiles, drones and other threats. Kratos is the sole source or primary unmanned aerial target drone system provider to the U.S. Air Force, Navy, Army, and numerous allied foreign defense agencies. Leveraging off of this technology, for which Kratos owns important intellectual property, we have made significant investments since 2013 developing Kratos’ first UCAS, our Unmanned Tactical Aerial Platform (“UTAP-22”), now formally called “Mako.” After successfully achieving the Mako’s first concept flights at the end of 2015, in 2016 we received a $12.6 million single-award contract to demonstrate certain payload integration and loyal wingman teaming with manned aircraft in a major military exercise. At the time, this contract was one of the largest awarded contracts by the DIUx. We are currently under contract with several additional customers related to Kratos’ Mako.</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 select sample of Kratos’ other key unmanned aerial systems (“UAS”) products and contracts includes:</w:t>
      </w:r>
    </w:p>
    <w:p>
      <w:pPr>
        <w:spacing w:after="0" w:line="204" w:lineRule="exact"/>
        <w:rPr>
          <w:sz w:val="20"/>
          <w:szCs w:val="20"/>
          <w:color w:val="auto"/>
        </w:rPr>
      </w:pPr>
    </w:p>
    <w:p>
      <w:pPr>
        <w:ind w:left="1240" w:right="140" w:hanging="309"/>
        <w:spacing w:after="0" w:line="226" w:lineRule="auto"/>
        <w:tabs>
          <w:tab w:leader="none" w:pos="1236"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2017, we successfully advanced to Phase II of the Gremlins program, awarded by DARPA, the U.S. Government’s leader in breakthrough technologies for national security, teamed with our partner company, Dynetics. In 2018, as part of the Dynetics led team, we were selected for award on Phase III of the Gremlins program to demonstrate safe and reliable launch and aerial recovery of multiple unmanned drone system aircraft, capable of employing and recovering diverse distributed payloads in volley quantities. In January 2020, DARPA and Dynetics announced that the successful first flight of the X-61A Gremlins Air Vehicle was completed on November 23, 2019. A second successful flight test was completed in July 2020, satisfying major technical and program milestones while significantly reducing risk. A third successful flight test was conducted in November 2020. This third flight was originally scheduled for earlier in 2020 and was delayed due to COVID-19 related and range restrictions. A successful in flight capture of a Gremlins Air vehicle by a “mother ship” launch and recovery platform was completed in the fourth quarter of 2021.</w:t>
      </w:r>
    </w:p>
    <w:p>
      <w:pPr>
        <w:spacing w:after="0" w:line="199" w:lineRule="exact"/>
        <w:rPr>
          <w:rFonts w:ascii="Arial" w:cs="Arial" w:eastAsia="Arial" w:hAnsi="Arial"/>
          <w:sz w:val="17"/>
          <w:szCs w:val="17"/>
          <w:color w:val="auto"/>
        </w:rPr>
      </w:pPr>
    </w:p>
    <w:p>
      <w:pPr>
        <w:jc w:val="both"/>
        <w:ind w:left="1240" w:right="540" w:hanging="309"/>
        <w:spacing w:after="0" w:line="236" w:lineRule="auto"/>
        <w:tabs>
          <w:tab w:leader="none" w:pos="1236"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2016, we were awarded the AFRL Low Cost Attritable Strike Demonstration (“LCASD”) UCAS single-award cost share contract. The LCASD UCAS, or Valkyrie, is an approximately 30 foot by 22 foot unmanned strike aerial drone system. During 2019, approximately 30 months after aircraft conception, the Company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8" w:name="page9"/>
    <w:bookmarkEnd w:id="8"/>
    <w:p>
      <w:pPr>
        <w:ind w:left="309" w:right="360"/>
        <w:spacing w:after="0" w:line="278" w:lineRule="auto"/>
        <w:rPr>
          <w:sz w:val="20"/>
          <w:szCs w:val="20"/>
          <w:color w:val="auto"/>
        </w:rPr>
      </w:pPr>
      <w:r>
        <w:rPr>
          <w:rFonts w:ascii="Arial" w:cs="Arial" w:eastAsia="Arial" w:hAnsi="Arial"/>
          <w:sz w:val="15"/>
          <w:szCs w:val="15"/>
          <w:color w:val="auto"/>
        </w:rPr>
        <w:t>announced that the Kratos/AFRL team successfully completed three flights for the Valkyrie, or the XQ-58A. In January 2020, the Company completed its fourth demonstration flight, including the successful deployment of its parachutes, and landed normally, validating the design</w:t>
      </w:r>
    </w:p>
    <w:p>
      <w:pPr>
        <w:ind w:left="309" w:right="360"/>
        <w:spacing w:after="0" w:line="248" w:lineRule="auto"/>
        <w:rPr>
          <w:sz w:val="20"/>
          <w:szCs w:val="20"/>
          <w:color w:val="auto"/>
        </w:rPr>
      </w:pPr>
      <w:r>
        <w:rPr>
          <w:rFonts w:ascii="Arial" w:cs="Arial" w:eastAsia="Arial" w:hAnsi="Arial"/>
          <w:sz w:val="17"/>
          <w:szCs w:val="17"/>
          <w:color w:val="auto"/>
        </w:rPr>
        <w:t>changes incorporated for the test flight airbag system following the third flight in 2019. In March 2021, the Kratos/AFRL team successfully completed the XQ-58A Valkyrie’s sixth test/demonstration flight and first release from its internal weapons bay.</w:t>
      </w:r>
    </w:p>
    <w:p>
      <w:pPr>
        <w:spacing w:after="0" w:line="202" w:lineRule="exact"/>
        <w:rPr>
          <w:sz w:val="20"/>
          <w:szCs w:val="20"/>
          <w:color w:val="auto"/>
        </w:rPr>
      </w:pPr>
    </w:p>
    <w:p>
      <w:pPr>
        <w:ind w:left="309" w:hanging="309"/>
        <w:spacing w:after="0"/>
        <w:tabs>
          <w:tab w:leader="none" w:pos="309"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2019, the Kratos XQ-58A Valkyrie was awarded Aviation Week’s Laureate Award for Defense Technology and Innovation.</w:t>
      </w:r>
    </w:p>
    <w:p>
      <w:pPr>
        <w:spacing w:after="0" w:line="152" w:lineRule="exact"/>
        <w:rPr>
          <w:rFonts w:ascii="Arial" w:cs="Arial" w:eastAsia="Arial" w:hAnsi="Arial"/>
          <w:sz w:val="17"/>
          <w:szCs w:val="17"/>
          <w:color w:val="auto"/>
        </w:rPr>
      </w:pPr>
    </w:p>
    <w:p>
      <w:pPr>
        <w:ind w:left="309" w:right="40" w:hanging="309"/>
        <w:spacing w:after="0" w:line="275" w:lineRule="auto"/>
        <w:tabs>
          <w:tab w:leader="none" w:pos="30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July 2020, the Company was awarded a five-year indefinite delivery indefinite quantity (“IDIQ”) contract valued at up to $400 million for the development, integration, and prototype air vehicle delivery in support of the Air Force’s Skyborg program. In December 2020, Kratos was awarded a $37.7 million contract from the AFLCMC/WA Advanced Aircraft Program Executive Office for the Skyborg Delivery Order 2 to integrate, test and deliver XQ-58A Valkyrie aircraft. The contract includes three phases of design, integration, and flight testing of the XQ-58A Valkyrie or other systems, integrating multiple customer-defined mission payloads and customer-defined autonomy in coordination/cooperation with the Skyborg System Design Agent. Kratos has been working in partnership with Leidos’ Dynetics on the Gremlins Program. In addition, in December 2020 we received a $17.8 million award from the AFRL for work in support of the government’s Low Cost Attritable Aircraft Technology (LCAAT) efforts, including as related to the XQ-58A Valkyrie.</w:t>
      </w:r>
    </w:p>
    <w:p>
      <w:pPr>
        <w:spacing w:after="0" w:line="92" w:lineRule="exact"/>
        <w:rPr>
          <w:rFonts w:ascii="Arial" w:cs="Arial" w:eastAsia="Arial" w:hAnsi="Arial"/>
          <w:sz w:val="16"/>
          <w:szCs w:val="16"/>
          <w:color w:val="auto"/>
        </w:rPr>
      </w:pPr>
    </w:p>
    <w:p>
      <w:pPr>
        <w:ind w:left="309" w:right="40" w:hanging="309"/>
        <w:spacing w:after="0" w:line="262" w:lineRule="auto"/>
        <w:tabs>
          <w:tab w:leader="none" w:pos="304"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December 2020, the Kratos Valkyrie UAS AttritableONE (as referred to by the US Air Force) completed a successful demonstration flight enabling the F-22 and F-35 5th generation fighters to fly in formation together in a test led by an integrated Advanced Battle Management System (“ABMS”) acquisition team comprised of AFRL and Air Force Life Cycle Management Center personnel, in conjunction with Eglin Air Force Base’s 46th Test Squadron.</w:t>
      </w:r>
    </w:p>
    <w:p>
      <w:pPr>
        <w:spacing w:after="0" w:line="113" w:lineRule="exact"/>
        <w:rPr>
          <w:rFonts w:ascii="Arial" w:cs="Arial" w:eastAsia="Arial" w:hAnsi="Arial"/>
          <w:sz w:val="17"/>
          <w:szCs w:val="17"/>
          <w:color w:val="auto"/>
        </w:rPr>
      </w:pPr>
    </w:p>
    <w:p>
      <w:pPr>
        <w:ind w:left="309" w:right="20" w:hanging="309"/>
        <w:spacing w:after="0" w:line="259" w:lineRule="auto"/>
        <w:tabs>
          <w:tab w:leader="none" w:pos="304"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August 2021, Kratos announced that it remains committed to be ready for a 2023 Skyborg Vanguard Program of Record, echoing the commitment expressed by the U.S. Air Force in its August 16, 2021 update on the Skyborg program. Skyborg is an autonomy-focused capability developed to enable the Air Force to operate and sustain low-cost, teamed aircraft that can thwart adversaries with quick, decisive actions in contested environments. The program aims to enable airborne combat mass by building a transferable autonomy foundation for a family of layered, unmanned air vehicles.</w:t>
      </w:r>
    </w:p>
    <w:p>
      <w:pPr>
        <w:spacing w:after="0" w:line="118" w:lineRule="exact"/>
        <w:rPr>
          <w:rFonts w:ascii="Arial" w:cs="Arial" w:eastAsia="Arial" w:hAnsi="Arial"/>
          <w:sz w:val="17"/>
          <w:szCs w:val="17"/>
          <w:color w:val="auto"/>
        </w:rPr>
      </w:pPr>
    </w:p>
    <w:p>
      <w:pPr>
        <w:ind w:left="309" w:right="60" w:hanging="309"/>
        <w:spacing w:after="0" w:line="349" w:lineRule="auto"/>
        <w:tabs>
          <w:tab w:leader="none" w:pos="304" w:val="left"/>
        </w:tabs>
        <w:numPr>
          <w:ilvl w:val="0"/>
          <w:numId w:val="3"/>
        </w:numPr>
        <w:rPr>
          <w:rFonts w:ascii="Arial" w:cs="Arial" w:eastAsia="Arial" w:hAnsi="Arial"/>
          <w:sz w:val="15"/>
          <w:szCs w:val="15"/>
          <w:color w:val="auto"/>
        </w:rPr>
      </w:pPr>
      <w:r>
        <w:rPr>
          <w:rFonts w:ascii="Arial" w:cs="Arial" w:eastAsia="Arial" w:hAnsi="Arial"/>
          <w:sz w:val="15"/>
          <w:szCs w:val="15"/>
          <w:color w:val="auto"/>
        </w:rPr>
        <w:t>Similar to the Gremlins and other Kratos tactical drone initiatives and programs, Kratos Valkyrie progress has been significantly adversely impacted by the COVID-19 pandemic, including DoD related travel, social distancing and test, evaluation and weapon range access restrictions.</w:t>
      </w:r>
    </w:p>
    <w:p>
      <w:pPr>
        <w:spacing w:after="0" w:line="39" w:lineRule="exact"/>
        <w:rPr>
          <w:rFonts w:ascii="Arial" w:cs="Arial" w:eastAsia="Arial" w:hAnsi="Arial"/>
          <w:sz w:val="15"/>
          <w:szCs w:val="15"/>
          <w:color w:val="auto"/>
        </w:rPr>
      </w:pPr>
    </w:p>
    <w:p>
      <w:pPr>
        <w:jc w:val="both"/>
        <w:ind w:left="309" w:hanging="309"/>
        <w:spacing w:after="0" w:line="262" w:lineRule="auto"/>
        <w:tabs>
          <w:tab w:leader="none" w:pos="304"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December 2021, the Secretary of the Air Force announced that he will seek funding for at least two new classified combat drone awards in the FY 2023 Budget. The new combat drones will be designed to work in conjunction with the F-35, F-22 and B-21 manned aircraft. This disclosure by the Secretary of the Air Force is considered to be a strong indication that the Air Force is counting on autonomous weapon systems to provide an advantage against peer adversaries to the United States.</w:t>
      </w:r>
    </w:p>
    <w:p>
      <w:pPr>
        <w:spacing w:after="0" w:line="113" w:lineRule="exact"/>
        <w:rPr>
          <w:rFonts w:ascii="Arial" w:cs="Arial" w:eastAsia="Arial" w:hAnsi="Arial"/>
          <w:sz w:val="17"/>
          <w:szCs w:val="17"/>
          <w:color w:val="auto"/>
        </w:rPr>
      </w:pPr>
    </w:p>
    <w:p>
      <w:pPr>
        <w:ind w:left="309" w:right="20" w:hanging="309"/>
        <w:spacing w:after="0" w:line="242" w:lineRule="auto"/>
        <w:tabs>
          <w:tab w:leader="none" w:pos="304"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redeveloped our Air Force Subscale Aerial Target BQM-167 into what we believe to be one of the highest performance unmanned aircraft in the world, the U.S. Navy Sub-Sonic Aerial Target (“SSAT”) Drone BQM-177A, with low rate initial production awarded to Kratos in June 2017. In 2018, delivery of the first production aerial targets was made to the U.S. Navy, and achievement of Initial Operational Capability (IOC) was reported by the U.S. Navy in February 2019. In 2019, the Company was awarded a $25.4 million contract for Lot 3 of low rate initial production for 34 BQM-177A aerial targets. In 2020, the Company was awarded full rate production Lot 1 and 2 for $29.2 million and $38.7 million, for an additional 35 and 48 BQM-177A aerial targets, respectively.</w:t>
      </w:r>
    </w:p>
    <w:p>
      <w:pPr>
        <w:spacing w:after="0" w:line="209" w:lineRule="exact"/>
        <w:rPr>
          <w:rFonts w:ascii="Arial" w:cs="Arial" w:eastAsia="Arial" w:hAnsi="Arial"/>
          <w:sz w:val="17"/>
          <w:szCs w:val="17"/>
          <w:color w:val="auto"/>
        </w:rPr>
      </w:pPr>
    </w:p>
    <w:p>
      <w:pPr>
        <w:ind w:left="309" w:right="160" w:hanging="309"/>
        <w:spacing w:after="0" w:line="307" w:lineRule="auto"/>
        <w:tabs>
          <w:tab w:leader="none" w:pos="304"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2021, we were awarded a $50.9 million contract modification exercising an option to procure 65 BQM-177A aerial targets, 50 for the Navy, seven for the government of Japan, and eight for the government of Saudi Arabia, as well as associated technical and administrative data in support of full rate production lot three. To date, Kratos has been awarded production orders for 257 BQM-177A aerial targets. The SSAT program is one of the largest and most important to Kratos. Kratos is the sole source provider of the BQM-177A to the United States Navy.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64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289"/>
          </w:cols>
          <w:pgMar w:left="1251" w:top="849" w:right="359" w:bottom="1440" w:gutter="0" w:footer="0" w:header="0"/>
        </w:sectPr>
      </w:pPr>
    </w:p>
    <w:bookmarkStart w:id="9" w:name="page10"/>
    <w:bookmarkEnd w:id="9"/>
    <w:p>
      <w:pPr>
        <w:ind w:left="1240" w:hanging="309"/>
        <w:spacing w:after="0" w:line="237" w:lineRule="auto"/>
        <w:tabs>
          <w:tab w:leader="none" w:pos="1236"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2018, we received a single award $109 million maximum value three year production contract for Air Force Subscale Aerial Target BQM-167A, with $27 million being initially obligated at the time of award for 30 Lot 14 BQM-167A aerial targets and production support, and an additional $31.9 million being obligated for 35 Lot 15 BQM-167A targets in 2019, and an additional $32.0 million being obligated for 35 Lot 16 BQM-167A targets in 2020. In 2021, we received a $338 million single award for production Lots 17 – 21, out-of-warranty repairs and contractor logistics support, with $30.5 million initially obligated for Lot 17. To date, the Company has produced 508 BQM-167A targets for the U.S. Air Force. Kratos is the sole source provider of the BQM-167A to the US Air Force.</w:t>
      </w:r>
    </w:p>
    <w:p>
      <w:pPr>
        <w:spacing w:after="0" w:line="208" w:lineRule="exact"/>
        <w:rPr>
          <w:rFonts w:ascii="Arial" w:cs="Arial" w:eastAsia="Arial" w:hAnsi="Arial"/>
          <w:sz w:val="17"/>
          <w:szCs w:val="17"/>
          <w:color w:val="auto"/>
        </w:rPr>
      </w:pPr>
    </w:p>
    <w:p>
      <w:pPr>
        <w:ind w:left="1240" w:right="280" w:hanging="309"/>
        <w:spacing w:after="0" w:line="279" w:lineRule="auto"/>
        <w:tabs>
          <w:tab w:leader="none" w:pos="1236"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2018, we received a ten-year, sole source, single award framework contract from QinetiQ UK for Kratos’ MQM-178 Firejet aerial targets, spares, ground support equipment, technical services, and training.</w:t>
      </w:r>
    </w:p>
    <w:p>
      <w:pPr>
        <w:spacing w:after="0" w:line="99" w:lineRule="exact"/>
        <w:rPr>
          <w:rFonts w:ascii="Arial" w:cs="Arial" w:eastAsia="Arial" w:hAnsi="Arial"/>
          <w:sz w:val="17"/>
          <w:szCs w:val="17"/>
          <w:color w:val="auto"/>
        </w:rPr>
      </w:pPr>
    </w:p>
    <w:p>
      <w:pPr>
        <w:ind w:left="1240" w:right="580" w:hanging="309"/>
        <w:spacing w:after="0" w:line="279" w:lineRule="auto"/>
        <w:tabs>
          <w:tab w:leader="none" w:pos="1236"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2018, we were awarded a prime contract with the United States Army, for the Aerial Target Systems 2 (ATS-2), Multiple Award IDIQ Contract with a ceiling value of $93.3 million, and a five year period of performance.</w:t>
      </w:r>
    </w:p>
    <w:p>
      <w:pPr>
        <w:spacing w:after="0" w:line="86" w:lineRule="exact"/>
        <w:rPr>
          <w:rFonts w:ascii="Arial" w:cs="Arial" w:eastAsia="Arial" w:hAnsi="Arial"/>
          <w:sz w:val="17"/>
          <w:szCs w:val="17"/>
          <w:color w:val="auto"/>
        </w:rPr>
      </w:pPr>
    </w:p>
    <w:p>
      <w:pPr>
        <w:jc w:val="both"/>
        <w:ind w:left="1240" w:hanging="309"/>
        <w:spacing w:after="0" w:line="262" w:lineRule="auto"/>
        <w:tabs>
          <w:tab w:leader="none" w:pos="1236"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2018, we received a sole source, single award multi-year IDIQ contract from the Swedish Defence Materiel Administration for our MQM-178 Firejet aerial target aircraft and associated ground support equipment, spares, payloads, components, expendables and support services. The first order under the three-year IDIQ contract was received in the first half of 2019. Additionally, there are two three-year exercisable option periods for a total potential contract performance term of nine years.</w:t>
      </w:r>
    </w:p>
    <w:p>
      <w:pPr>
        <w:spacing w:after="0" w:line="113" w:lineRule="exact"/>
        <w:rPr>
          <w:rFonts w:ascii="Arial" w:cs="Arial" w:eastAsia="Arial" w:hAnsi="Arial"/>
          <w:sz w:val="17"/>
          <w:szCs w:val="17"/>
          <w:color w:val="auto"/>
        </w:rPr>
      </w:pPr>
    </w:p>
    <w:p>
      <w:pPr>
        <w:ind w:left="1240" w:hanging="3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2019, Kratos produced its first MQM-178 Firejet target drones at its new production facility in Oklahoma City.</w:t>
      </w:r>
    </w:p>
    <w:p>
      <w:pPr>
        <w:spacing w:after="0" w:line="152" w:lineRule="exact"/>
        <w:rPr>
          <w:rFonts w:ascii="Arial" w:cs="Arial" w:eastAsia="Arial" w:hAnsi="Arial"/>
          <w:sz w:val="17"/>
          <w:szCs w:val="17"/>
          <w:color w:val="auto"/>
        </w:rPr>
      </w:pPr>
    </w:p>
    <w:p>
      <w:pPr>
        <w:ind w:left="1240" w:right="60" w:hanging="309"/>
        <w:spacing w:after="0" w:line="262" w:lineRule="auto"/>
        <w:tabs>
          <w:tab w:leader="none" w:pos="1236"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2021, Kratos’ Air Wolf tactical drone system completed a 100 percent successful flight at the recently approved Burns Flat, Oklahoma range facility. The Kratos Air Wolf mission, which was the inaugural flight at the Burns Flat location, included multiple new payloads carried by the Air Wolf drone, including a proprietary Kratos artificial intelligence/autonomy system, which has been deployed by Kratos specifically for high performance, jet drone aircraft.</w:t>
      </w:r>
    </w:p>
    <w:p>
      <w:pPr>
        <w:spacing w:after="0" w:line="100" w:lineRule="exact"/>
        <w:rPr>
          <w:rFonts w:ascii="Arial" w:cs="Arial" w:eastAsia="Arial" w:hAnsi="Arial"/>
          <w:sz w:val="17"/>
          <w:szCs w:val="17"/>
          <w:color w:val="auto"/>
        </w:rPr>
      </w:pPr>
    </w:p>
    <w:p>
      <w:pPr>
        <w:ind w:left="1240" w:right="180" w:hanging="309"/>
        <w:spacing w:after="0" w:line="266" w:lineRule="auto"/>
        <w:tabs>
          <w:tab w:leader="none" w:pos="1236"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April 2021, Micro Systems, Inc., Kratos’ wholly owned subsidiary, received an $85.9 million contract award, with a $60.7 million base and two options totaling approximately $25.3 million, from the U.S. Army to support the Army Ground Aerial Target Control System, including software updating, cyber security inspections and installation of replacement parts.</w:t>
      </w:r>
    </w:p>
    <w:p>
      <w:pPr>
        <w:spacing w:after="0" w:line="110" w:lineRule="exact"/>
        <w:rPr>
          <w:rFonts w:ascii="Arial" w:cs="Arial" w:eastAsia="Arial" w:hAnsi="Arial"/>
          <w:sz w:val="17"/>
          <w:szCs w:val="17"/>
          <w:color w:val="auto"/>
        </w:rPr>
      </w:pPr>
    </w:p>
    <w:p>
      <w:pPr>
        <w:ind w:left="1240" w:right="60" w:hanging="309"/>
        <w:spacing w:after="0" w:line="283" w:lineRule="auto"/>
        <w:tabs>
          <w:tab w:leader="none" w:pos="1236"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October 2021, Kratos was awarded a $17.6 million contract to design and develop an Off Board Sensing Station (“OBSS”) Unmanned Aerial System in support of the AFRL’s Autonomous Collaborative Platforms (ACP) technology maturation portfolio. General Atomics was also awarded a Phase 1 OBSS contract. Phase 1 of the OBSS program includes an option subsequent 15-month Manufacture and Demonstration period. With the base and option awards, the total contract value to Kratos would be $49 million.</w:t>
      </w:r>
    </w:p>
    <w:p>
      <w:pPr>
        <w:spacing w:after="0" w:line="99" w:lineRule="exact"/>
        <w:rPr>
          <w:sz w:val="20"/>
          <w:szCs w:val="20"/>
          <w:color w:val="auto"/>
        </w:rPr>
      </w:pPr>
    </w:p>
    <w:p>
      <w:pPr>
        <w:ind w:right="140" w:firstLine="541"/>
        <w:spacing w:after="0" w:line="260" w:lineRule="auto"/>
        <w:rPr>
          <w:sz w:val="20"/>
          <w:szCs w:val="20"/>
          <w:color w:val="auto"/>
        </w:rPr>
      </w:pPr>
      <w:r>
        <w:rPr>
          <w:rFonts w:ascii="Arial" w:cs="Arial" w:eastAsia="Arial" w:hAnsi="Arial"/>
          <w:sz w:val="16"/>
          <w:szCs w:val="16"/>
          <w:color w:val="auto"/>
        </w:rPr>
        <w:t>Kratos is currently under customer contract and working on a number of customer funded tactical UAV contracts and programs, and is producing 12 Valkyrie drones systems, certain of which are pursuant to funded government contracts with the others currently being produced with Kratos funds in advance of customer contracts. The December 2021 announcement by the Secretary of Defense that he will be requesting two new, additional classified tactical drone programs in the FY 2023 DoD budget request indicates the continued commitment by the Air Force to autonomous, unmanned systems. We believe that the Company is well-positioned to address the US Air Force’s requirements if it decides to move forward in procuring numbers of unmanned combat tactical drone systems, which may include drone systems currently under contract, in development, or flying by Kratos, and/or other future systems.</w:t>
      </w:r>
    </w:p>
    <w:p>
      <w:pPr>
        <w:spacing w:after="0" w:line="196" w:lineRule="exact"/>
        <w:rPr>
          <w:sz w:val="20"/>
          <w:szCs w:val="20"/>
          <w:color w:val="auto"/>
        </w:rPr>
      </w:pPr>
    </w:p>
    <w:p>
      <w:pPr>
        <w:ind w:right="20" w:firstLine="541"/>
        <w:spacing w:after="0" w:line="274" w:lineRule="auto"/>
        <w:rPr>
          <w:sz w:val="20"/>
          <w:szCs w:val="20"/>
          <w:color w:val="auto"/>
        </w:rPr>
      </w:pPr>
      <w:r>
        <w:rPr>
          <w:rFonts w:ascii="Arial" w:cs="Arial" w:eastAsia="Arial" w:hAnsi="Arial"/>
          <w:sz w:val="15"/>
          <w:szCs w:val="15"/>
          <w:color w:val="auto"/>
        </w:rPr>
        <w:t>We believe that our internally developed and owned intellectual property allows us to rapidly provide more capable jet powered, unmanned aircraft, designed to fly in A2/AD environments and with performance capabilities equal to or greater than fourth generation manned jet fighter aircraft, at an affordable cost. Kratos’ tactical UAS provide force multiplication and augmentation for manned high-performance fighter aircraft. We believe that there are very few high-performance UAS that are affordable and as advanced as our technologies addressing the A2/AD environment, which the DoD has identified as a U.S. capabilities gap. As such, consistent with the needs and requirements of the U.S. and allied militaries, we believe that our leadership in these types of high-performance unmanned aircraft provides us with a future market opportunity of these types of low-cost, high-performance systems. The DoD has stated that they intend to field a family of new next generation drone aircraft, including UCAVs that can successfully perform their mission in highly contested, A2/AD environments. This</w:t>
      </w:r>
    </w:p>
    <w:p>
      <w:pPr>
        <w:spacing w:after="0" w:line="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“family” of drones includes disposable, reusable, attritable and exquisite types of UCAS. Kratos has four drones in the disposable, reusable and attritable class flying today that we can publicly disclose, i.e., Air Wolf, Mako, Gremlins and Valkyrie.</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49" w:right="379" w:bottom="1440" w:gutter="0" w:footer="0" w:header="0"/>
        </w:sectPr>
      </w:pPr>
    </w:p>
    <w:bookmarkStart w:id="10" w:name="page11"/>
    <w:bookmarkEnd w:id="10"/>
    <w:p>
      <w:pPr>
        <w:ind w:firstLine="541"/>
        <w:spacing w:after="0" w:line="257" w:lineRule="auto"/>
        <w:rPr>
          <w:sz w:val="20"/>
          <w:szCs w:val="20"/>
          <w:color w:val="auto"/>
        </w:rPr>
      </w:pPr>
      <w:r>
        <w:rPr>
          <w:rFonts w:ascii="Arial" w:cs="Arial" w:eastAsia="Arial" w:hAnsi="Arial"/>
          <w:sz w:val="16"/>
          <w:szCs w:val="16"/>
          <w:color w:val="auto"/>
        </w:rPr>
        <w:t>Kratos is also an industry leader in ground-based command, control and communications systems for satellites, and a leader in related radio frequency interference identification, geolocation and mitigation, or Space Situational Awareness (SSA). Our primary customers include the U.S. Air Force, Space Command and other agencies. Our new OpenSpace™ products and technology is a new approach to enable dynamic ground system operations to turn hardware to software that can react rapidly, dynamically and affordably to changing conditions in the satellite industry. Our microwave electronics business products have designed-in positions on critical combat system programs, including Barak, Gripen, Iron Dome, Sling of David, F-15, F-16, Gripen, Arrow and other programs, including space and satellite programs. Our advanced capabilities in the training systems and solutions market, including mixed, virtual and synthetic reality technology for aircraft, combat and other vehicles, have allowed us to successfully remain at the forefront of defense industry readiness initiatives. We believe our strategy of internally funding the research and development of many of our systems, products, solutions and capabilities will continue to solidify our position in high growth markets, such as high performance UADS, satellite communications, microwave electronics and training systems, and allow us to grow, over the long-term, at a rate greater than that of the industry.</w:t>
      </w:r>
    </w:p>
    <w:p>
      <w:pPr>
        <w:spacing w:after="0" w:line="196" w:lineRule="exact"/>
        <w:rPr>
          <w:sz w:val="20"/>
          <w:szCs w:val="20"/>
          <w:color w:val="auto"/>
        </w:rPr>
      </w:pPr>
    </w:p>
    <w:p>
      <w:pPr>
        <w:ind w:firstLine="619"/>
        <w:spacing w:after="0" w:line="302" w:lineRule="auto"/>
        <w:rPr>
          <w:sz w:val="20"/>
          <w:szCs w:val="20"/>
          <w:color w:val="auto"/>
        </w:rPr>
      </w:pPr>
      <w:r>
        <w:rPr>
          <w:rFonts w:ascii="Arial" w:cs="Arial" w:eastAsia="Arial" w:hAnsi="Arial"/>
          <w:sz w:val="15"/>
          <w:szCs w:val="15"/>
          <w:i w:val="1"/>
          <w:iCs w:val="1"/>
          <w:color w:val="auto"/>
        </w:rPr>
        <w:t xml:space="preserve">Diverse base of key contracts with low concentration. </w:t>
      </w:r>
      <w:r>
        <w:rPr>
          <w:rFonts w:ascii="Arial" w:cs="Arial" w:eastAsia="Arial" w:hAnsi="Arial"/>
          <w:sz w:val="15"/>
          <w:szCs w:val="15"/>
          <w:color w:val="auto"/>
        </w:rPr>
        <w:t>Many of our contracts are single-award and/or sole source in nature, where we are the only awardee</w:t>
      </w:r>
      <w:r>
        <w:rPr>
          <w:rFonts w:ascii="Arial" w:cs="Arial" w:eastAsia="Arial" w:hAnsi="Arial"/>
          <w:sz w:val="15"/>
          <w:szCs w:val="15"/>
          <w:i w:val="1"/>
          <w:iCs w:val="1"/>
          <w:color w:val="auto"/>
        </w:rPr>
        <w:t xml:space="preserve"> </w:t>
      </w:r>
      <w:r>
        <w:rPr>
          <w:rFonts w:ascii="Arial" w:cs="Arial" w:eastAsia="Arial" w:hAnsi="Arial"/>
          <w:sz w:val="15"/>
          <w:szCs w:val="15"/>
          <w:color w:val="auto"/>
        </w:rPr>
        <w:t>by the customer. In many cases, our ability to obtain single award, sole source contracts is due to our intellectual property, proprietary products, historical performance qualifications, relative experience and affordability. Additionally, as a result of our business development focus on securing key contracts, we are also a preferred contractor on numerous multi-year, government-wide acquisition contracts (“GWACs”) and multiple award contracts. Our preferred contractor status provides us with the opportunity to bid on billions of dollars of business each year against a discrete number of other pre-qualified companies.</w:t>
      </w:r>
    </w:p>
    <w:p>
      <w:pPr>
        <w:spacing w:after="0" w:line="152" w:lineRule="exact"/>
        <w:rPr>
          <w:sz w:val="20"/>
          <w:szCs w:val="20"/>
          <w:color w:val="auto"/>
        </w:rPr>
      </w:pPr>
    </w:p>
    <w:p>
      <w:pPr>
        <w:ind w:right="320" w:firstLine="619"/>
        <w:spacing w:after="0" w:line="262" w:lineRule="auto"/>
        <w:rPr>
          <w:sz w:val="20"/>
          <w:szCs w:val="20"/>
          <w:color w:val="auto"/>
        </w:rPr>
      </w:pPr>
      <w:r>
        <w:rPr>
          <w:rFonts w:ascii="Arial" w:cs="Arial" w:eastAsia="Arial" w:hAnsi="Arial"/>
          <w:sz w:val="17"/>
          <w:szCs w:val="17"/>
          <w:color w:val="auto"/>
        </w:rPr>
        <w:t>We have a highly diverse base of customers and contracts with no contract representing more than 6% of 2021 revenue. Our fixed-price contracts, the majority of which are production contracts, represent approximately 74% of our 2021 revenue. Our cost-plus-fee contracts and time and materials contracts represent approximately 21% and 5%, respectively, of our 2021 revenue. We believe our diverse base of key contracts and low reliance on any one contract provides us with a stable, balanced revenue stream.</w:t>
      </w:r>
    </w:p>
    <w:p>
      <w:pPr>
        <w:spacing w:after="0" w:line="178"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Our recent major contract awards include a $50.9 million contract modification to exercise an option to procure 65 BQM-177A Subsonic Aerial Targets, a $17.6 million contract to design and develop an OBSS UAS in support of the AFRL’s Autonomous Collaborative Platforms technology maturation portfolio, a $338.0 million contract for BQM-167A AFSAT targets Lots 17 – 21 production, with $30.5 million initially funded for Lot 17, an $85.9 million contract award including a $60.7 million base and two options totaling approximately $25.3 million from the U.S. Army to support the Army Ground Aerial Target Control System, multiple awards totaling more than $46 million to support Space Domain Awareness, more than $30 million in awards to support space-related U.S. national security efforts and a $55 million single award IDIQ C5ISR product related contract from a National Security customer.</w:t>
      </w:r>
    </w:p>
    <w:p>
      <w:pPr>
        <w:spacing w:after="0" w:line="170"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i w:val="1"/>
          <w:iCs w:val="1"/>
          <w:color w:val="auto"/>
        </w:rPr>
        <w:t xml:space="preserve">Significant cash flow visibility driven by stable backlog. </w:t>
      </w:r>
      <w:r>
        <w:rPr>
          <w:rFonts w:ascii="Arial" w:cs="Arial" w:eastAsia="Arial" w:hAnsi="Arial"/>
          <w:sz w:val="16"/>
          <w:szCs w:val="16"/>
          <w:color w:val="auto"/>
        </w:rPr>
        <w:t>As of December 26, 2021 and December 27, 2020, our total backlog (see Backlog below) was</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$953.9 million and $922.2 million respectively, of which approximately $653.7 million was funded in 2021 and $643.3 million was funded in 2020. The majority of our sales are from awards issued under long-term contracts, typically three to five years in duration. Our contract backlog provides visibility into stable future revenue and cash flow over a diverse set of contracts. Importantly, a number of our systems and products are designed-in and support long term, multi-year/multi-decade programs, which provides significant operational and financial visibility to our Company.</w:t>
      </w:r>
    </w:p>
    <w:p>
      <w:pPr>
        <w:spacing w:after="0" w:line="165" w:lineRule="exact"/>
        <w:rPr>
          <w:sz w:val="20"/>
          <w:szCs w:val="20"/>
          <w:color w:val="auto"/>
        </w:rPr>
      </w:pPr>
    </w:p>
    <w:p>
      <w:pPr>
        <w:ind w:right="80" w:firstLine="619"/>
        <w:spacing w:after="0" w:line="277" w:lineRule="auto"/>
        <w:rPr>
          <w:sz w:val="20"/>
          <w:szCs w:val="20"/>
          <w:color w:val="auto"/>
        </w:rPr>
      </w:pPr>
      <w:r>
        <w:rPr>
          <w:rFonts w:ascii="Arial" w:cs="Arial" w:eastAsia="Arial" w:hAnsi="Arial"/>
          <w:sz w:val="16"/>
          <w:szCs w:val="16"/>
          <w:i w:val="1"/>
          <w:iCs w:val="1"/>
          <w:color w:val="auto"/>
        </w:rPr>
        <w:t xml:space="preserve">Highly skilled employees and an experienced management team. </w:t>
      </w:r>
      <w:r>
        <w:rPr>
          <w:rFonts w:ascii="Arial" w:cs="Arial" w:eastAsia="Arial" w:hAnsi="Arial"/>
          <w:sz w:val="16"/>
          <w:szCs w:val="16"/>
          <w:color w:val="auto"/>
        </w:rPr>
        <w:t>We deliver our systems, products and services through a skilled and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and technically oriented workforce of approximately 3,300 employees. Our senior managers have significant experience with U.S. Government agencies, the U.S. military and U.S. Government contractors. A significant number of Kratos employees hold national security clearances. Members of our management team have experience growing businesses both organically and through acquisitions and delivering significant value to stakeholders. We believe that the cumulative experience and differentiated expertise of our personnel in our core focus areas, coupled with our sizable and technically oriented employee base, allow us to qualify for and bid on larger programs and contracts in a prime contracting role.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59" w:lineRule="exact"/>
        <w:rPr>
          <w:sz w:val="20"/>
          <w:szCs w:val="20"/>
          <w:color w:val="auto"/>
        </w:rPr>
      </w:pPr>
    </w:p>
    <w:p>
      <w:pPr>
        <w:ind w:right="60" w:firstLine="619"/>
        <w:spacing w:after="0" w:line="266" w:lineRule="auto"/>
        <w:rPr>
          <w:sz w:val="20"/>
          <w:szCs w:val="20"/>
          <w:color w:val="auto"/>
        </w:rPr>
      </w:pPr>
      <w:r>
        <w:rPr>
          <w:rFonts w:ascii="Arial" w:cs="Arial" w:eastAsia="Arial" w:hAnsi="Arial"/>
          <w:sz w:val="16"/>
          <w:szCs w:val="16"/>
          <w:color w:val="auto"/>
        </w:rPr>
        <w:t>Our strategy is to focus on our core business areas, including unmanned systems, space and satellite communications, cybersecurity, microwave electronics, missile defense and hypersonic systems, turbine technologies, training systems and C5ISR systems, which are closely aligned with the DoD’s mission and funding priorities. We will continue to invest in differentiating systems, products, technology and intellectual property. We intend to be the leader in rapidly developing, demonstrating and delivering to the warfighter proven leading technology systems, at an affordable cost.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4" w:right="35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Internal Growth</w:t>
      </w:r>
    </w:p>
    <w:p>
      <w:pPr>
        <w:spacing w:after="0" w:line="159" w:lineRule="exact"/>
        <w:rPr>
          <w:sz w:val="20"/>
          <w:szCs w:val="20"/>
          <w:color w:val="auto"/>
        </w:rPr>
      </w:pPr>
    </w:p>
    <w:p>
      <w:pPr>
        <w:ind w:right="220" w:firstLine="619"/>
        <w:spacing w:after="0" w:line="266" w:lineRule="auto"/>
        <w:rPr>
          <w:sz w:val="20"/>
          <w:szCs w:val="20"/>
          <w:color w:val="auto"/>
        </w:rPr>
      </w:pPr>
      <w:r>
        <w:rPr>
          <w:rFonts w:ascii="Arial" w:cs="Arial" w:eastAsia="Arial" w:hAnsi="Arial"/>
          <w:sz w:val="16"/>
          <w:szCs w:val="16"/>
          <w:color w:val="auto"/>
        </w:rPr>
        <w:t>We are focused on generating internal growth by capitalizing on our ability to rapidly develop, demonstrate and field leading technology systems and products at an affordable cost. We will make targeted discretionary investments in mission critical DoD priority areas, including unmanned systems, space and satellite communications, cybersecurity, microwave electronics, missile defense, turbine technologies, and training systems, which have the highest potential for growth based on recent DoD funding requests, and in which we will retain the intellectual property rights.</w:t>
      </w:r>
    </w:p>
    <w:p>
      <w:pPr>
        <w:spacing w:after="0" w:line="190"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i w:val="1"/>
          <w:iCs w:val="1"/>
          <w:color w:val="auto"/>
        </w:rPr>
        <w:t xml:space="preserve">Expand technology product, solution and service offerings provided to existing customers. </w:t>
      </w:r>
      <w:r>
        <w:rPr>
          <w:rFonts w:ascii="Arial" w:cs="Arial" w:eastAsia="Arial" w:hAnsi="Arial"/>
          <w:sz w:val="17"/>
          <w:szCs w:val="17"/>
          <w:color w:val="auto"/>
        </w:rPr>
        <w:t>We are focused on expanding the technology,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and solutions we provide to our current customers by leveraging our strong relationships, technical capabilities, intellectual property and past performance qualifications as well as by offering a wider range of comprehensive low-cost technology leading and proven products and solutions. In regard to areas of specialization, our product and solution offerings include the manufacturing of specialized defense electronics; integrated technology solutions for satellite command, control and communications; specialized high performance UADS and drone aircraft for tactical and threat representation target purposes; and Unmanned Ground Systems (“UGS”) and Unmanned Seaborne Systems. We believe our understanding of customer needs, missions, requirements and processes, and our ability to rapidly deliver low cost, technology leading systems, products and solutions, position us well for success in the current national security environment.</w:t>
      </w:r>
    </w:p>
    <w:p>
      <w:pPr>
        <w:spacing w:after="0" w:line="105" w:lineRule="exact"/>
        <w:rPr>
          <w:sz w:val="20"/>
          <w:szCs w:val="20"/>
          <w:color w:val="auto"/>
        </w:rPr>
      </w:pPr>
    </w:p>
    <w:p>
      <w:pPr>
        <w:ind w:right="40" w:firstLine="619"/>
        <w:spacing w:after="0" w:line="299" w:lineRule="auto"/>
        <w:rPr>
          <w:sz w:val="20"/>
          <w:szCs w:val="20"/>
          <w:color w:val="auto"/>
        </w:rPr>
      </w:pPr>
      <w:r>
        <w:rPr>
          <w:rFonts w:ascii="Arial" w:cs="Arial" w:eastAsia="Arial" w:hAnsi="Arial"/>
          <w:sz w:val="15"/>
          <w:szCs w:val="15"/>
          <w:i w:val="1"/>
          <w:iCs w:val="1"/>
          <w:color w:val="auto"/>
        </w:rPr>
        <w:t xml:space="preserve">Capitalize on current contract base. </w:t>
      </w:r>
      <w:r>
        <w:rPr>
          <w:rFonts w:ascii="Arial" w:cs="Arial" w:eastAsia="Arial" w:hAnsi="Arial"/>
          <w:sz w:val="15"/>
          <w:szCs w:val="15"/>
          <w:color w:val="auto"/>
        </w:rPr>
        <w:t>We are pursuing new program and contract opportunities and awards as we build the business with our expanding</w:t>
      </w:r>
      <w:r>
        <w:rPr>
          <w:rFonts w:ascii="Arial" w:cs="Arial" w:eastAsia="Arial" w:hAnsi="Arial"/>
          <w:sz w:val="15"/>
          <w:szCs w:val="15"/>
          <w:i w:val="1"/>
          <w:iCs w:val="1"/>
          <w:color w:val="auto"/>
        </w:rPr>
        <w:t xml:space="preserve"> </w:t>
      </w:r>
      <w:r>
        <w:rPr>
          <w:rFonts w:ascii="Arial" w:cs="Arial" w:eastAsia="Arial" w:hAnsi="Arial"/>
          <w:sz w:val="15"/>
          <w:szCs w:val="15"/>
          <w:color w:val="auto"/>
        </w:rPr>
        <w:t>technology base, intellectual property ownership, contract portfolio, and product, solution and service offerings. We are also aggressively pursuing several national security priority areas, including high performance UADS, satellite communications command, control, communication and signal monitoring products (SSA), microwave electronics for missiles, radars, electronic warfare and communications, cybersecurity solutions, specialized training systems, autonomy and artificial intelligence systems, robotics, directed energy systems, hypersonic systems, electromagnetic rail gun systems and next generation ballistic missile targets. We are also assessing new tactical program areas and platforms to pursue that are consistent with our core capabilities, technology and intellectual property.</w:t>
      </w:r>
    </w:p>
    <w:p>
      <w:pPr>
        <w:spacing w:after="0" w:line="90"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i w:val="1"/>
          <w:iCs w:val="1"/>
          <w:color w:val="auto"/>
        </w:rPr>
        <w:t xml:space="preserve">Expand customer and contract base. </w:t>
      </w:r>
      <w:r>
        <w:rPr>
          <w:rFonts w:ascii="Arial" w:cs="Arial" w:eastAsia="Arial" w:hAnsi="Arial"/>
          <w:sz w:val="17"/>
          <w:szCs w:val="17"/>
          <w:color w:val="auto"/>
        </w:rPr>
        <w:t>We are focused on expanding our customer base into areas with significant growth opportunities as indicated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FY 2021 spending bill and the 2018 and 2020 National Defense Strategy documents, by leveraging our technology, intellectual property, proprietary products, capabilities, industry reputation, long-term customer relationships and diverse contract base. We also believe that our ability to rapidly develop, demonstrate and field high technology systems and products at an affordable cost is a clear competitive differentiator for our Company. We anticipate that this overall expansion in our capabilities will enable us both to pursue larger program opportunities, higher value work and to further diversify our revenue base across additional U.S. Government, international and commercial customers.</w:t>
      </w:r>
    </w:p>
    <w:p>
      <w:pPr>
        <w:spacing w:after="0" w:line="119" w:lineRule="exact"/>
        <w:rPr>
          <w:sz w:val="20"/>
          <w:szCs w:val="20"/>
          <w:color w:val="auto"/>
        </w:rPr>
      </w:pPr>
    </w:p>
    <w:p>
      <w:pPr>
        <w:ind w:right="40" w:firstLine="619"/>
        <w:spacing w:after="0" w:line="273" w:lineRule="auto"/>
        <w:rPr>
          <w:sz w:val="20"/>
          <w:szCs w:val="20"/>
          <w:color w:val="auto"/>
        </w:rPr>
      </w:pPr>
      <w:r>
        <w:rPr>
          <w:rFonts w:ascii="Arial" w:cs="Arial" w:eastAsia="Arial" w:hAnsi="Arial"/>
          <w:sz w:val="16"/>
          <w:szCs w:val="16"/>
          <w:i w:val="1"/>
          <w:iCs w:val="1"/>
          <w:color w:val="auto"/>
        </w:rPr>
        <w:t xml:space="preserve">Improve operating margins. </w:t>
      </w:r>
      <w:r>
        <w:rPr>
          <w:rFonts w:ascii="Arial" w:cs="Arial" w:eastAsia="Arial" w:hAnsi="Arial"/>
          <w:sz w:val="16"/>
          <w:szCs w:val="16"/>
          <w:color w:val="auto"/>
        </w:rPr>
        <w:t>We believe that we have opportunities to increase our operating margins and improve profitability in the future by</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on our corporate infrastructure investments as our business grows, production of our products and systems increases and related revenues increase. We are proactively focused on continuously improving efficiencies, reducing costs, and concentrating our efforts on operational excellence.</w:t>
      </w:r>
    </w:p>
    <w:p>
      <w:pPr>
        <w:spacing w:after="0" w:line="184" w:lineRule="exact"/>
        <w:rPr>
          <w:sz w:val="20"/>
          <w:szCs w:val="20"/>
          <w:color w:val="auto"/>
        </w:rPr>
      </w:pPr>
    </w:p>
    <w:p>
      <w:pPr>
        <w:ind w:firstLine="619"/>
        <w:spacing w:after="0" w:line="258" w:lineRule="auto"/>
        <w:rPr>
          <w:sz w:val="20"/>
          <w:szCs w:val="20"/>
          <w:color w:val="auto"/>
        </w:rPr>
      </w:pPr>
      <w:r>
        <w:rPr>
          <w:rFonts w:ascii="Arial" w:cs="Arial" w:eastAsia="Arial" w:hAnsi="Arial"/>
          <w:sz w:val="16"/>
          <w:szCs w:val="16"/>
          <w:i w:val="1"/>
          <w:iCs w:val="1"/>
          <w:color w:val="auto"/>
        </w:rPr>
        <w:t xml:space="preserve">Invest in strategic growth areas. </w:t>
      </w:r>
      <w:r>
        <w:rPr>
          <w:rFonts w:ascii="Arial" w:cs="Arial" w:eastAsia="Arial" w:hAnsi="Arial"/>
          <w:sz w:val="16"/>
          <w:szCs w:val="16"/>
          <w:color w:val="auto"/>
        </w:rPr>
        <w:t>Over the past several years, we have made significant internally funded investments in strategic growth areas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unmanned tactical aircraft drone systems. Specifically, we have increased internally funded research and development, capital expenditures, non-recurring engineering expenditures, and infrastructure investments, including executive management, bid, proposal and new business capture, pursuit and related expenses. We have made these investments with the intention of developing, demonstrating, fielding and bringing to production high performance jet powered unmanned aerial combat systems. These investments also allow us to retain the intellectual property rights, design and data packages for these platforms and systems, and to ultimately secure sole source production positions in these strategic growth areas. Specifically, since 2012, we have invested over $170 million in our UAS through internally funded research, development and contract design retrofit costs for new platforms under development and capital expenditures for aircraft and related equipment related to this strategic growth area.</w:t>
      </w:r>
    </w:p>
    <w:p>
      <w:pPr>
        <w:spacing w:after="0" w:line="197" w:lineRule="exact"/>
        <w:rPr>
          <w:sz w:val="20"/>
          <w:szCs w:val="20"/>
          <w:color w:val="auto"/>
        </w:rPr>
      </w:pPr>
    </w:p>
    <w:p>
      <w:pPr>
        <w:ind w:left="940" w:right="20" w:hanging="318"/>
        <w:spacing w:after="0" w:line="276" w:lineRule="auto"/>
        <w:tabs>
          <w:tab w:leader="none" w:pos="85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invested in internally funded research, development and capital expenditures to build our own UTAP-22 (Mako) UAS from 2012 to 2015, and demonstrated the capabilities of the UTAP-22 Mako in a flight demonstration in the fall of 2015 where Kratos Mako drones flew as an unmanned wingman to manned tactical fighter jet aircraft. As a result of these successful flights and capabilities demonstrations, we were awarded an initial $12.6 million prime contract from the DIUx for sensor integration and flight demonstration of our UTAP-22 Mako unmanned aerial system the following year. Under this effort, we integrated certain sensors into our UTAP-22 Mako and participated in a large, complex flight exercise in 2017. As a result of our development and demonstration of the Mako, we have been awarded several tactical and developmental awards, including an initial $17.6 million contract award in October 2019 for jet drone research, development and initial production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2" w:name="page13"/>
    <w:bookmarkEnd w:id="12"/>
    <w:p>
      <w:pPr>
        <w:ind w:left="940" w:right="140"/>
        <w:spacing w:after="0" w:line="279" w:lineRule="auto"/>
        <w:rPr>
          <w:sz w:val="20"/>
          <w:szCs w:val="20"/>
          <w:color w:val="auto"/>
        </w:rPr>
      </w:pPr>
      <w:r>
        <w:rPr>
          <w:rFonts w:ascii="Arial" w:cs="Arial" w:eastAsia="Arial" w:hAnsi="Arial"/>
          <w:sz w:val="17"/>
          <w:szCs w:val="17"/>
          <w:color w:val="auto"/>
        </w:rPr>
        <w:t>efforts, with the scope of work and related funds under this program expected to increase as execution and performance milestones are successfully achieved.</w:t>
      </w:r>
    </w:p>
    <w:p>
      <w:pPr>
        <w:spacing w:after="0" w:line="87" w:lineRule="exact"/>
        <w:rPr>
          <w:sz w:val="20"/>
          <w:szCs w:val="20"/>
          <w:color w:val="auto"/>
        </w:rPr>
      </w:pPr>
    </w:p>
    <w:p>
      <w:pPr>
        <w:ind w:left="940" w:right="20" w:hanging="318"/>
        <w:spacing w:after="0" w:line="260" w:lineRule="auto"/>
        <w:tabs>
          <w:tab w:leader="none" w:pos="936"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received a $40.8 million single award, cost-share contract from the AFRL for the LCASD. Under the LCASD contract award, we designed, developed, delivered, demonstrated and tested a technical baseline for a high-speed long-range, low-cost limited life-strike UAS. For our investment, we retained hard (including two LCASD aircraft) and other assets, and important intellectual property, software, data, platform and system rights, which we believe will be critically important and valuable over the expected long-term life of this platform, including with respect to future production opportunities. During 2019, the Company announced that the Kratos/AFRL team successfully completed three flights for the Valkyrie, or the XQ-58A. In January 2020, the Company completed its fourth demonstration flight, including the successful deployment of its parachutes, and landed normally, validating the design changes incorporated for the test flight airbag system following the third flight in 2019. In March 2021, the Kratos/AFRL team successfully completed the XQ-58A Valkyrie’s sixth test/demonstration flight and first release from its internal weapons bay.</w:t>
      </w:r>
    </w:p>
    <w:p>
      <w:pPr>
        <w:spacing w:after="0" w:line="193" w:lineRule="exact"/>
        <w:rPr>
          <w:rFonts w:ascii="Arial" w:cs="Arial" w:eastAsia="Arial" w:hAnsi="Arial"/>
          <w:sz w:val="15"/>
          <w:szCs w:val="15"/>
          <w:color w:val="auto"/>
        </w:rPr>
      </w:pPr>
    </w:p>
    <w:p>
      <w:pPr>
        <w:ind w:left="940" w:right="100" w:hanging="318"/>
        <w:spacing w:after="0" w:line="276" w:lineRule="auto"/>
        <w:tabs>
          <w:tab w:leader="none" w:pos="936"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July 2020, we were awarded a five-year IDIQ contract valued at up to $400 million for the development, integration, and prototype air vehicle delivery in support of the Air Force’s Skyborg program. In December 2020, Kratos was awarded a $37.7 million contract from the AFLCMC/WA Advanced Aircraft Program Executive Office for the Skyborg Delivery Order 2 to integrate, test and deliver XQ-58A Valkyrie aircraft. The contract includes three phases of design, integration, and flight testing of the XQ-58A Valkyrie system, integrating multiple customer-defined mission payloads and customer-defined autonomy in coordination/cooperation with the Skyborg System Design Agent, Leidos. Kratos has been working in partnership with Leidos’ Dynetics on the Gremlins Program. In addition, in December 2020 we received a $17.8 million award from the AFRL for work in support of the government’s LCAAT efforts, including as related to the XQ-58A Valkyrie.</w:t>
      </w:r>
    </w:p>
    <w:p>
      <w:pPr>
        <w:spacing w:after="0" w:line="91" w:lineRule="exact"/>
        <w:rPr>
          <w:rFonts w:ascii="Arial" w:cs="Arial" w:eastAsia="Arial" w:hAnsi="Arial"/>
          <w:sz w:val="16"/>
          <w:szCs w:val="16"/>
          <w:color w:val="auto"/>
        </w:rPr>
      </w:pPr>
    </w:p>
    <w:p>
      <w:pPr>
        <w:ind w:left="940" w:hanging="318"/>
        <w:spacing w:after="0" w:line="266"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December 2020, the Kratos Valkyrie UAS AttritableONE completed a successful demonstration flight enabling the F-22 and F-35 5th generation fighters to fly in formation together in a test led by an integrated ABMS acquisition team comprised of AFRL and Air Force Life Cycle Management Center personnel, in conjunction with Eglin Air Force Base’s 46th Test Squadron.</w:t>
      </w:r>
    </w:p>
    <w:p>
      <w:pPr>
        <w:spacing w:after="0" w:line="110" w:lineRule="exact"/>
        <w:rPr>
          <w:rFonts w:ascii="Arial" w:cs="Arial" w:eastAsia="Arial" w:hAnsi="Arial"/>
          <w:sz w:val="17"/>
          <w:szCs w:val="17"/>
          <w:color w:val="auto"/>
        </w:rPr>
      </w:pPr>
    </w:p>
    <w:p>
      <w:pPr>
        <w:ind w:left="940" w:right="40" w:hanging="318"/>
        <w:spacing w:after="0" w:line="259"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August 2021, Kratos announced that it remains committed to be ready for a 2023 Skyborg Vanguard Program of Record, echoing the commitment expressed by the U.S. Air Force in its August 16, 2021 update on the Skyborg program. Skyborg is an autonomy-focused capability developed to enable the Air Force to operate and sustain low-cost, teamed aircraft that can thwart adversaries with quick, decisive actions in contested environments. The program aims to enable airborne combat mass by building a transferable autonomy foundation for a family of layered, unmanned air vehicles.</w:t>
      </w:r>
    </w:p>
    <w:p>
      <w:pPr>
        <w:spacing w:after="0" w:line="118" w:lineRule="exact"/>
        <w:rPr>
          <w:rFonts w:ascii="Arial" w:cs="Arial" w:eastAsia="Arial" w:hAnsi="Arial"/>
          <w:sz w:val="17"/>
          <w:szCs w:val="17"/>
          <w:color w:val="auto"/>
        </w:rPr>
      </w:pPr>
    </w:p>
    <w:p>
      <w:pPr>
        <w:ind w:left="940" w:right="80" w:hanging="318"/>
        <w:spacing w:after="0" w:line="267" w:lineRule="auto"/>
        <w:tabs>
          <w:tab w:leader="none" w:pos="936"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were awarded one of four prime contract awards from DARPA for the Gremlins program. Under the Gremlins program, DARPA envisions a swarm of approximately 20 high performance unmanned aerial vehicles that are deployed by an inflight aircraft, and are later recovered, inflight, by an aircraft. The approximate $3.9 million Phase I contracts were awarded to four competing companies, with the intent to ultimately down select to one finalist company over a period of approximately 36 months. In 2017, we successfully advanced to Phase II of the Gremlin’s program, with Kratos providing the Gremlin air vehicle drone system. A second successful flight test was completed in July 2020, satisfying major technical and program milestones while significantly reducing risk. The third flight demonstration was successfully performed in November 2020, which was originally scheduled for earlier in 2020 and was delayed due to COVID-19 related and range restrictions.</w:t>
      </w:r>
    </w:p>
    <w:p>
      <w:pPr>
        <w:spacing w:after="0" w:line="191" w:lineRule="exact"/>
        <w:rPr>
          <w:rFonts w:ascii="Arial" w:cs="Arial" w:eastAsia="Arial" w:hAnsi="Arial"/>
          <w:sz w:val="16"/>
          <w:szCs w:val="16"/>
          <w:color w:val="auto"/>
        </w:rPr>
      </w:pPr>
    </w:p>
    <w:p>
      <w:pPr>
        <w:ind w:left="940" w:right="440" w:hanging="318"/>
        <w:spacing w:after="0" w:line="318" w:lineRule="auto"/>
        <w:tabs>
          <w:tab w:leader="none" w:pos="936" w:val="left"/>
        </w:tabs>
        <w:numPr>
          <w:ilvl w:val="0"/>
          <w:numId w:val="6"/>
        </w:numPr>
        <w:rPr>
          <w:rFonts w:ascii="Arial" w:cs="Arial" w:eastAsia="Arial" w:hAnsi="Arial"/>
          <w:sz w:val="15"/>
          <w:szCs w:val="15"/>
          <w:color w:val="auto"/>
        </w:rPr>
      </w:pPr>
      <w:r>
        <w:rPr>
          <w:rFonts w:ascii="Arial" w:cs="Arial" w:eastAsia="Arial" w:hAnsi="Arial"/>
          <w:sz w:val="15"/>
          <w:szCs w:val="15"/>
          <w:color w:val="auto"/>
        </w:rPr>
        <w:t>In October 2021, Kratos was awarded a $17.6 million contract to design and develop an OBSS Unmanned Aerial System in support of AFRL’s Autonomous Collaborative Platforms (ACP) technology maturation portfolio. The OBSS program includes an option subsequent 15-month Manufacture and Demonstration period. With the base and option awards, the total contract value to Kratos would be $49 million.</w:t>
      </w:r>
    </w:p>
    <w:p>
      <w:pPr>
        <w:spacing w:after="0" w:line="49" w:lineRule="exact"/>
        <w:rPr>
          <w:sz w:val="20"/>
          <w:szCs w:val="20"/>
          <w:color w:val="auto"/>
        </w:rPr>
      </w:pPr>
    </w:p>
    <w:p>
      <w:pPr>
        <w:ind w:right="180" w:firstLine="619"/>
        <w:spacing w:after="0" w:line="260" w:lineRule="auto"/>
        <w:rPr>
          <w:sz w:val="20"/>
          <w:szCs w:val="20"/>
          <w:color w:val="auto"/>
        </w:rPr>
      </w:pPr>
      <w:r>
        <w:rPr>
          <w:rFonts w:ascii="Arial" w:cs="Arial" w:eastAsia="Arial" w:hAnsi="Arial"/>
          <w:sz w:val="15"/>
          <w:szCs w:val="15"/>
          <w:i w:val="1"/>
          <w:iCs w:val="1"/>
          <w:color w:val="auto"/>
        </w:rPr>
        <w:t xml:space="preserve">Capitalize on corporate infrastructure investments. </w:t>
      </w:r>
      <w:r>
        <w:rPr>
          <w:rFonts w:ascii="Arial" w:cs="Arial" w:eastAsia="Arial" w:hAnsi="Arial"/>
          <w:sz w:val="15"/>
          <w:szCs w:val="15"/>
          <w:color w:val="auto"/>
        </w:rPr>
        <w:t>In recent periods, we have made significant investments in our senior management and corporate</w:t>
      </w:r>
      <w:r>
        <w:rPr>
          <w:rFonts w:ascii="Arial" w:cs="Arial" w:eastAsia="Arial" w:hAnsi="Arial"/>
          <w:sz w:val="15"/>
          <w:szCs w:val="15"/>
          <w:i w:val="1"/>
          <w:iCs w:val="1"/>
          <w:color w:val="auto"/>
        </w:rPr>
        <w:t xml:space="preserve"> </w:t>
      </w:r>
      <w:r>
        <w:rPr>
          <w:rFonts w:ascii="Arial" w:cs="Arial" w:eastAsia="Arial" w:hAnsi="Arial"/>
          <w:sz w:val="15"/>
          <w:szCs w:val="15"/>
          <w:color w:val="auto"/>
        </w:rPr>
        <w:t>infrastructure related to cybersecurity threats to our Company, increased and changing regulations we are subject to, and the changing national security industry environment. These investments also included hiring senior executives with significant experience in the national security industry, hiring firms to support us on Capitol Hill, Congressionally and with our customers, strengthening our internal controls over financial reporting and accounting staff in support of increasing public company reporting requirements, expanding our infrastructure in response to increases in cybersecurity protection and related regulatory requirements, including the DoD’s Cybersecurity Maturity Model Certification (“CMMC”) requirement for all federal contractors, and expanding our backlog and bid and proposal pipeline. We expect to be allocating additional resources in our pursuit of new, larger and highly technical prime contract opportunities. We believe our management experience and corporate infrastructure can support a company with a much larger revenue base than ours.</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Accordingly, we believe that, to the extent our revenue grows, we will be able to leverage this infrastructure base and increase our operating margins.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146" w:lineRule="exact"/>
        <w:rPr>
          <w:sz w:val="20"/>
          <w:szCs w:val="20"/>
          <w:color w:val="auto"/>
        </w:rPr>
      </w:pPr>
    </w:p>
    <w:p>
      <w:pPr>
        <w:ind w:right="120" w:firstLine="619"/>
        <w:spacing w:after="0" w:line="229" w:lineRule="auto"/>
        <w:rPr>
          <w:sz w:val="20"/>
          <w:szCs w:val="20"/>
          <w:color w:val="auto"/>
        </w:rPr>
      </w:pPr>
      <w:r>
        <w:rPr>
          <w:rFonts w:ascii="Arial" w:cs="Arial" w:eastAsia="Arial" w:hAnsi="Arial"/>
          <w:sz w:val="17"/>
          <w:szCs w:val="17"/>
          <w:color w:val="auto"/>
        </w:rPr>
        <w:t>A representative list of government customers in our KGS and US segments during 2021 included the U.S. Air Force, U.S. Army, U.S. Navy, U.S. Marines, Missile Defense Agency, Space Command, the National Aeronautics and Space Administration, the AFRL, foreign military sales (“FMS”), the U.S. Southern Command, STRATCOM, the Strategic Capabilities Office (SCO), DIU or DIUx, the Rapid Capabilities Offices, the U.S. intelligence community and certain confidential customers. A representative list of non-government customers during 2021 included tier one, large U.S. Government contractors and system integrators such as Northrop Grumman, Lockheed Martin, General Dynamics, Raytheon Technologies, BAE Systems, L3Harris, General Atomics and Boeing, as well as Microsoft, Amazon, Siemens, and Rolls Royce.</w:t>
      </w:r>
    </w:p>
    <w:p>
      <w:pPr>
        <w:spacing w:after="0" w:line="209" w:lineRule="exact"/>
        <w:rPr>
          <w:sz w:val="20"/>
          <w:szCs w:val="20"/>
          <w:color w:val="auto"/>
        </w:rPr>
      </w:pPr>
    </w:p>
    <w:p>
      <w:pPr>
        <w:ind w:right="200" w:firstLine="619"/>
        <w:spacing w:after="0" w:line="250" w:lineRule="auto"/>
        <w:rPr>
          <w:sz w:val="20"/>
          <w:szCs w:val="20"/>
          <w:color w:val="auto"/>
        </w:rPr>
      </w:pPr>
      <w:r>
        <w:rPr>
          <w:rFonts w:ascii="Arial" w:cs="Arial" w:eastAsia="Arial" w:hAnsi="Arial"/>
          <w:sz w:val="17"/>
          <w:szCs w:val="17"/>
          <w:color w:val="auto"/>
        </w:rPr>
        <w:t>Revenue from the U.S. Government (which includes FMS) includes revenue from contracts for which we are the prime contractor as well as those for which we are a subcontractor and the ultimate customer is the U.S. Government. Revenues from U.S. Government agency customers in aggregate accounted for approximately 70%, 73% and 71% of total revenues in 2021, 2020, and 2019,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Effective January 1, 2018, we adopted the requirements of Accounting Standards Codification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606”), utilizing the modified retrospective method as discussed in Note 1 of the Notes to Consolidated Financial Statements contained within this Annual</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Report. Since our adoption of ASC 606, revenues from remaining performance obligations, also referred to as total backlog, are now calculated as the dollar value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of our remaining performance obligations on executed contracts. As of December 26, 2021 and December 27, 2020, our backlog was approximately $953.9</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million and $922.2 million, respectively, of which $653.7 million was funded in 2021 and $643.3 million was funded in 2020. We expect to recognize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51.0% of the remaining total backlog as revenue in 2022, an additional 19.0% in 2023 and the balance thereafter.</w:t>
      </w:r>
    </w:p>
    <w:p>
      <w:pPr>
        <w:spacing w:after="0" w:line="232" w:lineRule="exact"/>
        <w:rPr>
          <w:sz w:val="20"/>
          <w:szCs w:val="20"/>
          <w:color w:val="auto"/>
        </w:rPr>
      </w:pPr>
    </w:p>
    <w:p>
      <w:pPr>
        <w:ind w:right="80" w:firstLine="619"/>
        <w:spacing w:after="0" w:line="276" w:lineRule="auto"/>
        <w:rPr>
          <w:sz w:val="20"/>
          <w:szCs w:val="20"/>
          <w:color w:val="auto"/>
        </w:rPr>
      </w:pPr>
      <w:r>
        <w:rPr>
          <w:rFonts w:ascii="Arial" w:cs="Arial" w:eastAsia="Arial" w:hAnsi="Arial"/>
          <w:sz w:val="16"/>
          <w:szCs w:val="16"/>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the Company is expected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contract. For IDIQ contracts, only awarded or funded task orders are included for backlog purposes.</w:t>
      </w:r>
    </w:p>
    <w:p>
      <w:pPr>
        <w:spacing w:after="0" w:line="195" w:lineRule="exact"/>
        <w:rPr>
          <w:sz w:val="20"/>
          <w:szCs w:val="20"/>
          <w:color w:val="auto"/>
        </w:rPr>
      </w:pPr>
    </w:p>
    <w:p>
      <w:pPr>
        <w:ind w:right="80" w:firstLine="619"/>
        <w:spacing w:after="0" w:line="277" w:lineRule="auto"/>
        <w:rPr>
          <w:sz w:val="20"/>
          <w:szCs w:val="20"/>
          <w:color w:val="auto"/>
        </w:rPr>
      </w:pPr>
      <w:r>
        <w:rPr>
          <w:rFonts w:ascii="Arial" w:cs="Arial" w:eastAsia="Arial" w:hAnsi="Arial"/>
          <w:sz w:val="16"/>
          <w:szCs w:val="16"/>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the Company’s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96" w:lineRule="exact"/>
        <w:rPr>
          <w:sz w:val="20"/>
          <w:szCs w:val="20"/>
          <w:color w:val="auto"/>
        </w:rPr>
      </w:pPr>
    </w:p>
    <w:p>
      <w:pPr>
        <w:ind w:firstLine="619"/>
        <w:spacing w:after="0" w:line="307" w:lineRule="auto"/>
        <w:rPr>
          <w:sz w:val="20"/>
          <w:szCs w:val="20"/>
          <w:color w:val="auto"/>
        </w:rPr>
      </w:pPr>
      <w:r>
        <w:rPr>
          <w:rFonts w:ascii="Arial" w:cs="Arial" w:eastAsia="Arial" w:hAnsi="Arial"/>
          <w:sz w:val="15"/>
          <w:szCs w:val="15"/>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75" w:lineRule="exact"/>
        <w:rPr>
          <w:sz w:val="20"/>
          <w:szCs w:val="20"/>
          <w:color w:val="auto"/>
        </w:rPr>
      </w:pPr>
    </w:p>
    <w:p>
      <w:pPr>
        <w:jc w:val="both"/>
        <w:ind w:right="140" w:firstLine="619"/>
        <w:spacing w:after="0" w:line="290" w:lineRule="auto"/>
        <w:rPr>
          <w:sz w:val="20"/>
          <w:szCs w:val="20"/>
          <w:color w:val="auto"/>
        </w:rPr>
      </w:pPr>
      <w:r>
        <w:rPr>
          <w:rFonts w:ascii="Arial" w:cs="Arial" w:eastAsia="Arial" w:hAnsi="Arial"/>
          <w:sz w:val="16"/>
          <w:szCs w:val="16"/>
          <w:color w:val="auto"/>
        </w:rPr>
        <w:t>A significant number of the programs that Kratos’ systems, products and solutions support are multi-year/multi-decade in nature. Accordingly, based on historical customer usage or operational tempo, the Company has reasonable expectations or visibility of what ultimate orders for Kratos’ systems, products and solutions will be. The Company does not include these expected amounts in its backlog until a related contract award is received.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14" w:name="page15"/>
    <w:bookmarkEnd w:id="14"/>
    <w:p>
      <w:pPr>
        <w:ind w:right="20" w:firstLine="619"/>
        <w:spacing w:after="0" w:line="307" w:lineRule="auto"/>
        <w:rPr>
          <w:sz w:val="20"/>
          <w:szCs w:val="20"/>
          <w:color w:val="auto"/>
        </w:rPr>
      </w:pPr>
      <w:r>
        <w:rPr>
          <w:rFonts w:ascii="Arial" w:cs="Arial" w:eastAsia="Arial" w:hAnsi="Arial"/>
          <w:sz w:val="15"/>
          <w:szCs w:val="15"/>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184" w:lineRule="exact"/>
        <w:rPr>
          <w:sz w:val="20"/>
          <w:szCs w:val="20"/>
          <w:color w:val="auto"/>
        </w:rPr>
      </w:pPr>
    </w:p>
    <w:p>
      <w:pPr>
        <w:ind w:right="280" w:firstLine="619"/>
        <w:spacing w:after="0" w:line="312" w:lineRule="auto"/>
        <w:rPr>
          <w:sz w:val="20"/>
          <w:szCs w:val="20"/>
          <w:color w:val="auto"/>
        </w:rPr>
      </w:pPr>
      <w:r>
        <w:rPr>
          <w:rFonts w:ascii="Arial" w:cs="Arial" w:eastAsia="Arial" w:hAnsi="Arial"/>
          <w:sz w:val="16"/>
          <w:szCs w:val="16"/>
          <w:color w:val="auto"/>
        </w:rPr>
        <w:t>As of December 26, 2021, we had a work force of approximately 3,300 full-time, part-time and on-call employees in approximately 13 countries. Our employees are our greatest asset, and the ability to recruit, retain, fairly compensate, and develop our workforce is critical to Kratos’ success.</w:t>
      </w:r>
    </w:p>
    <w:p>
      <w:pPr>
        <w:spacing w:after="0" w:line="166" w:lineRule="exact"/>
        <w:rPr>
          <w:sz w:val="20"/>
          <w:szCs w:val="20"/>
          <w:color w:val="auto"/>
        </w:rPr>
      </w:pPr>
    </w:p>
    <w:p>
      <w:pPr>
        <w:ind w:right="180" w:firstLine="619"/>
        <w:spacing w:after="0" w:line="275" w:lineRule="auto"/>
        <w:rPr>
          <w:sz w:val="20"/>
          <w:szCs w:val="20"/>
          <w:color w:val="auto"/>
        </w:rPr>
      </w:pPr>
      <w:r>
        <w:rPr>
          <w:rFonts w:ascii="Arial" w:cs="Arial" w:eastAsia="Arial" w:hAnsi="Arial"/>
          <w:sz w:val="16"/>
          <w:szCs w:val="16"/>
          <w:color w:val="auto"/>
        </w:rPr>
        <w:t>We work diligently to attract the best talent from a diverse range of sources in order to meet the current and future demands of our business. We have established relationships with local job networks and educational institutions to proactively attract a diverse pool of talent. We also strive to provide a compensation and benefits package that will attract, retain, and motivate employees and reward their performance, including competitive market-based pay and comprehensive benefits. In addition to earning a base salary, eligible employees are compensated for their contributions to the Company’s goals with both short-term cash incentives and long-term equity-based incentives. We are committed to providing fair and equitable pay for employees, utilizing both external and internal benchmarking tools to do so. Eligible employees in the U.S. also have access to a wide range of benefits including medical, dental, and vision plans; life insurance, disability insurance and identity theft insurance; savings and retirement plans; an employee stock purchase plan; and other resources. Programs and benefits differ internationally for a variety of reasons, such as local legal requirements and market practices.</w:t>
      </w:r>
    </w:p>
    <w:p>
      <w:pPr>
        <w:spacing w:after="0" w:line="196" w:lineRule="exact"/>
        <w:rPr>
          <w:sz w:val="20"/>
          <w:szCs w:val="20"/>
          <w:color w:val="auto"/>
        </w:rPr>
      </w:pPr>
    </w:p>
    <w:p>
      <w:pPr>
        <w:ind w:right="160" w:firstLine="619"/>
        <w:spacing w:after="0" w:line="259" w:lineRule="auto"/>
        <w:rPr>
          <w:sz w:val="20"/>
          <w:szCs w:val="20"/>
          <w:color w:val="auto"/>
        </w:rPr>
      </w:pPr>
      <w:r>
        <w:rPr>
          <w:rFonts w:ascii="Arial" w:cs="Arial" w:eastAsia="Arial" w:hAnsi="Arial"/>
          <w:sz w:val="17"/>
          <w:szCs w:val="17"/>
          <w:color w:val="auto"/>
        </w:rPr>
        <w:t>We are also committed to employee development. The Company maintains talent and succession planning processes, including annual reviews and regular touchpoint reviews throughout the year, and periodic succession review of executive management by the Company’s chief executive officer and board of directors. We also provide training opportunities for employees at all levels, including live and online training, on the job training, and tuition reimbursement for formal continuing education. Our training program also includes compliance training to regularly promote and reinforce the Company’s culture of ethics and integrity in business.</w:t>
      </w:r>
    </w:p>
    <w:p>
      <w:pPr>
        <w:spacing w:after="0" w:line="209" w:lineRule="exact"/>
        <w:rPr>
          <w:sz w:val="20"/>
          <w:szCs w:val="20"/>
          <w:color w:val="auto"/>
        </w:rPr>
      </w:pPr>
    </w:p>
    <w:p>
      <w:pPr>
        <w:jc w:val="both"/>
        <w:ind w:right="140" w:firstLine="619"/>
        <w:spacing w:after="0" w:line="266" w:lineRule="auto"/>
        <w:rPr>
          <w:sz w:val="20"/>
          <w:szCs w:val="20"/>
          <w:color w:val="auto"/>
        </w:rPr>
      </w:pPr>
      <w:r>
        <w:rPr>
          <w:rFonts w:ascii="Arial" w:cs="Arial" w:eastAsia="Arial" w:hAnsi="Arial"/>
          <w:sz w:val="17"/>
          <w:szCs w:val="17"/>
          <w:color w:val="auto"/>
        </w:rPr>
        <w:t>Guided by our values, we are committed to creating a company where everyone is included and respected, and where we support each other in reaching our full potential. We are committed to diverse representation across all levels of our workforce to reflect the vibrant and thriving diversity of the communities in which we live and work.</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97"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Our market is competitive and includes a number of companies in the U.S. defense and national security industries. Most of the companies that we compete against have significantly greater financial, technical, marketing and other resources and generate greater revenues than we do. Competition in the KGS and US segments include tier one, large U.S. Government contractors and system integrators such as Northrop Grumman, Lockheed Martin, General Dynamics, Raytheon Technologies, BAE Systems, L3Harris, General Atomics and Boeing. While we view other government contractors as competitors, we also team with these same companies in joint proposals or in the delivery of our products, solutions and services for customers. Tier two competitors include smaller government contractors such as Mercury Systems, Qinetiq, Cobham, Aerojet Rocketdyne and AAR Corp. Intense competition and long operating cycles are key characteristics of our business within the defense industry. It is also common in the defense industry for work on major programs to be shared among a number of companies. A company competing to be a prime contractor or subcontractor on an award may, upon final award of the contract to another competitor, become a subcontractor for the final prime contractor. It is not unusual to compete for a contract award with a peer company and simultaneously perform as a supplier to or be a customer of that same competitor on other contracts, or vice versa. The nature of major defense programs, conducted under binding contracts, allows companies that perform well to benefit from a level of program continuity not frequently found in other industries.</w:t>
      </w:r>
    </w:p>
    <w:p>
      <w:pPr>
        <w:spacing w:after="0" w:line="96" w:lineRule="exact"/>
        <w:rPr>
          <w:sz w:val="20"/>
          <w:szCs w:val="20"/>
          <w:color w:val="auto"/>
        </w:rPr>
      </w:pPr>
    </w:p>
    <w:p>
      <w:pPr>
        <w:ind w:firstLine="619"/>
        <w:spacing w:after="0" w:line="302" w:lineRule="auto"/>
        <w:rPr>
          <w:sz w:val="20"/>
          <w:szCs w:val="20"/>
          <w:color w:val="auto"/>
        </w:rPr>
      </w:pPr>
      <w:r>
        <w:rPr>
          <w:rFonts w:ascii="Arial" w:cs="Arial" w:eastAsia="Arial" w:hAnsi="Arial"/>
          <w:sz w:val="15"/>
          <w:szCs w:val="15"/>
          <w:color w:val="auto"/>
        </w:rPr>
        <w:t>We believe that the principal competitive factors in our ability to win new business include our strategy of focusing on priority DoD requirements and funding areas, our intellectual property, proprietary products, technology and our ability to rapidly develop, demonstrate and deliver systems to the warfighter at an affordable cost. Also important is our past performance qualifications, customer relationships, domain and technology expertise, the ability to obtain and replace contract vehicles, the ability to deliver results within budget (time and cost), reputation, accountability, staffing flexibility, and project management expertise. Additionally, our ability to deliver cost effective systems, products, solutions and services that meet our customers’ requirements is also a key differentiator.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15" w:name="page16"/>
    <w:bookmarkEnd w:id="15"/>
    <w:p>
      <w:pPr>
        <w:ind w:right="20" w:firstLine="619"/>
        <w:spacing w:after="0" w:line="279" w:lineRule="auto"/>
        <w:rPr>
          <w:sz w:val="20"/>
          <w:szCs w:val="20"/>
          <w:color w:val="auto"/>
        </w:rPr>
      </w:pPr>
      <w:r>
        <w:rPr>
          <w:rFonts w:ascii="Arial" w:cs="Arial" w:eastAsia="Arial" w:hAnsi="Arial"/>
          <w:sz w:val="16"/>
          <w:szCs w:val="16"/>
          <w:color w:val="auto"/>
        </w:rPr>
        <w:t>In the U.S. defense, IT, and services markets, the U.S. Government has stressed competition and affordability or low cost in connection with its future procurement of products and services. This has led to fewer sole source awards, as well as more emphasis on cost competitiveness, with contract awards issued on a Low Price Technically Acceptable (“LPTA”) basis rather than a best value basis, which has negatively impacted certain areas of our Defense and Rocket Support Services (“DRSS”) business in our KGS segment and in our training services business. In addition, competitor bid protests have become more prevalent in the current competitive environment, resulting in further delay of contract procurement activity.</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46" w:lineRule="exact"/>
        <w:rPr>
          <w:sz w:val="20"/>
          <w:szCs w:val="20"/>
          <w:color w:val="auto"/>
        </w:rPr>
      </w:pPr>
    </w:p>
    <w:p>
      <w:pPr>
        <w:ind w:right="80" w:firstLine="169"/>
        <w:spacing w:after="0" w:line="302" w:lineRule="auto"/>
        <w:rPr>
          <w:sz w:val="20"/>
          <w:szCs w:val="20"/>
          <w:color w:val="auto"/>
        </w:rPr>
      </w:pPr>
      <w:r>
        <w:rPr>
          <w:rFonts w:ascii="Arial" w:cs="Arial" w:eastAsia="Arial" w:hAnsi="Arial"/>
          <w:sz w:val="15"/>
          <w:szCs w:val="15"/>
          <w:color w:val="auto"/>
        </w:rPr>
        <w:t>We believe that our future success depends upon our ability to continue to rapidly develop new products and services, and enhancements to and applications for our existing products and services, to be delivered at an affordable cost. Our research and development expenses were $35.2 million, $27.0 million and $18.0 million in 2021, 2020, and 2019, respectively. We intend to continue our focus on research and development as a key strategy for growth, which will focus on investments in those fields that we believe will offer the greatest opportunity for growth and profitability. Our current primary internal research and development (“IR&amp;D”) focus areas include satellite communications and signal monitoring, unmanned systems, electronic products, and turbine technologies.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59" w:lineRule="exact"/>
        <w:rPr>
          <w:sz w:val="20"/>
          <w:szCs w:val="20"/>
          <w:color w:val="auto"/>
        </w:rPr>
      </w:pPr>
    </w:p>
    <w:p>
      <w:pPr>
        <w:ind w:right="220" w:firstLine="619"/>
        <w:spacing w:after="0" w:line="266" w:lineRule="auto"/>
        <w:rPr>
          <w:sz w:val="20"/>
          <w:szCs w:val="20"/>
          <w:color w:val="auto"/>
        </w:rPr>
      </w:pPr>
      <w:r>
        <w:rPr>
          <w:rFonts w:ascii="Arial" w:cs="Arial" w:eastAsia="Arial" w:hAnsi="Arial"/>
          <w:sz w:val="17"/>
          <w:szCs w:val="17"/>
          <w:color w:val="auto"/>
        </w:rPr>
        <w:t>We believe that our continued success depends in large part on our proprietary technology, the intellectual skills of our employees and the ability of our employees to continue to innovate. We rely on a combination of patent, copyright, trademark and trade secret laws, as well as confidentiality agreements, to establish and protect our proprietary rights.</w:t>
      </w:r>
    </w:p>
    <w:p>
      <w:pPr>
        <w:spacing w:after="0" w:line="98"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As of December 26, 2021, we held a number of U.S. and foreign patents. Patents applicable to specific products extend for varying periods according to the date of patent application filing or patent grant and the legal term of patents in the various countries where patent protection is obtained. We do not consider our business to be materially dependent upon any individual patent, and we do not believe that our business would be materially affected by the expiration of any particular intellectual property right. We will continue to file and pursue patent applications when and where appropriate to attempt to protect our rights in our proprietary technologies. We also encourage our employees to continue to invent and develop new technologies so as to maintain our competitiveness in the marketplace.</w:t>
      </w:r>
    </w:p>
    <w:p>
      <w:pPr>
        <w:spacing w:after="0" w:line="209"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We own or have rights to use certain trademarks, service marks and trade names that we use in conjunction with the operation of our business. Certain of our trademarks have also been registered in selected foreign countries.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are subject to various government regulations, including various U.S. Government regulations as a contractor and subcontractor to the agencies of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U.S. Government. Among the most significant U.S. Government regulations affecting our business are:</w:t>
      </w:r>
    </w:p>
    <w:p>
      <w:pPr>
        <w:spacing w:after="0" w:line="129" w:lineRule="exact"/>
        <w:rPr>
          <w:sz w:val="20"/>
          <w:szCs w:val="20"/>
          <w:color w:val="auto"/>
        </w:rPr>
      </w:pPr>
    </w:p>
    <w:p>
      <w:pPr>
        <w:ind w:left="1240" w:right="240" w:hanging="309"/>
        <w:spacing w:after="0" w:line="279" w:lineRule="auto"/>
        <w:tabs>
          <w:tab w:leader="none" w:pos="123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Federal Acquisition Regulations and supplemental agency regulations, which comprehensively regulate the formation, administration, and performance under government contracts;</w:t>
      </w:r>
    </w:p>
    <w:p>
      <w:pPr>
        <w:spacing w:after="0" w:line="99" w:lineRule="exact"/>
        <w:rPr>
          <w:rFonts w:ascii="Arial" w:cs="Arial" w:eastAsia="Arial" w:hAnsi="Arial"/>
          <w:sz w:val="17"/>
          <w:szCs w:val="17"/>
          <w:color w:val="auto"/>
        </w:rPr>
      </w:pPr>
    </w:p>
    <w:p>
      <w:pPr>
        <w:ind w:left="1240" w:right="380" w:hanging="309"/>
        <w:spacing w:after="0" w:line="279" w:lineRule="auto"/>
        <w:tabs>
          <w:tab w:leader="none" w:pos="123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Truthful Cost or Pricing Data Statute (formerly the Truth in Negotiations Act), which requires certification and disclosure of all cost and pricing data in connection with contract negotiations;</w:t>
      </w:r>
    </w:p>
    <w:p>
      <w:pPr>
        <w:spacing w:after="0" w:line="99" w:lineRule="exact"/>
        <w:rPr>
          <w:rFonts w:ascii="Arial" w:cs="Arial" w:eastAsia="Arial" w:hAnsi="Arial"/>
          <w:sz w:val="17"/>
          <w:szCs w:val="17"/>
          <w:color w:val="auto"/>
        </w:rPr>
      </w:pPr>
    </w:p>
    <w:p>
      <w:pPr>
        <w:ind w:left="1240" w:right="320" w:hanging="309"/>
        <w:spacing w:after="0" w:line="279" w:lineRule="auto"/>
        <w:tabs>
          <w:tab w:leader="none" w:pos="123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 Accounting Standards, which impose accounting requirements that govern our right to reimbursement under cost-based government contracts;</w:t>
      </w:r>
    </w:p>
    <w:p>
      <w:pPr>
        <w:spacing w:after="0" w:line="86" w:lineRule="exact"/>
        <w:rPr>
          <w:rFonts w:ascii="Arial" w:cs="Arial" w:eastAsia="Arial" w:hAnsi="Arial"/>
          <w:sz w:val="17"/>
          <w:szCs w:val="17"/>
          <w:color w:val="auto"/>
        </w:rPr>
      </w:pPr>
    </w:p>
    <w:p>
      <w:pPr>
        <w:ind w:left="1240" w:right="440" w:hanging="309"/>
        <w:spacing w:after="0" w:line="279" w:lineRule="auto"/>
        <w:tabs>
          <w:tab w:leader="none" w:pos="123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Industrial Security Manual, which establishes the security guidelines for classified programs and facilities as well as individual security clearances;</w:t>
      </w:r>
    </w:p>
    <w:p>
      <w:pPr>
        <w:spacing w:after="0" w:line="99" w:lineRule="exact"/>
        <w:rPr>
          <w:rFonts w:ascii="Arial" w:cs="Arial" w:eastAsia="Arial" w:hAnsi="Arial"/>
          <w:sz w:val="17"/>
          <w:szCs w:val="17"/>
          <w:color w:val="auto"/>
        </w:rPr>
      </w:pPr>
    </w:p>
    <w:p>
      <w:pPr>
        <w:ind w:left="1240" w:right="40" w:hanging="309"/>
        <w:spacing w:after="0" w:line="279" w:lineRule="auto"/>
        <w:tabs>
          <w:tab w:leader="none" w:pos="123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Foreign Corrupt Practices Act, which prohibits U.S. companies from providing anything of value to a foreign official to help obtain, retain or direct business, or obtain any unfair advantages;</w:t>
      </w:r>
    </w:p>
    <w:p>
      <w:pPr>
        <w:spacing w:after="0" w:line="99" w:lineRule="exact"/>
        <w:rPr>
          <w:rFonts w:ascii="Arial" w:cs="Arial" w:eastAsia="Arial" w:hAnsi="Arial"/>
          <w:sz w:val="17"/>
          <w:szCs w:val="17"/>
          <w:color w:val="auto"/>
        </w:rPr>
      </w:pPr>
    </w:p>
    <w:p>
      <w:pPr>
        <w:ind w:left="1240" w:right="100" w:hanging="309"/>
        <w:spacing w:after="0" w:line="312" w:lineRule="auto"/>
        <w:tabs>
          <w:tab w:leader="none" w:pos="123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False Claims Act and the False Statements Act, which, respectively, impose penalties for payments made on the basis of false facts provided to the government and impose penalties on the basis of false statements, even if they do not result in a payment; and</w:t>
      </w:r>
    </w:p>
    <w:p>
      <w:pPr>
        <w:spacing w:after="0" w:line="63" w:lineRule="exact"/>
        <w:rPr>
          <w:rFonts w:ascii="Arial" w:cs="Arial" w:eastAsia="Arial" w:hAnsi="Arial"/>
          <w:sz w:val="16"/>
          <w:szCs w:val="16"/>
          <w:color w:val="auto"/>
        </w:rPr>
      </w:pPr>
    </w:p>
    <w:p>
      <w:pPr>
        <w:ind w:left="1240" w:right="460" w:hanging="309"/>
        <w:spacing w:after="0" w:line="279" w:lineRule="auto"/>
        <w:tabs>
          <w:tab w:leader="none" w:pos="1236" w:val="left"/>
        </w:tabs>
        <w:numPr>
          <w:ilvl w:val="0"/>
          <w:numId w:val="7"/>
        </w:numPr>
        <w:rPr>
          <w:rFonts w:ascii="Arial" w:cs="Arial" w:eastAsia="Arial" w:hAnsi="Arial"/>
          <w:sz w:val="17"/>
          <w:szCs w:val="17"/>
          <w:color w:val="auto"/>
        </w:rPr>
      </w:pPr>
      <w:r>
        <w:rPr>
          <w:rFonts w:ascii="Arial" w:cs="Arial" w:eastAsia="Arial" w:hAnsi="Arial"/>
          <w:sz w:val="17"/>
          <w:szCs w:val="17"/>
          <w:color w:val="auto"/>
        </w:rPr>
        <w:t>laws, regulations and executive orders restricting the use and dissemination of information classified for national security purposes and the exportation of certain products and technical data.</w:t>
      </w:r>
    </w:p>
    <w:p>
      <w:pPr>
        <w:spacing w:after="0" w:line="100" w:lineRule="exact"/>
        <w:rPr>
          <w:sz w:val="20"/>
          <w:szCs w:val="20"/>
          <w:color w:val="auto"/>
        </w:rPr>
      </w:pPr>
    </w:p>
    <w:p>
      <w:pPr>
        <w:ind w:right="660" w:firstLine="619"/>
        <w:spacing w:after="0" w:line="279" w:lineRule="auto"/>
        <w:rPr>
          <w:sz w:val="20"/>
          <w:szCs w:val="20"/>
          <w:color w:val="auto"/>
        </w:rPr>
      </w:pPr>
      <w:r>
        <w:rPr>
          <w:rFonts w:ascii="Arial" w:cs="Arial" w:eastAsia="Arial" w:hAnsi="Arial"/>
          <w:sz w:val="17"/>
          <w:szCs w:val="17"/>
          <w:color w:val="auto"/>
        </w:rPr>
        <w:t>We also need special security clearances to continue working on and advancing certain of our programs and contracts with the U.S. Government. Classified programs generally will require that we comply with various Executive Orders, federal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6" w:name="page17"/>
    <w:bookmarkEnd w:id="16"/>
    <w:p>
      <w:pPr>
        <w:ind w:right="220"/>
        <w:spacing w:after="0" w:line="279" w:lineRule="auto"/>
        <w:rPr>
          <w:sz w:val="20"/>
          <w:szCs w:val="20"/>
          <w:color w:val="auto"/>
        </w:rPr>
      </w:pPr>
      <w:r>
        <w:rPr>
          <w:rFonts w:ascii="Arial" w:cs="Arial" w:eastAsia="Arial" w:hAnsi="Arial"/>
          <w:sz w:val="17"/>
          <w:szCs w:val="17"/>
          <w:color w:val="auto"/>
        </w:rPr>
        <w:t>laws and regulations and customer security requirements that may include restrictions on how we develop, store, protect and share information, and may require our employees to obtain government clearances.</w:t>
      </w:r>
    </w:p>
    <w:p>
      <w:pPr>
        <w:spacing w:after="0" w:line="100"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In addition, we are subject to industry-specific regulations due to the nature of the products and services we provide. For example, certain aspects of our business are subject to further regulation by additional U.S. government authorities, including (i) the Federal Aviation Administration (“FAA”), which regulates airspace for all air vehicles in the U.S. National Airspace System, (ii) the National Telecommunications and Information Administration and the Federal Communications Commission, which regulate the wireless communications upon which our UAS depend in the United States and (iii) the Defense Trade Controls of the U.S. Department of State that administers the International Traffic in Arms Regulations, which regulate the export of controlled technical data, defense articles and defense services.</w:t>
      </w:r>
    </w:p>
    <w:p>
      <w:pPr>
        <w:spacing w:after="0" w:line="106"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The nature of the work we do for the federal government may also limit the parties who may invest in or acquire us. Export laws may keep us from providing potential foreign acquirers with a review of the technical data they would be acquiring. In addition, there are special requirements for foreign parties who wish to buy or acquire control or influence over companies that control technology or produce goods in the security interests of the U.S. There may need to be a review under the Exon-Florio provisions of the Defense Production Act. Finally, the government may require a prospective foreign owner to establish intermediaries to actually run that part of the company that does classified work, and establishing a subsidiary and its separate operation may make such an acquisition less appealing to such potential acquirers.</w:t>
      </w:r>
    </w:p>
    <w:p>
      <w:pPr>
        <w:spacing w:after="0" w:line="119" w:lineRule="exact"/>
        <w:rPr>
          <w:sz w:val="20"/>
          <w:szCs w:val="20"/>
          <w:color w:val="auto"/>
        </w:rPr>
      </w:pPr>
    </w:p>
    <w:p>
      <w:pPr>
        <w:ind w:right="260" w:firstLine="619"/>
        <w:spacing w:after="0" w:line="283" w:lineRule="auto"/>
        <w:rPr>
          <w:sz w:val="20"/>
          <w:szCs w:val="20"/>
          <w:color w:val="auto"/>
        </w:rPr>
      </w:pPr>
      <w:r>
        <w:rPr>
          <w:rFonts w:ascii="Arial" w:cs="Arial" w:eastAsia="Arial" w:hAnsi="Arial"/>
          <w:sz w:val="16"/>
          <w:szCs w:val="16"/>
          <w:color w:val="auto"/>
        </w:rPr>
        <w:t>In addition, the export from the U.S. of certain of our products may require the issuance of a license by the U.S. Department of Commerce under the Export Administration Act, as amended, and its implementing regulations as kept in force by the International Emergency Economic Powers Act of 1977, as amended. Some of our products may require the issuance of a license by the U.S. Department of State under the Arms Export Control Act and its implementing regulations, which licenses are generally harder to obtain and take longer to obtain than do Export Administration Act licenses.</w:t>
      </w:r>
    </w:p>
    <w:p>
      <w:pPr>
        <w:spacing w:after="0" w:line="99" w:lineRule="exact"/>
        <w:rPr>
          <w:sz w:val="20"/>
          <w:szCs w:val="20"/>
          <w:color w:val="auto"/>
        </w:rPr>
      </w:pPr>
    </w:p>
    <w:p>
      <w:pPr>
        <w:ind w:right="320" w:firstLine="619"/>
        <w:spacing w:after="0" w:line="279" w:lineRule="auto"/>
        <w:rPr>
          <w:sz w:val="20"/>
          <w:szCs w:val="20"/>
          <w:color w:val="auto"/>
        </w:rPr>
      </w:pPr>
      <w:r>
        <w:rPr>
          <w:rFonts w:ascii="Arial" w:cs="Arial" w:eastAsia="Arial" w:hAnsi="Arial"/>
          <w:sz w:val="17"/>
          <w:szCs w:val="17"/>
          <w:color w:val="auto"/>
        </w:rPr>
        <w:t>Our business may require compliance with state or local laws designed to limit the uses of personal user information gathered online or require online services to establish privacy policies.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Availability</w:t>
      </w:r>
    </w:p>
    <w:p>
      <w:pPr>
        <w:spacing w:after="0" w:line="159" w:lineRule="exact"/>
        <w:rPr>
          <w:sz w:val="20"/>
          <w:szCs w:val="20"/>
          <w:color w:val="auto"/>
        </w:rPr>
      </w:pPr>
    </w:p>
    <w:p>
      <w:pPr>
        <w:ind w:right="140" w:firstLine="619"/>
        <w:spacing w:after="0" w:line="262" w:lineRule="auto"/>
        <w:rPr>
          <w:sz w:val="20"/>
          <w:szCs w:val="20"/>
          <w:color w:val="auto"/>
        </w:rPr>
      </w:pPr>
      <w:r>
        <w:rPr>
          <w:rFonts w:ascii="Arial" w:cs="Arial" w:eastAsia="Arial" w:hAnsi="Arial"/>
          <w:sz w:val="17"/>
          <w:szCs w:val="17"/>
          <w:color w:val="auto"/>
        </w:rPr>
        <w:t>We procure critical material, components, products and subsystems from both domestic and global supply partners. These supply sources may be single sources for certain components and the material provided may have extended lead times. To support our continuing customer needs, we have taken steps to mitigate sourcing risks. This includes working closely with our suppliers to ensure future material and subsystem availability to support our manufacturing plans. In some cases, we have elected to stock reserve material to ensure future availability.</w:t>
      </w:r>
    </w:p>
    <w:p>
      <w:pPr>
        <w:spacing w:after="0" w:line="75" w:lineRule="exact"/>
        <w:rPr>
          <w:sz w:val="20"/>
          <w:szCs w:val="20"/>
          <w:color w:val="auto"/>
        </w:rPr>
      </w:pPr>
    </w:p>
    <w:p>
      <w:pPr>
        <w:ind w:right="280" w:firstLine="619"/>
        <w:spacing w:after="0" w:line="302" w:lineRule="auto"/>
        <w:rPr>
          <w:sz w:val="20"/>
          <w:szCs w:val="20"/>
          <w:color w:val="auto"/>
        </w:rPr>
      </w:pPr>
      <w:r>
        <w:rPr>
          <w:rFonts w:ascii="Arial" w:cs="Arial" w:eastAsia="Arial" w:hAnsi="Arial"/>
          <w:sz w:val="15"/>
          <w:szCs w:val="15"/>
          <w:color w:val="auto"/>
        </w:rPr>
        <w:t>Certain raw materials and components used in the manufacture of our products and in our development programs are periodically subject to supply shortages, and our business is subject to the risk of price increases and periodic delays in delivery. Particularly, the market for electronic components is experiencing increased demand and a global shortage of semiconductors, creating substantial uncertainty regarding our suppliers’ continued production of key components for our products, and the supply for certain raw materials such as aluminum and the availability for milling activities is experiencing shortages and delays which is impacting our C5ISR business. See “Risk Factors” for further discussion regarding risks related to raw materials.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w:t>
      </w:r>
    </w:p>
    <w:p>
      <w:pPr>
        <w:spacing w:after="0" w:line="159" w:lineRule="exact"/>
        <w:rPr>
          <w:sz w:val="20"/>
          <w:szCs w:val="20"/>
          <w:color w:val="auto"/>
        </w:rPr>
      </w:pPr>
    </w:p>
    <w:p>
      <w:pPr>
        <w:ind w:right="20" w:firstLine="619"/>
        <w:spacing w:after="0" w:line="260" w:lineRule="auto"/>
        <w:rPr>
          <w:sz w:val="20"/>
          <w:szCs w:val="20"/>
          <w:color w:val="auto"/>
        </w:rPr>
      </w:pPr>
      <w:r>
        <w:rPr>
          <w:rFonts w:ascii="Arial" w:cs="Arial" w:eastAsia="Arial" w:hAnsi="Arial"/>
          <w:sz w:val="16"/>
          <w:szCs w:val="16"/>
          <w:color w:val="auto"/>
        </w:rPr>
        <w:t>Our manufacturing operations are subject to many requirements under environmental laws and regulations. In the U.S., the U.S. Environmental Protection Agency and similar state agencies administer laws that restrict the emission of pollutants into the air, discharges of pollutants into bodies of water and disposal of pollutants in the ground. Violations of these laws can result in significant civil and criminal penalties and incarceration. The failure to obtain a permit for certain activities may be a violation of environmental law and subject the owner and operator to civil and criminal sanctions. Most environmental agencies also have the power to shut down an operation if it is operating in violation of environmental law. U.S. laws also allow citizens to bring private enforcement actions in some situations. Outside the U.S., the environmental laws and their enforcement vary and may be more burdensome.</w:t>
      </w:r>
    </w:p>
    <w:p>
      <w:pPr>
        <w:spacing w:after="0" w:line="196" w:lineRule="exact"/>
        <w:rPr>
          <w:sz w:val="20"/>
          <w:szCs w:val="20"/>
          <w:color w:val="auto"/>
        </w:rPr>
      </w:pPr>
    </w:p>
    <w:p>
      <w:pPr>
        <w:ind w:right="380" w:firstLine="619"/>
        <w:spacing w:after="0" w:line="307" w:lineRule="auto"/>
        <w:rPr>
          <w:sz w:val="20"/>
          <w:szCs w:val="20"/>
          <w:color w:val="auto"/>
        </w:rPr>
      </w:pPr>
      <w:r>
        <w:rPr>
          <w:rFonts w:ascii="Arial" w:cs="Arial" w:eastAsia="Arial" w:hAnsi="Arial"/>
          <w:sz w:val="15"/>
          <w:szCs w:val="15"/>
          <w:color w:val="auto"/>
        </w:rPr>
        <w:t>Other environmental laws, primarily in the U.S., address the contamination of land and groundwater and require the clean-up of such contamination. These laws may apply not only to the owner or operator of an on-going business, but also to the owner of land contaminated by a prior owner or operator. In addition, if a parcel is contaminated by the release of a hazardous substance, such as through its historic use as a disposal site, any person or company that has contributed to that contamination, whether or not it has a legal interest in the land, may be subject to a requirement to clean up the parcel.</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7" w:name="page18"/>
    <w:bookmarkEnd w:id="17"/>
    <w:p>
      <w:pPr>
        <w:ind w:right="360" w:firstLine="619"/>
        <w:spacing w:after="0" w:line="279" w:lineRule="auto"/>
        <w:rPr>
          <w:sz w:val="20"/>
          <w:szCs w:val="20"/>
          <w:color w:val="auto"/>
        </w:rPr>
      </w:pPr>
      <w:r>
        <w:rPr>
          <w:rFonts w:ascii="Arial" w:cs="Arial" w:eastAsia="Arial" w:hAnsi="Arial"/>
          <w:sz w:val="17"/>
          <w:szCs w:val="17"/>
          <w:color w:val="auto"/>
        </w:rPr>
        <w:t>We have management programs and processes in place that are intended to achieve compliance with, and minimize the potential for violations of, applicable environmental laws and regulations.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46" w:lineRule="exact"/>
        <w:rPr>
          <w:sz w:val="20"/>
          <w:szCs w:val="20"/>
          <w:color w:val="auto"/>
        </w:rPr>
      </w:pPr>
    </w:p>
    <w:p>
      <w:pPr>
        <w:ind w:right="160" w:firstLine="619"/>
        <w:spacing w:after="0" w:line="259" w:lineRule="auto"/>
        <w:rPr>
          <w:sz w:val="20"/>
          <w:szCs w:val="20"/>
          <w:color w:val="auto"/>
        </w:rPr>
      </w:pPr>
      <w:r>
        <w:rPr>
          <w:rFonts w:ascii="Arial" w:cs="Arial" w:eastAsia="Arial" w:hAnsi="Arial"/>
          <w:sz w:val="17"/>
          <w:szCs w:val="17"/>
          <w:color w:val="auto"/>
        </w:rPr>
        <w:t xml:space="preserve">We file reports with the Securities and Exchange Commission (“SEC”). We make available on our website under “Investor Relations/Financial Information/SEC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Arial" w:cs="Arial" w:eastAsia="Arial" w:hAnsi="Arial"/>
          <w:sz w:val="17"/>
          <w:szCs w:val="17"/>
          <w:i w:val="1"/>
          <w:iCs w:val="1"/>
          <w:color w:val="auto"/>
        </w:rPr>
        <w:t>www.kratosdefense.com</w:t>
      </w:r>
      <w:r>
        <w:rPr>
          <w:rFonts w:ascii="Arial" w:cs="Arial" w:eastAsia="Arial" w:hAnsi="Arial"/>
          <w:sz w:val="17"/>
          <w:szCs w:val="17"/>
          <w:color w:val="auto"/>
        </w:rPr>
        <w:t>. The SEC also maintains an Internet site that contains our reports, proxy and information statements, and other information at</w:t>
      </w:r>
      <w:r>
        <w:rPr>
          <w:rFonts w:ascii="Arial" w:cs="Arial" w:eastAsia="Arial" w:hAnsi="Arial"/>
          <w:sz w:val="17"/>
          <w:szCs w:val="17"/>
          <w:i w:val="1"/>
          <w:iCs w:val="1"/>
          <w:color w:val="auto"/>
        </w:rPr>
        <w:t xml:space="preserve"> </w:t>
      </w:r>
      <w:r>
        <w:rPr>
          <w:rFonts w:ascii="Arial" w:cs="Arial" w:eastAsia="Arial" w:hAnsi="Arial"/>
          <w:sz w:val="17"/>
          <w:szCs w:val="17"/>
          <w:color w:val="auto"/>
        </w:rPr>
        <w:t>www.sec.gov.</w:t>
      </w:r>
    </w:p>
    <w:p>
      <w:pPr>
        <w:spacing w:after="0" w:line="118"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00"/>
          </w:cols>
          <w:pgMar w:left="320" w:top="862" w:right="57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23"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Annual Report, including our Consolidated Financial Statements and the related Notes.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Summary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Business</w:t>
      </w:r>
    </w:p>
    <w:p>
      <w:pPr>
        <w:spacing w:after="0" w:line="62" w:lineRule="exact"/>
        <w:rPr>
          <w:sz w:val="20"/>
          <w:szCs w:val="20"/>
          <w:color w:val="auto"/>
        </w:rPr>
      </w:pPr>
    </w:p>
    <w:p>
      <w:pPr>
        <w:ind w:left="620" w:right="160" w:hanging="307"/>
        <w:spacing w:after="0" w:line="25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U.S. Government provides a significant portion of our revenue, and our business could be adversely affected by changes in the fiscal policies of the U.S. Government and governmental entities.</w:t>
      </w:r>
    </w:p>
    <w:p>
      <w:pPr>
        <w:spacing w:after="0" w:line="1" w:lineRule="exact"/>
        <w:rPr>
          <w:rFonts w:ascii="Arial" w:cs="Arial" w:eastAsia="Arial" w:hAnsi="Arial"/>
          <w:sz w:val="17"/>
          <w:szCs w:val="17"/>
          <w:color w:val="auto"/>
        </w:rPr>
      </w:pPr>
    </w:p>
    <w:p>
      <w:pPr>
        <w:ind w:left="620" w:right="120" w:hanging="307"/>
        <w:spacing w:after="0" w:line="253"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ind w:left="620" w:right="400" w:hanging="307"/>
        <w:spacing w:after="0" w:line="253"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fail to establish and maintain important relationships with government agencies and prime contractors, our ability to successfully maintain and develop new business may be adversely affected.</w:t>
      </w: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loss of one or more of our largest customers, programs, or applications could adversely affect our results of operations.</w:t>
      </w:r>
    </w:p>
    <w:p>
      <w:pPr>
        <w:spacing w:after="0" w:line="10" w:lineRule="exact"/>
        <w:rPr>
          <w:rFonts w:ascii="Arial" w:cs="Arial" w:eastAsia="Arial" w:hAnsi="Arial"/>
          <w:sz w:val="17"/>
          <w:szCs w:val="17"/>
          <w:color w:val="auto"/>
        </w:rPr>
      </w:pPr>
    </w:p>
    <w:p>
      <w:pPr>
        <w:ind w:left="620" w:right="220" w:hanging="307"/>
        <w:spacing w:after="0" w:line="269" w:lineRule="auto"/>
        <w:tabs>
          <w:tab w:leader="none" w:pos="616" w:val="left"/>
        </w:tabs>
        <w:numPr>
          <w:ilvl w:val="0"/>
          <w:numId w:val="8"/>
        </w:numPr>
        <w:rPr>
          <w:rFonts w:ascii="Arial" w:cs="Arial" w:eastAsia="Arial" w:hAnsi="Arial"/>
          <w:sz w:val="16"/>
          <w:szCs w:val="16"/>
          <w:color w:val="auto"/>
        </w:rPr>
      </w:pPr>
      <w:r>
        <w:rPr>
          <w:rFonts w:ascii="Arial" w:cs="Arial" w:eastAsia="Arial" w:hAnsi="Arial"/>
          <w:sz w:val="16"/>
          <w:szCs w:val="16"/>
          <w:color w:val="auto"/>
        </w:rPr>
        <w:t>Many of our contracts contain performance obligations that require innovative design capabilities, are technologically complex, require state-of-the-art manufacturing expertise, or are dependent upon factors not wholly within our control. Failure to meet these obligations could adversely affect our profitability and future prospects. Early termination of client contracts or contract penalties could adversely affect our results of operations.</w:t>
      </w:r>
    </w:p>
    <w:p>
      <w:pPr>
        <w:ind w:left="620" w:right="320" w:hanging="307"/>
        <w:spacing w:after="0" w:line="253"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our subcontractors or suppliers fail to perform their contractual obligations, our performance and reputation as a contractor and our ability to obtain future business could suffer.</w:t>
      </w:r>
    </w:p>
    <w:p>
      <w:pPr>
        <w:ind w:left="620" w:right="160" w:hanging="307"/>
        <w:spacing w:after="0" w:line="253"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face intense competition from many competitors that have greater resources than we do, which could result in price reductions, reduced profitability or loss of market share.</w:t>
      </w:r>
    </w:p>
    <w:p>
      <w:pPr>
        <w:ind w:left="620" w:right="140" w:hanging="307"/>
        <w:spacing w:after="0" w:line="253"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the UAS and UGS markets do not experience significant growth, if we cannot expand our customer base or if our products do not achieve broad acceptance, or if the products we have developed or will develop do not become programs of record, then we may not be able to achieve our anticipated level of growth.</w:t>
      </w: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Loss of our General Services Administration (“GSA”) contracts or government-wide acquisition contracts could impair our ability to attract new business.</w:t>
      </w:r>
    </w:p>
    <w:p>
      <w:pPr>
        <w:spacing w:after="0" w:line="33" w:lineRule="exact"/>
        <w:rPr>
          <w:rFonts w:ascii="Arial" w:cs="Arial" w:eastAsia="Arial" w:hAnsi="Arial"/>
          <w:sz w:val="15"/>
          <w:szCs w:val="15"/>
          <w:color w:val="auto"/>
        </w:rPr>
      </w:pPr>
    </w:p>
    <w:p>
      <w:pPr>
        <w:ind w:left="620" w:right="360" w:hanging="307"/>
        <w:spacing w:after="0" w:line="253"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Government contracts differ materially from standard commercial contracts, involve competitive bidding and may be subject to cancellation or delay without penalty.</w:t>
      </w:r>
    </w:p>
    <w:p>
      <w:pPr>
        <w:ind w:left="620" w:right="360" w:hanging="307"/>
        <w:spacing w:after="0" w:line="253"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not receive the full amounts estimated under the contracts in our backlog, which could reduce our revenue in future periods below the levels anticipated.</w:t>
      </w:r>
    </w:p>
    <w:p>
      <w:pPr>
        <w:ind w:left="620" w:right="40" w:hanging="307"/>
        <w:spacing w:after="0" w:line="253"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A preference for minority-owned, small and small disadvantaged businesses could impact our ability to be a prime contractor and limit our opportunity to work as a subcontractor on certain governmental procurements.</w:t>
      </w: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U.S. Government in-sourcing could result in loss of business opportunities and personnel.</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business could be negatively impacted by cyber and other security threats or disruptions.</w:t>
      </w:r>
    </w:p>
    <w:p>
      <w:pPr>
        <w:spacing w:after="0" w:line="10" w:lineRule="exact"/>
        <w:rPr>
          <w:rFonts w:ascii="Arial" w:cs="Arial" w:eastAsia="Arial" w:hAnsi="Arial"/>
          <w:sz w:val="17"/>
          <w:szCs w:val="17"/>
          <w:color w:val="auto"/>
        </w:rPr>
      </w:pPr>
    </w:p>
    <w:p>
      <w:pPr>
        <w:ind w:left="620" w:right="400" w:hanging="307"/>
        <w:spacing w:after="0" w:line="253"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products are complex and could have unknown defects or errors, which may increase our costs, harm our reputation with customers, give rise to costly litigation, or divert our resources from other purposes.</w:t>
      </w:r>
    </w:p>
    <w:p>
      <w:pPr>
        <w:ind w:left="620" w:right="340" w:hanging="307"/>
        <w:spacing w:after="0" w:line="253"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Due to the volatile and flammable nature of certain components of our products and equipment, fires or explosions may disrupt our business or cause significant injuries, which could adversely affect our financial results.</w:t>
      </w:r>
    </w:p>
    <w:p>
      <w:pPr>
        <w:ind w:left="620" w:right="100" w:hanging="307"/>
        <w:spacing w:after="0" w:line="253"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margins and operating results may suffer if we experience unfavorable changes in the proportion of cost-plus-fee or fixed-price contracts in our total contract mix.</w:t>
      </w: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incurred and may continue to incur goodwill impairment charges in our reporting entities, which could harm our profitability.</w:t>
      </w:r>
    </w:p>
    <w:p>
      <w:pPr>
        <w:spacing w:after="0" w:line="10" w:lineRule="exact"/>
        <w:rPr>
          <w:rFonts w:ascii="Arial" w:cs="Arial" w:eastAsia="Arial" w:hAnsi="Arial"/>
          <w:sz w:val="17"/>
          <w:szCs w:val="17"/>
          <w:color w:val="auto"/>
        </w:rPr>
      </w:pPr>
    </w:p>
    <w:p>
      <w:pPr>
        <w:ind w:left="620" w:right="660" w:hanging="307"/>
        <w:spacing w:after="0" w:line="266"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utilize our net operating loss carryforwards and certain other tax attributes may be limited. We may be required to record valuation allowances on our net operating loss carryforwards in future periods, which could harm our profitability.</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Operations</w:t>
      </w:r>
    </w:p>
    <w:p>
      <w:pPr>
        <w:spacing w:after="0" w:line="62" w:lineRule="exact"/>
        <w:rPr>
          <w:sz w:val="20"/>
          <w:szCs w:val="20"/>
          <w:color w:val="auto"/>
        </w:rPr>
      </w:pPr>
    </w:p>
    <w:p>
      <w:pPr>
        <w:ind w:left="620" w:hanging="307"/>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operations expose us to risks associated with pandemics, epidemics or other public health emergencies, such as the outbreak of COVID-19.</w:t>
      </w:r>
    </w:p>
    <w:p>
      <w:pPr>
        <w:spacing w:after="0" w:line="200" w:lineRule="exact"/>
        <w:rPr>
          <w:rFonts w:ascii="Arial" w:cs="Arial" w:eastAsia="Arial" w:hAnsi="Arial"/>
          <w:sz w:val="16"/>
          <w:szCs w:val="16"/>
          <w:color w:val="auto"/>
        </w:rPr>
      </w:pPr>
    </w:p>
    <w:p>
      <w:pPr>
        <w:spacing w:after="0" w:line="35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19" w:name="page20"/>
    <w:bookmarkEnd w:id="19"/>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need additional capital to fund the growth of our business, and financing may not be available on favorable terms or at all.</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cash may be subject to a risk of loss and we may be exposed to fluctuations in the market values of our portfolio investments and in interest rates.</w:t>
      </w:r>
    </w:p>
    <w:p>
      <w:pPr>
        <w:spacing w:after="0" w:line="33"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Past acquisitions and future acquisitions could prove difficult to integrate, disrupt our business, dilute stockholder value and strain our resources.</w:t>
      </w:r>
    </w:p>
    <w:p>
      <w:pPr>
        <w:spacing w:after="0" w:line="22" w:lineRule="exact"/>
        <w:rPr>
          <w:rFonts w:ascii="Arial" w:cs="Arial" w:eastAsia="Arial" w:hAnsi="Arial"/>
          <w:sz w:val="16"/>
          <w:szCs w:val="16"/>
          <w:color w:val="auto"/>
        </w:rPr>
      </w:pPr>
    </w:p>
    <w:p>
      <w:pPr>
        <w:ind w:left="620" w:right="220" w:hanging="307"/>
        <w:spacing w:after="0" w:line="253"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loss of any member of our senior management could impair our relationships with U.S. Government customers and disrupt the management of our business.</w:t>
      </w:r>
    </w:p>
    <w:p>
      <w:pPr>
        <w:ind w:left="620" w:right="120" w:hanging="307"/>
        <w:spacing w:after="0" w:line="253"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fail to attract and retain skilled employees or employees with the necessary national security clearances, we might not be able to perform under our contracts or win new business.</w:t>
      </w:r>
    </w:p>
    <w:p>
      <w:pPr>
        <w:ind w:left="620" w:right="820" w:hanging="307"/>
        <w:spacing w:after="0" w:line="253"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subject to the requirements of the National Industrial Security Program Operating Manual for our facility security clearance, which is a prerequisite to our ability to perform on classified contracts for the U.S. Government.</w:t>
      </w:r>
    </w:p>
    <w:p>
      <w:pPr>
        <w:ind w:left="620" w:right="100" w:hanging="307"/>
        <w:spacing w:after="0" w:line="266"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will be subject to the new DoD CMMC requirement recently issued by the Pentagon which may limit our ability to bid and win projects. The cost for the new CMMC requirement may be significant.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International Operations</w:t>
      </w:r>
    </w:p>
    <w:p>
      <w:pPr>
        <w:spacing w:after="0" w:line="62" w:lineRule="exact"/>
        <w:rPr>
          <w:sz w:val="20"/>
          <w:szCs w:val="20"/>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Revenues derived from our international business could be subject to global economic downturn and hardship.</w:t>
      </w:r>
    </w:p>
    <w:p>
      <w:pPr>
        <w:spacing w:after="0" w:line="21" w:lineRule="exact"/>
        <w:rPr>
          <w:rFonts w:ascii="Arial" w:cs="Arial" w:eastAsia="Arial" w:hAnsi="Arial"/>
          <w:sz w:val="17"/>
          <w:szCs w:val="17"/>
          <w:color w:val="auto"/>
        </w:rPr>
      </w:pPr>
    </w:p>
    <w:p>
      <w:pPr>
        <w:ind w:left="620" w:right="580" w:hanging="307"/>
        <w:spacing w:after="0" w:line="250"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international business exposes us to additional risks, including the possibility of war and terrorist events which could impact our international operations such as Microwave Electronics, which is headquartered in Israel.</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Long-Term Borrowings</w:t>
      </w:r>
    </w:p>
    <w:p>
      <w:pPr>
        <w:spacing w:after="0" w:line="62" w:lineRule="exact"/>
        <w:rPr>
          <w:sz w:val="20"/>
          <w:szCs w:val="20"/>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have substantial long-term borrowings, which could adversely affect our cash flow, financial condition and business.</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and our subsidiaries may incur more debt, which may increase the risks associated with our leverage, including our ability to service our indebtedness.</w:t>
      </w:r>
    </w:p>
    <w:p>
      <w:pPr>
        <w:spacing w:after="0" w:line="33" w:lineRule="exact"/>
        <w:rPr>
          <w:rFonts w:ascii="Arial" w:cs="Arial" w:eastAsia="Arial" w:hAnsi="Arial"/>
          <w:sz w:val="15"/>
          <w:szCs w:val="15"/>
          <w:color w:val="auto"/>
        </w:rPr>
      </w:pPr>
    </w:p>
    <w:p>
      <w:pPr>
        <w:ind w:left="620" w:right="160" w:hanging="307"/>
        <w:spacing w:after="0" w:line="253"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w:t>
      </w:r>
    </w:p>
    <w:p>
      <w:pPr>
        <w:ind w:left="620" w:right="660" w:hanging="307"/>
        <w:spacing w:after="0" w:line="266"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agreements governing our debt impose significant operating and financial restrictions on us and our subsidiaries that may prevent us and our subsidiaries from pursuing certain business opportunities and restrict our ability to operate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Intellectual Property</w:t>
      </w:r>
    </w:p>
    <w:p>
      <w:pPr>
        <w:spacing w:after="0" w:line="62"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be unable to protect our intellectual property rights.</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Disclosure of trade secrets could cause harm to our business.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be harmed by intellectual property infringement claims.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Regulatory, Environmental and Legal Issues</w:t>
      </w:r>
    </w:p>
    <w:p>
      <w:pPr>
        <w:spacing w:after="0" w:line="62" w:lineRule="exact"/>
        <w:rPr>
          <w:sz w:val="20"/>
          <w:szCs w:val="20"/>
          <w:color w:val="auto"/>
        </w:rPr>
      </w:pPr>
    </w:p>
    <w:p>
      <w:pPr>
        <w:ind w:left="620" w:hanging="307"/>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failure to comply with complex procurement laws and regulations could cause us to lose business and subject us to a variety of penalties.</w:t>
      </w:r>
    </w:p>
    <w:p>
      <w:pPr>
        <w:spacing w:after="0" w:line="33" w:lineRule="exact"/>
        <w:rPr>
          <w:rFonts w:ascii="Arial" w:cs="Arial" w:eastAsia="Arial" w:hAnsi="Arial"/>
          <w:sz w:val="16"/>
          <w:szCs w:val="16"/>
          <w:color w:val="auto"/>
        </w:rPr>
      </w:pPr>
    </w:p>
    <w:p>
      <w:pPr>
        <w:ind w:left="620" w:right="480" w:hanging="307"/>
        <w:spacing w:after="0" w:line="253"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contracts and administrative processes and systems are subject to audits and cost adjustments by the U.S. Government, which could reduce our revenue, disrupt our business or otherwise adversely affect our results of operations.</w:t>
      </w:r>
    </w:p>
    <w:p>
      <w:pPr>
        <w:ind w:left="620" w:right="160" w:hanging="307"/>
        <w:spacing w:after="0" w:line="266"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Common Stock</w:t>
      </w:r>
    </w:p>
    <w:p>
      <w:pPr>
        <w:spacing w:after="0" w:line="62" w:lineRule="exact"/>
        <w:rPr>
          <w:sz w:val="20"/>
          <w:szCs w:val="20"/>
          <w:color w:val="auto"/>
        </w:rPr>
      </w:pPr>
    </w:p>
    <w:p>
      <w:pPr>
        <w:ind w:right="1960" w:firstLine="313"/>
        <w:spacing w:after="0" w:line="564" w:lineRule="auto"/>
        <w:tabs>
          <w:tab w:leader="none" w:pos="614" w:val="left"/>
        </w:tabs>
        <w:numPr>
          <w:ilvl w:val="0"/>
          <w:numId w:val="15"/>
        </w:numPr>
        <w:rPr>
          <w:rFonts w:ascii="Arial" w:cs="Arial" w:eastAsia="Arial" w:hAnsi="Arial"/>
          <w:sz w:val="17"/>
          <w:szCs w:val="17"/>
          <w:color w:val="auto"/>
        </w:rPr>
      </w:pPr>
      <w:r>
        <w:rPr>
          <w:rFonts w:ascii="Arial" w:cs="Arial" w:eastAsia="Arial" w:hAnsi="Arial"/>
          <w:sz w:val="17"/>
          <w:szCs w:val="17"/>
          <w:color w:val="auto"/>
        </w:rPr>
        <w:t>Some of our contracts with the U.S. Government are classified, which may limit investor insight into portions of our business. For a more complete discussion of the material risks facing our business, see below.</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U.S. Government provides a significant portion of our revenue, and our business could be adversely affected by changes in the fiscal policies of the U.S.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and governmental entities.</w:t>
      </w:r>
    </w:p>
    <w:p>
      <w:pPr>
        <w:spacing w:after="0" w:line="206" w:lineRule="exact"/>
        <w:rPr>
          <w:sz w:val="20"/>
          <w:szCs w:val="20"/>
          <w:color w:val="auto"/>
        </w:rPr>
      </w:pPr>
    </w:p>
    <w:p>
      <w:pPr>
        <w:ind w:firstLine="172"/>
        <w:spacing w:after="0" w:line="273" w:lineRule="auto"/>
        <w:rPr>
          <w:sz w:val="20"/>
          <w:szCs w:val="20"/>
          <w:color w:val="auto"/>
        </w:rPr>
      </w:pPr>
      <w:r>
        <w:rPr>
          <w:rFonts w:ascii="Arial" w:cs="Arial" w:eastAsia="Arial" w:hAnsi="Arial"/>
          <w:sz w:val="16"/>
          <w:szCs w:val="16"/>
          <w:color w:val="auto"/>
        </w:rPr>
        <w:t>In fiscal 2021, 2020 and 2019, we generated 70%, 73% and 71%, respectively, of our total revenues from contracts with the U.S. Government (including all branches of the U.S. military and FMS), either as a prime contractor or a subcontractor. We expect to continue to derive most of our revenues from work performed under U.S. Government contracts. See the Industry Update section in Item 1 “Business” contained within this Annual Report for a discussion of the current budgetary and funding constraints on U.S. Government spending and legislation enacted to reduce the U.S. federal deficit. As a result, we have experienced and expect to continue to experience reduced or delayed awards on some of our programs, with a related negative impact to our revenues, earnings and cash flows. Competitor bid protests also have become more prevalent in the current competitive environment resulting from decreased government spending, which has led to further contract award delays. In addition, any future changes to the fiscal policies of the U.S. Government and foreign governmental entities may decrease overall government funding for defense and homeland security, result in delays in the procurement of our products and services due to lack of funding, cause the U.S. Government and government agencies to reduce their purchases under existing contracts, or cause them to exercise their rights to terminate contracts at-will or to abstain from exercising options to renew contracts, any of which would have an adverse effect on our business, financial condition, results of operations and/or cash flows.</w:t>
      </w:r>
    </w:p>
    <w:p>
      <w:pPr>
        <w:spacing w:after="0" w:line="173"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b w:val="1"/>
          <w:bCs w:val="1"/>
          <w:i w:val="1"/>
          <w:iCs w:val="1"/>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spacing w:after="0" w:line="140" w:lineRule="exact"/>
        <w:rPr>
          <w:sz w:val="20"/>
          <w:szCs w:val="20"/>
          <w:color w:val="auto"/>
        </w:rPr>
      </w:pPr>
    </w:p>
    <w:p>
      <w:pPr>
        <w:ind w:right="40" w:firstLine="172"/>
        <w:spacing w:after="0" w:line="273" w:lineRule="auto"/>
        <w:rPr>
          <w:sz w:val="20"/>
          <w:szCs w:val="20"/>
          <w:color w:val="auto"/>
        </w:rPr>
      </w:pPr>
      <w:r>
        <w:rPr>
          <w:rFonts w:ascii="Arial" w:cs="Arial" w:eastAsia="Arial" w:hAnsi="Arial"/>
          <w:sz w:val="16"/>
          <w:szCs w:val="16"/>
          <w:color w:val="auto"/>
        </w:rPr>
        <w:t>U.S. Government programs are subject to annual congressional budget authorization and appropriation processes. For many programs, Congress appropriates funds on a fiscal year basis even though the program performance period may extend over several years. Consequently, programs are often partially funded initially and additional funds are committed only as Congress makes further appropriations. If we incur costs in excess of funds obligated on a contract, we may be at risk for reimbursement of those costs unless and until additional funds are obligated to the contract. We cannot predict the extent to which total funding and/or funding for individual programs will be included, increased or reduced as part of the annual budget process ultimately approved by Congress and the President or in separate supplemental appropriations or continuing resolutions, as applicable. Laws and plans adopted by the U.S. Government relating to, along with pressures on and uncertainty surrounding the federal budget, potential changes in priorities and defense spending levels, sequestration, the appropriations process, use of continuing resolutions (with restrictions, e.g., on new starts) and the permissible federal debt limit, could adversely affect the funding for individual programs and delay purchasing or payment decisions by our customers. In the event government funding for our significant programs becomes unavailable, or is reduced or delayed, or planned orders are reduced, our contract or subcontract under such programs may be terminated or adjusted by the U.S. Government or the prime contractor.</w:t>
      </w:r>
    </w:p>
    <w:p>
      <w:pPr>
        <w:spacing w:after="0" w:line="173" w:lineRule="exact"/>
        <w:rPr>
          <w:sz w:val="20"/>
          <w:szCs w:val="20"/>
          <w:color w:val="auto"/>
        </w:rPr>
      </w:pPr>
    </w:p>
    <w:p>
      <w:pPr>
        <w:ind w:right="20" w:firstLine="169"/>
        <w:spacing w:after="0" w:line="279" w:lineRule="auto"/>
        <w:rPr>
          <w:sz w:val="20"/>
          <w:szCs w:val="20"/>
          <w:color w:val="auto"/>
        </w:rPr>
      </w:pPr>
      <w:r>
        <w:rPr>
          <w:rFonts w:ascii="Arial" w:cs="Arial" w:eastAsia="Arial" w:hAnsi="Arial"/>
          <w:sz w:val="17"/>
          <w:szCs w:val="17"/>
          <w:color w:val="auto"/>
        </w:rPr>
        <w:t>The federal budget and debt ceiling are expected to continue to be the subject of considerable debate, which could have a significant impact on defense spending broadly and our programs in particular.</w:t>
      </w:r>
    </w:p>
    <w:p>
      <w:pPr>
        <w:spacing w:after="0" w:line="164" w:lineRule="exact"/>
        <w:rPr>
          <w:sz w:val="20"/>
          <w:szCs w:val="20"/>
          <w:color w:val="auto"/>
        </w:rPr>
      </w:pPr>
    </w:p>
    <w:p>
      <w:pPr>
        <w:ind w:right="140" w:firstLine="169"/>
        <w:spacing w:after="0" w:line="256" w:lineRule="auto"/>
        <w:rPr>
          <w:sz w:val="20"/>
          <w:szCs w:val="20"/>
          <w:color w:val="auto"/>
        </w:rPr>
      </w:pPr>
      <w:r>
        <w:rPr>
          <w:rFonts w:ascii="Arial" w:cs="Arial" w:eastAsia="Arial" w:hAnsi="Arial"/>
          <w:sz w:val="17"/>
          <w:szCs w:val="17"/>
          <w:color w:val="auto"/>
        </w:rPr>
        <w:t>The budget environment, including budget caps mandated by the BCA for fiscal years 2021 and 2022, and uncertainty surrounding the debt ceiling and the appropriations process, remain significant short and long-term risks. Considerable uncertainty exists regarding how future budget and program decisions will unfold, including the defense spending priorities of the current administration and Congress, what challenges budget reductions (required by the BCA and otherwise) will present for the defense industry and whether annual appropriations bills for all agencies will be enacted in a timely manner. If annual appropriations bills are not timely enacted, the U.S. Government may again operate under a continuing resolution, restricting new contract or program starts, presenting resource allocation challenges and placing limitations on some planned program budgets, and we may face another government shutdown of unknown duration. If a prolonged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186" w:lineRule="exact"/>
        <w:rPr>
          <w:sz w:val="20"/>
          <w:szCs w:val="20"/>
          <w:color w:val="auto"/>
        </w:rPr>
      </w:pPr>
    </w:p>
    <w:p>
      <w:pPr>
        <w:jc w:val="both"/>
        <w:ind w:right="220" w:firstLine="619"/>
        <w:spacing w:after="0" w:line="290" w:lineRule="auto"/>
        <w:rPr>
          <w:sz w:val="20"/>
          <w:szCs w:val="20"/>
          <w:color w:val="auto"/>
        </w:rPr>
      </w:pPr>
      <w:r>
        <w:rPr>
          <w:rFonts w:ascii="Arial" w:cs="Arial" w:eastAsia="Arial" w:hAnsi="Arial"/>
          <w:sz w:val="16"/>
          <w:szCs w:val="16"/>
          <w:color w:val="auto"/>
        </w:rPr>
        <w:t>We believe continued budget pressures would have serious negative consequences for the security of our country, the defense industrial base, including the Company, and the customers, employees, suppliers, investors, and communities that rely on companies in the defense industrial base. It is likely budget and program decisions made in this environment would have long-term implications for us and the entire defense industry.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1" w:name="page22"/>
    <w:bookmarkEnd w:id="21"/>
    <w:p>
      <w:pPr>
        <w:ind w:right="280" w:firstLine="162"/>
        <w:spacing w:after="0" w:line="262" w:lineRule="auto"/>
        <w:rPr>
          <w:sz w:val="20"/>
          <w:szCs w:val="20"/>
          <w:color w:val="auto"/>
        </w:rPr>
      </w:pPr>
      <w:r>
        <w:rPr>
          <w:rFonts w:ascii="Arial" w:cs="Arial" w:eastAsia="Arial" w:hAnsi="Arial"/>
          <w:sz w:val="17"/>
          <w:szCs w:val="17"/>
          <w:color w:val="auto"/>
        </w:rPr>
        <w:t>Additionally, funding for certain programs in which we participate may be reduced, delayed or cancelled, and budget cuts globally could adversely affect the viability of our subcontractors and suppliers, and our employee base. While we believe that our business is well-positioned in areas that the DoD and other customers have indicated are areas of focus for future defense spending, the long-term impact of the BCA, other defense spending cuts, challenges in the appropriations process, the debt ceiling and the ongoing fiscal debates remain uncertain.</w:t>
      </w:r>
    </w:p>
    <w:p>
      <w:pPr>
        <w:spacing w:after="0" w:line="178" w:lineRule="exact"/>
        <w:rPr>
          <w:sz w:val="20"/>
          <w:szCs w:val="20"/>
          <w:color w:val="auto"/>
        </w:rPr>
      </w:pPr>
    </w:p>
    <w:p>
      <w:pPr>
        <w:ind w:right="20" w:firstLine="172"/>
        <w:spacing w:after="0" w:line="266" w:lineRule="auto"/>
        <w:rPr>
          <w:sz w:val="20"/>
          <w:szCs w:val="20"/>
          <w:color w:val="auto"/>
        </w:rPr>
      </w:pPr>
      <w:r>
        <w:rPr>
          <w:rFonts w:ascii="Arial" w:cs="Arial" w:eastAsia="Arial" w:hAnsi="Arial"/>
          <w:sz w:val="17"/>
          <w:szCs w:val="17"/>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17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If we fail to establish and maintain important relationships with government agencies and prime contractors, our ability to successfully maintain and develop new business may be adversely affected.</w:t>
      </w:r>
    </w:p>
    <w:p>
      <w:pPr>
        <w:spacing w:after="0" w:line="164" w:lineRule="exact"/>
        <w:rPr>
          <w:sz w:val="20"/>
          <w:szCs w:val="20"/>
          <w:color w:val="auto"/>
        </w:rPr>
      </w:pPr>
    </w:p>
    <w:p>
      <w:pPr>
        <w:ind w:right="20" w:firstLine="619"/>
        <w:spacing w:after="0" w:line="275" w:lineRule="auto"/>
        <w:rPr>
          <w:sz w:val="20"/>
          <w:szCs w:val="20"/>
          <w:color w:val="auto"/>
        </w:rPr>
      </w:pPr>
      <w:r>
        <w:rPr>
          <w:rFonts w:ascii="Arial" w:cs="Arial" w:eastAsia="Arial" w:hAnsi="Arial"/>
          <w:sz w:val="16"/>
          <w:szCs w:val="16"/>
          <w:color w:val="auto"/>
        </w:rPr>
        <w:t>Our reputation and relationship with the U.S. Government, and in particular with the agencies of the DoD and the U.S. intelligence community, are key factors in maintaining and developing new business opportunities. In addition, we often act as a subcontractor or in “teaming” arrangements in which we and other contractors bid together on particular contracts or programs for the U.S. Government or government agencies. We expect to continue to depend on relationships with other prime contractors for a portion of our revenue for the foreseeable future. Negative press reports regarding conflicts of interest, poor contract performance, employee misconduct, information security breaches or other aspects of our business, regardless of accuracy, could harm our reputation. Additionally, as a subcontractor or team member, we often lack control over fulfillment of a contract, and poor performance on the contract could tarnish our reputation, even when we perform as required. As a result, we may be unable to successfully maintain our relationships with government agencies or prime contractors, and any failure to do so could adversely affect our ability to maintain our existing business and compete successfully for new business.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one or more of our largest customers, programs, or applications could adversely affect our results of operations.</w:t>
      </w:r>
    </w:p>
    <w:p>
      <w:pPr>
        <w:spacing w:after="0" w:line="217" w:lineRule="exact"/>
        <w:rPr>
          <w:sz w:val="20"/>
          <w:szCs w:val="20"/>
          <w:color w:val="auto"/>
        </w:rPr>
      </w:pPr>
    </w:p>
    <w:p>
      <w:pPr>
        <w:ind w:right="100" w:firstLine="619"/>
        <w:spacing w:after="0" w:line="276" w:lineRule="auto"/>
        <w:rPr>
          <w:sz w:val="20"/>
          <w:szCs w:val="20"/>
          <w:color w:val="auto"/>
        </w:rPr>
      </w:pPr>
      <w:r>
        <w:rPr>
          <w:rFonts w:ascii="Arial" w:cs="Arial" w:eastAsia="Arial" w:hAnsi="Arial"/>
          <w:sz w:val="16"/>
          <w:szCs w:val="16"/>
          <w:color w:val="auto"/>
        </w:rPr>
        <w:t>We are dependent on a small number of customers for certain large programs that represent a large portion of our revenues. A significant decrease in the sales to or loss of any of these programs or our major customers would have a material adverse effect on our business and results of operations. In fiscal 2021 and 2020, the U.S. Air Force accounted for 26.7% and 22.5% respectively, of our total revenues and the U.S. Navy accounted for 13.9% and 12.5%, respectively, of our total revenues. No assurance can be given that our customers will not experience financial, technical or other difficulties that could adversely affect their operations and, in turn, our results of operations. We believe that the USAF BQM-167, USN BQM-177, and the GBSD programs could be a large portion of our future revenues in the coming years, and the loss or cancellation of any of these programs could adversely affect our future results. Further, new programs may yield lower margins than legacy programs, which could result in an overall reduction in gross margins.</w:t>
      </w:r>
    </w:p>
    <w:p>
      <w:pPr>
        <w:spacing w:after="0" w:line="92" w:lineRule="exact"/>
        <w:rPr>
          <w:sz w:val="20"/>
          <w:szCs w:val="20"/>
          <w:color w:val="auto"/>
        </w:rPr>
      </w:pPr>
    </w:p>
    <w:p>
      <w:pPr>
        <w:spacing w:after="0" w:line="318" w:lineRule="auto"/>
        <w:rPr>
          <w:sz w:val="20"/>
          <w:szCs w:val="20"/>
          <w:color w:val="auto"/>
        </w:rPr>
      </w:pPr>
      <w:r>
        <w:rPr>
          <w:rFonts w:ascii="Arial" w:cs="Arial" w:eastAsia="Arial" w:hAnsi="Arial"/>
          <w:sz w:val="15"/>
          <w:szCs w:val="15"/>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these obligations could adversely affect our profitability and future prospects. Early termination of client contracts or contract penalties could adversely affect our results of operations.</w:t>
      </w:r>
    </w:p>
    <w:p>
      <w:pPr>
        <w:spacing w:after="0" w:line="139" w:lineRule="exact"/>
        <w:rPr>
          <w:sz w:val="20"/>
          <w:szCs w:val="20"/>
          <w:color w:val="auto"/>
        </w:rPr>
      </w:pPr>
    </w:p>
    <w:p>
      <w:pPr>
        <w:ind w:firstLine="619"/>
        <w:spacing w:after="0" w:line="293" w:lineRule="auto"/>
        <w:rPr>
          <w:sz w:val="20"/>
          <w:szCs w:val="20"/>
          <w:color w:val="auto"/>
        </w:rPr>
      </w:pPr>
      <w:r>
        <w:rPr>
          <w:rFonts w:ascii="Arial" w:cs="Arial" w:eastAsia="Arial" w:hAnsi="Arial"/>
          <w:sz w:val="15"/>
          <w:szCs w:val="15"/>
          <w:color w:val="auto"/>
        </w:rPr>
        <w:t>We design, develop, and manufacture technologically advanced and innovative products and services, which are applied by our customers in a variety of environments. Problems and delays in development or delivery as a result of issues with respect to design, technology, licensing and intellectual property rights, labor, inability to achieve learning curve assumptions, manufacturing materials or components could prevent us from meeting requirements. Either we or the customer may generally terminate a contract as a result of a material uncured breach by the other. If we breach a contract or fail to perform in accordance with contractual service levels, delivery schedules, performance specifications, or other contractual requirements set forth therein, the other party thereto may terminate such contract for default, and we may be required to refund money previously paid to us by the customer or to pay penalties or other damages. Even if we have not breached, we may deal with various situations from time to time that may result in the amendment or termination of a contract. These steps can result in significant current period charges and/or reductions in current or future revenue, and/or delays in collection of outstanding receivables and costs incurred on the contract. Other factors that may affect revenue and profitability include inaccurate cost estimates, design issues, unforeseen costs and expenses not covered by insurance or indemnification from the customer, diversion of management focus in responding to unforeseen problems, and loss of follow-on work.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22" w:name="page23"/>
    <w:bookmarkEnd w:id="22"/>
    <w:p>
      <w:pPr>
        <w:spacing w:after="0" w:line="279" w:lineRule="auto"/>
        <w:rPr>
          <w:sz w:val="20"/>
          <w:szCs w:val="20"/>
          <w:color w:val="auto"/>
        </w:rPr>
      </w:pPr>
      <w:r>
        <w:rPr>
          <w:rFonts w:ascii="Arial" w:cs="Arial" w:eastAsia="Arial" w:hAnsi="Arial"/>
          <w:sz w:val="17"/>
          <w:szCs w:val="17"/>
          <w:b w:val="1"/>
          <w:bCs w:val="1"/>
          <w:i w:val="1"/>
          <w:iCs w:val="1"/>
          <w:color w:val="auto"/>
        </w:rPr>
        <w:t>If our subcontractors or suppliers fail to perform their contractual obligations, our performance and reputation as a contractor and our ability to obtain future business could suffer.</w:t>
      </w:r>
    </w:p>
    <w:p>
      <w:pPr>
        <w:spacing w:after="0" w:line="164" w:lineRule="exact"/>
        <w:rPr>
          <w:sz w:val="20"/>
          <w:szCs w:val="20"/>
          <w:color w:val="auto"/>
        </w:rPr>
      </w:pPr>
    </w:p>
    <w:p>
      <w:pPr>
        <w:ind w:right="60" w:firstLine="619"/>
        <w:spacing w:after="0" w:line="257" w:lineRule="auto"/>
        <w:rPr>
          <w:sz w:val="20"/>
          <w:szCs w:val="20"/>
          <w:color w:val="auto"/>
        </w:rPr>
      </w:pPr>
      <w:r>
        <w:rPr>
          <w:rFonts w:ascii="Arial" w:cs="Arial" w:eastAsia="Arial" w:hAnsi="Arial"/>
          <w:sz w:val="17"/>
          <w:szCs w:val="17"/>
          <w:color w:val="auto"/>
        </w:rPr>
        <w:t>As a prime contractor, we often rely upon other companies as subcontractors to perform work we are obligated to perform for our customers. As we secure more work under certain of our contracts, we expect to require an increasing level of support from subcontractors that provide complementary and supplementary services to our offerings. We are responsible for the work performed by our subcontractors, even though in some cases we have limited involvement in that work. If one or more of our subcontractors fails to satisfactorily perform the agreed-upon services on a timely basis or violates U.S. Government contracting policies, laws or regulations, our ability to perform our obligations as a prime contractor or meet our customers’ expectations may be compromised. In extreme cases, performance or other deficiencies on the part of our subcontractors could result in a customer terminating our contract for default. A termination for default could expose us to liability, including liability for the agency’s costs of re-procurement, could damage our reputation and could hurt our ability to compete for future contracts.</w:t>
      </w:r>
    </w:p>
    <w:p>
      <w:pPr>
        <w:spacing w:after="0" w:line="182" w:lineRule="exact"/>
        <w:rPr>
          <w:sz w:val="20"/>
          <w:szCs w:val="20"/>
          <w:color w:val="auto"/>
        </w:rPr>
      </w:pPr>
    </w:p>
    <w:p>
      <w:pPr>
        <w:ind w:right="80" w:firstLine="619"/>
        <w:spacing w:after="0" w:line="349" w:lineRule="auto"/>
        <w:rPr>
          <w:sz w:val="20"/>
          <w:szCs w:val="20"/>
          <w:color w:val="auto"/>
        </w:rPr>
      </w:pPr>
      <w:r>
        <w:rPr>
          <w:rFonts w:ascii="Arial" w:cs="Arial" w:eastAsia="Arial" w:hAnsi="Arial"/>
          <w:sz w:val="15"/>
          <w:szCs w:val="15"/>
          <w:color w:val="auto"/>
        </w:rPr>
        <w:t>We are also required to procure certain materials and parts from supply sources approved by the U.S. Government. The inability of a supplier to meet our needs or the appearance of counterfeit parts in our products could have a material adverse effect on our financial position, results of operations or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earnings and profitability depend, in part, on subcontractor and supplier performance and product availability.</w:t>
      </w:r>
    </w:p>
    <w:p>
      <w:pPr>
        <w:spacing w:after="0" w:line="217" w:lineRule="exact"/>
        <w:rPr>
          <w:sz w:val="20"/>
          <w:szCs w:val="20"/>
          <w:color w:val="auto"/>
        </w:rPr>
      </w:pPr>
    </w:p>
    <w:p>
      <w:pPr>
        <w:ind w:right="100" w:firstLine="619"/>
        <w:spacing w:after="0" w:line="283" w:lineRule="auto"/>
        <w:rPr>
          <w:sz w:val="20"/>
          <w:szCs w:val="20"/>
          <w:color w:val="auto"/>
        </w:rPr>
      </w:pPr>
      <w:r>
        <w:rPr>
          <w:rFonts w:ascii="Arial" w:cs="Arial" w:eastAsia="Arial" w:hAnsi="Arial"/>
          <w:sz w:val="16"/>
          <w:szCs w:val="16"/>
          <w:color w:val="auto"/>
        </w:rPr>
        <w:t>We rely on other companies to provide major components for our products. For instance, we build the airframe, electronics and flight control systems for our unmanned aerial systems. We primarily rely on our suppliers to provide the engines and parachutes for landing the aircraft. Disruptions or performance problems caused by our subcontractors and suppliers, or a misalignment between our contractual obligations to our customers and our agreements with our subcontractors and suppliers, could have an adverse effect on our ability to meet our commitments to customers.</w:t>
      </w:r>
    </w:p>
    <w:p>
      <w:pPr>
        <w:spacing w:after="0" w:line="164" w:lineRule="exact"/>
        <w:rPr>
          <w:sz w:val="20"/>
          <w:szCs w:val="20"/>
          <w:color w:val="auto"/>
        </w:rPr>
      </w:pPr>
    </w:p>
    <w:p>
      <w:pPr>
        <w:ind w:right="40" w:firstLine="619"/>
        <w:spacing w:after="0" w:line="299" w:lineRule="auto"/>
        <w:rPr>
          <w:sz w:val="20"/>
          <w:szCs w:val="20"/>
          <w:color w:val="auto"/>
        </w:rPr>
      </w:pPr>
      <w:r>
        <w:rPr>
          <w:rFonts w:ascii="Arial" w:cs="Arial" w:eastAsia="Arial" w:hAnsi="Arial"/>
          <w:sz w:val="15"/>
          <w:szCs w:val="15"/>
          <w:color w:val="auto"/>
        </w:rPr>
        <w:t>Our ability to perform our obligations on time could be adversely affected if one or more of our subcontractors or suppliers were unable to provide the agreed-upon products or materials or perform the agreed-upon services in a timely, compliant and cost-effective manner or otherwise to meet the requirements of the contract. Changes in economic conditions, including changes in defense budgets or credit availability, or other changes impacting a subcontractor or supplier (including changes in ownership or operations) could adversely affect the financial stability of our subcontractors and suppliers and/or their ability to perform.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w:t>
      </w:r>
    </w:p>
    <w:p>
      <w:pPr>
        <w:spacing w:after="0" w:line="155" w:lineRule="exact"/>
        <w:rPr>
          <w:sz w:val="20"/>
          <w:szCs w:val="20"/>
          <w:color w:val="auto"/>
        </w:rPr>
      </w:pPr>
    </w:p>
    <w:p>
      <w:pPr>
        <w:jc w:val="both"/>
        <w:ind w:right="140" w:firstLine="619"/>
        <w:spacing w:after="0" w:line="262" w:lineRule="auto"/>
        <w:rPr>
          <w:sz w:val="20"/>
          <w:szCs w:val="20"/>
          <w:color w:val="auto"/>
        </w:rPr>
      </w:pPr>
      <w:r>
        <w:rPr>
          <w:rFonts w:ascii="Arial" w:cs="Arial" w:eastAsia="Arial" w:hAnsi="Arial"/>
          <w:sz w:val="17"/>
          <w:szCs w:val="17"/>
          <w:color w:val="auto"/>
        </w:rPr>
        <w:t>In connection with our U.S. Government contracts, we are required to procure certain materials, components and parts from supply sources approved by the customer. We are also facing increased and changing regulatory requirements, many of which apply to our subcontractors and suppliers. In some cases, there may be only one supplier for certain components. If a sole source supplier cannot meet our needs or is otherwise unavailable, we may be unable to find a suitable alternative.</w:t>
      </w:r>
    </w:p>
    <w:p>
      <w:pPr>
        <w:spacing w:after="0" w:line="178"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Our procurement practices are intended to reduce the likelihood of our procurement of counterfeit, unauthorized or otherwise non-compliant parts or materials. We rely on our subcontractors and suppliers to comply with applicable laws and regulations, including regarding the parts or materials we procure from them; in some circumstances, we rely on certifications provided by our subcontractors and suppliers regarding their compliance. We also rely on our subcontractors and suppliers to effectively mitigate the risk of cyber and security threats or other disruptions with respect to the products and components they deliver to us and the information entrusted to them by us or our customers.</w:t>
      </w:r>
    </w:p>
    <w:p>
      <w:pPr>
        <w:spacing w:after="0" w:line="170" w:lineRule="exact"/>
        <w:rPr>
          <w:sz w:val="20"/>
          <w:szCs w:val="20"/>
          <w:color w:val="auto"/>
        </w:rPr>
      </w:pPr>
    </w:p>
    <w:p>
      <w:pPr>
        <w:ind w:right="100" w:firstLine="619"/>
        <w:spacing w:after="0" w:line="241" w:lineRule="auto"/>
        <w:rPr>
          <w:sz w:val="20"/>
          <w:szCs w:val="20"/>
          <w:color w:val="auto"/>
        </w:rPr>
      </w:pPr>
      <w:r>
        <w:rPr>
          <w:rFonts w:ascii="Arial" w:cs="Arial" w:eastAsia="Arial" w:hAnsi="Arial"/>
          <w:sz w:val="16"/>
          <w:szCs w:val="16"/>
          <w:color w:val="auto"/>
        </w:rPr>
        <w:t>In addition, certain raw materials and components used in the manufacture of our products and in our development programs are periodically subject to supply shortages, and our business is subject to the risk of price increases and periodic delays in delivery. Particularly, the market for electronic components is experiencing increased demand and a global shortage of semiconductors, creating substantial uncertainty regarding our suppliers’ continued production of key components for our products, and the supply for certain raw materials such as aluminum and the availability for milling activities is experiencing shortages and delays which is impacting our C5ISR business. If we are unable to procure, or experience significant delays in subcontractor or supplier deliveries of, needed materials, components, intellectual property or parts; if our subcontractors or suppliers do not comply with all applicable laws and regulations; if the certifications we receive from them are inaccurate; or if what we receive is counterfeit or otherwise improper, it could have a material adverse effect on our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3" w:name="page24"/>
    <w:bookmarkEnd w:id="23"/>
    <w:p>
      <w:pPr>
        <w:spacing w:after="0" w:line="279" w:lineRule="auto"/>
        <w:rPr>
          <w:sz w:val="20"/>
          <w:szCs w:val="20"/>
          <w:color w:val="auto"/>
        </w:rPr>
      </w:pPr>
      <w:r>
        <w:rPr>
          <w:rFonts w:ascii="Arial" w:cs="Arial" w:eastAsia="Arial" w:hAnsi="Arial"/>
          <w:sz w:val="17"/>
          <w:szCs w:val="17"/>
          <w:b w:val="1"/>
          <w:bCs w:val="1"/>
          <w:i w:val="1"/>
          <w:iCs w:val="1"/>
          <w:color w:val="auto"/>
        </w:rPr>
        <w:t>We face intense competition from many competitors that have greater resources than we do, which could result in price reductions, reduced profitability or loss of market share.</w:t>
      </w:r>
    </w:p>
    <w:p>
      <w:pPr>
        <w:spacing w:after="0" w:line="164" w:lineRule="exact"/>
        <w:rPr>
          <w:sz w:val="20"/>
          <w:szCs w:val="20"/>
          <w:color w:val="auto"/>
        </w:rPr>
      </w:pPr>
    </w:p>
    <w:p>
      <w:pPr>
        <w:ind w:right="60" w:firstLine="619"/>
        <w:spacing w:after="0" w:line="277" w:lineRule="auto"/>
        <w:rPr>
          <w:sz w:val="20"/>
          <w:szCs w:val="20"/>
          <w:color w:val="auto"/>
        </w:rPr>
      </w:pPr>
      <w:r>
        <w:rPr>
          <w:rFonts w:ascii="Arial" w:cs="Arial" w:eastAsia="Arial" w:hAnsi="Arial"/>
          <w:sz w:val="16"/>
          <w:szCs w:val="16"/>
          <w:color w:val="auto"/>
        </w:rPr>
        <w:t>We operate in highly competitive markets and generally encounter intense competition to win contracts from many other firms, including mid-tier federal contractors with specialized capabilities, large defense contractors and IT service providers. Competition in our markets may increase as a result of a number of factors, such as the entrance of new or larger competitors, including those formed through alliances or consolidation, or the reduction in the overall number of government contracts. We may also face competition from prime contractors for whom we currently serve as subcontractors or teammates if those prime contractors choose to offer customer services of the type that we are currently providing. In addition, we may face competition from our subcontractors who, from time-to-time, seek to obtain prime contractor status on contracts for which they currently serve as a subcontractor to us.</w:t>
      </w:r>
    </w:p>
    <w:p>
      <w:pPr>
        <w:spacing w:after="0" w:line="196" w:lineRule="exact"/>
        <w:rPr>
          <w:sz w:val="20"/>
          <w:szCs w:val="20"/>
          <w:color w:val="auto"/>
        </w:rPr>
      </w:pPr>
    </w:p>
    <w:p>
      <w:pPr>
        <w:ind w:right="380" w:firstLine="619"/>
        <w:spacing w:after="0" w:line="349" w:lineRule="auto"/>
        <w:rPr>
          <w:sz w:val="20"/>
          <w:szCs w:val="20"/>
          <w:color w:val="auto"/>
        </w:rPr>
      </w:pPr>
      <w:r>
        <w:rPr>
          <w:rFonts w:ascii="Arial" w:cs="Arial" w:eastAsia="Arial" w:hAnsi="Arial"/>
          <w:sz w:val="15"/>
          <w:szCs w:val="15"/>
          <w:color w:val="auto"/>
        </w:rPr>
        <w:t>Many of our competitors have greater financial, technical, marketing and public relations resources, larger customer bases and greater brand or name recognition than we do. Such competitors may be able to utilize their substantially greater resources and economies of scale to, among other things:</w:t>
      </w:r>
    </w:p>
    <w:p>
      <w:pPr>
        <w:spacing w:after="0" w:line="143" w:lineRule="exact"/>
        <w:rPr>
          <w:sz w:val="20"/>
          <w:szCs w:val="20"/>
          <w:color w:val="auto"/>
        </w:rPr>
      </w:pPr>
    </w:p>
    <w:p>
      <w:pPr>
        <w:ind w:left="1240" w:right="280" w:hanging="309"/>
        <w:spacing w:after="0" w:line="212" w:lineRule="exact"/>
        <w:tabs>
          <w:tab w:leader="none" w:pos="12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divert sales from us by winning very large</w:t>
      </w:r>
      <w:r>
        <w:rPr>
          <w:rFonts w:ascii="MS PGothic" w:cs="MS PGothic" w:eastAsia="MS PGothic" w:hAnsi="MS PGothic"/>
          <w:sz w:val="16"/>
          <w:szCs w:val="16"/>
          <w:color w:val="auto"/>
        </w:rPr>
        <w:t>‑</w:t>
      </w:r>
      <w:r>
        <w:rPr>
          <w:rFonts w:ascii="Arial" w:cs="Arial" w:eastAsia="Arial" w:hAnsi="Arial"/>
          <w:sz w:val="16"/>
          <w:szCs w:val="16"/>
          <w:color w:val="auto"/>
        </w:rPr>
        <w:t>scale government contracts, a risk that is enhanced by the recent trend in government procurement practices to bundle services into larger contracts and the recent trend of making award determinations on a LPTA basis;</w:t>
      </w:r>
    </w:p>
    <w:p>
      <w:pPr>
        <w:ind w:left="1240" w:hanging="309"/>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divert sales from us by the award of government contracts to our competitors who may be willing to bid at substantially lower prices;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force us to charge lower prices; or</w:t>
      </w:r>
    </w:p>
    <w:p>
      <w:pPr>
        <w:spacing w:after="0" w:line="10" w:lineRule="exact"/>
        <w:rPr>
          <w:rFonts w:ascii="Arial" w:cs="Arial" w:eastAsia="Arial" w:hAnsi="Arial"/>
          <w:sz w:val="17"/>
          <w:szCs w:val="17"/>
          <w:color w:val="auto"/>
        </w:rPr>
      </w:pPr>
    </w:p>
    <w:p>
      <w:pPr>
        <w:ind w:left="1240" w:right="140" w:hanging="309"/>
        <w:spacing w:after="0" w:line="266" w:lineRule="auto"/>
        <w:tabs>
          <w:tab w:leader="none" w:pos="12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adversely affect our relationships with current customers, including our ability to continue to win competitively awarded engagements in which we are the incumbent.</w:t>
      </w:r>
    </w:p>
    <w:p>
      <w:pPr>
        <w:spacing w:after="0" w:line="200"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In the event that the market for products in our US segment expands, we expect that competition will intensify as additional competitors enter the market and current competitors expand their product lines. In order to secure contracts successfully when competing with larger, well-financed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If we lose business to our competitors or are forced to lower our prices, our revenue and operating profits could decline.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dependent upon our ability to keep pace with the latest technological changes.</w:t>
      </w:r>
    </w:p>
    <w:p>
      <w:pPr>
        <w:spacing w:after="0" w:line="217" w:lineRule="exact"/>
        <w:rPr>
          <w:sz w:val="20"/>
          <w:szCs w:val="20"/>
          <w:color w:val="auto"/>
        </w:rPr>
      </w:pPr>
    </w:p>
    <w:p>
      <w:pPr>
        <w:ind w:right="60" w:firstLine="619"/>
        <w:spacing w:after="0" w:line="279"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customer preferences.</w:t>
      </w:r>
    </w:p>
    <w:p>
      <w:pPr>
        <w:spacing w:after="0" w:line="168" w:lineRule="exact"/>
        <w:rPr>
          <w:sz w:val="20"/>
          <w:szCs w:val="20"/>
          <w:color w:val="auto"/>
        </w:rPr>
      </w:pPr>
    </w:p>
    <w:p>
      <w:pPr>
        <w:ind w:right="240" w:firstLine="619"/>
        <w:spacing w:after="0" w:line="274" w:lineRule="auto"/>
        <w:rPr>
          <w:sz w:val="20"/>
          <w:szCs w:val="20"/>
          <w:color w:val="auto"/>
        </w:rPr>
      </w:pPr>
      <w:r>
        <w:rPr>
          <w:rFonts w:ascii="Arial" w:cs="Arial" w:eastAsia="Arial" w:hAnsi="Arial"/>
          <w:sz w:val="16"/>
          <w:szCs w:val="16"/>
          <w:color w:val="auto"/>
        </w:rPr>
        <w:t>We believe that, in order to remain competitive in the future, we will need to continue to invest significant financial resources to develop new offerings and technologies or to adapt or modify our existing offerings and technologies, including through internal research and development, acquisitions and joint ventures or other teaming arrangements. These expenditures could divert our attention and resources from other projects, and we cannot be sure that these expenditures will ultimately lead to the timely development of new offerings and technologies or identification of and expansion into new markets. Due to the design complexity of our products, we may, in the future, experience delays in completing the development and introduction of new products. Any delays could result in increased costs of development or deflect resources from other projects. In addition, there can be no assurance that the market for our products will develop or continue to expand or that we will be successful in newly identified markets as we currently anticipate. The failure of our technology to gain market acceptance could significantly reduce our revenues and harm our business. Furthermore, we cannot be sure that our competitors will not develop competing technologies that gain market acceptance in advance of our products.</w:t>
      </w:r>
    </w:p>
    <w:p>
      <w:pPr>
        <w:spacing w:after="0" w:line="198"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Additionally, the possibility exists that our competitors might develop new technology or offerings that might cause our existing technology and offerings to become obsolete. If we fail in our new product development efforts or our products or services fail to achieve market acceptance more rapidly as compared to our competitors, our ability to procure new contracts could be negatively impacted, which could negatively impact our results of operations and financial condition.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4" w:name="page25"/>
    <w:bookmarkEnd w:id="24"/>
    <w:p>
      <w:pPr>
        <w:ind w:right="20"/>
        <w:spacing w:after="0" w:line="371" w:lineRule="auto"/>
        <w:rPr>
          <w:sz w:val="20"/>
          <w:szCs w:val="20"/>
          <w:color w:val="auto"/>
        </w:rPr>
      </w:pPr>
      <w:r>
        <w:rPr>
          <w:rFonts w:ascii="Arial" w:cs="Arial" w:eastAsia="Arial" w:hAnsi="Arial"/>
          <w:sz w:val="14"/>
          <w:szCs w:val="14"/>
          <w:b w:val="1"/>
          <w:bCs w:val="1"/>
          <w:i w:val="1"/>
          <w:iCs w:val="1"/>
          <w:color w:val="auto"/>
        </w:rPr>
        <w:t>If the UAS and UGS markets do not experience significant growth, if we cannot expand our customer base or if our products do not achieve broad acceptance, or if the products we have developed or will develop do not become programs of record, then we may not be able to achieve our anticipated level of growth.</w:t>
      </w:r>
    </w:p>
    <w:p>
      <w:pPr>
        <w:spacing w:after="0" w:line="121" w:lineRule="exact"/>
        <w:rPr>
          <w:sz w:val="20"/>
          <w:szCs w:val="20"/>
          <w:color w:val="auto"/>
        </w:rPr>
      </w:pPr>
    </w:p>
    <w:p>
      <w:pPr>
        <w:ind w:right="20" w:firstLine="619"/>
        <w:spacing w:after="0" w:line="277" w:lineRule="auto"/>
        <w:rPr>
          <w:sz w:val="20"/>
          <w:szCs w:val="20"/>
          <w:color w:val="auto"/>
        </w:rPr>
      </w:pPr>
      <w:r>
        <w:rPr>
          <w:rFonts w:ascii="Arial" w:cs="Arial" w:eastAsia="Arial" w:hAnsi="Arial"/>
          <w:sz w:val="16"/>
          <w:szCs w:val="16"/>
          <w:color w:val="auto"/>
        </w:rPr>
        <w:t>For the fiscal year ended December 26, 2021, our US segment accounted for 28.6% of our total revenue. We cannot accurately predict the future growth rate or size of this market. Demand for our products may not increase, or may decrease, either generally or in specific markets, for particular types of products or during particular time periods. There are only a limited number of programs under which the U.S. military, our primary customer, is currently funding the development or purchase of our UAS and UGS products. Although we are seeking to expand our US customer base to include foreign governments, domestic non-military agencies and commercial customers, we cannot assure that our efforts will be successful. The expansion of the UAS and UGS markets in general, and the market for our products in particular, depends on a number of factors, including the following:</w:t>
      </w:r>
    </w:p>
    <w:p>
      <w:pPr>
        <w:spacing w:after="0" w:line="196" w:lineRule="exact"/>
        <w:rPr>
          <w:sz w:val="20"/>
          <w:szCs w:val="20"/>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customer satisfaction with these types of systems as solutions;</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 performance and reliability of our products and products offered by our competitors;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customer perceptions regarding the effectiveness and value of these types of systems;</w:t>
      </w:r>
    </w:p>
    <w:p>
      <w:pPr>
        <w:spacing w:after="0" w:line="10" w:lineRule="exact"/>
        <w:rPr>
          <w:rFonts w:ascii="Arial" w:cs="Arial" w:eastAsia="Arial" w:hAnsi="Arial"/>
          <w:sz w:val="17"/>
          <w:szCs w:val="17"/>
          <w:color w:val="auto"/>
        </w:rPr>
      </w:pPr>
    </w:p>
    <w:p>
      <w:pPr>
        <w:ind w:left="180" w:right="4200" w:firstLine="133"/>
        <w:spacing w:after="0" w:line="253" w:lineRule="auto"/>
        <w:tabs>
          <w:tab w:leader="none" w:pos="623"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limitations on our ability to market our US products and services outside the U.S. due to U.S. Government regulations; and</w:t>
      </w: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marketing efforts and publicity regarding these types of systems.</w:t>
      </w:r>
    </w:p>
    <w:p>
      <w:pPr>
        <w:spacing w:after="0" w:line="219" w:lineRule="exact"/>
        <w:rPr>
          <w:sz w:val="20"/>
          <w:szCs w:val="20"/>
          <w:color w:val="auto"/>
        </w:rPr>
      </w:pPr>
    </w:p>
    <w:p>
      <w:pPr>
        <w:ind w:right="80" w:firstLine="619"/>
        <w:spacing w:after="0" w:line="232" w:lineRule="auto"/>
        <w:rPr>
          <w:sz w:val="20"/>
          <w:szCs w:val="20"/>
          <w:color w:val="auto"/>
        </w:rPr>
      </w:pPr>
      <w:r>
        <w:rPr>
          <w:rFonts w:ascii="Arial" w:cs="Arial" w:eastAsia="Arial" w:hAnsi="Arial"/>
          <w:sz w:val="17"/>
          <w:szCs w:val="17"/>
          <w:color w:val="auto"/>
        </w:rPr>
        <w:t>Even if UAS and UGS gain wide market acceptance in general, our specific products may not adequately address market requirements or may not gain market acceptance. If these types of systems generally, or our products specifically, do not gain wide market acceptance, or if the products we have developed or will develop do not become programs of record, then we may not be able to achieve our anticipated level of growth and our revenue and results of operations may suffer.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of our GSA contracts or GWACs could impair our ability to attract new business.</w:t>
      </w:r>
    </w:p>
    <w:p>
      <w:pPr>
        <w:spacing w:after="0" w:line="127"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We are a prime contractor under several GSA contracts and GWAC vehicles.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customer’s discretion to extend the contract for one or more years. We cannot be assured that our government customers will continue to exercise the options remaining on our current contracts, nor can we be assured that our future customers will exercise options on any contracts we may receive in the future.</w:t>
      </w:r>
    </w:p>
    <w:p>
      <w:pPr>
        <w:spacing w:after="0" w:line="9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Government contracts differ materially from standard commercial contracts, involve competitive bidding and may be subject to cancellation or delay without penalty.</w:t>
      </w:r>
    </w:p>
    <w:p>
      <w:pPr>
        <w:spacing w:after="0" w:line="87" w:lineRule="exact"/>
        <w:rPr>
          <w:sz w:val="20"/>
          <w:szCs w:val="20"/>
          <w:color w:val="auto"/>
        </w:rPr>
      </w:pPr>
    </w:p>
    <w:p>
      <w:pPr>
        <w:ind w:right="180" w:firstLine="619"/>
        <w:spacing w:after="0" w:line="312" w:lineRule="auto"/>
        <w:rPr>
          <w:sz w:val="20"/>
          <w:szCs w:val="20"/>
          <w:color w:val="auto"/>
        </w:rPr>
      </w:pPr>
      <w:r>
        <w:rPr>
          <w:rFonts w:ascii="Arial" w:cs="Arial" w:eastAsia="Arial" w:hAnsi="Arial"/>
          <w:sz w:val="16"/>
          <w:szCs w:val="16"/>
          <w:color w:val="auto"/>
        </w:rPr>
        <w:t>Government contracts frequently include provisions that are not standard in private commercial transactions and are subject to laws and regulations that give the U.S. Government rights and remedies not typically found in commercial contracts, including provisions permitting the U.S. Government to:</w:t>
      </w:r>
    </w:p>
    <w:p>
      <w:pPr>
        <w:spacing w:after="0" w:line="63" w:lineRule="exact"/>
        <w:rPr>
          <w:sz w:val="20"/>
          <w:szCs w:val="20"/>
          <w:color w:val="auto"/>
        </w:rPr>
      </w:pPr>
    </w:p>
    <w:p>
      <w:pPr>
        <w:ind w:left="1240" w:hanging="3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terminate our existing contracts;</w:t>
      </w:r>
    </w:p>
    <w:p>
      <w:pPr>
        <w:spacing w:after="0" w:line="21" w:lineRule="exact"/>
        <w:rPr>
          <w:rFonts w:ascii="Arial" w:cs="Arial" w:eastAsia="Arial" w:hAnsi="Arial"/>
          <w:sz w:val="17"/>
          <w:szCs w:val="17"/>
          <w:color w:val="auto"/>
        </w:rPr>
      </w:pPr>
    </w:p>
    <w:p>
      <w:pPr>
        <w:ind w:left="1240" w:hanging="3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reduce potential future income from our existing contracts;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modify some of the terms and conditions in our existing contracts;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suspend or permanently prohibit us from doing business with the U.S. Government or with any specific government agency;</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impose fines and penalties;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subject us to criminal prosecution;</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suspend work under existing multiple year contracts and related task orders if the necessary funds are not appropriated by Congress;</w:t>
      </w:r>
    </w:p>
    <w:p>
      <w:pPr>
        <w:spacing w:after="0" w:line="22" w:lineRule="exact"/>
        <w:rPr>
          <w:rFonts w:ascii="Arial" w:cs="Arial" w:eastAsia="Arial" w:hAnsi="Arial"/>
          <w:sz w:val="16"/>
          <w:szCs w:val="16"/>
          <w:color w:val="auto"/>
        </w:rPr>
      </w:pPr>
    </w:p>
    <w:p>
      <w:pPr>
        <w:ind w:left="1240" w:hanging="3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decline to exercise an option to extend an existing multiple year contract; and</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claim rights in technologies and systems invented, developed or produced by us.</w:t>
      </w:r>
    </w:p>
    <w:p>
      <w:pPr>
        <w:spacing w:after="0" w:line="232" w:lineRule="exact"/>
        <w:rPr>
          <w:sz w:val="20"/>
          <w:szCs w:val="20"/>
          <w:color w:val="auto"/>
        </w:rPr>
      </w:pPr>
    </w:p>
    <w:p>
      <w:pPr>
        <w:ind w:right="140" w:firstLine="619"/>
        <w:spacing w:after="0" w:line="279" w:lineRule="auto"/>
        <w:rPr>
          <w:sz w:val="20"/>
          <w:szCs w:val="20"/>
          <w:color w:val="auto"/>
        </w:rPr>
      </w:pPr>
      <w:r>
        <w:rPr>
          <w:rFonts w:ascii="Arial" w:cs="Arial" w:eastAsia="Arial" w:hAnsi="Arial"/>
          <w:sz w:val="16"/>
          <w:szCs w:val="16"/>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government agency. Competitive procurements impose substantial costs and managerial time and effort in order to prepare bids and proposals for contracts that may not be awarded to us. In many cases, unsuccessful bidders for government contracts are provided the opportunity to formally protest certain contract awards through various agencies, administrative and judicial channels. We have experienced an increase in competitor bid protests on contracts on which we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25" w:name="page26"/>
    <w:bookmarkEnd w:id="25"/>
    <w:p>
      <w:pPr>
        <w:ind w:right="40"/>
        <w:spacing w:after="0" w:line="279" w:lineRule="auto"/>
        <w:rPr>
          <w:sz w:val="20"/>
          <w:szCs w:val="20"/>
          <w:color w:val="auto"/>
        </w:rPr>
      </w:pPr>
      <w:r>
        <w:rPr>
          <w:rFonts w:ascii="Arial" w:cs="Arial" w:eastAsia="Arial" w:hAnsi="Arial"/>
          <w:sz w:val="16"/>
          <w:szCs w:val="16"/>
          <w:color w:val="auto"/>
        </w:rPr>
        <w:t>were the successful bidder due to the competitive environment resulting from decreased government spending. In addition, we have formally protested procurement awards in which we were not the initial successful bidder, but believed that the source selection process was flawed.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 We believe that this environment of protracted competitive bidding processes and competitor bid protests will continue.</w:t>
      </w:r>
    </w:p>
    <w:p>
      <w:pPr>
        <w:spacing w:after="0" w:line="168" w:lineRule="exact"/>
        <w:rPr>
          <w:sz w:val="20"/>
          <w:szCs w:val="20"/>
          <w:color w:val="auto"/>
        </w:rPr>
      </w:pPr>
    </w:p>
    <w:p>
      <w:pPr>
        <w:ind w:right="160" w:firstLine="619"/>
        <w:spacing w:after="0" w:line="262" w:lineRule="auto"/>
        <w:rPr>
          <w:sz w:val="20"/>
          <w:szCs w:val="20"/>
          <w:color w:val="auto"/>
        </w:rPr>
      </w:pPr>
      <w:r>
        <w:rPr>
          <w:rFonts w:ascii="Arial" w:cs="Arial" w:eastAsia="Arial" w:hAnsi="Arial"/>
          <w:sz w:val="17"/>
          <w:szCs w:val="17"/>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78" w:lineRule="exact"/>
        <w:rPr>
          <w:sz w:val="20"/>
          <w:szCs w:val="20"/>
          <w:color w:val="auto"/>
        </w:rPr>
      </w:pPr>
    </w:p>
    <w:p>
      <w:pPr>
        <w:ind w:right="720"/>
        <w:spacing w:after="0" w:line="279" w:lineRule="auto"/>
        <w:rPr>
          <w:sz w:val="20"/>
          <w:szCs w:val="20"/>
          <w:color w:val="auto"/>
        </w:rPr>
      </w:pPr>
      <w:r>
        <w:rPr>
          <w:rFonts w:ascii="Arial" w:cs="Arial" w:eastAsia="Arial" w:hAnsi="Arial"/>
          <w:sz w:val="17"/>
          <w:szCs w:val="17"/>
          <w:b w:val="1"/>
          <w:bCs w:val="1"/>
          <w:i w:val="1"/>
          <w:iCs w:val="1"/>
          <w:color w:val="auto"/>
        </w:rPr>
        <w:t>We may not receive the full amounts estimated under the contracts in our backlog, which could reduce our revenue in future periods below the levels anticipated. This makes backlog an uncertain indicator of future operating results.</w:t>
      </w:r>
    </w:p>
    <w:p>
      <w:pPr>
        <w:spacing w:after="0" w:line="164" w:lineRule="exact"/>
        <w:rPr>
          <w:sz w:val="20"/>
          <w:szCs w:val="20"/>
          <w:color w:val="auto"/>
        </w:rPr>
      </w:pPr>
    </w:p>
    <w:p>
      <w:pPr>
        <w:ind w:firstLine="619"/>
        <w:spacing w:after="0" w:line="299" w:lineRule="auto"/>
        <w:rPr>
          <w:sz w:val="20"/>
          <w:szCs w:val="20"/>
          <w:color w:val="auto"/>
        </w:rPr>
      </w:pPr>
      <w:r>
        <w:rPr>
          <w:rFonts w:ascii="Arial" w:cs="Arial" w:eastAsia="Arial" w:hAnsi="Arial"/>
          <w:sz w:val="15"/>
          <w:szCs w:val="15"/>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U.S. Government contracts included in backlog, whether or not funded, may be terminated at the convenience of the U.S. Government. The failure to realize all amounts in our backlog could adversely affect our revenues and gross margins. As a result, our funded, unfunded and total backlog as of any particular date may not be an accurate indicator of our future earnings.</w:t>
      </w:r>
    </w:p>
    <w:p>
      <w:pPr>
        <w:spacing w:after="0" w:line="155"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b w:val="1"/>
          <w:bCs w:val="1"/>
          <w:i w:val="1"/>
          <w:iCs w:val="1"/>
          <w:color w:val="auto"/>
        </w:rPr>
        <w:t>A preference for minority-owned, small and small disadvantaged businesses could impact our ability to be a prime contractor and limit our opportunity to work as a subcontractor on certain governmental procurements.</w:t>
      </w:r>
    </w:p>
    <w:p>
      <w:pPr>
        <w:spacing w:after="0" w:line="164" w:lineRule="exact"/>
        <w:rPr>
          <w:sz w:val="20"/>
          <w:szCs w:val="20"/>
          <w:color w:val="auto"/>
        </w:rPr>
      </w:pPr>
    </w:p>
    <w:p>
      <w:pPr>
        <w:ind w:right="140" w:firstLine="619"/>
        <w:spacing w:after="0" w:line="279" w:lineRule="auto"/>
        <w:rPr>
          <w:sz w:val="20"/>
          <w:szCs w:val="20"/>
          <w:color w:val="auto"/>
        </w:rPr>
      </w:pPr>
      <w:r>
        <w:rPr>
          <w:rFonts w:ascii="Arial" w:cs="Arial" w:eastAsia="Arial" w:hAnsi="Arial"/>
          <w:sz w:val="16"/>
          <w:szCs w:val="16"/>
          <w:color w:val="auto"/>
        </w:rPr>
        <w:t>As a result of the Small Business Administration (“SBA”) set-aside program, the federal government may decide to restrict certain procurements only to bidders that qualify as minority-owned, small, or small disadvantaged businesses. As a result, we would not be eligible to perform as a prime contractor on those programs and in general would be restricted to no more than 49% of the work as a subcontractor on those programs. An increase in the amount of procurements under the SBA set-aside program may impact our ability to bid on new procurements as a prime contractor, limit our opportunity to work as a subcontractor or restrict our ability to compete on incumbent work that is placed in the set-aside program.</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Government in-sourcing could result in loss of business opportunities and personnel.</w:t>
      </w:r>
    </w:p>
    <w:p>
      <w:pPr>
        <w:spacing w:after="0" w:line="217" w:lineRule="exact"/>
        <w:rPr>
          <w:sz w:val="20"/>
          <w:szCs w:val="20"/>
          <w:color w:val="auto"/>
        </w:rPr>
      </w:pPr>
    </w:p>
    <w:p>
      <w:pPr>
        <w:ind w:right="180" w:firstLine="619"/>
        <w:spacing w:after="0" w:line="277" w:lineRule="auto"/>
        <w:rPr>
          <w:sz w:val="20"/>
          <w:szCs w:val="20"/>
          <w:color w:val="auto"/>
        </w:rPr>
      </w:pPr>
      <w:r>
        <w:rPr>
          <w:rFonts w:ascii="Arial" w:cs="Arial" w:eastAsia="Arial" w:hAnsi="Arial"/>
          <w:sz w:val="16"/>
          <w:szCs w:val="16"/>
          <w:color w:val="auto"/>
        </w:rPr>
        <w:t>The U.S. Government has continued to reduce the percentage of contracted services in favor of more federal employees through an initiative called “in-sourcing.” Over time, in-sourcing could have an adverse effect on our business, financial condition and results of operations. Specifically, as a result of in-sourcing, government procurements for services could be fewer and smaller in the future. In addition, work we currently perform could be in-sourced by the federal government and, as a result, our revenues could be reduced. Moreover, our employees could also be hired by the government. This loss of our employees would necessitate the need to retain and train new employees. Accordingly, the effect of in-sourcing or the continuation of in-sourcing at a faster-than-expected rate could have an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impacted by cyber and other security threats or disruptions.</w:t>
      </w:r>
    </w:p>
    <w:p>
      <w:pPr>
        <w:spacing w:after="0" w:line="243" w:lineRule="exact"/>
        <w:rPr>
          <w:sz w:val="20"/>
          <w:szCs w:val="20"/>
          <w:color w:val="auto"/>
        </w:rPr>
      </w:pPr>
    </w:p>
    <w:p>
      <w:pPr>
        <w:ind w:right="80" w:firstLine="619"/>
        <w:spacing w:after="0" w:line="295" w:lineRule="auto"/>
        <w:rPr>
          <w:sz w:val="20"/>
          <w:szCs w:val="20"/>
          <w:color w:val="auto"/>
        </w:rPr>
      </w:pPr>
      <w:r>
        <w:rPr>
          <w:rFonts w:ascii="Arial" w:cs="Arial" w:eastAsia="Arial" w:hAnsi="Arial"/>
          <w:sz w:val="15"/>
          <w:szCs w:val="15"/>
          <w:color w:val="auto"/>
        </w:rPr>
        <w:t>As a defense contractor, we face various cyber and other security threats, including attempts to gain unauthorized access to sensitive information and networks; insider threats; threats to the safety of our directors, officers and employees; threats to the security and viability of our facilities, infrastructure and supply chain; and threats from terrorist acts or other acts of aggression. Our customers and partners (including our supply chain and joint ventures) face similar threats and growing requirements. Although we utilize various procedures and controls to monitor and mitigate the risk of these threats, there can be no assurance that these procedures and controls will be sufficient. The occurrence of some of these risks may be increased due to the increase in remote working by our employees, suppliers, contractors and other third parties due to the COVID-19 pandemic. Such an incident could lead to losses or unauthorized disclosure of sensitive information or capabilities; theft or exposure of data; harm to personnel, infrastructure or products; regulatory actions; and/or financial liabilities, as well as potential damage to our reputation as a government contractor and provider of cyber-related or cyber-protected goods and services.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6" w:name="page27"/>
    <w:bookmarkEnd w:id="26"/>
    <w:p>
      <w:pPr>
        <w:ind w:firstLine="619"/>
        <w:spacing w:after="0" w:line="299" w:lineRule="auto"/>
        <w:rPr>
          <w:sz w:val="20"/>
          <w:szCs w:val="20"/>
          <w:color w:val="auto"/>
        </w:rPr>
      </w:pPr>
      <w:r>
        <w:rPr>
          <w:rFonts w:ascii="Arial" w:cs="Arial" w:eastAsia="Arial" w:hAnsi="Arial"/>
          <w:sz w:val="15"/>
          <w:szCs w:val="15"/>
          <w:color w:val="auto"/>
        </w:rPr>
        <w:t>Cyber threats are continuously evolving and include, but are not limited to: malicious software, destructive malware, attempts to gain unauthorized access to data, disruption or denial of service attacks, and other electronic security breaches that could lead to disruptions in mission critical systems; unauthorized release of confidential, personal or otherwise protected information (our Company's information or that of our employees, customers or partners); corruption of data, networks or systems; harm to individuals; and loss of assets. In addition, we could be impacted by cyber threats or other disruptions or vulnerabilities found in products we use or in our partners’ or customers’ systems that are used in connection with our business. These events, if not prevented or effectively mitigated, could damage our reputation, require remedial actions and lead to loss of business, regulatory actions, potential liability and other financial losses.</w:t>
      </w:r>
    </w:p>
    <w:p>
      <w:pPr>
        <w:spacing w:after="0" w:line="180" w:lineRule="exact"/>
        <w:rPr>
          <w:sz w:val="20"/>
          <w:szCs w:val="20"/>
          <w:color w:val="auto"/>
        </w:rPr>
      </w:pPr>
    </w:p>
    <w:p>
      <w:pPr>
        <w:jc w:val="both"/>
        <w:ind w:right="180" w:firstLine="619"/>
        <w:spacing w:after="0" w:line="266" w:lineRule="auto"/>
        <w:rPr>
          <w:sz w:val="20"/>
          <w:szCs w:val="20"/>
          <w:color w:val="auto"/>
        </w:rPr>
      </w:pPr>
      <w:r>
        <w:rPr>
          <w:rFonts w:ascii="Arial" w:cs="Arial" w:eastAsia="Arial" w:hAnsi="Arial"/>
          <w:sz w:val="17"/>
          <w:szCs w:val="17"/>
          <w:color w:val="auto"/>
        </w:rPr>
        <w:t>We provide systems, products and services to various customers (both government and commercial) who also face cyber threats. Our systems, products and services may themselves be subject to cyber threats and/or they may not be able to detect or properly deter threats, or effectively to mitigate resulting losses. These losses could adversely affect our customers and our Company.</w:t>
      </w:r>
    </w:p>
    <w:p>
      <w:pPr>
        <w:spacing w:after="0" w:line="201" w:lineRule="exact"/>
        <w:rPr>
          <w:sz w:val="20"/>
          <w:szCs w:val="20"/>
          <w:color w:val="auto"/>
        </w:rPr>
      </w:pPr>
    </w:p>
    <w:p>
      <w:pPr>
        <w:ind w:right="560" w:firstLine="619"/>
        <w:spacing w:after="0" w:line="266" w:lineRule="auto"/>
        <w:rPr>
          <w:sz w:val="20"/>
          <w:szCs w:val="20"/>
          <w:color w:val="auto"/>
        </w:rPr>
      </w:pPr>
      <w:r>
        <w:rPr>
          <w:rFonts w:ascii="Arial" w:cs="Arial" w:eastAsia="Arial" w:hAnsi="Arial"/>
          <w:sz w:val="17"/>
          <w:szCs w:val="17"/>
          <w:color w:val="auto"/>
        </w:rPr>
        <w:t>The impact of these various factors is difficult to predict, but one or more of them could result in the loss of information or capabilities, harm to individuals or property, damage to our reputation, loss of business, contractual or regulatory actions and potential liabilities, any one of which could have a material adverse effect on our financial position, results of operations and/or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systems or service failure, our reputation could be harmed and our customers could assert claims against us for damages or refunds.</w:t>
      </w:r>
    </w:p>
    <w:p>
      <w:pPr>
        <w:spacing w:after="0" w:line="240" w:lineRule="exact"/>
        <w:rPr>
          <w:sz w:val="20"/>
          <w:szCs w:val="20"/>
          <w:color w:val="auto"/>
        </w:rPr>
      </w:pPr>
    </w:p>
    <w:p>
      <w:pPr>
        <w:ind w:right="140" w:firstLine="619"/>
        <w:spacing w:after="0" w:line="266" w:lineRule="auto"/>
        <w:rPr>
          <w:sz w:val="20"/>
          <w:szCs w:val="20"/>
          <w:color w:val="auto"/>
        </w:rPr>
      </w:pPr>
      <w:r>
        <w:rPr>
          <w:rFonts w:ascii="Arial" w:cs="Arial" w:eastAsia="Arial" w:hAnsi="Arial"/>
          <w:sz w:val="17"/>
          <w:szCs w:val="17"/>
          <w:color w:val="auto"/>
        </w:rPr>
        <w:t>We create, implement and maintain IT solutions that are often critical to our customers’ operations. We have experienced, and may in the future experience, some systems and service failures, schedule or delivery delays and other problems in connection with our work. If we experience these problems, we may:</w:t>
      </w:r>
    </w:p>
    <w:p>
      <w:pPr>
        <w:spacing w:after="0" w:line="175" w:lineRule="exact"/>
        <w:rPr>
          <w:sz w:val="20"/>
          <w:szCs w:val="20"/>
          <w:color w:val="auto"/>
        </w:rPr>
      </w:pPr>
    </w:p>
    <w:p>
      <w:pPr>
        <w:ind w:left="1240" w:hanging="309"/>
        <w:spacing w:after="0"/>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lose revenue due to adverse customer reaction;</w:t>
      </w:r>
    </w:p>
    <w:p>
      <w:pPr>
        <w:spacing w:after="0" w:line="21" w:lineRule="exact"/>
        <w:rPr>
          <w:rFonts w:ascii="Arial" w:cs="Arial" w:eastAsia="Arial" w:hAnsi="Arial"/>
          <w:sz w:val="17"/>
          <w:szCs w:val="17"/>
          <w:color w:val="auto"/>
        </w:rPr>
      </w:pPr>
    </w:p>
    <w:p>
      <w:pPr>
        <w:ind w:left="1240" w:hanging="309"/>
        <w:spacing w:after="0"/>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be required to provide additional services to a customer at no charge;</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cause customers to postpone, cancel or fail to renew contracts;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receive negative publicity, which could damage our reputation and adversely affect our ability to attract or retain customers; and</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suffer claims for substantial damages.</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cannot ensure that provisions in our customer contracts will be legally sufficient to protect us if we are sued.</w:t>
      </w:r>
    </w:p>
    <w:p>
      <w:pPr>
        <w:spacing w:after="0" w:line="243" w:lineRule="exact"/>
        <w:rPr>
          <w:sz w:val="20"/>
          <w:szCs w:val="20"/>
          <w:color w:val="auto"/>
        </w:rPr>
      </w:pPr>
    </w:p>
    <w:p>
      <w:pPr>
        <w:jc w:val="both"/>
        <w:ind w:right="60" w:firstLine="619"/>
        <w:spacing w:after="0" w:line="262" w:lineRule="auto"/>
        <w:rPr>
          <w:sz w:val="20"/>
          <w:szCs w:val="20"/>
          <w:color w:val="auto"/>
        </w:rPr>
      </w:pPr>
      <w:r>
        <w:rPr>
          <w:rFonts w:ascii="Arial" w:cs="Arial" w:eastAsia="Arial" w:hAnsi="Arial"/>
          <w:sz w:val="17"/>
          <w:szCs w:val="17"/>
          <w:color w:val="auto"/>
        </w:rPr>
        <w:t>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may result in significant legal and other costs, be a distraction to our management and harm our reputation.</w:t>
      </w:r>
    </w:p>
    <w:p>
      <w:pPr>
        <w:spacing w:after="0" w:line="17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Our products are complex and could have unknown defects or errors, which may increase our costs, harm our reputation with customers, give rise to costly litigation, or divert our resources from other purposes</w:t>
      </w:r>
      <w:r>
        <w:rPr>
          <w:rFonts w:ascii="Arial" w:cs="Arial" w:eastAsia="Arial" w:hAnsi="Arial"/>
          <w:sz w:val="17"/>
          <w:szCs w:val="17"/>
          <w:b w:val="1"/>
          <w:bCs w:val="1"/>
          <w:color w:val="auto"/>
        </w:rPr>
        <w:t>.</w:t>
      </w:r>
    </w:p>
    <w:p>
      <w:pPr>
        <w:spacing w:after="0" w:line="164" w:lineRule="exact"/>
        <w:rPr>
          <w:sz w:val="20"/>
          <w:szCs w:val="20"/>
          <w:color w:val="auto"/>
        </w:rPr>
      </w:pPr>
    </w:p>
    <w:p>
      <w:pPr>
        <w:ind w:right="100" w:firstLine="619"/>
        <w:spacing w:after="0" w:line="297" w:lineRule="auto"/>
        <w:rPr>
          <w:sz w:val="20"/>
          <w:szCs w:val="20"/>
          <w:color w:val="auto"/>
        </w:rPr>
      </w:pPr>
      <w:r>
        <w:rPr>
          <w:rFonts w:ascii="Arial" w:cs="Arial" w:eastAsia="Arial" w:hAnsi="Arial"/>
          <w:sz w:val="15"/>
          <w:szCs w:val="15"/>
          <w:color w:val="auto"/>
        </w:rPr>
        <w:t>Our products, including but not limited to unmanned vehicles, aerial targets, UAS and ballistic missile targets, are extremely complex and must operate successfully with complex products from other vendors. Despite testing, our products have contained defects and errors and may in the future contain defects or errors, or experience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diversion of our personnel’s attention from our product development efforts, exposure to liability for damages, damaged customer relationships, and harm to our reputation, any of which could materially harm our results of operations. In addition, increased development and warranty costs could be substantial and could reduce our operating margins.</w:t>
      </w:r>
    </w:p>
    <w:p>
      <w:pPr>
        <w:spacing w:after="0" w:line="182"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The existence of any defects, errors, or failures in our products or the misuse of our products could also lead to lawsuits against us, result in injury, death, or property damage, and significantly damage our reputation and support for our products in general.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27" w:name="page28"/>
    <w:bookmarkEnd w:id="27"/>
    <w:p>
      <w:pPr>
        <w:jc w:val="both"/>
        <w:ind w:right="60" w:firstLine="619"/>
        <w:spacing w:after="0" w:line="283" w:lineRule="auto"/>
        <w:rPr>
          <w:sz w:val="20"/>
          <w:szCs w:val="20"/>
          <w:color w:val="auto"/>
        </w:rPr>
      </w:pPr>
      <w:r>
        <w:rPr>
          <w:rFonts w:ascii="Arial" w:cs="Arial" w:eastAsia="Arial" w:hAnsi="Arial"/>
          <w:sz w:val="16"/>
          <w:szCs w:val="16"/>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189" w:lineRule="exact"/>
        <w:rPr>
          <w:sz w:val="20"/>
          <w:szCs w:val="20"/>
          <w:color w:val="auto"/>
        </w:rPr>
      </w:pPr>
    </w:p>
    <w:p>
      <w:pPr>
        <w:ind w:right="2740"/>
        <w:spacing w:after="0" w:line="349" w:lineRule="auto"/>
        <w:rPr>
          <w:sz w:val="20"/>
          <w:szCs w:val="20"/>
          <w:color w:val="auto"/>
        </w:rPr>
      </w:pPr>
      <w:r>
        <w:rPr>
          <w:rFonts w:ascii="Arial" w:cs="Arial" w:eastAsia="Arial" w:hAnsi="Arial"/>
          <w:sz w:val="15"/>
          <w:szCs w:val="15"/>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17"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causing production delays and resulting 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However, we cannot ensure that we will not experience such incidents in the future or that any such incidents will not result in production delays or otherwise have a material adverse effect on our business and financial condition. In addition, our microwave electronics business which is based in Israel may suffer disruption or damage from acts of terrorism, or other conflicts in that geographic region.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 to quarter.</w:t>
      </w:r>
    </w:p>
    <w:p>
      <w:pPr>
        <w:spacing w:after="0" w:line="243"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and are not renewed.</w:t>
      </w:r>
    </w:p>
    <w:p>
      <w:pPr>
        <w:spacing w:after="0" w:line="204" w:lineRule="exact"/>
        <w:rPr>
          <w:sz w:val="20"/>
          <w:szCs w:val="20"/>
          <w:color w:val="auto"/>
        </w:rPr>
      </w:pPr>
    </w:p>
    <w:p>
      <w:pPr>
        <w:ind w:right="40" w:firstLine="619"/>
        <w:spacing w:after="0" w:line="276" w:lineRule="auto"/>
        <w:rPr>
          <w:sz w:val="20"/>
          <w:szCs w:val="20"/>
          <w:color w:val="auto"/>
        </w:rPr>
      </w:pPr>
      <w:r>
        <w:rPr>
          <w:rFonts w:ascii="Arial" w:cs="Arial" w:eastAsia="Arial" w:hAnsi="Arial"/>
          <w:sz w:val="16"/>
          <w:szCs w:val="16"/>
          <w:color w:val="auto"/>
        </w:rPr>
        <w:t>In addition, payments due to us from our customers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year. The U.S. Government’s fiscal year end can also trigger increased purchase requests from customers for equipment and materials. Any increased purchase requests we receive as a result of the U.S. Government’s fiscal year end would serve to increase our third or fourth quarter revenue, but will generally decrease profit margins for that quarter, as these activities generally are not as profitable as our typical offerings.</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Additional factors that may cause our financial results to fluctuate from quarter to quarter include those addressed elsewhere in this Item 1A “Risk</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Factors” and the following factors, among others:</w:t>
      </w:r>
    </w:p>
    <w:p>
      <w:pPr>
        <w:spacing w:after="0" w:line="206" w:lineRule="exact"/>
        <w:rPr>
          <w:sz w:val="20"/>
          <w:szCs w:val="20"/>
          <w:color w:val="auto"/>
        </w:rPr>
      </w:pPr>
    </w:p>
    <w:p>
      <w:pPr>
        <w:ind w:left="1240" w:hanging="309"/>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terms of customer contracts that affect the timing of revenue recognition;</w:t>
      </w:r>
    </w:p>
    <w:p>
      <w:pPr>
        <w:spacing w:after="0" w:line="21" w:lineRule="exact"/>
        <w:rPr>
          <w:rFonts w:ascii="Arial" w:cs="Arial" w:eastAsia="Arial" w:hAnsi="Arial"/>
          <w:sz w:val="17"/>
          <w:szCs w:val="17"/>
          <w:color w:val="auto"/>
        </w:rPr>
      </w:pPr>
    </w:p>
    <w:p>
      <w:pPr>
        <w:ind w:left="1240" w:hanging="309"/>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variability in demand for our services and solutions;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commencement, completion or termination of contracts during any particular quarter;</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timing of shipments and product deliveries;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timing of award or performance incentive fee notices;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timing of significant bid and proposal costs;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costs of remediating unknown defects, errors or performance problems of our product offerings;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variable purchasing patterns under GSA contracts, GWACs, blanket purchase agreements and other IDIQ contracts;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restrictions on and delays related to the export of defense articles and services;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costs related to government inquiries;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strategic decisions by us or our competitors, such as acquisitions, divestitures, spin-offs and joint ventures;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strategic investments or changes in business strategy;</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the extent to which we use subcontractors;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seasonal fluctuations in our staff utilization rates;</w:t>
      </w:r>
    </w:p>
    <w:p>
      <w:pPr>
        <w:spacing w:after="0" w:line="10" w:lineRule="exact"/>
        <w:rPr>
          <w:rFonts w:ascii="Arial" w:cs="Arial" w:eastAsia="Arial" w:hAnsi="Arial"/>
          <w:sz w:val="17"/>
          <w:szCs w:val="17"/>
          <w:color w:val="auto"/>
        </w:rPr>
      </w:pPr>
    </w:p>
    <w:p>
      <w:pPr>
        <w:ind w:left="1240" w:right="100" w:hanging="309"/>
        <w:spacing w:after="0" w:line="253"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our effective tax rate, including changes in our judgment as to the necessity of the valuation allowance recorded against our deferred tax assets; and</w:t>
      </w:r>
    </w:p>
    <w:p>
      <w:pPr>
        <w:ind w:left="1240" w:hanging="309"/>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length of sales cycles.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28" w:name="page29"/>
    <w:bookmarkEnd w:id="28"/>
    <w:p>
      <w:pPr>
        <w:ind w:firstLine="619"/>
        <w:spacing w:after="0" w:line="277" w:lineRule="auto"/>
        <w:rPr>
          <w:sz w:val="20"/>
          <w:szCs w:val="20"/>
          <w:color w:val="auto"/>
        </w:rPr>
      </w:pPr>
      <w:r>
        <w:rPr>
          <w:rFonts w:ascii="Arial" w:cs="Arial" w:eastAsia="Arial" w:hAnsi="Arial"/>
          <w:sz w:val="16"/>
          <w:szCs w:val="16"/>
          <w:color w:val="auto"/>
        </w:rPr>
        <w:t xml:space="preserve">Significant fluctuations in our operating results for a particular quarter could cause us to fall out of compliance with the financial covenants related to our debt, which if not waived, could restrict our access to capital and cause us to take extreme measures to pay down the debt, if any, under our $90.0 million Amended and Restated Credit and Security Agreement, dated November 20, 2017 (as amended, the “Credit Agreement”), by and among the Company, the lenders named therein, SunTrust Bank, as Agent (the “Agent”), and SunTrust Robinson Humphrey, Inc. as Lead Arranger and Sole Book Runner. In addition, fluctuations in our financial results could cause our stock price to decline. See the risks and uncertainties related to our ability to raise additional capital below in </w:t>
      </w:r>
      <w:r>
        <w:rPr>
          <w:rFonts w:ascii="Arial" w:cs="Arial" w:eastAsia="Arial" w:hAnsi="Arial"/>
          <w:sz w:val="16"/>
          <w:szCs w:val="16"/>
          <w:i w:val="1"/>
          <w:iCs w:val="1"/>
          <w:color w:val="auto"/>
        </w:rPr>
        <w:t>“We may need</w:t>
      </w:r>
      <w:r>
        <w:rPr>
          <w:rFonts w:ascii="Arial" w:cs="Arial" w:eastAsia="Arial" w:hAnsi="Arial"/>
          <w:sz w:val="16"/>
          <w:szCs w:val="16"/>
          <w:color w:val="auto"/>
        </w:rPr>
        <w:t xml:space="preserve"> </w:t>
      </w:r>
      <w:r>
        <w:rPr>
          <w:rFonts w:ascii="Arial" w:cs="Arial" w:eastAsia="Arial" w:hAnsi="Arial"/>
          <w:sz w:val="16"/>
          <w:szCs w:val="16"/>
          <w:i w:val="1"/>
          <w:iCs w:val="1"/>
          <w:color w:val="auto"/>
        </w:rPr>
        <w:t>additional capital to fund the growth of our business, and financing may not be available on favorable terms or at all.”</w:t>
      </w:r>
    </w:p>
    <w:p>
      <w:pPr>
        <w:spacing w:after="0" w:line="196" w:lineRule="exact"/>
        <w:rPr>
          <w:sz w:val="20"/>
          <w:szCs w:val="20"/>
          <w:color w:val="auto"/>
        </w:rPr>
      </w:pPr>
    </w:p>
    <w:p>
      <w:pPr>
        <w:ind w:right="360"/>
        <w:spacing w:after="0" w:line="211" w:lineRule="exact"/>
        <w:rPr>
          <w:sz w:val="20"/>
          <w:szCs w:val="20"/>
          <w:color w:val="auto"/>
        </w:rPr>
      </w:pPr>
      <w:r>
        <w:rPr>
          <w:rFonts w:ascii="Arial" w:cs="Arial" w:eastAsia="Arial" w:hAnsi="Arial"/>
          <w:sz w:val="17"/>
          <w:szCs w:val="17"/>
          <w:b w:val="1"/>
          <w:bCs w:val="1"/>
          <w:i w:val="1"/>
          <w:iCs w:val="1"/>
          <w:color w:val="auto"/>
        </w:rPr>
        <w:t>Our margins and operating results may suffer if we experience unfavorable changes in the proportion of cost-plus-fee or fixed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price contracts in our total contract mix.</w:t>
      </w:r>
    </w:p>
    <w:p>
      <w:pPr>
        <w:spacing w:after="0" w:line="223" w:lineRule="exact"/>
        <w:rPr>
          <w:sz w:val="20"/>
          <w:szCs w:val="20"/>
          <w:color w:val="auto"/>
        </w:rPr>
      </w:pPr>
    </w:p>
    <w:p>
      <w:pPr>
        <w:ind w:right="40" w:firstLine="619"/>
        <w:spacing w:after="0" w:line="297" w:lineRule="auto"/>
        <w:rPr>
          <w:sz w:val="20"/>
          <w:szCs w:val="20"/>
          <w:color w:val="auto"/>
        </w:rPr>
      </w:pPr>
      <w:r>
        <w:rPr>
          <w:rFonts w:ascii="Arial" w:cs="Arial" w:eastAsia="Arial" w:hAnsi="Arial"/>
          <w:sz w:val="15"/>
          <w:szCs w:val="15"/>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and operating efficiencies. In contrast, cost-plus-fee contracts are subject to statutory limits on profit margins and generally are the least profitable of our contract types. Our U.S. Government customers typically determine what type of contract we enter into. Cost-plus-fee and fixed-price contracts in our federal business accounted for approximately 30% and 66%, respectively, of our federal business revenues for the year ended December 26, 2021. To the extent that we enter into more cost-plus-fee or less fixed-price contracts in proportion to our total contract mix in the future, our margins and operating results may suffer. Our operating results may also suffer to the extent we have a contract mix that is focused on developmental projects, which are typically at lower profit margins as compared to margins on production projects.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overruns on our contracts could subject us to losses, decrease our operating margins and adversely affect our future business.</w:t>
      </w:r>
    </w:p>
    <w:p>
      <w:pPr>
        <w:spacing w:after="0" w:line="230" w:lineRule="exact"/>
        <w:rPr>
          <w:sz w:val="20"/>
          <w:szCs w:val="20"/>
          <w:color w:val="auto"/>
        </w:rPr>
      </w:pPr>
    </w:p>
    <w:p>
      <w:pPr>
        <w:ind w:right="100" w:firstLine="619"/>
        <w:spacing w:after="0" w:line="241" w:lineRule="auto"/>
        <w:rPr>
          <w:sz w:val="20"/>
          <w:szCs w:val="20"/>
          <w:color w:val="auto"/>
        </w:rPr>
      </w:pPr>
      <w:r>
        <w:rPr>
          <w:rFonts w:ascii="Arial" w:cs="Arial" w:eastAsia="Arial" w:hAnsi="Arial"/>
          <w:sz w:val="16"/>
          <w:szCs w:val="16"/>
          <w:color w:val="auto"/>
        </w:rPr>
        <w:t>Fixed-price contracts (including both government and commercial contracts) represented approximately 74% of our revenue for the fiscal year ended December 26, 2021. If we fail to anticipate technical problems, estimate costs accurately or control costs during our performance of fixed-price contracts, then we may incur losses on these contracts because we absorb any costs in excess of the fixed price. Under cost-plus-fee contracts, if costs exceed the contract ceiling or are not allowable under the provisions of the contract or applicable regulations, then we may not be able to obtain reimbursement for all such costs. Under time and materials contracts, we are paid for labor at negotiated hourly billing rates and for certain expenses. Because many of our contracts involve advanced designs and innovative technologies, we may experience unforeseen technological difficulties and cost overruns. Under each type of contract, if we are unable to control the costs we incur in performing under the contract, then our financial condition and results of operations could be materially adversely affected. Cost overruns also may adversely affect our ability to sustain existing programs and obtain future contract awards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cash flow and profitability could be reduced if expenditures are incurred prior to the final receipt of a contract.</w:t>
      </w:r>
    </w:p>
    <w:p>
      <w:pPr>
        <w:spacing w:after="0" w:line="217"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We provide various professional services, specialized products, and sometimes procure equipment and materials on behalf of our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In addition, from time to time, we may build production units such as unmanned aerial vehicles in advance of receiving an anticipated contract award. If our government or prime contractor customer’s requirements should change or if the government or the prime contractor should direct the anticipated procurement to another contractor, or if the anticipated contract award does not materialize,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82"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b w:val="1"/>
          <w:bCs w:val="1"/>
          <w:i w:val="1"/>
          <w:iCs w:val="1"/>
          <w:color w:val="auto"/>
        </w:rPr>
        <w:t>If we fail to respond to commercial industry cycles in terms of our cost structure, manufacturing capacity, and/or personnel needs, our business could be seriously harmed.</w:t>
      </w:r>
    </w:p>
    <w:p>
      <w:pPr>
        <w:spacing w:after="0" w:line="190" w:lineRule="exact"/>
        <w:rPr>
          <w:sz w:val="20"/>
          <w:szCs w:val="20"/>
          <w:color w:val="auto"/>
        </w:rPr>
      </w:pPr>
    </w:p>
    <w:p>
      <w:pPr>
        <w:ind w:right="280" w:firstLine="619"/>
        <w:spacing w:after="0" w:line="277" w:lineRule="auto"/>
        <w:rPr>
          <w:sz w:val="20"/>
          <w:szCs w:val="20"/>
          <w:color w:val="auto"/>
        </w:rPr>
      </w:pPr>
      <w:r>
        <w:rPr>
          <w:rFonts w:ascii="Arial" w:cs="Arial" w:eastAsia="Arial" w:hAnsi="Arial"/>
          <w:sz w:val="16"/>
          <w:szCs w:val="16"/>
          <w:color w:val="auto"/>
        </w:rPr>
        <w:t>The timing, length, and severity of the up-and-down cycles in the commercial and defense industries are difficult to predict. This cyclical nature of the industries in which we operate affects our ability to accurately predict future revenue, and in some cases, future expense levels. During down cycles in our industry, the financial results of our customers may be negatively impacted, which could result not only in a decrease in orders but also a weakening of their financial condition that could impair our ability to recognize revenue or to collect on outstanding receivables. When cyclical fluctuations result in lower than expected revenue levels, operating results may be adversely affected and cost reduction measures may be necessary in order for us to remain competitive and financially sound. We must be in a position to adjust our cost and expense structure to reflect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9" w:name="page30"/>
    <w:bookmarkEnd w:id="29"/>
    <w:p>
      <w:pPr>
        <w:spacing w:after="0" w:line="262" w:lineRule="auto"/>
        <w:rPr>
          <w:sz w:val="20"/>
          <w:szCs w:val="20"/>
          <w:color w:val="auto"/>
        </w:rPr>
      </w:pPr>
      <w:r>
        <w:rPr>
          <w:rFonts w:ascii="Arial" w:cs="Arial" w:eastAsia="Arial" w:hAnsi="Arial"/>
          <w:sz w:val="17"/>
          <w:szCs w:val="17"/>
          <w:color w:val="auto"/>
        </w:rPr>
        <w:t>prevailing market conditions and to continue to motivate and retain our key employees. If we fail to respond to fluctuating market conditions our business could be seriously harmed. In addition, during periods of rapid growth, we must be able to increase engineering and manufacturing capacity and personnel to meet customer demand. We can provide no assurance that these objectives can be met in a timely manner in response to industry cycles. Each of these factors could adversely impact our operating results and financial condition.</w:t>
      </w:r>
    </w:p>
    <w:p>
      <w:pPr>
        <w:spacing w:after="0" w:line="17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We face significant risks in the management of our inventory, and failure to effectively manage our inventory levels may result in product recalls or supply imbalances that could harm our business.</w:t>
      </w:r>
    </w:p>
    <w:p>
      <w:pPr>
        <w:spacing w:after="0" w:line="190" w:lineRule="exact"/>
        <w:rPr>
          <w:sz w:val="20"/>
          <w:szCs w:val="20"/>
          <w:color w:val="auto"/>
        </w:rPr>
      </w:pPr>
    </w:p>
    <w:p>
      <w:pPr>
        <w:ind w:right="40" w:firstLine="619"/>
        <w:spacing w:after="0" w:line="276" w:lineRule="auto"/>
        <w:rPr>
          <w:sz w:val="20"/>
          <w:szCs w:val="20"/>
          <w:color w:val="auto"/>
        </w:rPr>
      </w:pPr>
      <w:r>
        <w:rPr>
          <w:rFonts w:ascii="Arial" w:cs="Arial" w:eastAsia="Arial" w:hAnsi="Arial"/>
          <w:sz w:val="16"/>
          <w:szCs w:val="16"/>
          <w:color w:val="auto"/>
        </w:rPr>
        <w:t>We maintain a variety of parts and components in inventory to allow us to customize our products for specific customer requirements, which parts are subject to obsolescence and expiration. Due to the long-lead time for obtaining certain product components and the manufacturing cycles, we need to make forecasts of demand and commit significant resources towards manufacturing our products. As such, we are subject to significant risks in managing the inventory needs of our business during the year, including estimating the appropriate demand for our products. Should orders and market conditions differ significantly from our estimates, our future results of operations could be materially adversely affected. In the future, we may be required to record write-downs of finished products and materials on-hand and/or additional charges for excess purchase commitments as a result of future changes in our sales forecasts or customer orders, which could have a negative impact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and may continue to incur goodwill impairment charges in our reporting entities, which could harm our profitability.</w:t>
      </w:r>
    </w:p>
    <w:p>
      <w:pPr>
        <w:spacing w:after="0" w:line="217" w:lineRule="exact"/>
        <w:rPr>
          <w:sz w:val="20"/>
          <w:szCs w:val="20"/>
          <w:color w:val="auto"/>
        </w:rPr>
      </w:pPr>
    </w:p>
    <w:p>
      <w:pPr>
        <w:jc w:val="both"/>
        <w:ind w:right="160" w:firstLine="619"/>
        <w:spacing w:after="0" w:line="266" w:lineRule="auto"/>
        <w:rPr>
          <w:sz w:val="20"/>
          <w:szCs w:val="20"/>
          <w:color w:val="auto"/>
        </w:rPr>
      </w:pPr>
      <w:r>
        <w:rPr>
          <w:rFonts w:ascii="Arial" w:cs="Arial" w:eastAsia="Arial" w:hAnsi="Arial"/>
          <w:sz w:val="17"/>
          <w:szCs w:val="17"/>
          <w:color w:val="auto"/>
        </w:rPr>
        <w:t>As of December 26, 2021, goodwill represented approximately 31% of our total assets. We test for impairment annually. If impairment testing indicates that the carrying value of a reporting unit exceeds its fair value, the goodwill of the reporting unit is deemed impaired. Accordingly, an impairment charge would be recognized for that reporting unit in the period identified.</w:t>
      </w:r>
    </w:p>
    <w:p>
      <w:pPr>
        <w:spacing w:after="0" w:line="175" w:lineRule="exact"/>
        <w:rPr>
          <w:sz w:val="20"/>
          <w:szCs w:val="20"/>
          <w:color w:val="auto"/>
        </w:rPr>
      </w:pPr>
    </w:p>
    <w:p>
      <w:pPr>
        <w:ind w:right="100" w:firstLine="619"/>
        <w:spacing w:after="0" w:line="297" w:lineRule="auto"/>
        <w:rPr>
          <w:sz w:val="20"/>
          <w:szCs w:val="20"/>
          <w:color w:val="auto"/>
        </w:rPr>
      </w:pPr>
      <w:r>
        <w:rPr>
          <w:rFonts w:ascii="Arial" w:cs="Arial" w:eastAsia="Arial" w:hAnsi="Arial"/>
          <w:sz w:val="15"/>
          <w:szCs w:val="15"/>
          <w:color w:val="auto"/>
        </w:rPr>
        <w:t>We test goodwill for impairment by performing a qualitative assessment or using a two-step impairment process. If we choose to perform a qualitative assessment and determine it is more likely than not that an impairment may exist, the two-step impairment process is then performed. For operations where the two-step process is used, the identification and measurement of impairment involves the estimation of the fair value of reporting units. If the fair value is determined to be less than the carrying value, a second step is performed to determine the amount of the impairment. Accounting for impairment contains uncertainty because management must make judgments in determining appropriate assumptions to be used in the measurement of fair value. The estimates of fair value of reporting units are based on the best information available as of the date of the assessment, incorporate management assumptions about expected future cash flows and contemplate other valuation techniques. Future cash flows can be affected by changes in industry or market conditions, among other things.</w:t>
      </w:r>
    </w:p>
    <w:p>
      <w:pPr>
        <w:spacing w:after="0" w:line="169" w:lineRule="exact"/>
        <w:rPr>
          <w:sz w:val="20"/>
          <w:szCs w:val="20"/>
          <w:color w:val="auto"/>
        </w:rPr>
      </w:pPr>
    </w:p>
    <w:p>
      <w:pPr>
        <w:ind w:right="20" w:firstLine="619"/>
        <w:spacing w:after="0" w:line="257" w:lineRule="auto"/>
        <w:rPr>
          <w:sz w:val="20"/>
          <w:szCs w:val="20"/>
          <w:color w:val="auto"/>
        </w:rPr>
      </w:pPr>
      <w:r>
        <w:rPr>
          <w:rFonts w:ascii="Arial" w:cs="Arial" w:eastAsia="Arial" w:hAnsi="Arial"/>
          <w:sz w:val="15"/>
          <w:szCs w:val="15"/>
          <w:color w:val="auto"/>
        </w:rPr>
        <w:t>Given the current market conditions and continued economic uncertainty in the U.S. defense industry, including sequestration and issues surrounding the national debt ceiling and COVID-19 related impacts to certain of our businesses, our future revenues, profits and cash flows could be substantially lower than our current projections. Market conditions, including increased price competitiveness specifically in the government services space, and procurements awarded on an LPTA rather than a best value basis, can significantly impact our projections. In addition, our ability to penetrate new international markets could also impact our current projections. Additional market factors could impact our projections and our ability to successfully develop new products and platforms. For example, our US reporting unit forecasts include the successful completion of certain performance criteria on new unmanned systems platforms, and acceptance of new unmanned systems platforms on a technical basis as well as from a political and government budgetary standpoint, including the assumption that products we have developed or will develop will become programs of record. In addition, market-based inputs to the calculations in the impairment test, such as weighted average cost of capital, and market multiples, could also be negatively impacted. Such circumstances may result in the future deterioration of the fair value of our reporting units and an impairment of our goodwill. Due to continual changes in market and general business conditions, we cannot predict whether, and to what extent, our goodwill and long-lived intangible assets may be impaired in future periods. Any resulting impairment loss could harm our profitability and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properly manage projects may result in additional costs or claims.</w:t>
      </w:r>
    </w:p>
    <w:p>
      <w:pPr>
        <w:spacing w:after="0" w:line="217" w:lineRule="exact"/>
        <w:rPr>
          <w:sz w:val="20"/>
          <w:szCs w:val="20"/>
          <w:color w:val="auto"/>
        </w:rPr>
      </w:pPr>
    </w:p>
    <w:p>
      <w:pPr>
        <w:ind w:right="40" w:firstLine="619"/>
        <w:spacing w:after="0" w:line="283" w:lineRule="auto"/>
        <w:rPr>
          <w:sz w:val="20"/>
          <w:szCs w:val="20"/>
          <w:color w:val="auto"/>
        </w:rPr>
      </w:pPr>
      <w:r>
        <w:rPr>
          <w:rFonts w:ascii="Arial" w:cs="Arial" w:eastAsia="Arial" w:hAnsi="Arial"/>
          <w:sz w:val="16"/>
          <w:szCs w:val="16"/>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customers’ expectations could result in claims for substantial damages against us. Our contracts generally limit our liability for damages that arise from negligent acts, errors, mistakes or omissions in rendering services to our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30" w:name="page31"/>
    <w:bookmarkEnd w:id="30"/>
    <w:p>
      <w:pPr>
        <w:ind w:right="120"/>
        <w:spacing w:after="0" w:line="283" w:lineRule="auto"/>
        <w:rPr>
          <w:sz w:val="20"/>
          <w:szCs w:val="20"/>
          <w:color w:val="auto"/>
        </w:rPr>
      </w:pPr>
      <w:r>
        <w:rPr>
          <w:rFonts w:ascii="Arial" w:cs="Arial" w:eastAsia="Arial" w:hAnsi="Arial"/>
          <w:sz w:val="16"/>
          <w:szCs w:val="16"/>
          <w:color w:val="auto"/>
        </w:rPr>
        <w:t>customers.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adversely affected.</w:t>
      </w:r>
    </w:p>
    <w:p>
      <w:pPr>
        <w:spacing w:after="0" w:line="16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We use estimates when accounting for contracts, and any changes in such estimates could have an adverse effect on our profitability and our overall financial performance.</w:t>
      </w:r>
    </w:p>
    <w:p>
      <w:pPr>
        <w:spacing w:after="0" w:line="164" w:lineRule="exact"/>
        <w:rPr>
          <w:sz w:val="20"/>
          <w:szCs w:val="20"/>
          <w:color w:val="auto"/>
        </w:rPr>
      </w:pPr>
    </w:p>
    <w:p>
      <w:pPr>
        <w:ind w:right="40" w:firstLine="619"/>
        <w:spacing w:after="0" w:line="256" w:lineRule="auto"/>
        <w:rPr>
          <w:sz w:val="20"/>
          <w:szCs w:val="20"/>
          <w:color w:val="auto"/>
        </w:rPr>
      </w:pPr>
      <w:r>
        <w:rPr>
          <w:rFonts w:ascii="Arial" w:cs="Arial" w:eastAsia="Arial" w:hAnsi="Arial"/>
          <w:sz w:val="17"/>
          <w:szCs w:val="17"/>
          <w:color w:val="auto"/>
        </w:rPr>
        <w:t>When agreeing to contractual terms, our management makes assumptions and projections about future conditions and events, many of which extend over long periods. These projections assess the productivity and availability of labor, complexity of the work to be performed, cost and availability of materials, impact of delayed performance and timing of product deliveries. Contract accounting requires judgment relative to assessing risks, estimating contract revenues and costs, and making assumptions for schedule and technical issues. Due to the size and nature of many of our contracts, the estimation of total revenues and costs at completion is complicated and subject to many variables. For example, assumptions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86" w:lineRule="exact"/>
        <w:rPr>
          <w:sz w:val="20"/>
          <w:szCs w:val="20"/>
          <w:color w:val="auto"/>
        </w:rPr>
      </w:pPr>
    </w:p>
    <w:p>
      <w:pPr>
        <w:ind w:right="40" w:firstLine="619"/>
        <w:spacing w:after="0" w:line="290" w:lineRule="auto"/>
        <w:rPr>
          <w:sz w:val="20"/>
          <w:szCs w:val="20"/>
          <w:color w:val="auto"/>
        </w:rPr>
      </w:pPr>
      <w:r>
        <w:rPr>
          <w:rFonts w:ascii="Arial" w:cs="Arial" w:eastAsia="Arial" w:hAnsi="Arial"/>
          <w:sz w:val="16"/>
          <w:szCs w:val="16"/>
          <w:color w:val="auto"/>
        </w:rPr>
        <w:t>Because of the significance of the judgment and estimation processes described above, it is possible that materially different amounts could be obtained if different assumptions were used or if the underlying circumstances were to change. Changes in underlying assumptions, circumstances or estimates may have a material adverse effect upon the profitability of one or more of the affected contracts, future period financial reporting and performance.</w:t>
      </w:r>
    </w:p>
    <w:p>
      <w:pPr>
        <w:spacing w:after="0" w:line="15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b w:val="1"/>
          <w:bCs w:val="1"/>
          <w:i w:val="1"/>
          <w:iCs w:val="1"/>
          <w:color w:val="auto"/>
        </w:rPr>
        <w:t>Our ability to utilize our net operating loss carryforwards and certain other tax attributes may be limited. We may be required to record valuation allowances on our net operating loss carryforwards in future periods which could adversely impact our profitability and financial condition.</w:t>
      </w:r>
    </w:p>
    <w:p>
      <w:pPr>
        <w:spacing w:after="0" w:line="166" w:lineRule="exact"/>
        <w:rPr>
          <w:sz w:val="20"/>
          <w:szCs w:val="20"/>
          <w:color w:val="auto"/>
        </w:rPr>
      </w:pPr>
    </w:p>
    <w:p>
      <w:pPr>
        <w:ind w:right="120" w:firstLine="619"/>
        <w:spacing w:after="0" w:line="257" w:lineRule="auto"/>
        <w:rPr>
          <w:sz w:val="20"/>
          <w:szCs w:val="20"/>
          <w:color w:val="auto"/>
        </w:rPr>
      </w:pPr>
      <w:r>
        <w:rPr>
          <w:rFonts w:ascii="Arial" w:cs="Arial" w:eastAsia="Arial" w:hAnsi="Arial"/>
          <w:sz w:val="17"/>
          <w:szCs w:val="17"/>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We believe we underwent an ownership change in March 2010 that limited the Company’s federal annual utilization of NOL carryforwards. If the entire limitation amount is not utilized in a year, the excess can be carried forward and utilized in future years. For the year ended December 26, 2021, there was no impact of such limitations on the income tax provision since the amount of taxable income did not exceed the cumulative annual limitation amount. In addition, future equity offerings or acquisitions that have equity as a component of the purchase price could also cause an “ownership change.” If and when any other “ownership change” occurs, utilization of the NOL or other tax attributes may be further limited.</w:t>
      </w:r>
    </w:p>
    <w:p>
      <w:pPr>
        <w:spacing w:after="0" w:line="198" w:lineRule="exact"/>
        <w:rPr>
          <w:sz w:val="20"/>
          <w:szCs w:val="20"/>
          <w:color w:val="auto"/>
        </w:rPr>
      </w:pPr>
    </w:p>
    <w:p>
      <w:pPr>
        <w:ind w:firstLine="619"/>
        <w:spacing w:after="0" w:line="255" w:lineRule="auto"/>
        <w:rPr>
          <w:sz w:val="20"/>
          <w:szCs w:val="20"/>
          <w:color w:val="auto"/>
        </w:rPr>
      </w:pPr>
      <w:r>
        <w:rPr>
          <w:rFonts w:ascii="Arial" w:cs="Arial" w:eastAsia="Arial" w:hAnsi="Arial"/>
          <w:sz w:val="15"/>
          <w:szCs w:val="15"/>
          <w:color w:val="auto"/>
        </w:rPr>
        <w:t>In the fourth quarter of 2020, the Company determined, based upon generation of positive income in the past several years resulting in a cumulative income position, and based upon forecasted future taxable income taking into consideration expected future permanent and temporary tax differences, that a significant portion (approximately $80.1 million) of the valuation allowance against the carrying value of its deferred tax assets was no longer necessary. Given the current market conditions and continued economic uncertainty in the U.S. defense industry, including sequestration and issues surrounding the national debt ceiling and COVID-19 related impacts to certain of our businesses, including disruptions in supply chain, our future revenues, profits, cash flows, and taxable income could be substantially lower than our current projections. Market conditions, including increased price competitiveness specifically in the government services space, and procurements awarded on an LPTA rather than a best value basis, can significantly impact our projections. In addition, our ability to penetrate new international markets could also impact our current projections. Additional market factors could impact our projections and our ability to successfully develop new products and platforms. For example, our US reporting unit forecasts include the successful completion of certain performance criteria on new unmanned systems platforms, and acceptance of new unmanned systems platforms on a technical basis as well as from a political and government budgetary standpoint. In addition, reforms or changes to current tax regulations could impact the future utilization of our NOLs. Such circumstances may result in the expiration of our NOLs before we are able to utilize them, which could result in a requirement to record valuation allowances. Due to continual changes in market and general business conditions, we cannot predict whether, and to what extent, a valuation allowance may be required in future periods. Any resulting valuation allowances on our NOL carryforwards that are required to be recorded in future periods could adversely impact our profitability and financial condition.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1" w:name="page32"/>
    <w:bookmarkEnd w:id="31"/>
    <w:p>
      <w:pPr>
        <w:spacing w:after="0" w:line="279" w:lineRule="auto"/>
        <w:rPr>
          <w:sz w:val="20"/>
          <w:szCs w:val="20"/>
          <w:color w:val="auto"/>
        </w:rPr>
      </w:pPr>
      <w:r>
        <w:rPr>
          <w:rFonts w:ascii="Arial" w:cs="Arial" w:eastAsia="Arial" w:hAnsi="Arial"/>
          <w:sz w:val="17"/>
          <w:szCs w:val="17"/>
          <w:b w:val="1"/>
          <w:bCs w:val="1"/>
          <w:i w:val="1"/>
          <w:iCs w:val="1"/>
          <w:color w:val="auto"/>
        </w:rPr>
        <w:t>We expect to incur substantial research and development costs and devote significant resources to identifying and developing new products and services, which could significantly reduce our profitability and may never result in revenue to us.</w:t>
      </w:r>
    </w:p>
    <w:p>
      <w:pPr>
        <w:spacing w:after="0" w:line="164" w:lineRule="exact"/>
        <w:rPr>
          <w:sz w:val="20"/>
          <w:szCs w:val="20"/>
          <w:color w:val="auto"/>
        </w:rPr>
      </w:pPr>
    </w:p>
    <w:p>
      <w:pPr>
        <w:ind w:right="60" w:firstLine="172"/>
        <w:spacing w:after="0" w:line="276" w:lineRule="auto"/>
        <w:rPr>
          <w:sz w:val="20"/>
          <w:szCs w:val="20"/>
          <w:color w:val="auto"/>
        </w:rPr>
      </w:pPr>
      <w:r>
        <w:rPr>
          <w:rFonts w:ascii="Arial" w:cs="Arial" w:eastAsia="Arial" w:hAnsi="Arial"/>
          <w:sz w:val="16"/>
          <w:szCs w:val="16"/>
          <w:color w:val="auto"/>
        </w:rPr>
        <w:t>Our future growth depends on penetrating new markets, adapting existing products to new applications, and introducing new products and services that achieve market acceptance. We plan to incur substantial research and development costs as part of our efforts to design, develop and commercialize new products and services and enhance existing products. We spent $35.2 million, or 4.3% of our revenue, in our fiscal year ended December 26, 2021 on internally funded research and development activities. We believe that there are significant investment opportunities in a number of business areas. Because we account for research and development as an operating expense, these expenditures will adversely affect our earnings in the future. Further, our research and development programs may not produce successful results, and our new products and services may not achieve market acceptance, create additional revenue or become profitable, which could materially harm our business, prospects, financial results and liquidity.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operations expose us to risks associated with pandemics, epidemics or other public health emergencies, such as the outbreak of COVID-19.</w:t>
      </w:r>
    </w:p>
    <w:p>
      <w:pPr>
        <w:spacing w:after="0" w:line="243" w:lineRule="exact"/>
        <w:rPr>
          <w:sz w:val="20"/>
          <w:szCs w:val="20"/>
          <w:color w:val="auto"/>
        </w:rPr>
      </w:pPr>
    </w:p>
    <w:p>
      <w:pPr>
        <w:ind w:right="300" w:firstLine="619"/>
        <w:spacing w:after="0" w:line="259" w:lineRule="auto"/>
        <w:rPr>
          <w:sz w:val="20"/>
          <w:szCs w:val="20"/>
          <w:color w:val="auto"/>
        </w:rPr>
      </w:pPr>
      <w:r>
        <w:rPr>
          <w:rFonts w:ascii="Arial" w:cs="Arial" w:eastAsia="Arial" w:hAnsi="Arial"/>
          <w:sz w:val="17"/>
          <w:szCs w:val="17"/>
          <w:color w:val="auto"/>
        </w:rPr>
        <w:t>In March 2020, the World Health Organization categorized COVID-19 as a pandemic, and the President of the United States declared the COVID-19 outbreak a national emergency. The outbreak has resulted in governments around the world, including the U.S. Government and state and local governments, implementing increasingly stringent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196" w:lineRule="exact"/>
        <w:rPr>
          <w:sz w:val="20"/>
          <w:szCs w:val="20"/>
          <w:color w:val="auto"/>
        </w:rPr>
      </w:pPr>
    </w:p>
    <w:p>
      <w:pPr>
        <w:ind w:right="20" w:firstLine="619"/>
        <w:spacing w:after="0" w:line="238" w:lineRule="auto"/>
        <w:rPr>
          <w:sz w:val="20"/>
          <w:szCs w:val="20"/>
          <w:color w:val="auto"/>
        </w:rPr>
      </w:pPr>
      <w:r>
        <w:rPr>
          <w:rFonts w:ascii="Arial" w:cs="Arial" w:eastAsia="Arial" w:hAnsi="Arial"/>
          <w:sz w:val="16"/>
          <w:szCs w:val="16"/>
          <w:color w:val="auto"/>
        </w:rPr>
        <w:t>We are a company operating in a “critical infrastructure industry”, as defined by the U.S. Department of Homeland Security. Consistent with federal guidelines and with state and local orders to date, we currently continue to operate, including our international operations. Notwithstanding our continued operations, COVID-19 has had negative impacts on certain of our operations, including employee absenteeism, our supply chain, vendors, transportation networks and customers, which have reduced certain of our sales and our margins, including as a result of preventative and precautionary measures that we, our suppliers, other businesses and governments are taking. The COVID-19 outbreak is a widespread public health crisis that is adversely affecting the economies and financial markets globally. Any resulting economic downturn could adversely affect demand for our products. The progression of this matter could also negatively impact our business or results of operations through the temporary or extended closure of our operating locations or those of our customers or suppliers. Despite progress in vaccination efforts, global economic activity remains uncertain and cannot be predicted with confidence. Further, in the first half of 2021, a new Delta variant of COVID-19 began to spread globally and caused an increase in COVID-19 cases in many places in the United States, and in November 2021, a new Omicron variant, which appears to be the most transmissible variant to date, was detected, which Omicron variant has since caused in increase in COVID-19 cases in multiple countries, including the United States. Public health officials and medical professionals have warned that COVID-19 cases may continue to spike due to the Delta variant and/or the Omicron variant, particularly if vaccination rates do not quickly increase or if additional, potent disease variants emerge. It is unclear how long the resurgence due to Delta or the resurgence due to Omicron will last, how severe the Delta resurgence or Omicron resurgence will be, and what safety measures governments will impose in response to the Delta resurgence or Omicron resurgence.</w:t>
      </w:r>
    </w:p>
    <w:p>
      <w:pPr>
        <w:spacing w:after="0" w:line="217" w:lineRule="exact"/>
        <w:rPr>
          <w:sz w:val="20"/>
          <w:szCs w:val="20"/>
          <w:color w:val="auto"/>
        </w:rPr>
      </w:pPr>
    </w:p>
    <w:p>
      <w:pPr>
        <w:ind w:right="20" w:firstLine="619"/>
        <w:spacing w:after="0" w:line="275" w:lineRule="auto"/>
        <w:rPr>
          <w:sz w:val="20"/>
          <w:szCs w:val="20"/>
          <w:color w:val="auto"/>
        </w:rPr>
      </w:pPr>
      <w:r>
        <w:rPr>
          <w:rFonts w:ascii="Arial" w:cs="Arial" w:eastAsia="Arial" w:hAnsi="Arial"/>
          <w:sz w:val="16"/>
          <w:szCs w:val="16"/>
          <w:color w:val="auto"/>
        </w:rPr>
        <w:t>Since the end of our first quarter of 2020, COVID-19 has continued to impact our customers, markets and operations, including supply chain disruptions, delays of certain supplier deliveries, difficulties gaining access to certain locations, difficulties gaining access to customers, and decreased demand requirements of certain of our commercial aero, power and satcom customers. Importantly, COVID-19 customer and contractor-related travel and social distancing restrictions have delayed a number of our target drone, tactical drone and rocket system programs, missions and exercises. The extent to which COVID-19 may further impact our business depends on future developments, which are highly uncertain and unpredictable, including new information concerning the severity of the outbreak and the effectiveness of actions globally to contain or mitigate its effects. While we currently do not expect this matter to have a material impact on our results of operations, cash flows and financial position, the current level of uncertainty over the economic, business and operational impacts of COVID-19 means the related financial impact cannot be reasonably estimated at this time.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i w:val="1"/>
          <w:iCs w:val="1"/>
          <w:color w:val="auto"/>
        </w:rPr>
        <w:t>We may need additional capital to fund the growth of our business, and financing may not be available on favorable terms or at all.</w:t>
      </w:r>
    </w:p>
    <w:p>
      <w:pPr>
        <w:spacing w:after="0" w:line="243" w:lineRule="exact"/>
        <w:rPr>
          <w:sz w:val="20"/>
          <w:szCs w:val="20"/>
          <w:color w:val="auto"/>
        </w:rPr>
      </w:pPr>
    </w:p>
    <w:p>
      <w:pPr>
        <w:ind w:firstLine="619"/>
        <w:spacing w:after="0" w:line="293" w:lineRule="auto"/>
        <w:rPr>
          <w:sz w:val="20"/>
          <w:szCs w:val="20"/>
          <w:color w:val="auto"/>
        </w:rPr>
      </w:pPr>
      <w:r>
        <w:rPr>
          <w:rFonts w:ascii="Arial" w:cs="Arial" w:eastAsia="Arial" w:hAnsi="Arial"/>
          <w:sz w:val="15"/>
          <w:szCs w:val="15"/>
          <w:color w:val="auto"/>
        </w:rPr>
        <w:t>We currently anticipate that our available capital resources, amounts available under our Credit Agreement and operating cash flow will be sufficient to meet our expected working capital and capital expenditure requirements for at least the next 12 months. However, these resources may not be sufficient to fund the long-term growth of our business, especially in the event that we are awarded future multiple sizable production awards related to our tactical drone programs which require significant amounts of working capital to fund such growth. If we determine that it is necessary to raise additional funds, either through an expansion or refinancing of our Credit Agreement or through public or private debt offerings or additional equity financings, additional financing may not be available on terms favorable to us, or at all. Disruptions in the capital and credit markets could adversely affect our ability to access these markets. Limitations on our borrowing base contained in our Credit Agreement may limit our access to capital, and we could fall out of compliance with financial and other covenants contained in our Credit Agreement which, if not waived, would restrict our access to capital and could require us to pay down any then-existing debt under the Credit Agreement. Our lenders may not agree to extend additional or continuing credit under our Credit Agreement or waive restrictions on our access to capital. If adequate funds are not available or are not available on acceptable terms, we may not be able to take advantage of available opportunities, develop new products or otherwise respond to competitive pressures and our business, operating results or financial condition could be materially adversely affected.</w:t>
      </w:r>
    </w:p>
    <w:p>
      <w:pPr>
        <w:spacing w:after="0" w:line="185" w:lineRule="exact"/>
        <w:rPr>
          <w:sz w:val="20"/>
          <w:szCs w:val="20"/>
          <w:color w:val="auto"/>
        </w:rPr>
      </w:pPr>
    </w:p>
    <w:p>
      <w:pPr>
        <w:ind w:right="3020"/>
        <w:spacing w:after="0" w:line="279" w:lineRule="auto"/>
        <w:rPr>
          <w:sz w:val="20"/>
          <w:szCs w:val="20"/>
          <w:color w:val="auto"/>
        </w:rPr>
      </w:pPr>
      <w:r>
        <w:rPr>
          <w:rFonts w:ascii="Arial" w:cs="Arial" w:eastAsia="Arial" w:hAnsi="Arial"/>
          <w:sz w:val="17"/>
          <w:szCs w:val="17"/>
          <w:b w:val="1"/>
          <w:bCs w:val="1"/>
          <w:i w:val="1"/>
          <w:iCs w:val="1"/>
          <w:color w:val="auto"/>
        </w:rPr>
        <w:t>Our cash may be subject to a risk of loss and we may be exposed to fluctuations in the market values of our portfolio investments and in interest rates.</w:t>
      </w:r>
    </w:p>
    <w:p>
      <w:pPr>
        <w:spacing w:after="0" w:line="190" w:lineRule="exact"/>
        <w:rPr>
          <w:sz w:val="20"/>
          <w:szCs w:val="20"/>
          <w:color w:val="auto"/>
        </w:rPr>
      </w:pPr>
    </w:p>
    <w:p>
      <w:pPr>
        <w:ind w:right="20" w:firstLine="619"/>
        <w:spacing w:after="0" w:line="275" w:lineRule="auto"/>
        <w:rPr>
          <w:sz w:val="20"/>
          <w:szCs w:val="20"/>
          <w:color w:val="auto"/>
        </w:rPr>
      </w:pPr>
      <w:r>
        <w:rPr>
          <w:rFonts w:ascii="Arial" w:cs="Arial" w:eastAsia="Arial" w:hAnsi="Arial"/>
          <w:sz w:val="16"/>
          <w:szCs w:val="16"/>
          <w:color w:val="auto"/>
        </w:rPr>
        <w:t>Our assets include a significant amount of cash and investments. We adhere to an investment policy set by our board of directors which aims to preserve our financial assets, maintain adequate liquidity and maximize returns. We believe that our cash is held in institutions whose credit risk is minimal and that the value and liquidity of our deposits are accurately reflected in our Consolidated Financial Statements as of December 26, 2021. We currently invest the majority of our cash in institutional U.S. money market funds, institutional U.S. treasury money market funds, U.S. treasuries, and U.S. government agency securities, the performance of which are subject to additional market risks related to their respective issuers. Nearly all of our cash and bank deposits are not insured by the Federal Deposit Insurance Corporation. Therefore, our cash and any bank deposits that we now hold or may acquire in the future may be subject to risks, including the risk of loss or of reduced value or liquidity. In the future, should we determine that there is a decline in value of any of our portfolio securities which is not temporary in nature, this would result in a loss being recognized in our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acquisitions and future acquisitions could prove difficult to integrate, disrupt our business, dilute stockholder value and strain our resources.</w:t>
      </w:r>
    </w:p>
    <w:p>
      <w:pPr>
        <w:spacing w:after="0" w:line="254" w:lineRule="exact"/>
        <w:rPr>
          <w:sz w:val="20"/>
          <w:szCs w:val="20"/>
          <w:color w:val="auto"/>
        </w:rPr>
      </w:pPr>
    </w:p>
    <w:p>
      <w:pPr>
        <w:ind w:right="440" w:firstLine="619"/>
        <w:spacing w:after="0" w:line="257" w:lineRule="auto"/>
        <w:rPr>
          <w:sz w:val="20"/>
          <w:szCs w:val="20"/>
          <w:color w:val="auto"/>
        </w:rPr>
      </w:pPr>
      <w:r>
        <w:rPr>
          <w:rFonts w:ascii="Arial" w:cs="Arial" w:eastAsia="Arial" w:hAnsi="Arial"/>
          <w:sz w:val="17"/>
          <w:szCs w:val="17"/>
          <w:color w:val="auto"/>
        </w:rPr>
        <w:t>We have in the past and may, in the future, acquire additional businesses that we believe could complement or expand our business or increase our customer base. Whether we realize the anticipated benefits from these acquisitions and related activities depends, in part, upon our ability to integrate the operations of the acquired business, the performance of the underlying product and service portfolio, and the performance of the management team and other personnel of the acquired operations. Integrating the operations of acquired businesses successfully or otherwise realizing any of the anticipated benefits of acquisitions, including anticipated cost savings and additional revenue opportunities, involves a number of potential challenges. The failure to meet these integration challenges could seriously harm our financial condition and results of operations. Realizing the benefits of acquisitions depends in part on the integration of operations and personnel. These integration activities are complex and time-consuming, and we may encounter unexpected difficulties or incur unexpected costs, including:</w:t>
      </w:r>
    </w:p>
    <w:p>
      <w:pPr>
        <w:spacing w:after="0" w:line="208" w:lineRule="exact"/>
        <w:rPr>
          <w:sz w:val="20"/>
          <w:szCs w:val="20"/>
          <w:color w:val="auto"/>
        </w:rPr>
      </w:pPr>
    </w:p>
    <w:p>
      <w:pPr>
        <w:ind w:left="1240" w:hanging="3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inability to achieve the operating synergies anticipated in the acquisitions;</w:t>
      </w:r>
    </w:p>
    <w:p>
      <w:pPr>
        <w:spacing w:after="0" w:line="21" w:lineRule="exact"/>
        <w:rPr>
          <w:rFonts w:ascii="Arial" w:cs="Arial" w:eastAsia="Arial" w:hAnsi="Arial"/>
          <w:sz w:val="17"/>
          <w:szCs w:val="17"/>
          <w:color w:val="auto"/>
        </w:rPr>
      </w:pPr>
    </w:p>
    <w:p>
      <w:pPr>
        <w:ind w:left="1240" w:hanging="3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diversion of management attention from ongoing business concerns to integration matters;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difficulties in consolidating and rationalizing IT platforms and administrative infrastructures;</w:t>
      </w:r>
    </w:p>
    <w:p>
      <w:pPr>
        <w:spacing w:after="0" w:line="10" w:lineRule="exact"/>
        <w:rPr>
          <w:rFonts w:ascii="Arial" w:cs="Arial" w:eastAsia="Arial" w:hAnsi="Arial"/>
          <w:sz w:val="17"/>
          <w:szCs w:val="17"/>
          <w:color w:val="auto"/>
        </w:rPr>
      </w:pPr>
    </w:p>
    <w:p>
      <w:pPr>
        <w:ind w:left="1240" w:right="420" w:hanging="309"/>
        <w:spacing w:after="0" w:line="253"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complexities associated with managing the geographic separation of the combined businesses and consolidating multiple physical locations where management may determine consolidation is desirable;</w:t>
      </w:r>
    </w:p>
    <w:p>
      <w:pPr>
        <w:ind w:left="1240" w:right="360" w:hanging="309"/>
        <w:spacing w:after="0" w:line="253"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difficulties in integrating personnel from different corporate cultures while maintaining focus on providing consistent, high quality customer service;</w:t>
      </w:r>
    </w:p>
    <w:p>
      <w:pPr>
        <w:ind w:left="1240" w:hanging="3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difficulties or delays in transitioning U.S. Government contracts pursuant to federal acquisition regulations;</w:t>
      </w:r>
    </w:p>
    <w:p>
      <w:pPr>
        <w:spacing w:after="0" w:line="10" w:lineRule="exact"/>
        <w:rPr>
          <w:rFonts w:ascii="Arial" w:cs="Arial" w:eastAsia="Arial" w:hAnsi="Arial"/>
          <w:sz w:val="17"/>
          <w:szCs w:val="17"/>
          <w:color w:val="auto"/>
        </w:rPr>
      </w:pPr>
    </w:p>
    <w:p>
      <w:pPr>
        <w:ind w:left="1240" w:right="580" w:hanging="309"/>
        <w:spacing w:after="0" w:line="253"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challenges in demonstrating to customers of Kratos and to customers of acquired businesses that the acquisition will not result in adverse changes in customer service standards or business focus;</w:t>
      </w:r>
    </w:p>
    <w:p>
      <w:pPr>
        <w:ind w:left="1240" w:hanging="3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possible cash flow interruption or loss of revenue as a result of change of ownership transitional matters; and</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inability to generate sufficient revenue to offset acquisition costs.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3" w:name="page34"/>
    <w:bookmarkEnd w:id="33"/>
    <w:p>
      <w:pPr>
        <w:ind w:firstLine="619"/>
        <w:spacing w:after="0" w:line="273" w:lineRule="auto"/>
        <w:rPr>
          <w:sz w:val="20"/>
          <w:szCs w:val="20"/>
          <w:color w:val="auto"/>
        </w:rPr>
      </w:pPr>
      <w:r>
        <w:rPr>
          <w:rFonts w:ascii="Arial" w:cs="Arial" w:eastAsia="Arial" w:hAnsi="Arial"/>
          <w:sz w:val="16"/>
          <w:szCs w:val="16"/>
          <w:color w:val="auto"/>
        </w:rPr>
        <w:t>Acquired businesses may have liabilities or adverse operating issues that we fail to discover through due diligence prior to the acquisition, including cyber and other security vulnerabilities. In particular, to the extent that prior owners of any acquired businesses or properties failed to comply with or otherwise violated applicable laws or regulations, or failed to fulfill their contractual obligations to the U.S. Government or other customers, we, as the successor owner, may be financially responsible for these violations and failures and may suffer reputational harm or otherwise be adversely affected. Acquisitions also frequently result in the recording of goodwill and other intangible assets that are subject to potential impairment in the future that could harm our financial results. In addition, if we finance acquisitions by issuing debt or equity securities, our existing stockholders may be diluted, which could affect the market price of our stock. Acquisitions and/or the related equity financings could also impact our ability to utilize our NOL carryforwards. As a result, if we fail to properly evaluate acquisitions or investments, we may not achieve the anticipated benefits of any such acquisitions, and we may incur costs in excess of what we anticipate. Acquisitions frequently involve benefits related to integration of operations. The failure to successfully integrate the operations or to otherwise realize any of the anticipated benefits of the acquisition could seriously harm our financial condition and results of operations. While we believe that we have established appropriate and adequate procedures and processes to mitigate these risks, there is no assurance that these transactions will be successful.</w:t>
      </w:r>
    </w:p>
    <w:p>
      <w:pPr>
        <w:spacing w:after="0" w:line="173" w:lineRule="exact"/>
        <w:rPr>
          <w:sz w:val="20"/>
          <w:szCs w:val="20"/>
          <w:color w:val="auto"/>
        </w:rPr>
      </w:pPr>
    </w:p>
    <w:p>
      <w:pPr>
        <w:ind w:right="120" w:firstLine="619"/>
        <w:spacing w:after="0" w:line="277" w:lineRule="auto"/>
        <w:rPr>
          <w:sz w:val="20"/>
          <w:szCs w:val="20"/>
          <w:color w:val="auto"/>
        </w:rPr>
      </w:pPr>
      <w:r>
        <w:rPr>
          <w:rFonts w:ascii="Arial" w:cs="Arial" w:eastAsia="Arial" w:hAnsi="Arial"/>
          <w:sz w:val="16"/>
          <w:szCs w:val="16"/>
          <w:color w:val="auto"/>
        </w:rPr>
        <w:t>We also evaluate from time to time the potential disposition of assets or business that may no longer meet our growth, return and/or strategic objectives. Divestitures have inherent risks, including the possibility that any anticipated sale will be delayed or will not occur, the potential failure to realize the perceived strategic or financial merits of the divestment, difficulties in the separation of operations, services, information technology, products and personnel, unexpected costs associated with such separation, diversion of management’s attention from other business concerns and potential post-closing claims for alleged breaches of related agreements, indemnification or other disputes. A failure to successfully complete a disposition or to otherwise realize any of the anticipated benefits of a disposition could seriously harm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our growth, our business and financial results could suffer.</w:t>
      </w:r>
    </w:p>
    <w:p>
      <w:pPr>
        <w:spacing w:after="0" w:line="217"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Additionally, our future financial results depend in part on our ability to profitably manage our growth on a combined basis with the businesses we have acquired and those we may acquire in the future.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invest in new information technology systems and infrastructure to scale our operations.</w:t>
      </w:r>
    </w:p>
    <w:p>
      <w:pPr>
        <w:spacing w:after="0" w:line="217" w:lineRule="exact"/>
        <w:rPr>
          <w:sz w:val="20"/>
          <w:szCs w:val="20"/>
          <w:color w:val="auto"/>
        </w:rPr>
      </w:pPr>
    </w:p>
    <w:p>
      <w:pPr>
        <w:ind w:right="80" w:firstLine="619"/>
        <w:spacing w:after="0" w:line="258" w:lineRule="auto"/>
        <w:rPr>
          <w:sz w:val="20"/>
          <w:szCs w:val="20"/>
          <w:color w:val="auto"/>
        </w:rPr>
      </w:pPr>
      <w:r>
        <w:rPr>
          <w:rFonts w:ascii="Arial" w:cs="Arial" w:eastAsia="Arial" w:hAnsi="Arial"/>
          <w:sz w:val="17"/>
          <w:szCs w:val="17"/>
          <w:color w:val="auto"/>
        </w:rPr>
        <w:t>We may need to adopt new information technology systems and infrastructure to scale our business and obtain the synergies from prior and future acquisitions. Our information technology and business systems and infrastructure could create product development or production work stoppages, unnecessarily increase our inventory, negatively impact product delivery times and quality, and increase our compliance costs. Failure to invest in newer information technology and business systems and infrastructure may lead to operational inefficiencies and increased compliance costs and risks. In addition, an inability to maximize the utility and benefit of our current information technology and business tools could impact our ability to meet cost reduction and planned efficiency and operational improvement goals.</w:t>
      </w:r>
    </w:p>
    <w:p>
      <w:pPr>
        <w:spacing w:after="0" w:line="183"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b w:val="1"/>
          <w:bCs w:val="1"/>
          <w:i w:val="1"/>
          <w:iCs w:val="1"/>
          <w:color w:val="auto"/>
        </w:rPr>
        <w:t>The loss of any member of our senior management could impair our relationships with U.S. Government customers and disrupt the management of our business.</w:t>
      </w:r>
    </w:p>
    <w:p>
      <w:pPr>
        <w:spacing w:after="0" w:line="164" w:lineRule="exact"/>
        <w:rPr>
          <w:sz w:val="20"/>
          <w:szCs w:val="20"/>
          <w:color w:val="auto"/>
        </w:rPr>
      </w:pPr>
    </w:p>
    <w:p>
      <w:pPr>
        <w:ind w:right="220" w:firstLine="619"/>
        <w:spacing w:after="0" w:line="279" w:lineRule="auto"/>
        <w:rPr>
          <w:sz w:val="20"/>
          <w:szCs w:val="20"/>
          <w:color w:val="auto"/>
        </w:rPr>
      </w:pPr>
      <w:r>
        <w:rPr>
          <w:rFonts w:ascii="Arial" w:cs="Arial" w:eastAsia="Arial" w:hAnsi="Arial"/>
          <w:sz w:val="16"/>
          <w:szCs w:val="16"/>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U.S. Government personnel contribute to our ability to maintain strong customer relationships and to identify new business opportunities. The loss of any member of our senior management could impair our ability to identify and secure new contracts, to maintain good customer relations and to otherwise manage our business.</w:t>
      </w:r>
    </w:p>
    <w:p>
      <w:pPr>
        <w:spacing w:after="0" w:line="168"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b w:val="1"/>
          <w:bCs w:val="1"/>
          <w:i w:val="1"/>
          <w:iCs w:val="1"/>
          <w:color w:val="auto"/>
        </w:rPr>
        <w:t>If we fail to attract and retain skilled employees or employees with the necessary national security clearances, we might not be able to perform under our contracts or win new business.</w:t>
      </w:r>
    </w:p>
    <w:p>
      <w:pPr>
        <w:spacing w:after="0" w:line="164"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The growth of our business and revenue depends in large part upon our ability to attract and retain sufficient numbers of highly qualified individuals who have advanced technical and/or engineering skills. These employees are in great demand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4" w:name="page35"/>
    <w:bookmarkEnd w:id="34"/>
    <w:p>
      <w:pPr>
        <w:ind w:right="240"/>
        <w:spacing w:after="0" w:line="277" w:lineRule="auto"/>
        <w:rPr>
          <w:sz w:val="20"/>
          <w:szCs w:val="20"/>
          <w:color w:val="auto"/>
        </w:rPr>
      </w:pPr>
      <w:r>
        <w:rPr>
          <w:rFonts w:ascii="Arial" w:cs="Arial" w:eastAsia="Arial" w:hAnsi="Arial"/>
          <w:sz w:val="16"/>
          <w:szCs w:val="16"/>
          <w:color w:val="auto"/>
        </w:rPr>
        <w:t>and are likely to remain a limited resource in the foreseeable future. In addition, certain U.S. Government contracts require us, and some of our employees, to maintain national security clearances. Obtaining and maintaining national security clearances for employees involves a lengthy process, and it is difficult to identify, recruit and retain employees who already hold national security clearances. Further, some of our contracts contain provisions requiring us to staff an engagement with personnel that the customer considers key to our successful performance under the contract. In the event we are unable to provide these key personnel or acceptable substitutions, the customer may terminate the contract. As a result, if we are unable to recruit and retain a sufficient number of qualified employees, we may lose revenue and our ability to maintain and grow our business could be limited.</w:t>
      </w:r>
    </w:p>
    <w:p>
      <w:pPr>
        <w:spacing w:after="0" w:line="170"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Moreover,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We are subject to the requirements of the National Industrial Security Program Operating Manual for our facility security clearance, which is a prerequisite to our ability to perform on classified contracts for the U.S. Government.</w:t>
      </w:r>
    </w:p>
    <w:p>
      <w:pPr>
        <w:spacing w:after="0" w:line="126" w:lineRule="exact"/>
        <w:rPr>
          <w:sz w:val="20"/>
          <w:szCs w:val="20"/>
          <w:color w:val="auto"/>
        </w:rPr>
      </w:pPr>
    </w:p>
    <w:p>
      <w:pPr>
        <w:ind w:right="100" w:firstLine="619"/>
        <w:spacing w:after="0" w:line="318" w:lineRule="auto"/>
        <w:rPr>
          <w:sz w:val="20"/>
          <w:szCs w:val="20"/>
          <w:color w:val="auto"/>
        </w:rPr>
      </w:pPr>
      <w:r>
        <w:rPr>
          <w:rFonts w:ascii="Arial" w:cs="Arial" w:eastAsia="Arial" w:hAnsi="Arial"/>
          <w:sz w:val="15"/>
          <w:szCs w:val="15"/>
          <w:color w:val="auto"/>
        </w:rPr>
        <w:t>A facility security clearance is required for a company to perform on classified contracts for the DoD and certain other agencies of the U.S. Government. Security clearances are subject to regulations and requirements including the National Industrial Security Program Operating Manual (“NISPOM”), which specifies the requirements for the protection of classified information released or disclosed in connection with classified U.S. Government contracts.</w:t>
      </w:r>
    </w:p>
    <w:p>
      <w:pPr>
        <w:spacing w:after="0" w:line="114"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We require certain facility and personnel security clearances to perform our classified U.S. Government related business. As such, we must comply with the requirements of the NISPOM and any other applicable U.S. Government industrial security regulations. If we were to violate the terms and requirements of the NISPOM or any other applicable U.S. Government industrial security regulations (which apply to us under the terms of classified contracts), any of our cleared facilities could lose its facility security clearance. We cannot be certain that we will be able to maintain our facility security clearances. If for some reason one or more of our facility security clearances is invalidated or terminated, we would not be able to continue to perform on classified contracts at that facility and would not be able to enter into new classified contracts, which could adversely affect our revenues. Failure to comply with the NISPOM or other security requirements may subject us to civil or criminal penalties, loss of access to classified information, loss of a U.S. Government contract, or potentially debarment as a government contractor.</w:t>
      </w:r>
    </w:p>
    <w:p>
      <w:pPr>
        <w:spacing w:after="0" w:line="14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b w:val="1"/>
          <w:bCs w:val="1"/>
          <w:i w:val="1"/>
          <w:iCs w:val="1"/>
          <w:color w:val="auto"/>
        </w:rPr>
        <w:t>We will be subject to the new DoD CMMC requirement recently issued by the Pentagon which may limit our ability to bid and win projects. The cost for the new CMMC requirement may be significant.</w:t>
      </w:r>
    </w:p>
    <w:p>
      <w:pPr>
        <w:spacing w:after="0" w:line="126" w:lineRule="exact"/>
        <w:rPr>
          <w:sz w:val="20"/>
          <w:szCs w:val="20"/>
          <w:color w:val="auto"/>
        </w:rPr>
      </w:pPr>
    </w:p>
    <w:p>
      <w:pPr>
        <w:ind w:right="40" w:firstLine="619"/>
        <w:spacing w:after="0" w:line="272" w:lineRule="auto"/>
        <w:rPr>
          <w:sz w:val="20"/>
          <w:szCs w:val="20"/>
          <w:color w:val="auto"/>
        </w:rPr>
      </w:pPr>
      <w:r>
        <w:rPr>
          <w:rFonts w:ascii="Arial" w:cs="Arial" w:eastAsia="Arial" w:hAnsi="Arial"/>
          <w:sz w:val="16"/>
          <w:szCs w:val="16"/>
          <w:color w:val="auto"/>
        </w:rPr>
        <w:t>The Pentagon, on January 31, 2020, released the official version of its unified Cybersecurity standard that all contractors must meet by 2026. This standard, the CMMC, will apply to any company that does business with the Department of Defense. CMMC will also apply to subcontractors as well as prime contractors. The DoD has stated that it expects a roll-out of this requirement over a five-year timeline. CMMC borrows heavily from the existing NIST Cybersecurity Framework, and intends to rely heavily on a CMMC accrediting body. The DoD is currently drafting a memorandum of understanding to establish rules, roles and responsibilities between it and the accrediting body. Once up and running, companies will be able to apply for certification through a portal run by the accrediting body. The CMMC certification will be good for three years; with it, companies will be able to bid on contracts across the DoD and military services. There will be five levels of certification, Level 1 through Level 5. The new certification will not be required for existing contracts already signed, only on new contracts. In December 2020, the DoD disclosed the first seven contracts that are likely to be the initial test cases for the first “pathfinder” solicitations mandating CMMC. It is expected to take until 2026 to bring all contractors into compliance, since five years is the typical duration of a government contract. Contractors are required to flow the CMMC requirements down to all subcontracts except those for Commercial Off the Shelf (COTS) items. Additionally, a contractor may not award a subcontract unless the subcontractor has a current assessment in the Supplier Performance Risk System (SPRS). Because contractors only have access to their own information, contractors may need to rely on certifications from subcontractors for this requirement.</w:t>
      </w:r>
    </w:p>
    <w:p>
      <w:pPr>
        <w:spacing w:after="0" w:line="179"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Under CMMC, contractors will no longer “self-attest” they meet a given standard. Instead, Pentagon approved third parties will assess each company, at the company’s expense. There will be no fines for non-compliance, however contractors will not be able to be awarded new contracts that require a particular level of certification without the required certification.</w:t>
      </w:r>
    </w:p>
    <w:p>
      <w:pPr>
        <w:spacing w:after="0" w:line="162" w:lineRule="exact"/>
        <w:rPr>
          <w:sz w:val="20"/>
          <w:szCs w:val="20"/>
          <w:color w:val="auto"/>
        </w:rPr>
      </w:pPr>
    </w:p>
    <w:p>
      <w:pPr>
        <w:ind w:right="500" w:firstLine="619"/>
        <w:spacing w:after="0" w:line="248" w:lineRule="auto"/>
        <w:rPr>
          <w:sz w:val="20"/>
          <w:szCs w:val="20"/>
          <w:color w:val="auto"/>
        </w:rPr>
      </w:pPr>
      <w:r>
        <w:rPr>
          <w:rFonts w:ascii="Arial" w:cs="Arial" w:eastAsia="Arial" w:hAnsi="Arial"/>
          <w:sz w:val="17"/>
          <w:szCs w:val="17"/>
          <w:color w:val="auto"/>
        </w:rPr>
        <w:t>We may be unable to bid on new contract awards or on follow-on awards for existing work, depending on the level of standard as required for each solicitation, which could adversely impact our revenues, operating margins and cash flows. The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5" w:name="page36"/>
    <w:bookmarkEnd w:id="35"/>
    <w:p>
      <w:pPr>
        <w:ind w:right="80"/>
        <w:spacing w:after="0" w:line="248" w:lineRule="auto"/>
        <w:rPr>
          <w:sz w:val="20"/>
          <w:szCs w:val="20"/>
          <w:color w:val="auto"/>
        </w:rPr>
      </w:pPr>
      <w:r>
        <w:rPr>
          <w:rFonts w:ascii="Arial" w:cs="Arial" w:eastAsia="Arial" w:hAnsi="Arial"/>
          <w:sz w:val="17"/>
          <w:szCs w:val="17"/>
          <w:color w:val="auto"/>
        </w:rPr>
        <w:t>cost to comply with the new CMMC requirement has been significant and may increase. Further, we may be negatively impacted by our subcontractors if they are not compliant with these requirements.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expose us to the risk of material environmental liabilities.</w:t>
      </w:r>
    </w:p>
    <w:p>
      <w:pPr>
        <w:spacing w:after="0" w:line="217" w:lineRule="exact"/>
        <w:rPr>
          <w:sz w:val="20"/>
          <w:szCs w:val="20"/>
          <w:color w:val="auto"/>
        </w:rPr>
      </w:pPr>
    </w:p>
    <w:p>
      <w:pPr>
        <w:ind w:right="140" w:firstLine="169"/>
        <w:spacing w:after="0" w:line="276" w:lineRule="auto"/>
        <w:rPr>
          <w:sz w:val="20"/>
          <w:szCs w:val="20"/>
          <w:color w:val="auto"/>
        </w:rPr>
      </w:pPr>
      <w:r>
        <w:rPr>
          <w:rFonts w:ascii="Arial" w:cs="Arial" w:eastAsia="Arial" w:hAnsi="Arial"/>
          <w:sz w:val="16"/>
          <w:szCs w:val="16"/>
          <w:color w:val="auto"/>
        </w:rPr>
        <w:t>We are subject to various U.S. federal, state, local and non-U.S. laws and regulations related to environmental protection, including the discharge, treatment, storage, disposal and remediation of hazardous substances and wastes. We could incur substantial costs, including cleanup costs, fines and civil or criminal sanctions, as well as third-party claims for property damage or personal injury, if we were to violate or become liable under environmental laws or regulations. In some cases, we may be subject to such costs due to environmental impacts attributable to our current or past manufacturing operations or the operations of companies we have acquired. In other cases, we may become subject to such costs due to an indemnification agreement between us and a third party relating to such environmental liabilities. In addition, new laws and regulations, more stringent enforcement of existing laws and regulations, the discovery of previously unknown contamination or the imposition of new remediation requirements could result in additional costs.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International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 derived from our international business could be subject to global economic downturn and hardship.</w:t>
      </w:r>
    </w:p>
    <w:p>
      <w:pPr>
        <w:spacing w:after="0" w:line="243" w:lineRule="exact"/>
        <w:rPr>
          <w:sz w:val="20"/>
          <w:szCs w:val="20"/>
          <w:color w:val="auto"/>
        </w:rPr>
      </w:pPr>
    </w:p>
    <w:p>
      <w:pPr>
        <w:ind w:right="400" w:firstLine="619"/>
        <w:spacing w:after="0" w:line="290" w:lineRule="auto"/>
        <w:rPr>
          <w:sz w:val="20"/>
          <w:szCs w:val="20"/>
          <w:color w:val="auto"/>
        </w:rPr>
      </w:pPr>
      <w:r>
        <w:rPr>
          <w:rFonts w:ascii="Arial" w:cs="Arial" w:eastAsia="Arial" w:hAnsi="Arial"/>
          <w:sz w:val="16"/>
          <w:szCs w:val="16"/>
          <w:color w:val="auto"/>
        </w:rPr>
        <w:t>Our international business represents 21% of our total revenue for the year ended December 26, 2021, which may be impacted by changes in foreign national priorities and government budgets and may be further impacted by global economic conditions and fluctuations in foreign currency exchange rates. Continued international economic uncertainty and reductions in consumer spending may result in reductions in our revenue.</w:t>
      </w:r>
    </w:p>
    <w:p>
      <w:pPr>
        <w:spacing w:after="0" w:line="184" w:lineRule="exact"/>
        <w:rPr>
          <w:sz w:val="20"/>
          <w:szCs w:val="20"/>
          <w:color w:val="auto"/>
        </w:rPr>
      </w:pPr>
    </w:p>
    <w:p>
      <w:pPr>
        <w:jc w:val="both"/>
        <w:ind w:right="40" w:firstLine="619"/>
        <w:spacing w:after="0" w:line="266" w:lineRule="auto"/>
        <w:rPr>
          <w:sz w:val="20"/>
          <w:szCs w:val="20"/>
          <w:color w:val="auto"/>
        </w:rPr>
      </w:pPr>
      <w:r>
        <w:rPr>
          <w:rFonts w:ascii="Arial" w:cs="Arial" w:eastAsia="Arial" w:hAnsi="Arial"/>
          <w:sz w:val="17"/>
          <w:szCs w:val="17"/>
          <w:color w:val="auto"/>
        </w:rPr>
        <w:t>Additionally, disruptions in international credit markets may materially limit consumer credit availability and restrict credit availability of our customers. Any reduction in international sales of our solutions resulting from reductions in consumer spending or continued disruption in the availability of credit to retailers or consumers, could materially and adversely affect our business, results of operations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business exposes us to additional risks.</w:t>
      </w:r>
    </w:p>
    <w:p>
      <w:pPr>
        <w:spacing w:after="0" w:line="217" w:lineRule="exact"/>
        <w:rPr>
          <w:sz w:val="20"/>
          <w:szCs w:val="20"/>
          <w:color w:val="auto"/>
        </w:rPr>
      </w:pPr>
    </w:p>
    <w:p>
      <w:pPr>
        <w:ind w:firstLine="212"/>
        <w:spacing w:after="0" w:line="279" w:lineRule="auto"/>
        <w:rPr>
          <w:sz w:val="20"/>
          <w:szCs w:val="20"/>
          <w:color w:val="auto"/>
        </w:rPr>
      </w:pPr>
      <w:r>
        <w:rPr>
          <w:rFonts w:ascii="Arial" w:cs="Arial" w:eastAsia="Arial" w:hAnsi="Arial"/>
          <w:sz w:val="17"/>
          <w:szCs w:val="17"/>
          <w:color w:val="auto"/>
        </w:rPr>
        <w:t>Our operations outside of the U.S. are subject to risks that are inherent in conducting business under non-U.S. laws, regulations and customs, including those related to:</w:t>
      </w:r>
    </w:p>
    <w:p>
      <w:pPr>
        <w:spacing w:after="0" w:line="293" w:lineRule="exact"/>
        <w:rPr>
          <w:sz w:val="20"/>
          <w:szCs w:val="20"/>
          <w:color w:val="auto"/>
        </w:rPr>
      </w:pPr>
    </w:p>
    <w:p>
      <w:pPr>
        <w:ind w:left="1240" w:right="560" w:hanging="309"/>
        <w:spacing w:after="0" w:line="253" w:lineRule="auto"/>
        <w:tabs>
          <w:tab w:leader="none" w:pos="12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foreign currency exchange rate fluctuations, potentially reducing the U.S. dollars we receive for sales denominated in foreign currency or reducing our profits when we pay for materials, subcontractors and payroll denominated in foreign currency ;</w:t>
      </w:r>
    </w:p>
    <w:p>
      <w:pPr>
        <w:spacing w:after="0" w:line="1" w:lineRule="exact"/>
        <w:rPr>
          <w:rFonts w:ascii="Arial" w:cs="Arial" w:eastAsia="Arial" w:hAnsi="Arial"/>
          <w:sz w:val="17"/>
          <w:szCs w:val="17"/>
          <w:color w:val="auto"/>
        </w:rPr>
      </w:pPr>
    </w:p>
    <w:p>
      <w:pPr>
        <w:ind w:left="1240" w:hanging="309"/>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possibility that unfriendly nations or groups could boycott our solutions;</w:t>
      </w:r>
    </w:p>
    <w:p>
      <w:pPr>
        <w:spacing w:after="0" w:line="7" w:lineRule="exact"/>
        <w:rPr>
          <w:rFonts w:ascii="Arial" w:cs="Arial" w:eastAsia="Arial" w:hAnsi="Arial"/>
          <w:sz w:val="17"/>
          <w:szCs w:val="17"/>
          <w:color w:val="auto"/>
        </w:rPr>
      </w:pPr>
    </w:p>
    <w:p>
      <w:pPr>
        <w:ind w:left="1240" w:hanging="309"/>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political conditions in the markets in which we operate;</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potential increased costs associated with overlapping tax structures;</w:t>
      </w:r>
    </w:p>
    <w:p>
      <w:pPr>
        <w:spacing w:after="0" w:line="1" w:lineRule="exact"/>
        <w:rPr>
          <w:rFonts w:ascii="Arial" w:cs="Arial" w:eastAsia="Arial" w:hAnsi="Arial"/>
          <w:sz w:val="17"/>
          <w:szCs w:val="17"/>
          <w:color w:val="auto"/>
        </w:rPr>
      </w:pPr>
    </w:p>
    <w:p>
      <w:pPr>
        <w:ind w:left="1240" w:hanging="309"/>
        <w:spacing w:after="0" w:line="237" w:lineRule="auto"/>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import-export control, including the imposition of tariffs, embargoes, export controls and other trade restrictions;</w:t>
      </w:r>
    </w:p>
    <w:p>
      <w:pPr>
        <w:ind w:left="1240" w:hanging="309"/>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ability to obtain required U.S. Government agency issued export licenses to ship our product overseas;</w:t>
      </w:r>
    </w:p>
    <w:p>
      <w:pPr>
        <w:spacing w:after="0" w:line="7" w:lineRule="exact"/>
        <w:rPr>
          <w:rFonts w:ascii="Arial" w:cs="Arial" w:eastAsia="Arial" w:hAnsi="Arial"/>
          <w:sz w:val="17"/>
          <w:szCs w:val="17"/>
          <w:color w:val="auto"/>
        </w:rPr>
      </w:pPr>
    </w:p>
    <w:p>
      <w:pPr>
        <w:ind w:left="1240" w:hanging="309"/>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more limited protection for intellectual property rights in some countries;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difficulties and costs associated with staffing and managing foreign operations;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unexpected changes in regulatory requirements;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difficulties of compliance with a wide variety of foreign laws and regulations;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longer accounts receivable cycles in certain foreign countries, whether due to cultural differences, exchange rate fluctuation or other factors;</w:t>
      </w:r>
    </w:p>
    <w:p>
      <w:pPr>
        <w:spacing w:after="0" w:line="22" w:lineRule="exact"/>
        <w:rPr>
          <w:rFonts w:ascii="Arial" w:cs="Arial" w:eastAsia="Arial" w:hAnsi="Arial"/>
          <w:sz w:val="16"/>
          <w:szCs w:val="16"/>
          <w:color w:val="auto"/>
        </w:rPr>
      </w:pPr>
    </w:p>
    <w:p>
      <w:pPr>
        <w:ind w:left="1240" w:hanging="309"/>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technology and data transfer restrictions;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to our distribution networks;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employees; and</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war and terrorist events, including impacts to our international operations such as Microwave Electronics, which is headquartered in Israel.</w:t>
      </w:r>
    </w:p>
    <w:p>
      <w:pPr>
        <w:spacing w:after="0" w:line="243" w:lineRule="exact"/>
        <w:rPr>
          <w:sz w:val="20"/>
          <w:szCs w:val="20"/>
          <w:color w:val="auto"/>
        </w:rPr>
      </w:pPr>
    </w:p>
    <w:p>
      <w:pPr>
        <w:ind w:left="80" w:right="280" w:firstLine="619"/>
        <w:spacing w:after="0" w:line="262" w:lineRule="auto"/>
        <w:rPr>
          <w:sz w:val="20"/>
          <w:szCs w:val="20"/>
          <w:color w:val="auto"/>
        </w:rPr>
      </w:pPr>
      <w:r>
        <w:rPr>
          <w:rFonts w:ascii="Arial" w:cs="Arial" w:eastAsia="Arial" w:hAnsi="Arial"/>
          <w:sz w:val="17"/>
          <w:szCs w:val="17"/>
          <w:color w:val="auto"/>
        </w:rPr>
        <w:t>These risks, individually or in the aggregate, could have an adverse effect on our results of operations and financial condition. For example, we are subject to compliance with the Foreign Corrupt Practices Act and similar anti-bribery laws, which generally prohibit companies and their intermediaries from making improper payments to foreign government officials for the purpose of obtaining or retaining business. While our employees and agents are required to comply with these laws, we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36" w:name="page37"/>
    <w:bookmarkEnd w:id="36"/>
    <w:p>
      <w:pPr>
        <w:ind w:left="80" w:right="60"/>
        <w:spacing w:after="0" w:line="275" w:lineRule="auto"/>
        <w:rPr>
          <w:sz w:val="20"/>
          <w:szCs w:val="20"/>
          <w:color w:val="auto"/>
        </w:rPr>
      </w:pPr>
      <w:r>
        <w:rPr>
          <w:rFonts w:ascii="Arial" w:cs="Arial" w:eastAsia="Arial" w:hAnsi="Arial"/>
          <w:sz w:val="16"/>
          <w:szCs w:val="16"/>
          <w:color w:val="auto"/>
        </w:rPr>
        <w:t>cannot be sure that our internal policies and procedures will always protect us from violations of these laws, despite our commitment to legal compliance and corporate ethics. The occurrence or allegation of these types of risks may adversely affect our business, performance, prospects, value, financial condition, and results of operations. In addition, our international contracts may include industrial cooperation agreements requiring specific in-country purchases, investments, manufacturing agreements or other financial obligations, known as offset obligations, and provide for penalties if we fail to meet such requirements. In addition, due to the nature of our products, we must obtain licenses and authorizations from various U.S. Government agencies before selling our products outside of the U.S. Our ability to obtain these licenses and authorizations timely or at all is subject to risks and uncertainties, including changing U.S. Government policies or laws or delays in Congressional action due to geopolitical and other factors. The impact of these factors is difficult to predict, but one or more of them could adversely affect our financial position, results of operations, or cash flows.</w:t>
      </w:r>
    </w:p>
    <w:p>
      <w:pPr>
        <w:spacing w:after="0" w:line="196"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Violations of the International Traffic in Arms Regulations (“ITAR”) or other applicable trade compliance regulations could result in significant sanctions including fines, more onerous compliance requirements and debarments from export privileges or loss of authorizations needed to conduct aspects of our international business. A violation of ITAR or other applicable trade regulations could have a material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Long-Term Borrowings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substantial long-term borrowings, which could adversely affect our cash flow, financial condition and business.</w:t>
      </w:r>
    </w:p>
    <w:p>
      <w:pPr>
        <w:spacing w:after="0" w:line="217" w:lineRule="exact"/>
        <w:rPr>
          <w:sz w:val="20"/>
          <w:szCs w:val="20"/>
          <w:color w:val="auto"/>
        </w:rPr>
      </w:pPr>
    </w:p>
    <w:p>
      <w:pPr>
        <w:jc w:val="both"/>
        <w:ind w:right="120" w:firstLine="619"/>
        <w:spacing w:after="0" w:line="266" w:lineRule="auto"/>
        <w:rPr>
          <w:sz w:val="20"/>
          <w:szCs w:val="20"/>
          <w:color w:val="auto"/>
        </w:rPr>
      </w:pPr>
      <w:r>
        <w:rPr>
          <w:rFonts w:ascii="Arial" w:cs="Arial" w:eastAsia="Arial" w:hAnsi="Arial"/>
          <w:sz w:val="17"/>
          <w:szCs w:val="17"/>
          <w:color w:val="auto"/>
        </w:rPr>
        <w:t>As of December 26, 2021, we had approximately $296.7 million of long-term borrowings outstanding, which is net of $3.3 million of unamortized debt issuance costs. As a result of this indebtedness, our interest payment obligations are significant. The degree to which we are leveraged could have adverse effects on our business, including the following:</w:t>
      </w:r>
    </w:p>
    <w:p>
      <w:pPr>
        <w:spacing w:after="0" w:line="175" w:lineRule="exact"/>
        <w:rPr>
          <w:sz w:val="20"/>
          <w:szCs w:val="20"/>
          <w:color w:val="auto"/>
        </w:rPr>
      </w:pPr>
    </w:p>
    <w:p>
      <w:pPr>
        <w:ind w:left="1240" w:hanging="309"/>
        <w:spacing w:after="0"/>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it may limit our flexibility in planning for, or reacting to, changes in our business and the industries in which we operate;</w:t>
      </w:r>
    </w:p>
    <w:p>
      <w:pPr>
        <w:spacing w:after="0" w:line="21" w:lineRule="exact"/>
        <w:rPr>
          <w:rFonts w:ascii="Arial" w:cs="Arial" w:eastAsia="Arial" w:hAnsi="Arial"/>
          <w:sz w:val="17"/>
          <w:szCs w:val="17"/>
          <w:color w:val="auto"/>
        </w:rPr>
      </w:pPr>
    </w:p>
    <w:p>
      <w:pPr>
        <w:ind w:left="1240" w:right="480" w:hanging="309"/>
        <w:spacing w:after="0" w:line="253" w:lineRule="auto"/>
        <w:tabs>
          <w:tab w:leader="none" w:pos="12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ind w:left="1240" w:hanging="309"/>
        <w:spacing w:after="0"/>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it may restrict us from making strategic acquisitions or exploiting business opportunities;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it may place us at a competitive disadvantage compared to our competitors that have less debt;</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it may limit our ability to borrow additional funds;</w:t>
      </w:r>
    </w:p>
    <w:p>
      <w:pPr>
        <w:spacing w:after="0" w:line="10" w:lineRule="exact"/>
        <w:rPr>
          <w:rFonts w:ascii="Arial" w:cs="Arial" w:eastAsia="Arial" w:hAnsi="Arial"/>
          <w:sz w:val="17"/>
          <w:szCs w:val="17"/>
          <w:color w:val="auto"/>
        </w:rPr>
      </w:pPr>
    </w:p>
    <w:p>
      <w:pPr>
        <w:jc w:val="both"/>
        <w:ind w:left="1240" w:right="400" w:hanging="309"/>
        <w:spacing w:after="0" w:line="253" w:lineRule="auto"/>
        <w:tabs>
          <w:tab w:leader="none" w:pos="12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it may prevent us from raising the funds necessary to repurchase our outstanding 6.5% Notes (as defined below) tendered to us if there is a change of control, which would constitute a default under the Indenture (as defined below) governing our 6.5% Notes and under our Credit Agreement; and</w:t>
      </w:r>
    </w:p>
    <w:p>
      <w:pPr>
        <w:ind w:left="1240" w:hanging="309"/>
        <w:spacing w:after="0"/>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it may decrease our ability to compete effectively or operate successfully under adverse economic and industry conditions.</w:t>
      </w:r>
    </w:p>
    <w:p>
      <w:pPr>
        <w:spacing w:after="0" w:line="232" w:lineRule="exact"/>
        <w:rPr>
          <w:sz w:val="20"/>
          <w:szCs w:val="20"/>
          <w:color w:val="auto"/>
        </w:rPr>
      </w:pPr>
    </w:p>
    <w:p>
      <w:pPr>
        <w:ind w:right="200" w:firstLine="619"/>
        <w:spacing w:after="0" w:line="259" w:lineRule="auto"/>
        <w:rPr>
          <w:sz w:val="20"/>
          <w:szCs w:val="20"/>
          <w:color w:val="auto"/>
        </w:rPr>
      </w:pPr>
      <w:r>
        <w:rPr>
          <w:rFonts w:ascii="Arial" w:cs="Arial" w:eastAsia="Arial" w:hAnsi="Arial"/>
          <w:sz w:val="17"/>
          <w:szCs w:val="17"/>
          <w:color w:val="auto"/>
        </w:rPr>
        <w:t>Our level of long-term borrowings increases the risk that we may default on our debt obligations. We may be unable to generate sufficient cash flow to pay the interest on our debt. If we are unable to service our indebtedness, we will be forced to adopt an alternative strategy that may include actions such as reducing capital expenditures, reducing internal investments in research and development efforts, selling assets, restructuring or refinancing our indebtedness or seeking additional equity capital. These alternative strategies may not be affected on satisfactory terms, if at all, and they may not yield sufficient funds to make required payments on our indebtedness.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If, for any reason, we are unable to meet our debt service and repayment obligations, we would be in default under the terms of the agreements governing</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our debt, which would allow our creditors at that time to declare certain outstanding indebtedness to be due and payable, which would in turn trigger</w:t>
      </w:r>
    </w:p>
    <w:p>
      <w:pPr>
        <w:spacing w:after="0" w:line="11"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cross</w:t>
      </w:r>
      <w:r>
        <w:rPr>
          <w:rFonts w:ascii="MS PGothic" w:cs="MS PGothic" w:eastAsia="MS PGothic" w:hAnsi="MS PGothic"/>
          <w:sz w:val="15"/>
          <w:szCs w:val="15"/>
          <w:color w:val="auto"/>
        </w:rPr>
        <w:t>‑</w:t>
      </w:r>
      <w:r>
        <w:rPr>
          <w:rFonts w:ascii="Arial" w:cs="Arial" w:eastAsia="Arial" w:hAnsi="Arial"/>
          <w:sz w:val="15"/>
          <w:szCs w:val="15"/>
          <w:color w:val="auto"/>
        </w:rPr>
        <w:t>acceleration or cross</w:t>
      </w:r>
      <w:r>
        <w:rPr>
          <w:rFonts w:ascii="MS PGothic" w:cs="MS PGothic" w:eastAsia="MS PGothic" w:hAnsi="MS PGothic"/>
          <w:sz w:val="15"/>
          <w:szCs w:val="15"/>
          <w:color w:val="auto"/>
        </w:rPr>
        <w:t>‑</w:t>
      </w:r>
      <w:r>
        <w:rPr>
          <w:rFonts w:ascii="Arial" w:cs="Arial" w:eastAsia="Arial" w:hAnsi="Arial"/>
          <w:sz w:val="15"/>
          <w:szCs w:val="15"/>
          <w:color w:val="auto"/>
        </w:rPr>
        <w:t>default rights between the relevant agreements. In addition, the holders of our 6.5% Notes could foreclose against the assets securing</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 6.5% Notes and we could be forced into bankruptcy or liquidation and/or our lenders could compel us to apply all of our available cash to repay our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borrowings or they could prevent us from making payments on our indebtedness. If the amounts outstanding under any of our indebtedness were to be accelerated,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our assets may not be sufficient to repay in full the money owed to the lenders or to our other debt holders.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i w:val="1"/>
          <w:iCs w:val="1"/>
          <w:color w:val="auto"/>
        </w:rPr>
        <w:t>We and our subsidiaries may incur more debt, which may increase the risks associated with our leverage, including our ability to service our indebtedness.</w:t>
      </w:r>
    </w:p>
    <w:p>
      <w:pPr>
        <w:spacing w:after="0" w:line="240"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The agreements governing our debt permit us, under some circumstances, to incur certain additional indebtedness or obligations. To the extent that we incur additional indebtedness or such other obligations, the risks associated with our leverage described above, including our possible inability to service our debt, would increase.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credit ratings or macroeconomic conditions may affect our liquidity, increasing borrowing costs and limiting our financing options.</w:t>
      </w:r>
    </w:p>
    <w:p>
      <w:pPr>
        <w:spacing w:after="0" w:line="190" w:lineRule="exact"/>
        <w:rPr>
          <w:sz w:val="20"/>
          <w:szCs w:val="20"/>
          <w:color w:val="auto"/>
        </w:rPr>
      </w:pPr>
    </w:p>
    <w:p>
      <w:pPr>
        <w:ind w:right="100" w:firstLine="619"/>
        <w:spacing w:after="0" w:line="283" w:lineRule="auto"/>
        <w:rPr>
          <w:sz w:val="20"/>
          <w:szCs w:val="20"/>
          <w:color w:val="auto"/>
        </w:rPr>
      </w:pPr>
      <w:r>
        <w:rPr>
          <w:rFonts w:ascii="Arial" w:cs="Arial" w:eastAsia="Arial" w:hAnsi="Arial"/>
          <w:sz w:val="16"/>
          <w:szCs w:val="16"/>
          <w:color w:val="auto"/>
        </w:rPr>
        <w:t>Macroeconomic conditions, such as increased volatility or disruption in the credit markets, could adversely affect our ability to refinance existing debt or obtain additional financing at terms satisfactory to us, thereby affecting our resources to support operations or to fund new initiatives. In addition, if our credit ratings are lowered, borrowing costs for future long-term debt or short-term credit facilities may increase and our financing options, including our access to the unsecured credit market, could be limited. We may also be subject to restrictive covenants that would reduce our flexibility.</w:t>
      </w:r>
    </w:p>
    <w:p>
      <w:pPr>
        <w:spacing w:after="0" w:line="189"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b w:val="1"/>
          <w:bCs w:val="1"/>
          <w:i w:val="1"/>
          <w:iCs w:val="1"/>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w:t>
      </w:r>
    </w:p>
    <w:p>
      <w:pPr>
        <w:spacing w:after="0" w:line="164" w:lineRule="exact"/>
        <w:rPr>
          <w:sz w:val="20"/>
          <w:szCs w:val="20"/>
          <w:color w:val="auto"/>
        </w:rPr>
      </w:pPr>
    </w:p>
    <w:p>
      <w:pPr>
        <w:ind w:right="60" w:firstLine="619"/>
        <w:spacing w:after="0" w:line="275" w:lineRule="auto"/>
        <w:rPr>
          <w:sz w:val="20"/>
          <w:szCs w:val="20"/>
          <w:color w:val="auto"/>
        </w:rPr>
      </w:pPr>
      <w:r>
        <w:rPr>
          <w:rFonts w:ascii="Arial" w:cs="Arial" w:eastAsia="Arial" w:hAnsi="Arial"/>
          <w:sz w:val="16"/>
          <w:szCs w:val="16"/>
          <w:color w:val="auto"/>
        </w:rPr>
        <w:t>As of December 26, 2021, approximately 10% of our consolidated assets, based on book value, and 13% of our consolidated revenues for the year ended December 26, 2021, were held by foreign subsidiaries, which do not guarantee the 6.5% Notes. Our ability to meet our debt service obligations with cash from foreign subsidiaries will depend upon the results of operations of these subsidiaries and may be subject to legal, contractual or other restrictions and other business considerations. In addition, dividend and interest payments to us from the foreign subsidiaries may be subject to foreign withholding taxes, which would reduce the amount of funds we receive from such foreign subsidiaries. Therefore, to the extent that we must use cash generated in foreign jurisdictions to make principal or interest payments on our debt, there may be a cost associated with repatriating the cash to the U.S. Dividends and other distributions from our foreign subsidiaries may also be subject to fluctuations in currency exchange rates and legal and other restrictions on repatriation, which could further reduce the amount of funds we receive from such foreign subsidiaries.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The agreements governing our debt impose significant operating and financial restrictions on us and our subsidiaries that may prevent us and our subsidiaries from pursuing certain business opportunities and restrict our ability to operate our business.</w:t>
      </w:r>
    </w:p>
    <w:p>
      <w:pPr>
        <w:spacing w:after="0" w:line="151" w:lineRule="exact"/>
        <w:rPr>
          <w:sz w:val="20"/>
          <w:szCs w:val="20"/>
          <w:color w:val="auto"/>
        </w:rPr>
      </w:pPr>
    </w:p>
    <w:p>
      <w:pPr>
        <w:ind w:right="200" w:firstLine="619"/>
        <w:spacing w:after="0" w:line="313" w:lineRule="auto"/>
        <w:rPr>
          <w:sz w:val="20"/>
          <w:szCs w:val="20"/>
          <w:color w:val="auto"/>
        </w:rPr>
      </w:pPr>
      <w:r>
        <w:rPr>
          <w:rFonts w:ascii="Arial" w:cs="Arial" w:eastAsia="Arial" w:hAnsi="Arial"/>
          <w:sz w:val="15"/>
          <w:szCs w:val="15"/>
          <w:color w:val="auto"/>
        </w:rPr>
        <w:t>The Indenture governing our 6.5% Notes and the Credit Agreement subject us, and our subsidiaries, to several financial and other restrictive covenants, including limitations on liens or indebtedness, payment of dividends, transactions with affiliates, and mergers, sales or other dispositions of our assets.</w:t>
      </w:r>
    </w:p>
    <w:p>
      <w:pPr>
        <w:spacing w:after="0" w:line="156" w:lineRule="exact"/>
        <w:rPr>
          <w:sz w:val="20"/>
          <w:szCs w:val="20"/>
          <w:color w:val="auto"/>
        </w:rPr>
      </w:pPr>
    </w:p>
    <w:p>
      <w:pPr>
        <w:ind w:right="200" w:firstLine="619"/>
        <w:spacing w:after="0" w:line="259" w:lineRule="auto"/>
        <w:rPr>
          <w:sz w:val="20"/>
          <w:szCs w:val="20"/>
          <w:color w:val="auto"/>
        </w:rPr>
      </w:pPr>
      <w:r>
        <w:rPr>
          <w:rFonts w:ascii="Arial" w:cs="Arial" w:eastAsia="Arial" w:hAnsi="Arial"/>
          <w:sz w:val="17"/>
          <w:szCs w:val="17"/>
          <w:color w:val="auto"/>
        </w:rPr>
        <w:t>Our Credit Agreement also requires us to comply with specified financial ratios, including a borrowing base availability and minimum fixed charge coverage ratio which is required to be maintained if borrowing levels, as defined, under the Credit Agreement, occur under the line of credit. Many factors, including events beyond our control, may affect our ability to comply with these covenants and financial ratios. We cannot be sure we will meet our debt-related obligations or that lenders will waive any failure to meet those obligations. Any failure to meet those debt-related obligations could result in an event of default under our other indebtedness and the acceleration of such indebtedness.</w:t>
      </w:r>
    </w:p>
    <w:p>
      <w:pPr>
        <w:spacing w:after="0" w:line="209" w:lineRule="exact"/>
        <w:rPr>
          <w:sz w:val="20"/>
          <w:szCs w:val="20"/>
          <w:color w:val="auto"/>
        </w:rPr>
      </w:pPr>
    </w:p>
    <w:p>
      <w:pPr>
        <w:ind w:right="120" w:firstLine="619"/>
        <w:spacing w:after="0" w:line="266" w:lineRule="auto"/>
        <w:rPr>
          <w:sz w:val="20"/>
          <w:szCs w:val="20"/>
          <w:color w:val="auto"/>
        </w:rPr>
      </w:pPr>
      <w:r>
        <w:rPr>
          <w:rFonts w:ascii="Arial" w:cs="Arial" w:eastAsia="Arial" w:hAnsi="Arial"/>
          <w:sz w:val="17"/>
          <w:szCs w:val="17"/>
          <w:color w:val="auto"/>
        </w:rPr>
        <w:t>The restrictions contained in the Indenture and in our Credit Agreement could also limit our ability to plan for or react to market conditions, meet capital needs or otherwise restrict our activities or business plans and adversely affect our ability to finance operations, enter into acquisitions or to engage in other business activities that would be in the Company’s interest.</w:t>
      </w:r>
    </w:p>
    <w:p>
      <w:pPr>
        <w:spacing w:after="0" w:line="17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The discontinuance of LIBOR and the replacement of LIBOR with an alternative reference rate may adversely affect our borrowing costs and could impact our business and results of operations.</w:t>
      </w:r>
    </w:p>
    <w:p>
      <w:pPr>
        <w:spacing w:after="0" w:line="164" w:lineRule="exact"/>
        <w:rPr>
          <w:sz w:val="20"/>
          <w:szCs w:val="20"/>
          <w:color w:val="auto"/>
        </w:rPr>
      </w:pPr>
    </w:p>
    <w:p>
      <w:pPr>
        <w:ind w:right="60" w:firstLine="619"/>
        <w:spacing w:after="0" w:line="279" w:lineRule="auto"/>
        <w:rPr>
          <w:sz w:val="20"/>
          <w:szCs w:val="20"/>
          <w:color w:val="auto"/>
        </w:rPr>
      </w:pPr>
      <w:r>
        <w:rPr>
          <w:rFonts w:ascii="Arial" w:cs="Arial" w:eastAsia="Arial" w:hAnsi="Arial"/>
          <w:sz w:val="16"/>
          <w:szCs w:val="16"/>
          <w:color w:val="auto"/>
        </w:rPr>
        <w:t>Interest rates under our new Credit Agreement dated February 18, 2022 (the “2022 Credit Agreement”) are based partly on Term SOFR, the Secured Overnight Financing Rate. Interest rates under any other loan or commercial agreements may be based partly on LIBOR, the London interbank offered rate, which is the basic rate of interest used in lending between banks on the London interbank market and is widely used as a reference for setting the interest rate on loans globally. On July 27, 2017, the United Kingdom’s Financial Conduct Authority (“FCA”), which regulates LIBOR, announced that it intends to phase out LIBOR by the end of 2021. The FCA and LIBOR’s administrator, ICE Benchmark Administration, have since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8" w:name="page39"/>
    <w:bookmarkEnd w:id="38"/>
    <w:p>
      <w:pPr>
        <w:ind w:right="20"/>
        <w:spacing w:after="0" w:line="276" w:lineRule="auto"/>
        <w:rPr>
          <w:sz w:val="20"/>
          <w:szCs w:val="20"/>
          <w:color w:val="auto"/>
        </w:rPr>
      </w:pPr>
      <w:r>
        <w:rPr>
          <w:rFonts w:ascii="Arial" w:cs="Arial" w:eastAsia="Arial" w:hAnsi="Arial"/>
          <w:sz w:val="16"/>
          <w:szCs w:val="16"/>
          <w:color w:val="auto"/>
        </w:rPr>
        <w:t>announced that most LIBOR settings will no longer be published after the end of 2021 but that the most widely used U.S. dollar LIBOR settings (i.e., rates for the calculation of one, three and six month LIBOR) will continue to be published until June 30, 2023. It is unclear whether new methods of calculating LIBOR for such periods will be established such that they continue to exist after June 30, 2023. It is not possible to predict the effect of these changes, other reforms or the establishment of alternative reference rates in the United States or elsewhere. If the method for calculation of LIBOR changes, if LIBOR is no longer available, or if lenders have increased costs due to changes in LIBOR, we may suffer from potential increases in interest rates under agreements that utilize LIBOR. Further, we may need to renegotiate any agreements that utilize LIBOR as a factor in determining the interest rate to replace LIBOR with the new standard that is established. If a contract is not transitioned to an alternative variable rate and LIBOR is discontinued, the impact is likely to vary by contract.</w:t>
      </w:r>
    </w:p>
    <w:p>
      <w:pPr>
        <w:spacing w:after="0" w:line="195" w:lineRule="exact"/>
        <w:rPr>
          <w:sz w:val="20"/>
          <w:szCs w:val="20"/>
          <w:color w:val="auto"/>
        </w:rPr>
      </w:pPr>
    </w:p>
    <w:p>
      <w:pPr>
        <w:ind w:right="120" w:firstLine="619"/>
        <w:spacing w:after="0" w:line="277" w:lineRule="auto"/>
        <w:rPr>
          <w:sz w:val="20"/>
          <w:szCs w:val="20"/>
          <w:color w:val="auto"/>
        </w:rPr>
      </w:pPr>
      <w:r>
        <w:rPr>
          <w:rFonts w:ascii="Arial" w:cs="Arial" w:eastAsia="Arial" w:hAnsi="Arial"/>
          <w:sz w:val="16"/>
          <w:szCs w:val="16"/>
          <w:color w:val="auto"/>
        </w:rPr>
        <w:t>Our usage of Term SOFR may also expose us to additional risks due to SOFR’s limited market history and our limited experience using SOFR as a reference rate. SOFR is a relatively new reference rate, as the publication of SOFR began in April 2019, and, therefore, it has a very limited history. The future performance of Term SOFR cannot be predicted based on the limited historical performance. Since the initial publication of SOFR, changes in SOFR have, on occasion, been more volatile than changes in other benchmark or market rates, such as USD- LIBOR. As a result, the amount of interest we may pay on our 2022 Credit Agreement is difficult to predict. Furthermore, we and other market participants have less experience understanding and modeling SOFR-based assets and liabilities than LIBOR-based assets and liabilities, increasing the difficulty of investing, hedging, and risk management.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protect our intellectual property rights.</w:t>
      </w:r>
    </w:p>
    <w:p>
      <w:pPr>
        <w:spacing w:after="0" w:line="217" w:lineRule="exact"/>
        <w:rPr>
          <w:sz w:val="20"/>
          <w:szCs w:val="20"/>
          <w:color w:val="auto"/>
        </w:rPr>
      </w:pPr>
    </w:p>
    <w:p>
      <w:pPr>
        <w:ind w:right="20" w:firstLine="619"/>
        <w:spacing w:after="0" w:line="274" w:lineRule="auto"/>
        <w:rPr>
          <w:sz w:val="20"/>
          <w:szCs w:val="20"/>
          <w:color w:val="auto"/>
        </w:rPr>
      </w:pPr>
      <w:r>
        <w:rPr>
          <w:rFonts w:ascii="Arial" w:cs="Arial" w:eastAsia="Arial" w:hAnsi="Arial"/>
          <w:sz w:val="16"/>
          <w:szCs w:val="16"/>
          <w:color w:val="auto"/>
        </w:rPr>
        <w:t>We rely on a combination of patents, trademarks, copyrights, trade secrets and nondisclosure agreements to protect our proprietary intellectual property. Our efforts to protect our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remain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U.S., which could make it easier for competitors to capture market position in such countries by utilizing technologies that are similar to those developed or licensed by us. Competitors also may harm our sales by designing products that mirror the capabilities of our products or technology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 of trade secrets could cause harm to our business.</w:t>
      </w:r>
    </w:p>
    <w:p>
      <w:pPr>
        <w:spacing w:after="0" w:line="217" w:lineRule="exact"/>
        <w:rPr>
          <w:sz w:val="20"/>
          <w:szCs w:val="20"/>
          <w:color w:val="auto"/>
        </w:rPr>
      </w:pPr>
    </w:p>
    <w:p>
      <w:pPr>
        <w:ind w:right="100" w:firstLine="619"/>
        <w:spacing w:after="0" w:line="276" w:lineRule="auto"/>
        <w:rPr>
          <w:sz w:val="20"/>
          <w:szCs w:val="20"/>
          <w:color w:val="auto"/>
        </w:rPr>
      </w:pPr>
      <w:r>
        <w:rPr>
          <w:rFonts w:ascii="Arial" w:cs="Arial" w:eastAsia="Arial" w:hAnsi="Arial"/>
          <w:sz w:val="16"/>
          <w:szCs w:val="16"/>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harmed by intellectual property infringement claims.</w:t>
      </w:r>
    </w:p>
    <w:p>
      <w:pPr>
        <w:spacing w:after="0" w:line="217"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We may become subject to claims from our employees or third parties who assert that software and other forms of intellectual property that we use in delivering services and solutions to our customers infringe upon intellectual property rights of such employees or third parties. Our employees develop some of the software and other forms of intellectual property that we use to provide our services and solutions to our customers, but we also license technology from other vendors. If our employees, vendors, or other third parties assert claims that we or our customers are infringing on their intellectual property rights, we could incur substantial costs to defend those claims. If any such infringement claims were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Risks Related to Regulatory, Environmental and Legal Issues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29" w:lineRule="exact"/>
        <w:rPr>
          <w:sz w:val="20"/>
          <w:szCs w:val="20"/>
          <w:color w:val="auto"/>
        </w:rPr>
      </w:pPr>
    </w:p>
    <w:p>
      <w:pPr>
        <w:ind w:right="40" w:firstLine="619"/>
        <w:spacing w:after="0" w:line="293" w:lineRule="auto"/>
        <w:rPr>
          <w:sz w:val="20"/>
          <w:szCs w:val="20"/>
          <w:color w:val="auto"/>
        </w:rPr>
      </w:pPr>
      <w:r>
        <w:rPr>
          <w:rFonts w:ascii="Arial" w:cs="Arial" w:eastAsia="Arial" w:hAnsi="Arial"/>
          <w:sz w:val="15"/>
          <w:szCs w:val="15"/>
          <w:color w:val="auto"/>
        </w:rPr>
        <w:t>We must comply with laws and regulations relating to the formation, administration and performance of U.S. Government contracts, which affect how we do business with our customers, prime contractors, subcontractors and vendors and may impose added costs on us. New regulations or procurement requirements (including, for example regulations regarding counterfeit and corrupt parts, supply chain diligence and cybersecurity) or changes to current requirements could increase our costs and risk of non-compliance. Our role as a contractor to agencies and departments of the U.S. Government results in our being routinely subject to investigations and reviews relating to compliance with various laws and regulations, including those associated with organizational conflicts of interest, procurement integrity, bid integrity and claim presentation, among others. These investigations may be conducted without our knowledge. Adverse findings in these 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U.S. Government agencies. In addition, we could suffer serious harm to our reputation and competitive position if allegations of impropriety were made against us, whether or not true. If our reputation or relationship with U.S. Government agencies were impaired, or if the U.S. Government otherwise ceased doing business with us or significantly decreased the amount of business it does with us, our revenue and operating profit would decline.</w:t>
      </w:r>
    </w:p>
    <w:p>
      <w:pPr>
        <w:spacing w:after="0" w:line="15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Our contracts and administrative processes and systems are subject to audits and cost adjustments by the U.S. Government, which could reduce our revenue, disrupt our business or otherwise adversely affect our results of operations.</w:t>
      </w:r>
    </w:p>
    <w:p>
      <w:pPr>
        <w:spacing w:after="0" w:line="164" w:lineRule="exact"/>
        <w:rPr>
          <w:sz w:val="20"/>
          <w:szCs w:val="20"/>
          <w:color w:val="auto"/>
        </w:rPr>
      </w:pPr>
    </w:p>
    <w:p>
      <w:pPr>
        <w:ind w:right="40" w:firstLine="619"/>
        <w:spacing w:after="0" w:line="256" w:lineRule="auto"/>
        <w:rPr>
          <w:sz w:val="20"/>
          <w:szCs w:val="20"/>
          <w:color w:val="auto"/>
        </w:rPr>
      </w:pPr>
      <w:r>
        <w:rPr>
          <w:rFonts w:ascii="Arial" w:cs="Arial" w:eastAsia="Arial" w:hAnsi="Arial"/>
          <w:sz w:val="17"/>
          <w:szCs w:val="17"/>
          <w:color w:val="auto"/>
        </w:rPr>
        <w:t>U.S. Government agencies, including the Defense Contract Audit Agency (“DCAA”), routinely audit and investigate government contracts and government contractors’ administrative processes and systems. These agencies review our performance on contracts, pricing practices, cost structure and compliance with applicable laws, regulations and standards. They also review the adequacy of our compliance with government standards for our accounting and management of internal control systems, including our: control environment and overall accounting system; general IT system; budget and planning system; purchasing system; material management and accounting system; compensation system; labor system; indirect and other direct costs system; billing system; and estimating system used for pricing on government contracts. Both contractors and the U.S. Government agencies conducting these audits and reviews have come under increased scrutiny. The current audits and reviews have become more rigorous, and the standards to which contractors are being held are being more strictly interpreted, increasing the likelihood of an audit or review resulting in an adverse outcome. During the course of its current audits, the DCAA is closely examining and questioning several of our established and disclosed practices that it had previously audited and accepted, increasing the uncertainty as to the ultimate conclusion that will be reached.</w:t>
      </w:r>
    </w:p>
    <w:p>
      <w:pPr>
        <w:spacing w:after="0" w:line="184"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A finding of significant control deficiencies in our system audits or other reviews can result in decremented billing rates to our U.S. Government customers until the control deficiencies are corrected and our corrections are accepted by Defense Contract Management Agency (“DCMA”).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accounting and management internal control systems, including our changes to indirect cost and direct labor estimating systems, from the responsible U.S. Government agency could significantly and adversely affect our business, including our ability to bid on new contracts and our competitive position in the bidding process. A determination of non-compliance with applicable contracting and procurement laws, regulations and standards could also result in the U.S. Government imposing penalties and sanctions against us, including withholding of payments, suspension of payments and increased government scrutiny that could delay or adversely affect our ability to invoice and receive timely payment on contracts, perform contracts or compete for contracts with the U.S. Government.</w:t>
      </w:r>
    </w:p>
    <w:p>
      <w:pPr>
        <w:spacing w:after="0" w:line="202" w:lineRule="exact"/>
        <w:rPr>
          <w:sz w:val="20"/>
          <w:szCs w:val="20"/>
          <w:color w:val="auto"/>
        </w:rPr>
      </w:pPr>
    </w:p>
    <w:p>
      <w:pPr>
        <w:ind w:right="160" w:firstLine="619"/>
        <w:spacing w:after="0" w:line="262" w:lineRule="auto"/>
        <w:rPr>
          <w:sz w:val="20"/>
          <w:szCs w:val="20"/>
          <w:color w:val="auto"/>
        </w:rPr>
      </w:pPr>
      <w:r>
        <w:rPr>
          <w:rFonts w:ascii="Arial" w:cs="Arial" w:eastAsia="Arial" w:hAnsi="Arial"/>
          <w:sz w:val="17"/>
          <w:szCs w:val="17"/>
          <w:color w:val="auto"/>
        </w:rPr>
        <w:t>We have submitted incurred cost claims through fiscal year 2018. The actual indirect cost audits by the DCAA have been completed for our subsidiaries through fiscal year 2017. Although we have recorded contract revenues subsequent to fiscal year 2017 based upon costs that we believe will be approved upon final audit or review, we do not know the outcome of any ongoing or future audits or reviews and, if future adjustments exceed our estimates, our profitability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0" w:name="page41"/>
    <w:bookmarkEnd w:id="40"/>
    <w:p>
      <w:pPr>
        <w:ind w:right="320"/>
        <w:spacing w:after="0" w:line="279" w:lineRule="auto"/>
        <w:rPr>
          <w:sz w:val="20"/>
          <w:szCs w:val="20"/>
          <w:color w:val="auto"/>
        </w:rPr>
      </w:pPr>
      <w:r>
        <w:rPr>
          <w:rFonts w:ascii="Arial" w:cs="Arial" w:eastAsia="Arial" w:hAnsi="Arial"/>
          <w:sz w:val="17"/>
          <w:szCs w:val="17"/>
          <w:b w:val="1"/>
          <w:bCs w:val="1"/>
          <w:i w:val="1"/>
          <w:iCs w:val="1"/>
          <w:color w:val="auto"/>
        </w:rPr>
        <w:t>Our employees or others acting on our behalf may engage in misconduct or other improper activities, which could cause us to lose contracts or cause us to incur costs.</w:t>
      </w:r>
    </w:p>
    <w:p>
      <w:pPr>
        <w:spacing w:after="0" w:line="190"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We are exposed to the risk that employee fraud or other misconduct from our employees or others acting on our behalf could occur. Misconduct by employees or others could include intentional failures to comply with U.S. Government procurement regulations, engaging in unauthorized activities, insider threats to our cybersecurity, or falsifying time records. Misconduct by our employees or others acting on our behalf could also involve the improper use of our customers’ sensitive or classified information, which could result in regulatory sanctions against us, serious harm to our reputation, a loss of contracts and a reduction in revenues, or cause us to incur costs to respond to any related governmental inquiries. It is not always possible to deter misconduct, and the precautions we take to prevent and detect this activity may not be effective in controlling unknown or unmanaged risks or losses, which could cause us to lose contracts or cause a reduction in revenues. In addition, alleged or actual misconduct by employees or others acting on our behalf could result in investigations or prosecutions of persons engaged in the subject activities, which could result in unanticipated consequences or expenses and management distraction for us regardless of whether we are alleged to have any responsibility.</w:t>
      </w:r>
    </w:p>
    <w:p>
      <w:pPr>
        <w:spacing w:after="0" w:line="186" w:lineRule="exact"/>
        <w:rPr>
          <w:sz w:val="20"/>
          <w:szCs w:val="20"/>
          <w:color w:val="auto"/>
        </w:rPr>
      </w:pPr>
    </w:p>
    <w:p>
      <w:pPr>
        <w:ind w:right="140" w:firstLine="169"/>
        <w:spacing w:after="0" w:line="259" w:lineRule="auto"/>
        <w:rPr>
          <w:sz w:val="20"/>
          <w:szCs w:val="20"/>
          <w:color w:val="auto"/>
        </w:rPr>
      </w:pPr>
      <w:r>
        <w:rPr>
          <w:rFonts w:ascii="Arial" w:cs="Arial" w:eastAsia="Arial" w:hAnsi="Arial"/>
          <w:sz w:val="17"/>
          <w:szCs w:val="17"/>
          <w:color w:val="auto"/>
        </w:rPr>
        <w:t>We have in the past experienced and may in the future experience such misconduct, despite our various compliance programs. Misconduct or improper actions by our employees, agents, subcontractors, suppliers, business partners and/or joint ventures could subject us to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effect on our financial position, results of operations and/or cash flows.</w:t>
      </w:r>
    </w:p>
    <w:p>
      <w:pPr>
        <w:spacing w:after="0" w:line="20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64" w:lineRule="exact"/>
        <w:rPr>
          <w:sz w:val="20"/>
          <w:szCs w:val="20"/>
          <w:color w:val="auto"/>
        </w:rPr>
      </w:pPr>
    </w:p>
    <w:p>
      <w:pPr>
        <w:ind w:right="180" w:firstLine="619"/>
        <w:spacing w:after="0" w:line="293" w:lineRule="auto"/>
        <w:rPr>
          <w:sz w:val="20"/>
          <w:szCs w:val="20"/>
          <w:color w:val="auto"/>
        </w:rPr>
      </w:pPr>
      <w:r>
        <w:rPr>
          <w:rFonts w:ascii="Arial" w:cs="Arial" w:eastAsia="Arial" w:hAnsi="Arial"/>
          <w:sz w:val="15"/>
          <w:szCs w:val="15"/>
          <w:color w:val="auto"/>
        </w:rPr>
        <w:t>We use hazardous materials common to the industries in which we operate. We are required to follow federal, state and local environmental laws and regulations regarding the handling, storage and disposal of these materials, including the Clean Air Act, the Clean Water Act, the Resource Conservation and Recovery Act, the Comprehensive Environmental Response, Compensation and Liability Act (“CERCLA”), and the Toxic Substances Control Act. We could be subject to fines, suspensions of production, alteration of our manufacturing processes or interruption or cessation of our operations if we fail to comply with present or future laws or regulations related to the use, storage, handling, discharge or disposal of toxic, volatile or otherwise hazardous chemicals used in our manufacturing processes. These regulations could require us to acquire expensive remediation equipment or to incur significant other expenses to comply with environmental regulations. Our failure to control the handling, use, storage or disposal of, or adequately restrict the discharge of, hazardous substances could subject us to liabilities and production delays, which could cause us to miss our customers’ delivery schedules, thereby reducing our sales for a given period. We may also have to pay regulatory fines, penalties or other costs (including remediation costs), which could materially reduce our profits and adversely affect our financial condition. Permits are required for our operations, and these permits are subject to renewal, modification and, in some cases, revocation.</w:t>
      </w:r>
    </w:p>
    <w:p>
      <w:pPr>
        <w:spacing w:after="0" w:line="163" w:lineRule="exact"/>
        <w:rPr>
          <w:sz w:val="20"/>
          <w:szCs w:val="20"/>
          <w:color w:val="auto"/>
        </w:rPr>
      </w:pPr>
    </w:p>
    <w:p>
      <w:pPr>
        <w:ind w:right="40" w:firstLine="619"/>
        <w:spacing w:after="0" w:line="295" w:lineRule="auto"/>
        <w:rPr>
          <w:sz w:val="20"/>
          <w:szCs w:val="20"/>
          <w:color w:val="auto"/>
        </w:rPr>
      </w:pPr>
      <w:r>
        <w:rPr>
          <w:rFonts w:ascii="Arial" w:cs="Arial" w:eastAsia="Arial" w:hAnsi="Arial"/>
          <w:sz w:val="15"/>
          <w:szCs w:val="15"/>
          <w:color w:val="auto"/>
        </w:rPr>
        <w:t>In addition, under environmental laws, ordinances or regulations, a current or previous owner or operator of property may be liable for the costs of removal or remediation of some kinds of petroleum products or other hazardous substances on, under, or in its property, adjacent or nearby property, or offsite disposal locations, without regard to whether the owner or operator knew of, or caused, the presence of the contaminants, and regardless of whether the practices that resulted in the contamination were legal at the time they occurred. We have incurred, and may incur in the future, liabilities under CERCLA and other environmental laws at our current or former facilities, adjacent or nearby properties or offsite disposal locations. The costs associated with future cleanup activities that we may be required to conduct or finance may be material. The presence of, or failure to remediate properly, hazardous substances may adversely affect the ability to sell or rent the property or to borrow funds using the property as collateral. Additionally, we may become subject to claims by third parties based on damages, including personal injury and property damage, and costs resulting from the disposal or release of hazardous substances into the environment.</w:t>
      </w:r>
    </w:p>
    <w:p>
      <w:pPr>
        <w:spacing w:after="0" w:line="18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90" w:lineRule="exact"/>
        <w:rPr>
          <w:sz w:val="20"/>
          <w:szCs w:val="20"/>
          <w:color w:val="auto"/>
        </w:rPr>
      </w:pPr>
    </w:p>
    <w:p>
      <w:pPr>
        <w:ind w:right="100" w:firstLine="619"/>
        <w:spacing w:after="0" w:line="307" w:lineRule="auto"/>
        <w:rPr>
          <w:sz w:val="20"/>
          <w:szCs w:val="20"/>
          <w:color w:val="auto"/>
        </w:rPr>
      </w:pPr>
      <w:r>
        <w:rPr>
          <w:rFonts w:ascii="Arial" w:cs="Arial" w:eastAsia="Arial" w:hAnsi="Arial"/>
          <w:sz w:val="15"/>
          <w:szCs w:val="15"/>
          <w:color w:val="auto"/>
        </w:rPr>
        <w:t>We are subject to regulations requiring disclosures of specified minerals, known as conflict minerals, that are necessary to the functionality or production of products manufactured or contracted to be manufactured by public companies. The rule requires companies to perform due diligence, disclose and report whether or not such minerals originate from the Democratic Republic of the Congo or an adjoining country. The rule can affect sourcing at competitive prices and availability in sufficient quantities of certain minerals used in the manufacture of our products, including tantalum, tin, gold and tungsten.</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1" w:name="page42"/>
    <w:bookmarkEnd w:id="41"/>
    <w:p>
      <w:pPr>
        <w:spacing w:after="0" w:line="258" w:lineRule="auto"/>
        <w:rPr>
          <w:sz w:val="20"/>
          <w:szCs w:val="20"/>
          <w:color w:val="auto"/>
        </w:rPr>
      </w:pPr>
      <w:r>
        <w:rPr>
          <w:rFonts w:ascii="Arial" w:cs="Arial" w:eastAsia="Arial" w:hAnsi="Arial"/>
          <w:sz w:val="17"/>
          <w:szCs w:val="17"/>
          <w:color w:val="auto"/>
        </w:rPr>
        <w:t>The number of suppliers who provide conflict-free minerals is limited. In addition, there are costs associated with complying with the disclosure requirements, such as costs related to determining the source of certain minerals used in our products, as well as costs of changes to products, processes, or sources of supply as a consequence of such verification activities. Since our supply chain is complex, we are not always able to sufficiently verify the origins of the relevant minerals used in our products through the due diligence procedures we implemented, which may harm our reputation. In addition, we may encounter challenges to satisfy those customers who require that all of the components of our products be certified as conflict-free, which could place us at a competitive disadvantage if we are unable to do so.</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Natural disasters or severe weather conditions could disrupt our business and result in loss of revenue or higher expenses.</w:t>
      </w:r>
    </w:p>
    <w:p>
      <w:pPr>
        <w:spacing w:after="0" w:line="217" w:lineRule="exact"/>
        <w:rPr>
          <w:sz w:val="20"/>
          <w:szCs w:val="20"/>
          <w:color w:val="auto"/>
        </w:rPr>
      </w:pPr>
    </w:p>
    <w:p>
      <w:pPr>
        <w:ind w:right="160" w:firstLine="619"/>
        <w:spacing w:after="0" w:line="283" w:lineRule="auto"/>
        <w:rPr>
          <w:sz w:val="20"/>
          <w:szCs w:val="20"/>
          <w:color w:val="auto"/>
        </w:rPr>
      </w:pPr>
      <w:r>
        <w:rPr>
          <w:rFonts w:ascii="Arial" w:cs="Arial" w:eastAsia="Arial" w:hAnsi="Arial"/>
          <w:sz w:val="16"/>
          <w:szCs w:val="16"/>
          <w:color w:val="auto"/>
        </w:rPr>
        <w:t>Our business depends on maintaining operations at our facilities and being able to operate at our customer facilities and project locations. A serious, prolonged interruption or damage due to power outage, telecommunications outage, terrorist attack, earthquake, hurricane, fire, flood or other natural disaster, or other interruption could have a material adverse effect on our business and financial results. While we insure against certain business interruption risks, such insurance may not adequately compensate us for any losses incurred as a result of natural or other disasters.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our contracts with the U.S. Government are classified, which may limit investor insight into portions of our business.</w:t>
      </w:r>
    </w:p>
    <w:p>
      <w:pPr>
        <w:spacing w:after="0" w:line="217"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We derive a portion of our revenues from programs with the U.S. Government that are subject to security restrictions (classified programs) that preclude the dissemination of information that is classified for national security purposes. We are limited in our ability to provide details about these classified programs, their risks or any disputes or claims relating to such programs. As a result, investors and others might have less insight into our classified programs than our other businesses and, therefore, less ability to fully evaluate the risks related to our classified business.</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any cash dividends or buyback any Kratos stock for the foreseeable future</w:t>
      </w:r>
      <w:r>
        <w:rPr>
          <w:rFonts w:ascii="Arial" w:cs="Arial" w:eastAsia="Arial" w:hAnsi="Arial"/>
          <w:sz w:val="17"/>
          <w:szCs w:val="17"/>
          <w:color w:val="auto"/>
        </w:rPr>
        <w:t>.</w:t>
      </w:r>
    </w:p>
    <w:p>
      <w:pPr>
        <w:spacing w:after="0" w:line="217" w:lineRule="exact"/>
        <w:rPr>
          <w:sz w:val="20"/>
          <w:szCs w:val="20"/>
          <w:color w:val="auto"/>
        </w:rPr>
      </w:pPr>
    </w:p>
    <w:p>
      <w:pPr>
        <w:ind w:right="120" w:firstLine="619"/>
        <w:spacing w:after="0" w:line="302" w:lineRule="auto"/>
        <w:rPr>
          <w:sz w:val="20"/>
          <w:szCs w:val="20"/>
          <w:color w:val="auto"/>
        </w:rPr>
      </w:pPr>
      <w:r>
        <w:rPr>
          <w:rFonts w:ascii="Arial" w:cs="Arial" w:eastAsia="Arial" w:hAnsi="Arial"/>
          <w:sz w:val="15"/>
          <w:szCs w:val="15"/>
          <w:color w:val="auto"/>
        </w:rPr>
        <w:t>We have not declared any cash dividends since becoming a public company. We currently intend to retain any future earnings to finance the growth and development of the business and, therefore, we do not anticipate that we will pay any cash dividends on shares of our common stock in the foreseeable future. In addition, our ability to pay dividends and buyback Kratos stock is restricted by both the Indenture and the Credit Agreement. Any determination to pay dividends or stock buybacks in the future will be at the discretion of our board of directors and will be dependent upon our future financial condition, results of operations and capital requirements, general business conditions and other relevant factors as determined by our board of directors. See “Dividend Policy.”</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Certain provisions in our amended and restated certificate of incorporation and second amended and restated bylaws, as amended, and of Delaware law, may prevent or delay an acquisition of our Company, which could decrease the trading price of our common stock.</w:t>
      </w:r>
    </w:p>
    <w:p>
      <w:pPr>
        <w:spacing w:after="0" w:line="190" w:lineRule="exact"/>
        <w:rPr>
          <w:sz w:val="20"/>
          <w:szCs w:val="20"/>
          <w:color w:val="auto"/>
        </w:rPr>
      </w:pPr>
    </w:p>
    <w:p>
      <w:pPr>
        <w:ind w:right="200" w:firstLine="619"/>
        <w:spacing w:after="0" w:line="318" w:lineRule="auto"/>
        <w:rPr>
          <w:sz w:val="20"/>
          <w:szCs w:val="20"/>
          <w:color w:val="auto"/>
        </w:rPr>
      </w:pPr>
      <w:r>
        <w:rPr>
          <w:rFonts w:ascii="Arial" w:cs="Arial" w:eastAsia="Arial" w:hAnsi="Arial"/>
          <w:sz w:val="15"/>
          <w:szCs w:val="15"/>
          <w:color w:val="auto"/>
        </w:rPr>
        <w:t>Our amended and restated certificate of incorporation, our second amended and restated bylaws, as amended, and Delaware law contain provisions that are intended to deter coercive takeover practices and inadequate takeover bids by making such practices or bids unacceptably expensive to the raider and to encourage prospective acquirers to negotiate with our board of directors rather than to attempt a hostile takeover. These provisions include, among others:</w:t>
      </w:r>
    </w:p>
    <w:p>
      <w:pPr>
        <w:spacing w:after="0" w:line="165" w:lineRule="exact"/>
        <w:rPr>
          <w:sz w:val="20"/>
          <w:szCs w:val="20"/>
          <w:color w:val="auto"/>
        </w:rPr>
      </w:pPr>
    </w:p>
    <w:p>
      <w:pPr>
        <w:ind w:left="1240" w:hanging="309"/>
        <w:spacing w:after="0"/>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inability of our stockholders to call a special meeting;</w:t>
      </w:r>
    </w:p>
    <w:p>
      <w:pPr>
        <w:spacing w:after="0" w:line="21" w:lineRule="exact"/>
        <w:rPr>
          <w:rFonts w:ascii="Arial" w:cs="Arial" w:eastAsia="Arial" w:hAnsi="Arial"/>
          <w:sz w:val="17"/>
          <w:szCs w:val="17"/>
          <w:color w:val="auto"/>
        </w:rPr>
      </w:pPr>
    </w:p>
    <w:p>
      <w:pPr>
        <w:ind w:left="1240" w:hanging="309"/>
        <w:spacing w:after="0"/>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rules regarding how stockholders may present proposals or nominate directors for election at stockholder meetings;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right of our board of directors to issue preferred stock without stockholder approval;</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super-majority requirement to amend our certificate of incorporation or bylaws; and</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ability of our directors, and not stockholders, to fill vacancies on our board of directors.</w:t>
      </w:r>
    </w:p>
    <w:p>
      <w:pPr>
        <w:spacing w:after="0" w:line="232"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Delaware law also imposes some restrictions on mergers and other business combinations between us and any holder of 15% or more of our outstanding common stock.</w:t>
      </w:r>
    </w:p>
    <w:p>
      <w:pPr>
        <w:spacing w:after="0" w:line="190" w:lineRule="exact"/>
        <w:rPr>
          <w:sz w:val="20"/>
          <w:szCs w:val="20"/>
          <w:color w:val="auto"/>
        </w:rPr>
      </w:pPr>
    </w:p>
    <w:p>
      <w:pPr>
        <w:ind w:right="440" w:firstLine="619"/>
        <w:spacing w:after="0" w:line="279" w:lineRule="auto"/>
        <w:rPr>
          <w:sz w:val="20"/>
          <w:szCs w:val="20"/>
          <w:color w:val="auto"/>
        </w:rPr>
      </w:pPr>
      <w:r>
        <w:rPr>
          <w:rFonts w:ascii="Arial" w:cs="Arial" w:eastAsia="Arial" w:hAnsi="Arial"/>
          <w:sz w:val="17"/>
          <w:szCs w:val="17"/>
          <w:color w:val="auto"/>
        </w:rPr>
        <w:t>We believe these provisions may help protect our stockholders from coercive or otherwise unfair takeover tactics by requiring potential acquirers to negotiate with our board of directors and by providing our board of directors with more time to</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42" w:name="page43"/>
    <w:bookmarkEnd w:id="42"/>
    <w:p>
      <w:pPr>
        <w:spacing w:after="0" w:line="259" w:lineRule="auto"/>
        <w:rPr>
          <w:sz w:val="20"/>
          <w:szCs w:val="20"/>
          <w:color w:val="auto"/>
        </w:rPr>
      </w:pPr>
      <w:r>
        <w:rPr>
          <w:rFonts w:ascii="Arial" w:cs="Arial" w:eastAsia="Arial" w:hAnsi="Arial"/>
          <w:sz w:val="17"/>
          <w:szCs w:val="17"/>
          <w:color w:val="auto"/>
        </w:rPr>
        <w:t>assess any acquisition proposal. These provisions are not intended to make our Company immune from takeovers. In addition, although we believe these provisions collectively provide for an opportunity to receive higher bids by requiring potential acquirers to negotiate with our board, they would apply even if the offer may be considered beneficial by some stockholders. These provisions may also frustrate or prevent any attempts by our stockholders to replace or remove our current management team by making it more difficult for stockholders to replace members of our board, which is responsible for appointing the members of our management.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w:t>
      </w:r>
    </w:p>
    <w:p>
      <w:pPr>
        <w:spacing w:after="0" w:line="243" w:lineRule="exact"/>
        <w:rPr>
          <w:sz w:val="20"/>
          <w:szCs w:val="20"/>
          <w:color w:val="auto"/>
        </w:rPr>
      </w:pPr>
    </w:p>
    <w:p>
      <w:pPr>
        <w:ind w:right="60" w:firstLine="619"/>
        <w:spacing w:after="0" w:line="275" w:lineRule="auto"/>
        <w:rPr>
          <w:sz w:val="20"/>
          <w:szCs w:val="20"/>
          <w:color w:val="auto"/>
        </w:rPr>
      </w:pPr>
      <w:r>
        <w:rPr>
          <w:rFonts w:ascii="Arial" w:cs="Arial" w:eastAsia="Arial" w:hAnsi="Arial"/>
          <w:sz w:val="16"/>
          <w:szCs w:val="16"/>
          <w:color w:val="auto"/>
        </w:rPr>
        <w:t>The price of our stock has been in the past, and will continue to be, subject to fluctuations as a result of a number of factors, most of which we cannot control, including: failure of our operating results to meet market or analysts’ expectations; general fluctuations in the stock market; actual or anticipated fluctuations in our operating results based on reduced and/or delayed government spending or the threat thereof; fluctuations in the stock prices of companies in our industry; changes in earnings estimated by securities analysts or our ability to meet those estimates; rumors or dissemination of false information; short selling of our common stock; litigation and government inquiries; political and/or military events associated with current worldwide conflicts; and domestic and foreign economic conditions. Such volatility has had a significant effect on the market prices of many companies’ securities for reasons unrelated to their operating performance and, in the past, has led to securities class action litigation. Securities litigation against us could result in substantial costs and a diversion of our management’s attention and resources, which could have an adverse effect on our business.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Your percentage of ownership in us may be diluted in the future.</w:t>
      </w:r>
    </w:p>
    <w:p>
      <w:pPr>
        <w:spacing w:after="0" w:line="243" w:lineRule="exact"/>
        <w:rPr>
          <w:sz w:val="20"/>
          <w:szCs w:val="20"/>
          <w:color w:val="auto"/>
        </w:rPr>
      </w:pPr>
    </w:p>
    <w:p>
      <w:pPr>
        <w:ind w:right="200" w:firstLine="619"/>
        <w:spacing w:after="0" w:line="312" w:lineRule="auto"/>
        <w:rPr>
          <w:sz w:val="20"/>
          <w:szCs w:val="20"/>
          <w:color w:val="auto"/>
        </w:rPr>
      </w:pPr>
      <w:r>
        <w:rPr>
          <w:rFonts w:ascii="Arial" w:cs="Arial" w:eastAsia="Arial" w:hAnsi="Arial"/>
          <w:sz w:val="16"/>
          <w:szCs w:val="16"/>
          <w:color w:val="auto"/>
        </w:rPr>
        <w:t>As with any publicly traded company, your percentage ownership in us may be diluted in the future because of equity issuances for acquisitions, capital market transactions or otherwise, including equity awards that we expect will be granted to our directors, officers and employees.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common stock could cause the market price for our common stock to decline.</w:t>
      </w:r>
    </w:p>
    <w:p>
      <w:pPr>
        <w:spacing w:after="0" w:line="243" w:lineRule="exact"/>
        <w:rPr>
          <w:sz w:val="20"/>
          <w:szCs w:val="20"/>
          <w:color w:val="auto"/>
        </w:rPr>
      </w:pPr>
    </w:p>
    <w:p>
      <w:pPr>
        <w:ind w:right="160" w:firstLine="619"/>
        <w:spacing w:after="0" w:line="266" w:lineRule="auto"/>
        <w:rPr>
          <w:sz w:val="20"/>
          <w:szCs w:val="20"/>
          <w:color w:val="auto"/>
        </w:rPr>
      </w:pPr>
      <w:r>
        <w:rPr>
          <w:rFonts w:ascii="Arial" w:cs="Arial" w:eastAsia="Arial" w:hAnsi="Arial"/>
          <w:sz w:val="17"/>
          <w:szCs w:val="17"/>
          <w:color w:val="auto"/>
        </w:rPr>
        <w:t>We cannot predict the effect, if any, that market sales of shares of our common stock or the availability of shares of our common stock for sale will have on the market price of our common stock prevailing from time to time. Sales of substantial amounts of shares of our common stock in the public market, or the perception that those sales will occur, could cause the market price of our common stock to decline or be depressed.</w:t>
      </w:r>
    </w:p>
    <w:p>
      <w:pPr>
        <w:spacing w:after="0" w:line="201" w:lineRule="exact"/>
        <w:rPr>
          <w:sz w:val="20"/>
          <w:szCs w:val="20"/>
          <w:color w:val="auto"/>
        </w:rPr>
      </w:pPr>
    </w:p>
    <w:p>
      <w:pPr>
        <w:ind w:right="100" w:firstLine="619"/>
        <w:spacing w:after="0" w:line="307" w:lineRule="auto"/>
        <w:rPr>
          <w:sz w:val="20"/>
          <w:szCs w:val="20"/>
          <w:color w:val="auto"/>
        </w:rPr>
      </w:pPr>
      <w:r>
        <w:rPr>
          <w:rFonts w:ascii="Arial" w:cs="Arial" w:eastAsia="Arial" w:hAnsi="Arial"/>
          <w:sz w:val="15"/>
          <w:szCs w:val="15"/>
          <w:color w:val="auto"/>
        </w:rPr>
        <w:t>In the future, we may issue our securities if we need to raise capital in connection with a capital expenditure, working capital requirement or acquisition. The amount of shares of our common stock issued in connection with a capital expenditure, working capital requirement or acquisition could constitute a material portion of our then-outstanding shares of common stock. Any perceived excess in the supply of our shares in the market could negatively impact our share price and any issuance of additional securities in connection with investments or acquisitions may result in additional dilution to you.</w:t>
      </w:r>
    </w:p>
    <w:p>
      <w:pPr>
        <w:spacing w:after="0" w:line="175" w:lineRule="exact"/>
        <w:rPr>
          <w:sz w:val="20"/>
          <w:szCs w:val="20"/>
          <w:color w:val="auto"/>
        </w:rPr>
      </w:pPr>
    </w:p>
    <w:p>
      <w:pPr>
        <w:ind w:right="2620"/>
        <w:spacing w:after="0" w:line="279"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our financial results or prevent fraud.</w:t>
      </w:r>
    </w:p>
    <w:p>
      <w:pPr>
        <w:spacing w:after="0" w:line="190" w:lineRule="exact"/>
        <w:rPr>
          <w:sz w:val="20"/>
          <w:szCs w:val="20"/>
          <w:color w:val="auto"/>
        </w:rPr>
      </w:pPr>
    </w:p>
    <w:p>
      <w:pPr>
        <w:ind w:right="40" w:firstLine="619"/>
        <w:spacing w:after="0" w:line="295" w:lineRule="auto"/>
        <w:rPr>
          <w:sz w:val="20"/>
          <w:szCs w:val="20"/>
          <w:color w:val="auto"/>
        </w:rPr>
      </w:pPr>
      <w:r>
        <w:rPr>
          <w:rFonts w:ascii="Arial" w:cs="Arial" w:eastAsia="Arial" w:hAnsi="Arial"/>
          <w:sz w:val="15"/>
          <w:szCs w:val="15"/>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26, 2021. However, although we continue to devote substantial time and resources to the documentation and testing of our controls, there can be no assurance that our controls over financial processes and reporting will be effective in the future or that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stock.</w:t>
      </w:r>
    </w:p>
    <w:p>
      <w:pPr>
        <w:spacing w:after="0" w:line="186" w:lineRule="exact"/>
        <w:rPr>
          <w:sz w:val="20"/>
          <w:szCs w:val="20"/>
          <w:color w:val="auto"/>
        </w:rPr>
      </w:pPr>
    </w:p>
    <w:p>
      <w:pPr>
        <w:ind w:right="2780"/>
        <w:spacing w:after="0" w:line="279" w:lineRule="auto"/>
        <w:rPr>
          <w:sz w:val="20"/>
          <w:szCs w:val="20"/>
          <w:color w:val="auto"/>
        </w:rPr>
      </w:pPr>
      <w:r>
        <w:rPr>
          <w:rFonts w:ascii="Arial" w:cs="Arial" w:eastAsia="Arial" w:hAnsi="Arial"/>
          <w:sz w:val="17"/>
          <w:szCs w:val="17"/>
          <w:b w:val="1"/>
          <w:bCs w:val="1"/>
          <w:i w:val="1"/>
          <w:iCs w:val="1"/>
          <w:color w:val="auto"/>
        </w:rPr>
        <w:t>Litigation may distract us from operating our business, and adverse judgments or settlements could adversely affect our financial results and operations.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3" w:name="page44"/>
    <w:bookmarkEnd w:id="43"/>
    <w:p>
      <w:pPr>
        <w:ind w:right="140" w:firstLine="619"/>
        <w:spacing w:after="0" w:line="262" w:lineRule="auto"/>
        <w:rPr>
          <w:sz w:val="20"/>
          <w:szCs w:val="20"/>
          <w:color w:val="auto"/>
        </w:rPr>
      </w:pPr>
      <w:r>
        <w:rPr>
          <w:rFonts w:ascii="Arial" w:cs="Arial" w:eastAsia="Arial" w:hAnsi="Arial"/>
          <w:sz w:val="17"/>
          <w:szCs w:val="17"/>
          <w:color w:val="auto"/>
        </w:rPr>
        <w:t>Litigation that may be brought by or against us could cause us to incur significant expenditures and distract our management from the operation of our business. Furthermore, there can be no assurance that we would prevail in such litigation or resolve such litigation on terms favorable to us, which may adversely affect our financial results and operations. See Note 15 of the Notes to Consolidated Financial Statements contained within this Annual Report for a further discussion of our legal proceedings.</w:t>
      </w:r>
    </w:p>
    <w:p>
      <w:pPr>
        <w:spacing w:after="0" w:line="20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any trading volume could decline.</w:t>
      </w:r>
    </w:p>
    <w:p>
      <w:pPr>
        <w:spacing w:after="0" w:line="190" w:lineRule="exact"/>
        <w:rPr>
          <w:sz w:val="20"/>
          <w:szCs w:val="20"/>
          <w:color w:val="auto"/>
        </w:rPr>
      </w:pPr>
    </w:p>
    <w:p>
      <w:pPr>
        <w:ind w:firstLine="619"/>
        <w:spacing w:after="0" w:line="283" w:lineRule="auto"/>
        <w:rPr>
          <w:sz w:val="20"/>
          <w:szCs w:val="20"/>
          <w:color w:val="auto"/>
        </w:rPr>
      </w:pPr>
      <w:r>
        <w:rPr>
          <w:rFonts w:ascii="Arial" w:cs="Arial" w:eastAsia="Arial" w:hAnsi="Arial"/>
          <w:sz w:val="16"/>
          <w:szCs w:val="16"/>
          <w:color w:val="auto"/>
        </w:rPr>
        <w:t>The trading market for our securities depends in part on the research and reports that industry or financial analysts publish about us or our business. We do not influence or control the reporting of these analysts. If one or more of the analysts who do cover us downgrade or provide a negative outlook on our Company or our industry, or the stock of any of our competitors, the price of our common stock could decline. If one or more of these analysts ceases coverage of our Company, we could lose visibility in the market, which in turn could cause the price of our common stock to decline.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24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236" w:lineRule="exact"/>
        <w:rPr>
          <w:sz w:val="20"/>
          <w:szCs w:val="20"/>
          <w:color w:val="auto"/>
        </w:rPr>
      </w:pPr>
    </w:p>
    <w:p>
      <w:pPr>
        <w:ind w:right="40" w:firstLine="619"/>
        <w:spacing w:after="0" w:line="242" w:lineRule="auto"/>
        <w:rPr>
          <w:sz w:val="20"/>
          <w:szCs w:val="20"/>
          <w:color w:val="auto"/>
        </w:rPr>
      </w:pPr>
      <w:r>
        <w:rPr>
          <w:rFonts w:ascii="Arial" w:cs="Arial" w:eastAsia="Arial" w:hAnsi="Arial"/>
          <w:sz w:val="16"/>
          <w:szCs w:val="16"/>
          <w:color w:val="auto"/>
        </w:rPr>
        <w:t>At December 26, 2021, we owned or leased approximately 1.3 million square feet of floor space at 50 separate locations, primarily in the U.S., for manufacturing, warehousing, research and development, administration and various other uses. At December 26, 2021, we also leased approximately 103 acres of land, which included 98 acres in Ontario, Canada which is used by our CPI ASC Signal Division, Inc. (“ASC Signal”) business. We continually evaluate our current and future space capacity in relation to current and projected future staffing levels. We maintain our properties in good operating condition and believe that the productive capacity of our properties is adequate to meet current contractual requirements and those for the foreseeable future.</w:t>
      </w:r>
    </w:p>
    <w:p>
      <w:pPr>
        <w:spacing w:after="0" w:line="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have major operations at the following locations:</w:t>
      </w:r>
    </w:p>
    <w:p>
      <w:pPr>
        <w:spacing w:after="0" w:line="133" w:lineRule="exact"/>
        <w:rPr>
          <w:sz w:val="20"/>
          <w:szCs w:val="20"/>
          <w:color w:val="auto"/>
        </w:rPr>
      </w:pPr>
    </w:p>
    <w:p>
      <w:pPr>
        <w:ind w:right="180" w:firstLine="619"/>
        <w:spacing w:after="0" w:line="270" w:lineRule="auto"/>
        <w:rPr>
          <w:sz w:val="20"/>
          <w:szCs w:val="20"/>
          <w:color w:val="auto"/>
        </w:rPr>
      </w:pPr>
      <w:r>
        <w:rPr>
          <w:rFonts w:ascii="Arial" w:cs="Arial" w:eastAsia="Arial" w:hAnsi="Arial"/>
          <w:sz w:val="17"/>
          <w:szCs w:val="17"/>
          <w:b w:val="1"/>
          <w:bCs w:val="1"/>
          <w:color w:val="auto"/>
        </w:rPr>
        <w:t>Kratos Government Solutions</w:t>
      </w:r>
      <w:r>
        <w:rPr>
          <w:rFonts w:ascii="Arial" w:cs="Arial" w:eastAsia="Arial" w:hAnsi="Arial"/>
          <w:sz w:val="17"/>
          <w:szCs w:val="17"/>
          <w:color w:val="auto"/>
        </w:rPr>
        <w:t>: Huntsville, AL; San Diego and San Jose, CA; Colorado Springs and Englewood, CO; Jupiter and Orlando, FL;</w:t>
      </w:r>
      <w:r>
        <w:rPr>
          <w:rFonts w:ascii="Arial" w:cs="Arial" w:eastAsia="Arial" w:hAnsi="Arial"/>
          <w:sz w:val="17"/>
          <w:szCs w:val="17"/>
          <w:b w:val="1"/>
          <w:bCs w:val="1"/>
          <w:color w:val="auto"/>
        </w:rPr>
        <w:t xml:space="preserve"> </w:t>
      </w:r>
      <w:r>
        <w:rPr>
          <w:rFonts w:ascii="Arial" w:cs="Arial" w:eastAsia="Arial" w:hAnsi="Arial"/>
          <w:sz w:val="17"/>
          <w:szCs w:val="17"/>
          <w:color w:val="auto"/>
        </w:rPr>
        <w:t>Baltimore and Lanham, MD; Bristow, OK; Dallastown, PA; Plano, TX; and Alexandria and Chantilly, VA. Locations outside the U.S. include Australia, Canada, France, Germany, Israel, Norway, and the United Kingdom.</w:t>
      </w:r>
    </w:p>
    <w:p>
      <w:pPr>
        <w:spacing w:after="0" w:line="88" w:lineRule="exact"/>
        <w:rPr>
          <w:sz w:val="20"/>
          <w:szCs w:val="20"/>
          <w:color w:val="auto"/>
        </w:rPr>
      </w:pPr>
    </w:p>
    <w:p>
      <w:pPr>
        <w:ind w:right="60" w:firstLine="619"/>
        <w:spacing w:after="0" w:line="271" w:lineRule="auto"/>
        <w:rPr>
          <w:sz w:val="20"/>
          <w:szCs w:val="20"/>
          <w:color w:val="auto"/>
        </w:rPr>
      </w:pPr>
      <w:r>
        <w:rPr>
          <w:rFonts w:ascii="Arial" w:cs="Arial" w:eastAsia="Arial" w:hAnsi="Arial"/>
          <w:sz w:val="17"/>
          <w:szCs w:val="17"/>
          <w:b w:val="1"/>
          <w:bCs w:val="1"/>
          <w:color w:val="auto"/>
        </w:rPr>
        <w:t xml:space="preserve">Unmanned Systems: </w:t>
      </w:r>
      <w:r>
        <w:rPr>
          <w:rFonts w:ascii="Arial" w:cs="Arial" w:eastAsia="Arial" w:hAnsi="Arial"/>
          <w:sz w:val="17"/>
          <w:szCs w:val="17"/>
          <w:color w:val="auto"/>
        </w:rPr>
        <w:t>Huntsville, AL; McClellan, Roseville and Sacramento, CA; Fort Walton Beach, FL, Oxford, MI; Oklahoma City, OK; Loyalhanna,</w:t>
      </w:r>
      <w:r>
        <w:rPr>
          <w:rFonts w:ascii="Arial" w:cs="Arial" w:eastAsia="Arial" w:hAnsi="Arial"/>
          <w:sz w:val="17"/>
          <w:szCs w:val="17"/>
          <w:b w:val="1"/>
          <w:bCs w:val="1"/>
          <w:color w:val="auto"/>
        </w:rPr>
        <w:t xml:space="preserve"> </w:t>
      </w:r>
      <w:r>
        <w:rPr>
          <w:rFonts w:ascii="Arial" w:cs="Arial" w:eastAsia="Arial" w:hAnsi="Arial"/>
          <w:sz w:val="17"/>
          <w:szCs w:val="17"/>
          <w:color w:val="auto"/>
        </w:rPr>
        <w:t>PA; and Arlington and Round Rock, TX.</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Corporate and other locations</w:t>
      </w:r>
      <w:r>
        <w:rPr>
          <w:rFonts w:ascii="Arial" w:cs="Arial" w:eastAsia="Arial" w:hAnsi="Arial"/>
          <w:sz w:val="17"/>
          <w:szCs w:val="17"/>
          <w:color w:val="auto"/>
        </w:rPr>
        <w:t>: San Diego, CA and Round Rock, TX.</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summary of our floor space at December 26, 2021:</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Square feet (in thousands)</w:t>
            </w:r>
          </w:p>
        </w:tc>
        <w:tc>
          <w:tcPr>
            <w:tcW w:w="1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Owned</w:t>
            </w:r>
          </w:p>
        </w:tc>
        <w:tc>
          <w:tcPr>
            <w:tcW w:w="1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Leased</w:t>
            </w:r>
          </w:p>
        </w:tc>
        <w:tc>
          <w:tcPr>
            <w:tcW w:w="1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Total</w:t>
            </w:r>
          </w:p>
        </w:tc>
      </w:tr>
      <w:tr>
        <w:trPr>
          <w:trHeight w:val="218"/>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Kratos Government Solutions</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1,464</w:t>
            </w:r>
          </w:p>
        </w:tc>
      </w:tr>
      <w:tr>
        <w:trPr>
          <w:trHeight w:val="218"/>
        </w:trPr>
        <w:tc>
          <w:tcPr>
            <w:tcW w:w="8700" w:type="dxa"/>
            <w:vAlign w:val="bottom"/>
            <w:gridSpan w:val="2"/>
          </w:tcPr>
          <w:p>
            <w:pPr>
              <w:ind w:left="20"/>
              <w:spacing w:after="0"/>
              <w:rPr>
                <w:sz w:val="20"/>
                <w:szCs w:val="20"/>
                <w:color w:val="auto"/>
              </w:rPr>
            </w:pPr>
            <w:r>
              <w:rPr>
                <w:rFonts w:ascii="Arial" w:cs="Arial" w:eastAsia="Arial" w:hAnsi="Arial"/>
                <w:sz w:val="17"/>
                <w:szCs w:val="17"/>
                <w:color w:val="auto"/>
              </w:rPr>
              <w:t>Unmanned Systems</w:t>
            </w:r>
          </w:p>
        </w:tc>
        <w:tc>
          <w:tcPr>
            <w:tcW w:w="700" w:type="dxa"/>
            <w:vAlign w:val="bottom"/>
          </w:tcPr>
          <w:p>
            <w:pPr>
              <w:jc w:val="right"/>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336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356</w:t>
            </w:r>
          </w:p>
        </w:tc>
      </w:tr>
      <w:tr>
        <w:trPr>
          <w:trHeight w:val="219"/>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Corporate (includes San Diego, operations of KGS and US segments)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13"/>
        </w:trPr>
        <w:tc>
          <w:tcPr>
            <w:tcW w:w="8700" w:type="dxa"/>
            <w:vAlign w:val="bottom"/>
            <w:gridSpan w:val="2"/>
          </w:tcPr>
          <w:p>
            <w:pPr>
              <w:ind w:left="280"/>
              <w:spacing w:after="0"/>
              <w:rPr>
                <w:sz w:val="20"/>
                <w:szCs w:val="20"/>
                <w:color w:val="auto"/>
              </w:rPr>
            </w:pPr>
            <w:r>
              <w:rPr>
                <w:rFonts w:ascii="Arial" w:cs="Arial" w:eastAsia="Arial" w:hAnsi="Arial"/>
                <w:sz w:val="17"/>
                <w:szCs w:val="17"/>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537</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1,309</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1,846</w:t>
            </w:r>
          </w:p>
        </w:tc>
      </w:tr>
      <w:tr>
        <w:trPr>
          <w:trHeight w:val="20"/>
        </w:trPr>
        <w:tc>
          <w:tcPr>
            <w:tcW w:w="8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See Note 6 of the Notes to Consolidated Financial Statements contained within this Annual Report for information regarding commitments under leases.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See Note 15 of the Notes to Consolidated Financial Statements contained within this Annual Report for a discussion of our 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4" w:name="page45"/>
    <w:bookmarkEnd w:id="44"/>
    <w:p>
      <w:pPr>
        <w:jc w:val="center"/>
        <w:ind w:right="-179"/>
        <w:spacing w:after="0"/>
        <w:rPr>
          <w:sz w:val="20"/>
          <w:szCs w:val="20"/>
          <w:color w:val="auto"/>
        </w:rPr>
      </w:pPr>
      <w:r>
        <w:rPr>
          <w:rFonts w:ascii="Arial" w:cs="Arial" w:eastAsia="Arial" w:hAnsi="Arial"/>
          <w:sz w:val="17"/>
          <w:szCs w:val="17"/>
          <w:b w:val="1"/>
          <w:bCs w:val="1"/>
          <w:color w:val="auto"/>
        </w:rPr>
        <w:t>PART II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common stock is listed on the NASDAQ Global Select Market and is traded under the symbol “KTOS”.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February 18, 2022, there were 320 shareholders of record of our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49" w:lineRule="exact"/>
        <w:rPr>
          <w:sz w:val="20"/>
          <w:szCs w:val="20"/>
          <w:color w:val="auto"/>
        </w:rPr>
      </w:pPr>
    </w:p>
    <w:p>
      <w:pPr>
        <w:ind w:firstLine="619"/>
        <w:spacing w:after="0" w:line="299" w:lineRule="auto"/>
        <w:rPr>
          <w:sz w:val="20"/>
          <w:szCs w:val="20"/>
          <w:color w:val="auto"/>
        </w:rPr>
      </w:pPr>
      <w:r>
        <w:rPr>
          <w:rFonts w:ascii="Arial" w:cs="Arial" w:eastAsia="Arial" w:hAnsi="Arial"/>
          <w:sz w:val="15"/>
          <w:szCs w:val="15"/>
          <w:color w:val="auto"/>
        </w:rPr>
        <w:t>We have not declared any cash dividends since becoming a public company. We currently intend to retain any future earnings to finance the growth and development of the business and, therefore, do not anticipate paying any cash dividends in the foreseeable future. In addition, our ability to pay dividends is restricted by both the Indenture and the Credit Agreement, each as discussed in the section entitled “Liquidity and Capital Resources” in Item 7 “Management’s Discussion and Analysis of Financial Condition and Results of Operations” and Note 5 of the Notes to Consolidated Financial Statements contained within this Annual Report. Any future determination to pay cash dividends will be at the discretion of our board of directors and will be dependent upon our future financial condition, results of operations and capital requirements, general business conditions and other relevant factors as determined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088" w:right="51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Performance Graph</w:t>
      </w:r>
    </w:p>
    <w:p>
      <w:pPr>
        <w:spacing w:after="0" w:line="223" w:lineRule="exact"/>
        <w:rPr>
          <w:sz w:val="20"/>
          <w:szCs w:val="20"/>
          <w:color w:val="auto"/>
        </w:rPr>
      </w:pPr>
    </w:p>
    <w:p>
      <w:pPr>
        <w:ind w:right="120" w:firstLine="619"/>
        <w:spacing w:after="0" w:line="266" w:lineRule="auto"/>
        <w:rPr>
          <w:sz w:val="20"/>
          <w:szCs w:val="20"/>
          <w:color w:val="auto"/>
        </w:rPr>
      </w:pPr>
      <w:r>
        <w:rPr>
          <w:rFonts w:ascii="Arial" w:cs="Arial" w:eastAsia="Arial" w:hAnsi="Arial"/>
          <w:sz w:val="17"/>
          <w:szCs w:val="17"/>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as amended (the “Securities Act”), or the Exchange Act of 1934 as amended (the “Exchange Act”), except to the extent that we specifically incorporate it by reference into such filing.</w:t>
      </w:r>
    </w:p>
    <w:p>
      <w:pPr>
        <w:spacing w:after="0" w:line="175" w:lineRule="exact"/>
        <w:rPr>
          <w:sz w:val="20"/>
          <w:szCs w:val="20"/>
          <w:color w:val="auto"/>
        </w:rPr>
      </w:pPr>
    </w:p>
    <w:p>
      <w:pPr>
        <w:ind w:firstLine="619"/>
        <w:spacing w:after="0" w:line="279" w:lineRule="auto"/>
        <w:rPr>
          <w:sz w:val="20"/>
          <w:szCs w:val="20"/>
          <w:color w:val="auto"/>
        </w:rPr>
      </w:pPr>
      <w:r>
        <w:rPr>
          <w:rFonts w:ascii="Arial" w:cs="Arial" w:eastAsia="Arial" w:hAnsi="Arial"/>
          <w:sz w:val="16"/>
          <w:szCs w:val="16"/>
          <w:color w:val="auto"/>
        </w:rPr>
        <w:t>The following performance graph presents a comparison of the five year cumulative stockholder return on our common stock against the cumulative total return of a broad equity market index, the Russell 2000 Stock Index, and one customized peer group consisting of the companies listed below, for the period commencing December 31, 2016 and ending December 31, 2021. The performance graph assumes an initial investment of $100 in our common stock and in each of the Russell 2000 Stock Index and the peer group, and further assumes that all dividends were reinvested and all returns are market-cap weighted. The historical information set forth below is not necessarily indicative of future stock price performance.</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COMPARISON OF 5 YEAR CUMULATIVE TOTAL RETURN*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Among Kratos Defense &amp; Security Solutions, Inc., the Russell 2000 Index,</w:t>
      </w:r>
    </w:p>
    <w:p>
      <w:pPr>
        <w:jc w:val="center"/>
        <w:ind w:right="-59"/>
        <w:spacing w:after="0"/>
        <w:rPr>
          <w:sz w:val="20"/>
          <w:szCs w:val="20"/>
          <w:color w:val="auto"/>
        </w:rPr>
      </w:pPr>
      <w:r>
        <w:rPr>
          <w:rFonts w:ascii="Arial" w:cs="Arial" w:eastAsia="Arial" w:hAnsi="Arial"/>
          <w:sz w:val="12"/>
          <w:szCs w:val="12"/>
          <w:color w:val="auto"/>
        </w:rPr>
        <w:t>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112395</wp:posOffset>
            </wp:positionV>
            <wp:extent cx="4789170" cy="31515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89170" cy="315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*$100 invested on 12/31/16 in stock or index, including reinvestment of dividends.</w:t>
      </w:r>
    </w:p>
    <w:p>
      <w:pPr>
        <w:ind w:left="2580"/>
        <w:spacing w:after="0"/>
        <w:rPr>
          <w:sz w:val="20"/>
          <w:szCs w:val="20"/>
          <w:color w:val="auto"/>
        </w:rPr>
      </w:pPr>
      <w:r>
        <w:rPr>
          <w:rFonts w:ascii="Arial" w:cs="Arial" w:eastAsia="Arial" w:hAnsi="Arial"/>
          <w:sz w:val="14"/>
          <w:szCs w:val="14"/>
          <w:color w:val="auto"/>
        </w:rPr>
        <w:t>Fiscal year ending December 31.</w:t>
      </w:r>
    </w:p>
    <w:p>
      <w:pPr>
        <w:spacing w:after="0" w:line="200" w:lineRule="exact"/>
        <w:rPr>
          <w:sz w:val="20"/>
          <w:szCs w:val="20"/>
          <w:color w:val="auto"/>
        </w:rPr>
      </w:pPr>
    </w:p>
    <w:p>
      <w:pPr>
        <w:spacing w:after="0" w:line="370" w:lineRule="exact"/>
        <w:rPr>
          <w:sz w:val="20"/>
          <w:szCs w:val="20"/>
          <w:color w:val="auto"/>
        </w:rPr>
      </w:pPr>
    </w:p>
    <w:p>
      <w:pPr>
        <w:ind w:left="320" w:right="1300"/>
        <w:spacing w:after="0" w:line="312" w:lineRule="auto"/>
        <w:rPr>
          <w:sz w:val="20"/>
          <w:szCs w:val="20"/>
          <w:color w:val="auto"/>
        </w:rPr>
      </w:pPr>
      <w:r>
        <w:rPr>
          <w:rFonts w:ascii="Arial" w:cs="Arial" w:eastAsia="Arial" w:hAnsi="Arial"/>
          <w:sz w:val="16"/>
          <w:szCs w:val="16"/>
          <w:color w:val="auto"/>
        </w:rPr>
        <w:t>The companies included in the Company’s Peer Group are: AAR Corp., Aerojet Rocketdyne Holdings, Inc., AeroVironment Inc., Comtech Telecommunications Corp., CPI Aerostructures Inc., Ducommun Inc., Frequency Electronics Inc., and Mercury Systems Inc.</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 Use of Proceeds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94" w:right="39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23"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i w:val="1"/>
          <w:iCs w:val="1"/>
          <w:color w:val="auto"/>
        </w:rPr>
        <w:t xml:space="preserve">In addition to historical information, the following discussion contains forward-looking statements that are subject to risks and uncertainties. Our actual results may differ substantially from those expressed in or implied by any forward-looking statements herein due to a number of factors, including but not limited to the risks and uncertainties described in this Item 7, in Item 1A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and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209" w:lineRule="exact"/>
        <w:rPr>
          <w:sz w:val="20"/>
          <w:szCs w:val="20"/>
          <w:color w:val="auto"/>
        </w:rPr>
      </w:pPr>
    </w:p>
    <w:p>
      <w:pPr>
        <w:ind w:right="340" w:firstLine="619"/>
        <w:spacing w:after="0" w:line="279" w:lineRule="auto"/>
        <w:rPr>
          <w:sz w:val="20"/>
          <w:szCs w:val="20"/>
          <w:color w:val="auto"/>
        </w:rPr>
      </w:pPr>
      <w:r>
        <w:rPr>
          <w:rFonts w:ascii="Arial" w:cs="Arial" w:eastAsia="Arial" w:hAnsi="Arial"/>
          <w:sz w:val="17"/>
          <w:szCs w:val="17"/>
          <w:i w:val="1"/>
          <w:iCs w:val="1"/>
          <w:color w:val="auto"/>
        </w:rPr>
        <w:t>The following discussion should be read in conjunction with our audited Consolidated Financial Statements and the related notes and other financial information appearing elsewhere in this Annual Report and other reports and filings made with the SEC.</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30" w:lineRule="exact"/>
        <w:rPr>
          <w:sz w:val="20"/>
          <w:szCs w:val="20"/>
          <w:color w:val="auto"/>
        </w:rPr>
      </w:pPr>
    </w:p>
    <w:p>
      <w:pPr>
        <w:ind w:right="160" w:firstLine="619"/>
        <w:spacing w:after="0" w:line="263" w:lineRule="auto"/>
        <w:rPr>
          <w:sz w:val="20"/>
          <w:szCs w:val="20"/>
          <w:color w:val="auto"/>
        </w:rPr>
      </w:pPr>
      <w:r>
        <w:rPr>
          <w:rFonts w:ascii="Arial" w:cs="Arial" w:eastAsia="Arial" w:hAnsi="Arial"/>
          <w:sz w:val="15"/>
          <w:szCs w:val="15"/>
          <w:color w:val="auto"/>
        </w:rPr>
        <w:t>Kratos is a government contractor at the forefront of the DoD’s recapitalization of strategic weapon systems to address peer and near peer threats and its related Rapid Innovation Initiatives. Kratos is a leading technology, intellectual property, proprietary product and system company focused on the U.S. and its allies’ national security. Kratos is a recognized industry leader in the rapid development, demonstration and fielding of disruptive, transformative and high technology systems and products at an affordable cost. At Kratos, affordability is a technology. Kratos’ primary focus areas are unmanned systems, space and satellite communications, microwave electronics, cybersecurity/warfare, rocket, hypersonic and missile defense systems, turbine technologies, and Command, Control, Communication, Computing, Combat, Intelligence Surveillance and Reconnaissance (“C5ISR”) Systems and training systems.</w:t>
      </w:r>
    </w:p>
    <w:p>
      <w:pPr>
        <w:spacing w:after="0" w:line="181" w:lineRule="exact"/>
        <w:rPr>
          <w:sz w:val="20"/>
          <w:szCs w:val="20"/>
          <w:color w:val="auto"/>
        </w:rPr>
      </w:pPr>
    </w:p>
    <w:p>
      <w:pPr>
        <w:jc w:val="both"/>
        <w:ind w:right="20" w:firstLine="619"/>
        <w:spacing w:after="0" w:line="257" w:lineRule="auto"/>
        <w:rPr>
          <w:sz w:val="20"/>
          <w:szCs w:val="20"/>
          <w:color w:val="auto"/>
        </w:rPr>
      </w:pPr>
      <w:r>
        <w:rPr>
          <w:rFonts w:ascii="Arial" w:cs="Arial" w:eastAsia="Arial" w:hAnsi="Arial"/>
          <w:sz w:val="15"/>
          <w:szCs w:val="15"/>
          <w:color w:val="auto"/>
        </w:rPr>
        <w:t>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workforce is primarily engineering and technically oriented with a significant number of employees holding national security clearances.</w:t>
      </w:r>
    </w:p>
    <w:p>
      <w:pPr>
        <w:spacing w:after="0" w:line="1"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Much of our work is performed at customer locations, or in a secure manufacturing facility. Our primary end customers are national security related agencies. Our entire organization is focused on executing our strategy of being the leading technology and intellectual property based product and system company in our industry.</w:t>
      </w:r>
    </w:p>
    <w:p>
      <w:pPr>
        <w:spacing w:after="0" w:line="210" w:lineRule="exact"/>
        <w:rPr>
          <w:sz w:val="20"/>
          <w:szCs w:val="20"/>
          <w:color w:val="auto"/>
        </w:rPr>
      </w:pPr>
    </w:p>
    <w:p>
      <w:pPr>
        <w:ind w:right="120" w:firstLine="619"/>
        <w:spacing w:after="0" w:line="276" w:lineRule="auto"/>
        <w:rPr>
          <w:sz w:val="20"/>
          <w:szCs w:val="20"/>
          <w:color w:val="auto"/>
        </w:rPr>
      </w:pPr>
      <w:r>
        <w:rPr>
          <w:rFonts w:ascii="Arial" w:cs="Arial" w:eastAsia="Arial" w:hAnsi="Arial"/>
          <w:sz w:val="16"/>
          <w:szCs w:val="16"/>
          <w:color w:val="auto"/>
        </w:rPr>
        <w:t>Our primary end customers are U.S. Government agencies, including the DoD, intelligence agencies, and other national and homeland security related agencies. We also conduct business with local, state and foreign governments and domestic and international commercial customers. In fiscal 2021, 2020 and 2019, we generated 70%, 73% and 71%, respectively, of our total revenues from contracts with the U.S. Government (including all branches of the U.S. military and including FMS), either as a prime contractor or a subcontractor. We believe our stable customer base, strong customer relationships, intellectual property, specialized and differentiated products, broad array of contract vehicles, “designed in” positions on strategic national security platforms, our targeted investments in strategic growth areas, large employee base possessing specialized skills, security clearances, specialized manufacturing facilities and equipment, extensive list of past performance qualifications, and significant management and operational capabilities position us for success.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Industry Background</w:t>
      </w:r>
    </w:p>
    <w:p>
      <w:pPr>
        <w:spacing w:after="0" w:line="243" w:lineRule="exact"/>
        <w:rPr>
          <w:sz w:val="20"/>
          <w:szCs w:val="20"/>
          <w:color w:val="auto"/>
        </w:rPr>
      </w:pPr>
    </w:p>
    <w:p>
      <w:pPr>
        <w:ind w:right="40" w:firstLine="619"/>
        <w:spacing w:after="0" w:line="275" w:lineRule="auto"/>
        <w:rPr>
          <w:sz w:val="20"/>
          <w:szCs w:val="20"/>
          <w:color w:val="auto"/>
        </w:rPr>
      </w:pPr>
      <w:r>
        <w:rPr>
          <w:rFonts w:ascii="Arial" w:cs="Arial" w:eastAsia="Arial" w:hAnsi="Arial"/>
          <w:sz w:val="16"/>
          <w:szCs w:val="16"/>
          <w:color w:val="auto"/>
        </w:rPr>
        <w:t>In May 2021, the Biden administration released a $6.011 trillion federal budget proposal for the U.S. Government’s 2022 fiscal year (“FY”) that began on October 1, 2021, includes $753 billion in National Security funding, an increase of 1.6 percent over FY 2021, $715 billion of which is for the DoD. The 2022 National Security request amounts to a slight decrease for the Pentagon when adjusted for inflation, and is also slightly below the previous administration’s $722 billion FY 2022 request for the DoD. This is the first budget over the past decade that is not restricted by the discretionary spending caps under the Budget Control Act of 2011. The FY 2022 proposal also ends the “off-budget” funding pool known as the Overseas Contingency Operations, or OCO, account. A five-year Future Years Defense Program strategic priority spending plan that is typically submitted annually along with that year’s annual budget request, has not been submitted at this time. The FY 2022 National Security budget includes a focus on research and development for new technologies to address peer and near peer threats, including specifically China. The FY 2022 budget request prioritizes defense research and development, test and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7" w:name="page48"/>
    <w:bookmarkEnd w:id="47"/>
    <w:p>
      <w:pPr>
        <w:ind w:right="40"/>
        <w:spacing w:after="0" w:line="266" w:lineRule="auto"/>
        <w:rPr>
          <w:sz w:val="20"/>
          <w:szCs w:val="20"/>
          <w:color w:val="auto"/>
        </w:rPr>
      </w:pPr>
      <w:r>
        <w:rPr>
          <w:rFonts w:ascii="Arial" w:cs="Arial" w:eastAsia="Arial" w:hAnsi="Arial"/>
          <w:sz w:val="17"/>
          <w:szCs w:val="17"/>
          <w:color w:val="auto"/>
        </w:rPr>
        <w:t>evaluation funding to invest in breakthrough technologies that are also focused on innovation and the development of next generation defense capabilities. The FY 2022 budget request also supports the DoD’s plan to divest legacy systems and programs in order to redirect the related resources to innovation, new technology and new programs, platforms and systems.</w:t>
      </w:r>
    </w:p>
    <w:p>
      <w:pPr>
        <w:spacing w:after="0" w:line="201"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The budget environment, including COVID-19 spending increases proposed by the Biden administration, and uncertainty surrounding the debt ceiling and the appropriations process, remain significant short and long-term risks. Considerable uncertainty exists regarding how future budget and program decisions will unfold, including the defense spending priorities of the current administration and Congress. To avert a government shutdown, on September 30, 2021, one day before the start of the U.S. Government’s FY 2022, President Biden signed H.R. 5305, a CRA, into law. While a CRA temporarily allows continued funding of contracts and programs at prior fiscal year levels, it also restricts new contract and program starts and restricts planned increases on existing production and other contracts, presenting resource allocation challenges for the Government customer and placing limitations on future planned program budgets. The CRA was further extended through March 11, 2022. On October 14, 2021 President Biden signed legislation temporarily raising the U.S. Government’s borrowing limits by $480 billion, in December 2021, it was further increased by $2.5 trillion. The increase in borrowing limit is expected to keep the US Federal Government funded into 2023. If an annual appropriations bill for FY 2022 is not timely enacted, we may face another government shutdown of unknown duration. If a prolonged CRA and/or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192" w:lineRule="exact"/>
        <w:rPr>
          <w:sz w:val="20"/>
          <w:szCs w:val="20"/>
          <w:color w:val="auto"/>
        </w:rPr>
      </w:pPr>
    </w:p>
    <w:p>
      <w:pPr>
        <w:ind w:right="40" w:firstLine="619"/>
        <w:spacing w:after="0" w:line="232" w:lineRule="auto"/>
        <w:rPr>
          <w:sz w:val="20"/>
          <w:szCs w:val="20"/>
          <w:color w:val="auto"/>
        </w:rPr>
      </w:pPr>
      <w:r>
        <w:rPr>
          <w:rFonts w:ascii="Arial" w:cs="Arial" w:eastAsia="Arial" w:hAnsi="Arial"/>
          <w:sz w:val="17"/>
          <w:szCs w:val="17"/>
          <w:color w:val="auto"/>
        </w:rPr>
        <w:t>We believe continued budget pressures, CRAs or U.S. Government shutdowns would have serious negative consequences for the security of our country and the defense industrial base, including the Company and the customers, employees, suppliers, investors, and communities that rely on companies in the defense industrial base. It is likely budget and program decisions made in such an uncertain environment would have long-term implications for our Company and the entire defense industry.</w:t>
      </w:r>
    </w:p>
    <w:p>
      <w:pPr>
        <w:spacing w:after="0" w:line="211"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Additionally, funding for certain programs in which we currently participate may be reduced, delayed or cancelled, and budget uncertainty or funding cuts globally could adversely affect the viability of our partners, teammates, subcontractors and suppliers, and our employee base. While we believe that our business is well-positioned in areas that the DoD and other customers indicate are priorities for future defense spending, including in the 2018 and 2020 National Defense Strategy documents, the short and long-term impact of federal budgetary uncertainty, CRAs, the BCA, other defense spending cuts, challenges in the appropriations process, the debt ceiling and the ongoing fiscal debates remain uncertain. Such a challenging federal and DoD budgetary environment may negatively impact our business and programs and could have a material adverse effect on our forecasts, estimates, financial position, results of operations and/or cash flows.</w:t>
      </w:r>
    </w:p>
    <w:p>
      <w:pPr>
        <w:spacing w:after="0" w:line="211" w:lineRule="exact"/>
        <w:rPr>
          <w:sz w:val="20"/>
          <w:szCs w:val="20"/>
          <w:color w:val="auto"/>
        </w:rPr>
      </w:pPr>
    </w:p>
    <w:p>
      <w:pPr>
        <w:ind w:right="120" w:firstLine="619"/>
        <w:spacing w:after="0" w:line="277" w:lineRule="auto"/>
        <w:rPr>
          <w:sz w:val="20"/>
          <w:szCs w:val="20"/>
          <w:color w:val="auto"/>
        </w:rPr>
      </w:pPr>
      <w:r>
        <w:rPr>
          <w:rFonts w:ascii="Arial" w:cs="Arial" w:eastAsia="Arial" w:hAnsi="Arial"/>
          <w:sz w:val="16"/>
          <w:szCs w:val="16"/>
          <w:color w:val="auto"/>
        </w:rPr>
        <w:t>The nature of our operations exposes us to risks associated with pandemics, epidemics or other public health emergencies, such as the outbreak of COVID-19. In March 2020, the World Health Organization categorized COVID-19 as a pandemic, and the President of the United States declared the COVID-19 outbreak a national emergency. The outbreak has resulted in governments around the world, including the U.S. Government and state and local governments, implementing increasingly stringent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196" w:lineRule="exact"/>
        <w:rPr>
          <w:sz w:val="20"/>
          <w:szCs w:val="20"/>
          <w:color w:val="auto"/>
        </w:rPr>
      </w:pPr>
    </w:p>
    <w:p>
      <w:pPr>
        <w:ind w:right="60" w:firstLine="619"/>
        <w:spacing w:after="0" w:line="297" w:lineRule="auto"/>
        <w:rPr>
          <w:sz w:val="20"/>
          <w:szCs w:val="20"/>
          <w:color w:val="auto"/>
        </w:rPr>
      </w:pPr>
      <w:r>
        <w:rPr>
          <w:rFonts w:ascii="Arial" w:cs="Arial" w:eastAsia="Arial" w:hAnsi="Arial"/>
          <w:sz w:val="15"/>
          <w:szCs w:val="15"/>
          <w:color w:val="auto"/>
        </w:rPr>
        <w:t>We are a company operating in a “critical infrastructure industry”, as defined by the U.S. Department of Homeland Security. Consistent with federal guidelines and with state and local orders to date, we currently continue to operate, including our international operations. Notwithstanding our continued operations, COVID-19 has had negative impacts on certain of our operations, including employee absenteeism, our supply chain, vendors, transportation networks and customers, which have reduced certain of our sales and our margins, including as a result of preventative and precautionary measures that we, our suppliers, other businesses and governments are taking. The COVID-19 outbreak is a widespread public health crisis that is adversely affecting the economies and financial markets globally. Any resulting economic downturn could adversely affect demand for our products. The progression of this matter could also negatively impact our business or results of operations through the temporary or extended closure of our operating locations or those of our customers or suppliers.</w:t>
      </w:r>
    </w:p>
    <w:p>
      <w:pPr>
        <w:spacing w:after="0" w:line="182" w:lineRule="exact"/>
        <w:rPr>
          <w:sz w:val="20"/>
          <w:szCs w:val="20"/>
          <w:color w:val="auto"/>
        </w:rPr>
      </w:pPr>
    </w:p>
    <w:p>
      <w:pPr>
        <w:ind w:right="160" w:firstLine="619"/>
        <w:spacing w:after="0" w:line="289" w:lineRule="auto"/>
        <w:rPr>
          <w:sz w:val="20"/>
          <w:szCs w:val="20"/>
          <w:color w:val="auto"/>
        </w:rPr>
      </w:pPr>
      <w:r>
        <w:rPr>
          <w:rFonts w:ascii="Arial" w:cs="Arial" w:eastAsia="Arial" w:hAnsi="Arial"/>
          <w:sz w:val="15"/>
          <w:szCs w:val="15"/>
          <w:color w:val="auto"/>
        </w:rPr>
        <w:t>The ability of our employees, our suppliers’ employees and our customers’ employees to work may be significantly impacted by individuals contracting or being exposed to COVID-19, or as a result of the control measures noted above, which may significantly hamper our production and operations, including throughout the supply chain. In addition to the $900 billion in stimulus relief for the COVID-19 pandemic included in the current spending bill, on March 27, 2020, the CARES Act, a $2 trillion economic relief bill was signed into law. Subsequently, on March 11, 2021, the American Rescue Plan Act, a $1.9</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8" w:name="page49"/>
    <w:bookmarkEnd w:id="48"/>
    <w:p>
      <w:pPr>
        <w:ind w:right="80"/>
        <w:spacing w:after="0" w:line="264" w:lineRule="auto"/>
        <w:rPr>
          <w:sz w:val="20"/>
          <w:szCs w:val="20"/>
          <w:color w:val="auto"/>
        </w:rPr>
      </w:pPr>
      <w:r>
        <w:rPr>
          <w:rFonts w:ascii="Arial" w:cs="Arial" w:eastAsia="Arial" w:hAnsi="Arial"/>
          <w:sz w:val="17"/>
          <w:szCs w:val="17"/>
          <w:color w:val="auto"/>
        </w:rPr>
        <w:t>trillion economic stimulus bill was enacted. We are continuing to evaluate the impact of these two budget packages including related stimulus and economic relief actions on our business.</w:t>
      </w:r>
    </w:p>
    <w:p>
      <w:pPr>
        <w:spacing w:after="0" w:line="176" w:lineRule="exact"/>
        <w:rPr>
          <w:sz w:val="20"/>
          <w:szCs w:val="20"/>
          <w:color w:val="auto"/>
        </w:rPr>
      </w:pPr>
    </w:p>
    <w:p>
      <w:pPr>
        <w:ind w:firstLine="619"/>
        <w:spacing w:after="0" w:line="238" w:lineRule="auto"/>
        <w:rPr>
          <w:sz w:val="20"/>
          <w:szCs w:val="20"/>
          <w:color w:val="auto"/>
        </w:rPr>
      </w:pPr>
      <w:r>
        <w:rPr>
          <w:rFonts w:ascii="Arial" w:cs="Arial" w:eastAsia="Arial" w:hAnsi="Arial"/>
          <w:sz w:val="16"/>
          <w:szCs w:val="16"/>
          <w:color w:val="auto"/>
        </w:rPr>
        <w:t>Since the end of the first quarter of 2020, COVID-19 has continued to impact our customers, markets and operations, including supply chain disruptions, delays of certain supplier deliveries, difficulties gaining access to certain locations, difficulties gaining access to customers, including instances related to previously scheduled drone and rocket system flights, demonstrations and exercises, and decreased demand requirements of certain of our commercial aero, power and satcom customers. Importantly, COVID-19 customer and contractor-related travel and social distancing restrictions have delayed a number of our target drone, tactical drone and rocket system programs, missions and exercises, and has delayed delivery and execution on certain of our international commercial satcom projects. Despite progress in vaccination efforts, global economic activity remains uncertain and cannot be predicted with confidence. Further, in the first half of 2021, a new Delta variant of COVID-19 began to spread globally and caused an increase in COVID-19 cases in many places in the United States, and in November 2021, a new Omicron variant, which appears to be the most transmissible variant to date, was detected, which Omicron variant has since caused in increase in COVID-19 cases in multiple countries, including the United States. Public health officials and medical professionals have warned that COVID-19 cases may continue to spike due to the Delta variant and/or the Omicron variant, particularly if vaccination rates do not quickly increase or if additional, potent disease variants emerge. It is unclear how long the resurgence due to Delta or the resurgence due to Omicron will last, how severe the Delta resurgence or Omicron resurgence will be, and what safety measures governments will impose in response to the Delta</w:t>
      </w:r>
    </w:p>
    <w:p>
      <w:pPr>
        <w:spacing w:after="0" w:line="3" w:lineRule="exact"/>
        <w:rPr>
          <w:sz w:val="20"/>
          <w:szCs w:val="20"/>
          <w:color w:val="auto"/>
        </w:rPr>
      </w:pPr>
    </w:p>
    <w:p>
      <w:pPr>
        <w:ind w:right="2440"/>
        <w:spacing w:after="0" w:line="257" w:lineRule="auto"/>
        <w:rPr>
          <w:sz w:val="20"/>
          <w:szCs w:val="20"/>
          <w:color w:val="auto"/>
        </w:rPr>
      </w:pPr>
      <w:r>
        <w:rPr>
          <w:rFonts w:ascii="Arial" w:cs="Arial" w:eastAsia="Arial" w:hAnsi="Arial"/>
          <w:sz w:val="17"/>
          <w:szCs w:val="17"/>
          <w:color w:val="auto"/>
        </w:rPr>
        <w:t>resurgence or Omicron resurgence. The extent to which COVID-19 may further impact our business depends on future developments, which are highly uncertain and unpredictable, including new information concerning the severity of the outbreak and the effectiveness of actions globally to contain or mitigate its effects.</w:t>
      </w:r>
    </w:p>
    <w:p>
      <w:pPr>
        <w:spacing w:after="0" w:line="209" w:lineRule="exact"/>
        <w:rPr>
          <w:sz w:val="20"/>
          <w:szCs w:val="20"/>
          <w:color w:val="auto"/>
        </w:rPr>
      </w:pPr>
    </w:p>
    <w:p>
      <w:pPr>
        <w:ind w:right="40" w:firstLine="619"/>
        <w:spacing w:after="0" w:line="242" w:lineRule="auto"/>
        <w:rPr>
          <w:sz w:val="20"/>
          <w:szCs w:val="20"/>
          <w:color w:val="auto"/>
        </w:rPr>
      </w:pPr>
      <w:r>
        <w:rPr>
          <w:rFonts w:ascii="Arial" w:cs="Arial" w:eastAsia="Arial" w:hAnsi="Arial"/>
          <w:sz w:val="17"/>
          <w:szCs w:val="17"/>
          <w:color w:val="auto"/>
        </w:rPr>
        <w:t>While we currently do not expect this matter to have a material impact on our results of operations, cash flows and financial position, the current level of uncertainty over the economic, business and operational impacts of COVID-19, including the impact on employee absenteeism, vendor and supply chain and other resources, means the related financial impact cannot be reasonably estimated at this time. Our Consolidated Financial Statements and Management’s Discussion and Analysis of Financial Condition and Results of Operations reflect estimates and assumptions made by management as of December 26, 2021. Events and changes in circumstances arising after December 26, 2021, including those resulting from the continuing impacts of COVID-19, will be reflected in management’s estimates for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Reporting Segments</w:t>
      </w:r>
    </w:p>
    <w:p>
      <w:pPr>
        <w:spacing w:after="0" w:line="243" w:lineRule="exact"/>
        <w:rPr>
          <w:sz w:val="20"/>
          <w:szCs w:val="20"/>
          <w:color w:val="auto"/>
        </w:rPr>
      </w:pPr>
    </w:p>
    <w:p>
      <w:pPr>
        <w:ind w:firstLine="619"/>
        <w:spacing w:after="0" w:line="258" w:lineRule="auto"/>
        <w:rPr>
          <w:sz w:val="20"/>
          <w:szCs w:val="20"/>
          <w:color w:val="auto"/>
        </w:rPr>
      </w:pPr>
      <w:r>
        <w:rPr>
          <w:rFonts w:ascii="Arial" w:cs="Arial" w:eastAsia="Arial" w:hAnsi="Arial"/>
          <w:sz w:val="16"/>
          <w:szCs w:val="16"/>
          <w:color w:val="auto"/>
        </w:rPr>
        <w:t>We operate in two reportable segments. The KGS reportable segment is comprised of an aggregation of KGS operating segments, including its microwave electronic products, space, training and cybersecurity, C5ISR/modular systems, turbine technologies and defense and rocket support services operating segments. The US reportable segment consists of our unmanned aerial, unmanned ground and unmanned seaborne system products. Our KGS and US segments provide products, solutions and services for mission critical national security programs. KGS and US customers primarily include national security related agencies, the DoD, intelligence agencies and classified agencies, and to a lesser degree, international government agencies and domestic and international commercial customers. We organize our operating segments based primarily on the nature of the products, solutions and services offered. For additional information regarding our reportable segments, see Note 14 of the Notes to Consolidated Financial Statements. From a customer and solutions perspective, we view our business as an integrated whole, leveraging skills and assets wherever possible.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Discontinued Operations</w:t>
      </w:r>
    </w:p>
    <w:p>
      <w:pPr>
        <w:spacing w:after="0" w:line="249" w:lineRule="exact"/>
        <w:rPr>
          <w:sz w:val="20"/>
          <w:szCs w:val="20"/>
          <w:color w:val="auto"/>
        </w:rPr>
      </w:pPr>
    </w:p>
    <w:p>
      <w:pPr>
        <w:ind w:firstLine="619"/>
        <w:spacing w:after="0" w:line="258" w:lineRule="auto"/>
        <w:rPr>
          <w:sz w:val="20"/>
          <w:szCs w:val="20"/>
          <w:color w:val="auto"/>
        </w:rPr>
      </w:pPr>
      <w:r>
        <w:rPr>
          <w:rFonts w:ascii="Arial" w:cs="Arial" w:eastAsia="Arial" w:hAnsi="Arial"/>
          <w:sz w:val="16"/>
          <w:szCs w:val="16"/>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we completed the sale of all of the issued and outstanding capital stock of PSS to Buyer for a purchase price of $69 million in cash, subject to a closing net working capital adjustment (the “Transaction”). To date, we have received approximately $68.9 million of aggregate net cash proceeds from the Transaction, after taking into account amounts that were paid by us pursuant to a negotiated transaction services agreement between us and the Buyer, receipt of approximately $7.3 million in net working capital retained by the Company, and associated transaction fees and expenses, and including the impact of the closing net working capital adjustment which was settled with the Buyer in the fourth quarter of 2021. Included in the year ended December 26, 2021 is approximately $1.1 million of loss from discontinued operations related to the final working capital settlement.</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additional information regarding discontinued operations, see Note 9 of the Notes to Consolidated Financial Statements contained within this Annual</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Report.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Financial Statement Concepts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9" w:name="page50"/>
    <w:bookmarkEnd w:id="49"/>
    <w:p>
      <w:pPr>
        <w:ind w:left="620"/>
        <w:spacing w:after="0"/>
        <w:rPr>
          <w:sz w:val="20"/>
          <w:szCs w:val="20"/>
          <w:color w:val="auto"/>
        </w:rPr>
      </w:pPr>
      <w:r>
        <w:rPr>
          <w:rFonts w:ascii="Arial" w:cs="Arial" w:eastAsia="Arial" w:hAnsi="Arial"/>
          <w:sz w:val="17"/>
          <w:szCs w:val="17"/>
          <w:color w:val="auto"/>
        </w:rPr>
        <w:t>As of December 26, 2021, we consider the following factors to be important in understanding our financial statements.</w:t>
      </w:r>
    </w:p>
    <w:p>
      <w:pPr>
        <w:spacing w:after="0" w:line="243" w:lineRule="exact"/>
        <w:rPr>
          <w:sz w:val="20"/>
          <w:szCs w:val="20"/>
          <w:color w:val="auto"/>
        </w:rPr>
      </w:pPr>
    </w:p>
    <w:p>
      <w:pPr>
        <w:ind w:right="100" w:firstLine="619"/>
        <w:spacing w:after="0" w:line="307" w:lineRule="auto"/>
        <w:rPr>
          <w:sz w:val="20"/>
          <w:szCs w:val="20"/>
          <w:color w:val="auto"/>
        </w:rPr>
      </w:pPr>
      <w:r>
        <w:rPr>
          <w:rFonts w:ascii="Arial" w:cs="Arial" w:eastAsia="Arial" w:hAnsi="Arial"/>
          <w:sz w:val="15"/>
          <w:szCs w:val="15"/>
          <w:color w:val="auto"/>
        </w:rPr>
        <w:t>Our business with the U.S. Government and prime contractors is generally performed under fixed-price, cost reimbursable, or time and materials contracts. Cost reimbursable contracts for the U.S. Government provide for reimbursement of costs plus the payment of a fee. Some cost reimbursable contracts include award and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w:t>
      </w:r>
    </w:p>
    <w:p>
      <w:pPr>
        <w:spacing w:after="0" w:line="162" w:lineRule="exact"/>
        <w:rPr>
          <w:sz w:val="20"/>
          <w:szCs w:val="20"/>
          <w:color w:val="auto"/>
        </w:rPr>
      </w:pPr>
    </w:p>
    <w:p>
      <w:pPr>
        <w:ind w:right="80" w:firstLine="619"/>
        <w:spacing w:after="0" w:line="261" w:lineRule="auto"/>
        <w:rPr>
          <w:sz w:val="20"/>
          <w:szCs w:val="20"/>
          <w:color w:val="auto"/>
        </w:rPr>
      </w:pPr>
      <w:r>
        <w:rPr>
          <w:rFonts w:ascii="Arial" w:cs="Arial" w:eastAsia="Arial" w:hAnsi="Arial"/>
          <w:sz w:val="15"/>
          <w:szCs w:val="15"/>
          <w:color w:val="auto"/>
        </w:rPr>
        <w:t>For the majority of contracts, we satisfy the underlying performance obligations over time as the customer obtains control or receives benefits as work is performed on the contract. We generally recognize revenue over time as we perform on long-term contracts because of continuous transfer of control to the customer. For U.S. government contracts, this continuous transfer of control to the customer is supported by clauses in the contract that allow the customer to unilaterally terminate the contract for convenience, pay us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spacing w:after="0" w:line="195" w:lineRule="exact"/>
        <w:rPr>
          <w:sz w:val="20"/>
          <w:szCs w:val="20"/>
          <w:color w:val="auto"/>
        </w:rPr>
      </w:pPr>
    </w:p>
    <w:p>
      <w:pPr>
        <w:ind w:right="280" w:firstLine="619"/>
        <w:spacing w:after="0" w:line="279" w:lineRule="auto"/>
        <w:rPr>
          <w:sz w:val="20"/>
          <w:szCs w:val="20"/>
          <w:color w:val="auto"/>
        </w:rPr>
      </w:pPr>
      <w:r>
        <w:rPr>
          <w:rFonts w:ascii="Arial" w:cs="Arial" w:eastAsia="Arial" w:hAnsi="Arial"/>
          <w:sz w:val="16"/>
          <w:szCs w:val="16"/>
          <w:color w:val="auto"/>
        </w:rPr>
        <w:t>In accordance with ASC 606, we evaluate whether a contract with a customer exists by evaluating a number of criteria including whether collection of consideration is reasonably assured; comprehensive collection history; results of our communications with customers; the current financial position of the customer; and the relevant economic conditions in the customer’s country. If we have had no prior experience with the customer, we may review reports from various credit organizations to ensure that the customer has a history of paying its creditors in a reliable and effective manner. If the financial condition of our customers were to deteriorate and adversely affect their financial ability to make payments, allowances would be required.</w:t>
      </w:r>
    </w:p>
    <w:p>
      <w:pPr>
        <w:spacing w:after="0" w:line="194"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DCAA.</w:t>
      </w:r>
    </w:p>
    <w:p>
      <w:pPr>
        <w:spacing w:after="0" w:line="201" w:lineRule="exact"/>
        <w:rPr>
          <w:sz w:val="20"/>
          <w:szCs w:val="20"/>
          <w:color w:val="auto"/>
        </w:rPr>
      </w:pPr>
    </w:p>
    <w:p>
      <w:pPr>
        <w:ind w:right="20" w:firstLine="619"/>
        <w:spacing w:after="0" w:line="257" w:lineRule="auto"/>
        <w:rPr>
          <w:sz w:val="20"/>
          <w:szCs w:val="20"/>
          <w:color w:val="auto"/>
        </w:rPr>
      </w:pPr>
      <w:r>
        <w:rPr>
          <w:rFonts w:ascii="Arial" w:cs="Arial" w:eastAsia="Arial" w:hAnsi="Arial"/>
          <w:sz w:val="16"/>
          <w:szCs w:val="16"/>
          <w:color w:val="auto"/>
        </w:rPr>
        <w:t>We manage and assess the performance of our businesses based on our performance on individual contracts and programs obtained generally from government organizations.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revenue and cost estimates are reviewed on a contract-by-contract basis and are revised periodically throughout the life of the contract such that adjustments to profit resulting from revisions are made cumulative to the date of the revision in accordance with accounting principles generally accepted in the U.S. (“GAAP”). Significant management judgments and estimates, including the estimated costs to complete the project, which determine the project’s percentage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Results for the Year Ended December 26, 2021 to the Year Ended December 27, 2020</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by reportable segment for the years ended December 26, 2021 and December 27, 2020 are as follows (in millions):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55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 Change</w:t>
            </w:r>
          </w:p>
        </w:tc>
      </w:tr>
      <w:tr>
        <w:trPr>
          <w:trHeight w:val="202"/>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Kratos Government Solutions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8"/>
        </w:trPr>
        <w:tc>
          <w:tcPr>
            <w:tcW w:w="5560" w:type="dxa"/>
            <w:vAlign w:val="bottom"/>
          </w:tcPr>
          <w:p>
            <w:pPr>
              <w:ind w:left="220"/>
              <w:spacing w:after="0"/>
              <w:rPr>
                <w:sz w:val="20"/>
                <w:szCs w:val="20"/>
                <w:color w:val="auto"/>
              </w:rPr>
            </w:pPr>
            <w:r>
              <w:rPr>
                <w:rFonts w:ascii="Arial" w:cs="Arial" w:eastAsia="Arial" w:hAnsi="Arial"/>
                <w:sz w:val="17"/>
                <w:szCs w:val="17"/>
                <w:color w:val="auto"/>
              </w:rPr>
              <w:t>Service revenues</w:t>
            </w:r>
          </w:p>
        </w:tc>
        <w:tc>
          <w:tcPr>
            <w:tcW w:w="820" w:type="dxa"/>
            <w:vAlign w:val="bottom"/>
          </w:tcPr>
          <w:p>
            <w:pPr>
              <w:jc w:val="right"/>
              <w:ind w:right="664"/>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9"/>
              </w:rPr>
              <w:t>214.5</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248.7</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(34.2)</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(13.8)%</w:t>
            </w:r>
          </w:p>
        </w:tc>
      </w:tr>
      <w:tr>
        <w:trPr>
          <w:trHeight w:val="220"/>
        </w:trPr>
        <w:tc>
          <w:tcPr>
            <w:tcW w:w="5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Product sales</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365.1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17.0 %</w:t>
            </w:r>
          </w:p>
        </w:tc>
      </w:tr>
      <w:tr>
        <w:trPr>
          <w:trHeight w:val="211"/>
        </w:trPr>
        <w:tc>
          <w:tcPr>
            <w:tcW w:w="5560" w:type="dxa"/>
            <w:vAlign w:val="bottom"/>
          </w:tcPr>
          <w:p>
            <w:pPr>
              <w:ind w:left="20"/>
              <w:spacing w:after="0"/>
              <w:rPr>
                <w:sz w:val="20"/>
                <w:szCs w:val="20"/>
                <w:color w:val="auto"/>
              </w:rPr>
            </w:pPr>
            <w:r>
              <w:rPr>
                <w:rFonts w:ascii="Arial" w:cs="Arial" w:eastAsia="Arial" w:hAnsi="Arial"/>
                <w:sz w:val="17"/>
                <w:szCs w:val="17"/>
                <w:color w:val="auto"/>
              </w:rPr>
              <w:t>Total Kratos Government Solutions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579.6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560.7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18.9</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3.4 %</w:t>
            </w:r>
          </w:p>
        </w:tc>
      </w:tr>
      <w:tr>
        <w:trPr>
          <w:trHeight w:val="22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Unmanned Systems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8"/>
        </w:trPr>
        <w:tc>
          <w:tcPr>
            <w:tcW w:w="5560" w:type="dxa"/>
            <w:vAlign w:val="bottom"/>
          </w:tcPr>
          <w:p>
            <w:pPr>
              <w:ind w:left="220"/>
              <w:spacing w:after="0"/>
              <w:rPr>
                <w:sz w:val="20"/>
                <w:szCs w:val="20"/>
                <w:color w:val="auto"/>
              </w:rPr>
            </w:pPr>
            <w:r>
              <w:rPr>
                <w:rFonts w:ascii="Arial" w:cs="Arial" w:eastAsia="Arial" w:hAnsi="Arial"/>
                <w:sz w:val="17"/>
                <w:szCs w:val="17"/>
                <w:color w:val="auto"/>
              </w:rPr>
              <w:t>Service revenues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0"/>
        </w:trPr>
        <w:tc>
          <w:tcPr>
            <w:tcW w:w="5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Product sales</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227.0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21.4 %</w:t>
            </w:r>
          </w:p>
        </w:tc>
      </w:tr>
      <w:tr>
        <w:trPr>
          <w:trHeight w:val="211"/>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Unmanned Systems</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231.9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24.0 %</w:t>
            </w:r>
          </w:p>
        </w:tc>
      </w:tr>
      <w:tr>
        <w:trPr>
          <w:trHeight w:val="238"/>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revenues</w:t>
            </w:r>
          </w:p>
        </w:tc>
        <w:tc>
          <w:tcPr>
            <w:tcW w:w="82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811.5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8.5 %</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r>
        <w:trPr>
          <w:trHeight w:val="191"/>
        </w:trPr>
        <w:tc>
          <w:tcPr>
            <w:tcW w:w="5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service revenues</w:t>
            </w:r>
          </w:p>
        </w:tc>
        <w:tc>
          <w:tcPr>
            <w:tcW w:w="820" w:type="dxa"/>
            <w:vAlign w:val="bottom"/>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18"/>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product sales</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592.1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93.1</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18.7 %</w:t>
            </w:r>
          </w:p>
        </w:tc>
      </w:tr>
      <w:tr>
        <w:trPr>
          <w:trHeight w:val="238"/>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revenues</w:t>
            </w:r>
          </w:p>
        </w:tc>
        <w:tc>
          <w:tcPr>
            <w:tcW w:w="82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811.5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8.5 %</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97" w:lineRule="exact"/>
        <w:rPr>
          <w:sz w:val="20"/>
          <w:szCs w:val="20"/>
          <w:color w:val="auto"/>
        </w:rPr>
      </w:pPr>
    </w:p>
    <w:p>
      <w:pPr>
        <w:ind w:right="60" w:firstLine="619"/>
        <w:spacing w:after="0" w:line="261" w:lineRule="auto"/>
        <w:rPr>
          <w:sz w:val="20"/>
          <w:szCs w:val="20"/>
          <w:color w:val="auto"/>
        </w:rPr>
      </w:pPr>
      <w:r>
        <w:rPr>
          <w:rFonts w:ascii="Arial" w:cs="Arial" w:eastAsia="Arial" w:hAnsi="Arial"/>
          <w:sz w:val="15"/>
          <w:szCs w:val="15"/>
          <w:color w:val="auto"/>
        </w:rPr>
        <w:t>Revenues increased $63.8 million to $811.5 million for the year ended December 26, 2021 from $747.7 million for the year ended December 27, 2020. Revenues in our KGS segment increased $18.9 million primarily due to the increase in revenue of approximately $19.5 million from ASC Signal which we acquired in June 2020, as well as increases in our space, satellite and cyber business of $24.5 million, and increases of $7.9 million in our microwave products and turbine technologies businesses, offset by reductions of $26.1 million in our training solutions business primarily resulting from a loss of an international training contract and reductions of $6.9 million in our C5ISR and rocket support services businesses primarily resulting from COVID related and supply chain delays and disruptions. Revenues in our US segment increased $44.9 million primarily due to increased revenues on our SSAT 177, AFSAT 167 and Valkyrie programs, and due to increased revenues of approximately $4.5 million from a full year’s operating results for our 5-D Systems, Inc. (“5-D Systems”) acquisition.</w:t>
      </w:r>
    </w:p>
    <w:p>
      <w:pPr>
        <w:spacing w:after="0" w:line="182" w:lineRule="exact"/>
        <w:rPr>
          <w:sz w:val="20"/>
          <w:szCs w:val="20"/>
          <w:color w:val="auto"/>
        </w:rPr>
      </w:pPr>
    </w:p>
    <w:p>
      <w:pPr>
        <w:ind w:right="40" w:firstLine="619"/>
        <w:spacing w:after="0" w:line="244" w:lineRule="auto"/>
        <w:rPr>
          <w:sz w:val="20"/>
          <w:szCs w:val="20"/>
          <w:color w:val="auto"/>
        </w:rPr>
      </w:pPr>
      <w:r>
        <w:rPr>
          <w:rFonts w:ascii="Arial" w:cs="Arial" w:eastAsia="Arial" w:hAnsi="Arial"/>
          <w:sz w:val="16"/>
          <w:szCs w:val="16"/>
          <w:color w:val="auto"/>
        </w:rPr>
        <w:t>Product sales increased $93.1 million to $592.1 million for the year ended December 26, 2021 from $499.0 million for the year ended December 27, 2020, primarily as a result of increased production activity in our US segment, increased production in our microwave products, space and satellite business, including the ASC Signal acquisition, and higher turbine technologies product sales. As a percentage of total revenue, product sales were 73.0% for the year ended December 26, 2021, as compared to 66.7% for the year ended December 27, 2020. Service revenues decreased by $29.3 million to $219.4 million for the year ended December 26, 2021, from $248.7 million for the year ended December 27, 2020. The decrease was primarily related to lower turbine technologies service revenue, reductions in our training solutions business, as well as impacts resulting from COVID-19.</w:t>
      </w:r>
    </w:p>
    <w:p>
      <w:pPr>
        <w:spacing w:after="0" w:line="206" w:lineRule="exact"/>
        <w:rPr>
          <w:sz w:val="20"/>
          <w:szCs w:val="20"/>
          <w:color w:val="auto"/>
        </w:rPr>
      </w:pPr>
    </w:p>
    <w:p>
      <w:pPr>
        <w:ind w:right="820" w:firstLine="619"/>
        <w:spacing w:after="0" w:line="331" w:lineRule="auto"/>
        <w:rPr>
          <w:sz w:val="20"/>
          <w:szCs w:val="20"/>
          <w:color w:val="auto"/>
        </w:rPr>
      </w:pPr>
      <w:r>
        <w:rPr>
          <w:rFonts w:ascii="Arial" w:cs="Arial" w:eastAsia="Arial" w:hAnsi="Arial"/>
          <w:sz w:val="15"/>
          <w:szCs w:val="15"/>
          <w:i w:val="1"/>
          <w:iCs w:val="1"/>
          <w:color w:val="auto"/>
        </w:rPr>
        <w:t xml:space="preserve">Cost of revenues. </w:t>
      </w:r>
      <w:r>
        <w:rPr>
          <w:rFonts w:ascii="Arial" w:cs="Arial" w:eastAsia="Arial" w:hAnsi="Arial"/>
          <w:sz w:val="15"/>
          <w:szCs w:val="15"/>
          <w:color w:val="auto"/>
        </w:rPr>
        <w:t>Cost of revenues increased to $586.4 million for the year ended December 26, 2021, from $544.5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27, 2020. The $41.9 million increase in cost of revenues was primarily a result of the overall increase in revenue discussed above.</w:t>
      </w:r>
    </w:p>
    <w:p>
      <w:pPr>
        <w:spacing w:after="0" w:line="130" w:lineRule="exact"/>
        <w:rPr>
          <w:sz w:val="20"/>
          <w:szCs w:val="20"/>
          <w:color w:val="auto"/>
        </w:rPr>
      </w:pPr>
    </w:p>
    <w:p>
      <w:pPr>
        <w:ind w:right="100" w:firstLine="619"/>
        <w:spacing w:after="0" w:line="261" w:lineRule="auto"/>
        <w:rPr>
          <w:sz w:val="20"/>
          <w:szCs w:val="20"/>
          <w:color w:val="auto"/>
        </w:rPr>
      </w:pPr>
      <w:r>
        <w:rPr>
          <w:rFonts w:ascii="Arial" w:cs="Arial" w:eastAsia="Arial" w:hAnsi="Arial"/>
          <w:sz w:val="15"/>
          <w:szCs w:val="15"/>
          <w:color w:val="auto"/>
        </w:rPr>
        <w:t>Gross margin percentage increased to 27.7% for the year ended December 26, 2021, compared to 27.2% for the year ended December 27, 2020. Margins on services increased to 28.8% for the year ended December 26, 2021, from 26.6% for the year ended December 27, 2020, due primarily to a more favorable mix of revenues, primarily in our space, training &amp; cyber business and in our turbine technologies business. Margins on product sales decreased for the year ended December 26, 2021, as compared to December 27, 2020 to 27.3% from 27.5%, respectively, primarily due to a less favorable mix of certain programs with an increase in lower margin developmental programs. Margins in the KGS segment increased to 30.3% for the year ended December 26, 2021, from 29.2% for the year ended December 27, 2020. Margins in the US segment increased to 21.4% for the year ended December 26, 2021 from 21.0% for the year ended December 27, 2020, primarily due to a more favorable mix of products produced and shipped in the year ended December 26, 2021.</w:t>
      </w:r>
    </w:p>
    <w:p>
      <w:pPr>
        <w:spacing w:after="0" w:line="182" w:lineRule="exact"/>
        <w:rPr>
          <w:sz w:val="20"/>
          <w:szCs w:val="20"/>
          <w:color w:val="auto"/>
        </w:rPr>
      </w:pPr>
    </w:p>
    <w:p>
      <w:pPr>
        <w:ind w:right="340" w:firstLine="619"/>
        <w:spacing w:after="0" w:line="248" w:lineRule="auto"/>
        <w:rPr>
          <w:sz w:val="20"/>
          <w:szCs w:val="20"/>
          <w:color w:val="auto"/>
        </w:rPr>
      </w:pPr>
      <w:r>
        <w:rPr>
          <w:rFonts w:ascii="Arial" w:cs="Arial" w:eastAsia="Arial" w:hAnsi="Arial"/>
          <w:sz w:val="17"/>
          <w:szCs w:val="17"/>
          <w:i w:val="1"/>
          <w:iCs w:val="1"/>
          <w:color w:val="auto"/>
        </w:rPr>
        <w:t xml:space="preserve">Selling, general and administrative expenses (SG&amp;A). </w:t>
      </w:r>
      <w:r>
        <w:rPr>
          <w:rFonts w:ascii="Arial" w:cs="Arial" w:eastAsia="Arial" w:hAnsi="Arial"/>
          <w:sz w:val="17"/>
          <w:szCs w:val="17"/>
          <w:color w:val="auto"/>
        </w:rPr>
        <w:t>SG&amp;A increased $15.7 million to $160.2 million for the year ended December 26, 2021, from</w:t>
      </w:r>
      <w:r>
        <w:rPr>
          <w:rFonts w:ascii="Arial" w:cs="Arial" w:eastAsia="Arial" w:hAnsi="Arial"/>
          <w:sz w:val="17"/>
          <w:szCs w:val="17"/>
          <w:i w:val="1"/>
          <w:iCs w:val="1"/>
          <w:color w:val="auto"/>
        </w:rPr>
        <w:t xml:space="preserve"> </w:t>
      </w:r>
      <w:r>
        <w:rPr>
          <w:rFonts w:ascii="Arial" w:cs="Arial" w:eastAsia="Arial" w:hAnsi="Arial"/>
          <w:sz w:val="17"/>
          <w:szCs w:val="17"/>
          <w:color w:val="auto"/>
        </w:rPr>
        <w:t>$144.5 million for the year ended December 27, 2020, primarily reflecting the increase in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1" w:name="page52"/>
    <w:bookmarkEnd w:id="51"/>
    <w:p>
      <w:pPr>
        <w:jc w:val="both"/>
        <w:ind w:right="80"/>
        <w:spacing w:after="0" w:line="236" w:lineRule="auto"/>
        <w:rPr>
          <w:sz w:val="20"/>
          <w:szCs w:val="20"/>
          <w:color w:val="auto"/>
        </w:rPr>
      </w:pPr>
      <w:r>
        <w:rPr>
          <w:rFonts w:ascii="Arial" w:cs="Arial" w:eastAsia="Arial" w:hAnsi="Arial"/>
          <w:sz w:val="17"/>
          <w:szCs w:val="17"/>
          <w:color w:val="auto"/>
        </w:rPr>
        <w:t>revenues. As a percentage of revenues, SG&amp;A increased to 19.7% for the year ended December 26, 2021 from 19.3% for the year ended December 27, 2020 due primarily to an increase in stock compensation expense from $21.0 million in the year ended December 27, 2020 to $25.8 million in the year ended December 26, 2021 and due to increases in infrastructure costs including costs related to CMMC compliance.</w:t>
      </w:r>
    </w:p>
    <w:p>
      <w:pPr>
        <w:spacing w:after="0" w:line="197" w:lineRule="exact"/>
        <w:rPr>
          <w:sz w:val="20"/>
          <w:szCs w:val="20"/>
          <w:color w:val="auto"/>
        </w:rPr>
      </w:pPr>
    </w:p>
    <w:p>
      <w:pPr>
        <w:ind w:right="20" w:firstLine="619"/>
        <w:spacing w:after="0" w:line="246" w:lineRule="auto"/>
        <w:rPr>
          <w:sz w:val="20"/>
          <w:szCs w:val="20"/>
          <w:color w:val="auto"/>
        </w:rPr>
      </w:pPr>
      <w:r>
        <w:rPr>
          <w:rFonts w:ascii="Arial" w:cs="Arial" w:eastAsia="Arial" w:hAnsi="Arial"/>
          <w:sz w:val="16"/>
          <w:szCs w:val="16"/>
          <w:i w:val="1"/>
          <w:iCs w:val="1"/>
          <w:color w:val="auto"/>
        </w:rPr>
        <w:t xml:space="preserve">Research and development (R&amp;D) expenses. </w:t>
      </w:r>
      <w:r>
        <w:rPr>
          <w:rFonts w:ascii="Arial" w:cs="Arial" w:eastAsia="Arial" w:hAnsi="Arial"/>
          <w:sz w:val="16"/>
          <w:szCs w:val="16"/>
          <w:color w:val="auto"/>
        </w:rPr>
        <w:t>R&amp;D expenses were $35.2 million for the year ended December 26, 2021 and $27.0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27, 2020, with the primary increases in expenses being in our space and satellite communications business. As a percentage of revenues, R&amp;D increased to 4.3% of revenues for the year ended December 26, 2021, from 3.6% of revenues for the year ended December 27, 2020.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204"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i w:val="1"/>
          <w:iCs w:val="1"/>
          <w:color w:val="auto"/>
        </w:rPr>
        <w:t xml:space="preserve">Restructuring expenses and other. </w:t>
      </w:r>
      <w:r>
        <w:rPr>
          <w:rFonts w:ascii="Arial" w:cs="Arial" w:eastAsia="Arial" w:hAnsi="Arial"/>
          <w:sz w:val="17"/>
          <w:szCs w:val="17"/>
          <w:color w:val="auto"/>
        </w:rPr>
        <w:t>The expense of $0.7 million for the year ended December 27, 2020 primarily consisted of employee termination costs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personnel reduction actions taken during the year.</w:t>
      </w:r>
    </w:p>
    <w:p>
      <w:pPr>
        <w:spacing w:after="0" w:line="177" w:lineRule="exact"/>
        <w:rPr>
          <w:sz w:val="20"/>
          <w:szCs w:val="20"/>
          <w:color w:val="auto"/>
        </w:rPr>
      </w:pPr>
    </w:p>
    <w:p>
      <w:pPr>
        <w:ind w:right="240" w:firstLine="619"/>
        <w:spacing w:after="0" w:line="248"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increased to $23.5 million from $22.5 million for the years ended December 26, 2021 and December 27, 2020,</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primarily as a result of the reduction of interest income and increases in foreign transaction losses.</w:t>
      </w:r>
    </w:p>
    <w:p>
      <w:pPr>
        <w:spacing w:after="0" w:line="202" w:lineRule="exact"/>
        <w:rPr>
          <w:sz w:val="20"/>
          <w:szCs w:val="20"/>
          <w:color w:val="auto"/>
        </w:rPr>
      </w:pPr>
    </w:p>
    <w:p>
      <w:pPr>
        <w:ind w:right="160" w:firstLine="172"/>
        <w:spacing w:after="0" w:line="299" w:lineRule="auto"/>
        <w:rPr>
          <w:sz w:val="20"/>
          <w:szCs w:val="20"/>
          <w:color w:val="auto"/>
        </w:rPr>
      </w:pPr>
      <w:r>
        <w:rPr>
          <w:rFonts w:ascii="Arial" w:cs="Arial" w:eastAsia="Arial" w:hAnsi="Arial"/>
          <w:sz w:val="16"/>
          <w:szCs w:val="16"/>
          <w:i w:val="1"/>
          <w:iCs w:val="1"/>
          <w:color w:val="auto"/>
        </w:rPr>
        <w:t xml:space="preserve">Provision (benefit) for income taxes from continuing operations. </w:t>
      </w:r>
      <w:r>
        <w:rPr>
          <w:rFonts w:ascii="Arial" w:cs="Arial" w:eastAsia="Arial" w:hAnsi="Arial"/>
          <w:sz w:val="16"/>
          <w:szCs w:val="16"/>
          <w:color w:val="auto"/>
        </w:rPr>
        <w:t>The Company recorded an income tax provision of $3.9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26, 2021, compared to an income tax benefit of $73.5 million for the year ended December 27, 2020. The income tax benefit for 2020 includes a non-cash benefit of $80.1 million related to the reversal of a significant portion of the Company’s valuation allowance on its U.S. deferred tax assets.</w:t>
      </w:r>
    </w:p>
    <w:p>
      <w:pPr>
        <w:spacing w:after="0" w:line="150" w:lineRule="exact"/>
        <w:rPr>
          <w:sz w:val="20"/>
          <w:szCs w:val="20"/>
          <w:color w:val="auto"/>
        </w:rPr>
      </w:pPr>
    </w:p>
    <w:p>
      <w:pPr>
        <w:ind w:right="160" w:firstLine="619"/>
        <w:spacing w:after="0" w:line="282" w:lineRule="auto"/>
        <w:rPr>
          <w:sz w:val="20"/>
          <w:szCs w:val="20"/>
          <w:color w:val="auto"/>
        </w:rPr>
      </w:pPr>
      <w:r>
        <w:rPr>
          <w:rFonts w:ascii="Arial" w:cs="Arial" w:eastAsia="Arial" w:hAnsi="Arial"/>
          <w:sz w:val="15"/>
          <w:szCs w:val="15"/>
          <w:i w:val="1"/>
          <w:iCs w:val="1"/>
          <w:color w:val="auto"/>
        </w:rPr>
        <w:t xml:space="preserve">Loss from discontinued operations. </w:t>
      </w:r>
      <w:r>
        <w:rPr>
          <w:rFonts w:ascii="Arial" w:cs="Arial" w:eastAsia="Arial" w:hAnsi="Arial"/>
          <w:sz w:val="15"/>
          <w:szCs w:val="15"/>
          <w:color w:val="auto"/>
        </w:rPr>
        <w:t>The loss from discontinued operations was $2.1 million for the year ended December 26, 2021, and $0.9 million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year ended December 27, 2020, primarily reflecting the final settlement of the closing net working capital dispute with the Buyer of the PSS business and related legal expenses, as well as work performed in relation to outstanding tasks on legacy projects retained by us following the sale of the PSS business.</w:t>
      </w:r>
    </w:p>
    <w:p>
      <w:pPr>
        <w:spacing w:after="0" w:line="178" w:lineRule="exact"/>
        <w:rPr>
          <w:sz w:val="20"/>
          <w:szCs w:val="20"/>
          <w:color w:val="auto"/>
        </w:rPr>
      </w:pPr>
    </w:p>
    <w:p>
      <w:pPr>
        <w:jc w:val="both"/>
        <w:ind w:right="260" w:firstLine="619"/>
        <w:spacing w:after="0" w:line="266" w:lineRule="auto"/>
        <w:rPr>
          <w:sz w:val="20"/>
          <w:szCs w:val="20"/>
          <w:color w:val="auto"/>
        </w:rPr>
      </w:pPr>
      <w:r>
        <w:rPr>
          <w:rFonts w:ascii="Arial" w:cs="Arial" w:eastAsia="Arial" w:hAnsi="Arial"/>
          <w:sz w:val="17"/>
          <w:szCs w:val="17"/>
          <w:color w:val="auto"/>
        </w:rPr>
        <w:t>For a comparison of the Company’s results of operations for the fiscal year ended December 29, 2019 to the fiscal year ended December 27, 2020, see Item 7, Management’s Discussion and Analysis of Financial Condition and Results of Operations in the Company’s Annual Report on Form 10-K for the year ended December 27, 2020, which was filed with the U.S. Securities and Exchange Commission on February 22, 2021.</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3" w:lineRule="exact"/>
        <w:rPr>
          <w:sz w:val="20"/>
          <w:szCs w:val="20"/>
          <w:color w:val="auto"/>
        </w:rPr>
      </w:pPr>
    </w:p>
    <w:p>
      <w:pPr>
        <w:ind w:right="480" w:firstLine="619"/>
        <w:spacing w:after="0" w:line="302" w:lineRule="auto"/>
        <w:rPr>
          <w:sz w:val="20"/>
          <w:szCs w:val="20"/>
          <w:color w:val="auto"/>
        </w:rPr>
      </w:pPr>
      <w:r>
        <w:rPr>
          <w:rFonts w:ascii="Arial" w:cs="Arial" w:eastAsia="Arial" w:hAnsi="Arial"/>
          <w:sz w:val="15"/>
          <w:szCs w:val="15"/>
          <w:color w:val="auto"/>
        </w:rPr>
        <w:t>As of December 26, 2021, we had cash and cash equivalents of $349.4 million compared with cash and cash equivalents of $380.8 million as of December 27, 2020, which includes $29.4 million and $29.2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U.S. they could be repatriated, and their repatriation into the U.S. may cause us to incur additional foreign withholding taxes. We do not currently intend to repatriate these earnings.</w:t>
      </w:r>
    </w:p>
    <w:p>
      <w:pPr>
        <w:spacing w:after="0" w:line="178"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Our total debt, including principal due on the 6.5% Notes, net of debt issuance costs of $3.3 million, decreased by $4.8 million to $296.7 million as of December 26, 2021 from $301.5 million as of December 27, 2020. The decrease in total debt was due to the amortization of debt issuance costs, payments of approximately $5.1 million on loans entered into in 2020 with two banks in Israel (as fully described below), and the forgiveness of $0.5 million in loans assumed in connection with the acquisition of 5-D Systems (as fully described below).</w:t>
      </w:r>
    </w:p>
    <w:p>
      <w:pPr>
        <w:spacing w:after="0" w:line="204" w:lineRule="exact"/>
        <w:rPr>
          <w:sz w:val="20"/>
          <w:szCs w:val="20"/>
          <w:color w:val="auto"/>
        </w:rPr>
      </w:pPr>
    </w:p>
    <w:p>
      <w:pPr>
        <w:ind w:firstLine="619"/>
        <w:spacing w:after="0" w:line="277" w:lineRule="auto"/>
        <w:rPr>
          <w:sz w:val="20"/>
          <w:szCs w:val="20"/>
          <w:color w:val="auto"/>
        </w:rPr>
      </w:pPr>
      <w:r>
        <w:rPr>
          <w:rFonts w:ascii="Arial" w:cs="Arial" w:eastAsia="Arial" w:hAnsi="Arial"/>
          <w:sz w:val="15"/>
          <w:szCs w:val="15"/>
          <w:color w:val="auto"/>
        </w:rPr>
        <w:t>We use our operating cash flow to finance trade accounts receivable, fund necessary increases in inventory and non-recurring engineering, fund capital expenditures, our internal research and development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certain of which are not achieved until final shipment and acceptance of our products.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(“DSO”) have decreased to 128 days as of December 26, 2021 from 133 days as of December 27, 2020. Our DSOs are impacted by the achievement of contractual billing milestones, such as equipment shipments and deliveries on certain</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52" w:name="page53"/>
    <w:bookmarkEnd w:id="52"/>
    <w:p>
      <w:pPr>
        <w:ind w:right="100"/>
        <w:spacing w:after="0" w:line="264" w:lineRule="auto"/>
        <w:rPr>
          <w:sz w:val="20"/>
          <w:szCs w:val="20"/>
          <w:color w:val="auto"/>
        </w:rPr>
      </w:pPr>
      <w:r>
        <w:rPr>
          <w:rFonts w:ascii="Arial" w:cs="Arial" w:eastAsia="Arial" w:hAnsi="Arial"/>
          <w:sz w:val="17"/>
          <w:szCs w:val="17"/>
          <w:color w:val="auto"/>
        </w:rPr>
        <w:t>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w:t>
      </w:r>
    </w:p>
    <w:p>
      <w:pPr>
        <w:spacing w:after="0" w:line="189" w:lineRule="exact"/>
        <w:rPr>
          <w:sz w:val="20"/>
          <w:szCs w:val="20"/>
          <w:color w:val="auto"/>
        </w:rPr>
      </w:pPr>
    </w:p>
    <w:p>
      <w:pPr>
        <w:ind w:firstLine="619"/>
        <w:spacing w:after="0" w:line="256" w:lineRule="auto"/>
        <w:rPr>
          <w:sz w:val="20"/>
          <w:szCs w:val="20"/>
          <w:color w:val="auto"/>
        </w:rPr>
      </w:pPr>
      <w:r>
        <w:rPr>
          <w:rFonts w:ascii="Arial" w:cs="Arial" w:eastAsia="Arial" w:hAnsi="Arial"/>
          <w:sz w:val="16"/>
          <w:szCs w:val="16"/>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However, we will not be able to collect the total withheld amounts until the settlement terms of the T for C have been negotiated and agreed to with the customer. At December 26, 2021, approximately $8.2 million in unbilled receivables remain outstanding on this project. In addition, we are currently in dispute with an international customer in our US segment over approximately $10.0 million in unbilled receivables outstanding as of December 26, 2021. The dispute concerns the completion of certain system requirements and contractual milestones. The Company alleges breach of contract, as well as other claims against the customer and seeks damages and other equitable relief. The customer has asserted counterclaims seeking liquidated damages and additional relief. We have evaluated the present facts of the matters and performed a reassessment of the contractual amounts due, as well as the claims asserted by each of the parties, and have determined that no adjustment to previously recognized revenue, or the corresponding unbilled receivables, is necessary at December 26, 2021.</w:t>
      </w:r>
    </w:p>
    <w:p>
      <w:pPr>
        <w:spacing w:after="0" w:line="200"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A summary of our net cash provided by operating activities from continuing operations from our Consolidated Statements of Cash Flows is as follows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243"/>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7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26, 2021</w:t>
            </w:r>
          </w:p>
        </w:tc>
        <w:tc>
          <w:tcPr>
            <w:tcW w:w="180" w:type="dxa"/>
            <w:vAlign w:val="bottom"/>
          </w:tcPr>
          <w:p>
            <w:pPr>
              <w:spacing w:after="0"/>
              <w:rPr>
                <w:sz w:val="15"/>
                <w:szCs w:val="15"/>
                <w:color w:val="auto"/>
              </w:rPr>
            </w:pPr>
          </w:p>
        </w:tc>
        <w:tc>
          <w:tcPr>
            <w:tcW w:w="1440" w:type="dxa"/>
            <w:vAlign w:val="bottom"/>
          </w:tcPr>
          <w:p>
            <w:pPr>
              <w:jc w:val="right"/>
              <w:ind w:right="183"/>
              <w:spacing w:after="0"/>
              <w:rPr>
                <w:sz w:val="20"/>
                <w:szCs w:val="20"/>
                <w:color w:val="auto"/>
              </w:rPr>
            </w:pPr>
            <w:r>
              <w:rPr>
                <w:rFonts w:ascii="Arial" w:cs="Arial" w:eastAsia="Arial" w:hAnsi="Arial"/>
                <w:sz w:val="14"/>
                <w:szCs w:val="14"/>
                <w:b w:val="1"/>
                <w:bCs w:val="1"/>
                <w:color w:val="auto"/>
                <w:w w:val="91"/>
              </w:rPr>
              <w:t>December 27, 2020</w:t>
            </w:r>
          </w:p>
        </w:tc>
      </w:tr>
      <w:tr>
        <w:trPr>
          <w:trHeight w:val="213"/>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 from continuing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w:t>
            </w:r>
          </w:p>
        </w:tc>
      </w:tr>
    </w:tbl>
    <w:p>
      <w:pPr>
        <w:spacing w:after="0" w:line="271" w:lineRule="exact"/>
        <w:rPr>
          <w:sz w:val="20"/>
          <w:szCs w:val="20"/>
          <w:color w:val="auto"/>
        </w:rPr>
      </w:pPr>
    </w:p>
    <w:p>
      <w:pPr>
        <w:ind w:firstLine="619"/>
        <w:spacing w:after="0" w:line="260" w:lineRule="auto"/>
        <w:rPr>
          <w:sz w:val="20"/>
          <w:szCs w:val="20"/>
          <w:color w:val="auto"/>
        </w:rPr>
      </w:pPr>
      <w:r>
        <w:rPr>
          <w:rFonts w:ascii="Arial" w:cs="Arial" w:eastAsia="Arial" w:hAnsi="Arial"/>
          <w:sz w:val="16"/>
          <w:szCs w:val="16"/>
          <w:color w:val="auto"/>
        </w:rPr>
        <w:t>Our net cash provided by operating activities from continuing operations for the year ended December 26, 2021 decreased by $9.4 million to $35.3 million for the year ended December 26, 2021 compared to $44.7 million for the year ended December 27, 2020. Net cash provided by operating activities from continuing operations was primarily impacted by net changes in assets and liabilities (net of acquisitions) of $12.7 million in the year ended December 26, 2021 as compared to the year ended December 27, 2020. Included in these changes is approximately $9.5 million of payroll related taxes that were deferred during 2020 under the CARES Act, 50 percent of which was required to be paid by end of the 2021 with the remainder required to be paid by the end of 2022. In addition, approximately $4.4 million in 2021 was invested in non-recurring engineering costs for certain motors we are developing.</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Our net cash used in investing activities from continuing operations is summarized as follows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ind w:left="1140"/>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7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26, 2021</w:t>
            </w:r>
          </w:p>
        </w:tc>
        <w:tc>
          <w:tcPr>
            <w:tcW w:w="180" w:type="dxa"/>
            <w:vAlign w:val="bottom"/>
          </w:tcPr>
          <w:p>
            <w:pPr>
              <w:spacing w:after="0"/>
              <w:rPr>
                <w:sz w:val="15"/>
                <w:szCs w:val="15"/>
                <w:color w:val="auto"/>
              </w:rPr>
            </w:pPr>
          </w:p>
        </w:tc>
        <w:tc>
          <w:tcPr>
            <w:tcW w:w="1440" w:type="dxa"/>
            <w:vAlign w:val="bottom"/>
          </w:tcPr>
          <w:p>
            <w:pPr>
              <w:jc w:val="right"/>
              <w:ind w:right="177"/>
              <w:spacing w:after="0"/>
              <w:rPr>
                <w:sz w:val="20"/>
                <w:szCs w:val="20"/>
                <w:color w:val="auto"/>
              </w:rPr>
            </w:pPr>
            <w:r>
              <w:rPr>
                <w:rFonts w:ascii="Arial" w:cs="Arial" w:eastAsia="Arial" w:hAnsi="Arial"/>
                <w:sz w:val="14"/>
                <w:szCs w:val="14"/>
                <w:b w:val="1"/>
                <w:bCs w:val="1"/>
                <w:color w:val="auto"/>
                <w:w w:val="91"/>
              </w:rPr>
              <w:t>December 27, 2020</w:t>
            </w:r>
          </w:p>
        </w:tc>
      </w:tr>
      <w:tr>
        <w:trPr>
          <w:trHeight w:val="200"/>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8"/>
        </w:trPr>
        <w:tc>
          <w:tcPr>
            <w:tcW w:w="7880" w:type="dxa"/>
            <w:vAlign w:val="bottom"/>
          </w:tcPr>
          <w:p>
            <w:pPr>
              <w:ind w:left="140"/>
              <w:spacing w:after="0"/>
              <w:rPr>
                <w:sz w:val="20"/>
                <w:szCs w:val="20"/>
                <w:color w:val="auto"/>
              </w:rPr>
            </w:pPr>
            <w:r>
              <w:rPr>
                <w:rFonts w:ascii="Arial" w:cs="Arial" w:eastAsia="Arial" w:hAnsi="Arial"/>
                <w:sz w:val="17"/>
                <w:szCs w:val="17"/>
                <w:color w:val="auto"/>
              </w:rPr>
              <w:t>Cash paid for acquisitions, net of cash acquired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(51.5)</w:t>
            </w:r>
          </w:p>
        </w:tc>
      </w:tr>
      <w:tr>
        <w:trPr>
          <w:trHeight w:val="220"/>
        </w:trPr>
        <w:tc>
          <w:tcPr>
            <w:tcW w:w="7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 of assets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8"/>
        </w:trPr>
        <w:tc>
          <w:tcPr>
            <w:tcW w:w="7880" w:type="dxa"/>
            <w:vAlign w:val="bottom"/>
          </w:tcPr>
          <w:p>
            <w:pPr>
              <w:ind w:left="140"/>
              <w:spacing w:after="0"/>
              <w:rPr>
                <w:sz w:val="20"/>
                <w:szCs w:val="20"/>
                <w:color w:val="auto"/>
              </w:rPr>
            </w:pPr>
            <w:r>
              <w:rPr>
                <w:rFonts w:ascii="Arial" w:cs="Arial" w:eastAsia="Arial" w:hAnsi="Arial"/>
                <w:sz w:val="17"/>
                <w:szCs w:val="17"/>
                <w:color w:val="auto"/>
              </w:rPr>
              <w:t>Proceeds from insurance</w:t>
            </w:r>
          </w:p>
        </w:tc>
        <w:tc>
          <w:tcPr>
            <w:tcW w:w="180" w:type="dxa"/>
            <w:vAlign w:val="bottom"/>
          </w:tcPr>
          <w:p>
            <w:pPr>
              <w:spacing w:after="0"/>
              <w:rPr>
                <w:sz w:val="18"/>
                <w:szCs w:val="18"/>
                <w:color w:val="auto"/>
              </w:rPr>
            </w:pPr>
          </w:p>
        </w:tc>
        <w:tc>
          <w:tcPr>
            <w:tcW w:w="1420" w:type="dxa"/>
            <w:vAlign w:val="bottom"/>
          </w:tcPr>
          <w:p>
            <w:pPr>
              <w:ind w:left="1140"/>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 expenditures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w:t>
            </w:r>
          </w:p>
        </w:tc>
      </w:tr>
      <w:tr>
        <w:trPr>
          <w:trHeight w:val="213"/>
        </w:trPr>
        <w:tc>
          <w:tcPr>
            <w:tcW w:w="7880" w:type="dxa"/>
            <w:vAlign w:val="bottom"/>
          </w:tcPr>
          <w:p>
            <w:pPr>
              <w:ind w:left="220"/>
              <w:spacing w:after="0"/>
              <w:rPr>
                <w:sz w:val="20"/>
                <w:szCs w:val="20"/>
                <w:color w:val="auto"/>
              </w:rPr>
            </w:pPr>
            <w:r>
              <w:rPr>
                <w:rFonts w:ascii="Arial" w:cs="Arial" w:eastAsia="Arial" w:hAnsi="Arial"/>
                <w:sz w:val="17"/>
                <w:szCs w:val="17"/>
                <w:color w:val="auto"/>
              </w:rPr>
              <w:t>Net cash used in investing activities from continuing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(87.3)</w:t>
            </w: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120" w:firstLine="172"/>
        <w:spacing w:after="0" w:line="269" w:lineRule="auto"/>
        <w:rPr>
          <w:sz w:val="20"/>
          <w:szCs w:val="20"/>
          <w:color w:val="auto"/>
        </w:rPr>
      </w:pPr>
      <w:r>
        <w:rPr>
          <w:rFonts w:ascii="Arial" w:cs="Arial" w:eastAsia="Arial" w:hAnsi="Arial"/>
          <w:sz w:val="15"/>
          <w:szCs w:val="15"/>
          <w:color w:val="auto"/>
        </w:rPr>
        <w:t>Net cash used in investing activities from continuing operations for year ended December 26, 2021 is comprised of the acquisition of CTT Inc., a payment due under the FTT acquisition agreement, and capital expenditures which consist primarily of investments in machinery, computer hardware and software and improvement of our physical properties in order to maintain suitable conditions in which to conduct our business. The remaining purchase price consideration of</w:t>
      </w:r>
    </w:p>
    <w:p>
      <w:pPr>
        <w:ind w:right="20"/>
        <w:spacing w:after="0" w:line="244" w:lineRule="auto"/>
        <w:rPr>
          <w:sz w:val="20"/>
          <w:szCs w:val="20"/>
          <w:color w:val="auto"/>
        </w:rPr>
      </w:pPr>
      <w:r>
        <w:rPr>
          <w:rFonts w:ascii="Arial" w:cs="Arial" w:eastAsia="Arial" w:hAnsi="Arial"/>
          <w:sz w:val="16"/>
          <w:szCs w:val="16"/>
          <w:color w:val="auto"/>
        </w:rPr>
        <w:t>the CTT Inc. acquisition of approximately $15.2 million was made on December 30, 2021. Net cash used in investing activities from continuing operations for the year ended December 27, 2020 was comprised of the acquisitions of ASC Signal, Technical Directions, Inc. (“TDI”), Optimized Performance Machining, Inc. (“OPM”) and 5-D Systems, a payment due under the FTT acquisition agreement, and capital expenditures which consist primarily of investments in machinery, computer hardware and software and improvement of our physical properties in order to maintain suitable conditions in which to conduct our business. During the year ended December 26, 2021, capital expenditures of approximately $28.6 million were incurred in our US business, primarily related to our unmanned combat target initiative, including capital expenditures for Valkyries we are building in advance of contract award.</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53" w:name="page54"/>
    <w:bookmarkEnd w:id="53"/>
    <w:p>
      <w:pPr>
        <w:ind w:left="620"/>
        <w:spacing w:after="0"/>
        <w:rPr>
          <w:sz w:val="20"/>
          <w:szCs w:val="20"/>
          <w:color w:val="auto"/>
        </w:rPr>
      </w:pPr>
      <w:r>
        <w:rPr>
          <w:rFonts w:ascii="Arial" w:cs="Arial" w:eastAsia="Arial" w:hAnsi="Arial"/>
          <w:sz w:val="17"/>
          <w:szCs w:val="17"/>
          <w:color w:val="auto"/>
        </w:rPr>
        <w:t>Our net cash provided by (used in) financing activities from continuing operations is summarized as follows (in millions):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236"/>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7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26, 2021</w:t>
            </w:r>
          </w:p>
        </w:tc>
        <w:tc>
          <w:tcPr>
            <w:tcW w:w="160" w:type="dxa"/>
            <w:vAlign w:val="bottom"/>
          </w:tcPr>
          <w:p>
            <w:pPr>
              <w:spacing w:after="0"/>
              <w:rPr>
                <w:sz w:val="15"/>
                <w:szCs w:val="15"/>
                <w:color w:val="auto"/>
              </w:rPr>
            </w:pPr>
          </w:p>
        </w:tc>
        <w:tc>
          <w:tcPr>
            <w:tcW w:w="1440" w:type="dxa"/>
            <w:vAlign w:val="bottom"/>
          </w:tcPr>
          <w:p>
            <w:pPr>
              <w:jc w:val="right"/>
              <w:ind w:right="176"/>
              <w:spacing w:after="0"/>
              <w:rPr>
                <w:sz w:val="20"/>
                <w:szCs w:val="20"/>
                <w:color w:val="auto"/>
              </w:rPr>
            </w:pPr>
            <w:r>
              <w:rPr>
                <w:rFonts w:ascii="Arial" w:cs="Arial" w:eastAsia="Arial" w:hAnsi="Arial"/>
                <w:sz w:val="14"/>
                <w:szCs w:val="14"/>
                <w:b w:val="1"/>
                <w:bCs w:val="1"/>
                <w:color w:val="auto"/>
                <w:w w:val="91"/>
              </w:rPr>
              <w:t>December 27, 2020</w:t>
            </w:r>
          </w:p>
        </w:tc>
      </w:tr>
      <w:tr>
        <w:trPr>
          <w:trHeight w:val="200"/>
        </w:trPr>
        <w:tc>
          <w:tcPr>
            <w:tcW w:w="7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Financing activities:</w:t>
            </w: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8"/>
        </w:trPr>
        <w:tc>
          <w:tcPr>
            <w:tcW w:w="7920" w:type="dxa"/>
            <w:vAlign w:val="bottom"/>
          </w:tcPr>
          <w:p>
            <w:pPr>
              <w:ind w:left="140"/>
              <w:spacing w:after="0"/>
              <w:rPr>
                <w:sz w:val="20"/>
                <w:szCs w:val="20"/>
                <w:color w:val="auto"/>
              </w:rPr>
            </w:pPr>
            <w:r>
              <w:rPr>
                <w:rFonts w:ascii="Arial" w:cs="Arial" w:eastAsia="Arial" w:hAnsi="Arial"/>
                <w:sz w:val="17"/>
                <w:szCs w:val="17"/>
                <w:color w:val="auto"/>
              </w:rPr>
              <w:t>Proceeds from the issuance of long-term debt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0"/>
        </w:trPr>
        <w:tc>
          <w:tcPr>
            <w:tcW w:w="7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the issuance of common stock</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240.4</w:t>
            </w:r>
          </w:p>
        </w:tc>
      </w:tr>
      <w:tr>
        <w:trPr>
          <w:trHeight w:val="218"/>
        </w:trPr>
        <w:tc>
          <w:tcPr>
            <w:tcW w:w="7920" w:type="dxa"/>
            <w:vAlign w:val="bottom"/>
          </w:tcPr>
          <w:p>
            <w:pPr>
              <w:ind w:left="140"/>
              <w:spacing w:after="0"/>
              <w:rPr>
                <w:sz w:val="20"/>
                <w:szCs w:val="20"/>
                <w:color w:val="auto"/>
              </w:rPr>
            </w:pPr>
            <w:r>
              <w:rPr>
                <w:rFonts w:ascii="Arial" w:cs="Arial" w:eastAsia="Arial" w:hAnsi="Arial"/>
                <w:sz w:val="17"/>
                <w:szCs w:val="17"/>
                <w:color w:val="auto"/>
              </w:rPr>
              <w:t>Repayment under credit facility and debt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20"/>
        </w:trPr>
        <w:tc>
          <w:tcPr>
            <w:tcW w:w="7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employee taxes withheld from share-based awards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8"/>
        </w:trPr>
        <w:tc>
          <w:tcPr>
            <w:tcW w:w="7920" w:type="dxa"/>
            <w:vAlign w:val="bottom"/>
          </w:tcPr>
          <w:p>
            <w:pPr>
              <w:ind w:left="140"/>
              <w:spacing w:after="0"/>
              <w:rPr>
                <w:sz w:val="20"/>
                <w:szCs w:val="20"/>
                <w:color w:val="auto"/>
              </w:rPr>
            </w:pPr>
            <w:r>
              <w:rPr>
                <w:rFonts w:ascii="Arial" w:cs="Arial" w:eastAsia="Arial" w:hAnsi="Arial"/>
                <w:sz w:val="17"/>
                <w:szCs w:val="17"/>
                <w:color w:val="auto"/>
              </w:rPr>
              <w:t>Payments under finance leases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19"/>
        </w:trPr>
        <w:tc>
          <w:tcPr>
            <w:tcW w:w="7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shares issued under equity plans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13"/>
        </w:trPr>
        <w:tc>
          <w:tcPr>
            <w:tcW w:w="7920" w:type="dxa"/>
            <w:vAlign w:val="bottom"/>
          </w:tcPr>
          <w:p>
            <w:pPr>
              <w:ind w:left="220"/>
              <w:spacing w:after="0"/>
              <w:rPr>
                <w:sz w:val="20"/>
                <w:szCs w:val="20"/>
                <w:color w:val="auto"/>
              </w:rPr>
            </w:pPr>
            <w:r>
              <w:rPr>
                <w:rFonts w:ascii="Arial" w:cs="Arial" w:eastAsia="Arial" w:hAnsi="Arial"/>
                <w:sz w:val="17"/>
                <w:szCs w:val="17"/>
                <w:color w:val="auto"/>
              </w:rPr>
              <w:t>Net cash provided by (used in) financing activities from continuing operations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247.7</w:t>
            </w:r>
          </w:p>
        </w:tc>
      </w:tr>
      <w:tr>
        <w:trPr>
          <w:trHeight w:val="20"/>
        </w:trPr>
        <w:tc>
          <w:tcPr>
            <w:tcW w:w="7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49" w:lineRule="exact"/>
        <w:rPr>
          <w:sz w:val="20"/>
          <w:szCs w:val="20"/>
          <w:color w:val="auto"/>
        </w:rPr>
      </w:pPr>
    </w:p>
    <w:p>
      <w:pPr>
        <w:ind w:right="240" w:firstLine="619"/>
        <w:spacing w:after="0" w:line="271" w:lineRule="auto"/>
        <w:rPr>
          <w:sz w:val="20"/>
          <w:szCs w:val="20"/>
          <w:color w:val="auto"/>
        </w:rPr>
      </w:pPr>
      <w:r>
        <w:rPr>
          <w:rFonts w:ascii="Arial" w:cs="Arial" w:eastAsia="Arial" w:hAnsi="Arial"/>
          <w:sz w:val="15"/>
          <w:szCs w:val="15"/>
          <w:color w:val="auto"/>
        </w:rPr>
        <w:t>Net cash used in financing activities from continuing operations was $9.3 million for the year ended December 26, 2021 and consisted primarily of payroll withholding taxes paid from vested restricted stock units traded for taxes of $9.1 million, and the pay-off of $5.1 million of indebtedness in our Israeli subsidiary which was issued in 2020. Net cash provided by financing activities from continuing operations was $247.7 million for the year ended December 27, 2020 and consisted primarily of net proceeds of $240.4 million from our completed equity offering of approximately 15.5 million shares of common stock.</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net operating cash flows of discontinued operations is summarized as follows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1223"/>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7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26, 2021</w:t>
            </w:r>
          </w:p>
        </w:tc>
        <w:tc>
          <w:tcPr>
            <w:tcW w:w="180" w:type="dxa"/>
            <w:vAlign w:val="bottom"/>
          </w:tcPr>
          <w:p>
            <w:pPr>
              <w:spacing w:after="0"/>
              <w:rPr>
                <w:sz w:val="15"/>
                <w:szCs w:val="15"/>
                <w:color w:val="auto"/>
              </w:rPr>
            </w:pPr>
          </w:p>
        </w:tc>
        <w:tc>
          <w:tcPr>
            <w:tcW w:w="1420" w:type="dxa"/>
            <w:vAlign w:val="bottom"/>
          </w:tcPr>
          <w:p>
            <w:pPr>
              <w:jc w:val="right"/>
              <w:ind w:right="163"/>
              <w:spacing w:after="0"/>
              <w:rPr>
                <w:sz w:val="20"/>
                <w:szCs w:val="20"/>
                <w:color w:val="auto"/>
              </w:rPr>
            </w:pPr>
            <w:r>
              <w:rPr>
                <w:rFonts w:ascii="Arial" w:cs="Arial" w:eastAsia="Arial" w:hAnsi="Arial"/>
                <w:sz w:val="14"/>
                <w:szCs w:val="14"/>
                <w:b w:val="1"/>
                <w:bCs w:val="1"/>
                <w:color w:val="auto"/>
                <w:w w:val="91"/>
              </w:rPr>
              <w:t>December 27, 2020</w:t>
            </w:r>
          </w:p>
        </w:tc>
      </w:tr>
      <w:tr>
        <w:trPr>
          <w:trHeight w:val="213"/>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operating cash flows of discontinued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bl>
    <w:p>
      <w:pPr>
        <w:spacing w:after="0" w:line="271" w:lineRule="exact"/>
        <w:rPr>
          <w:sz w:val="20"/>
          <w:szCs w:val="20"/>
          <w:color w:val="auto"/>
        </w:rPr>
      </w:pPr>
    </w:p>
    <w:p>
      <w:pPr>
        <w:ind w:right="120" w:firstLine="169"/>
        <w:spacing w:after="0" w:line="266" w:lineRule="auto"/>
        <w:rPr>
          <w:sz w:val="20"/>
          <w:szCs w:val="20"/>
          <w:color w:val="auto"/>
        </w:rPr>
      </w:pPr>
      <w:r>
        <w:rPr>
          <w:rFonts w:ascii="Arial" w:cs="Arial" w:eastAsia="Arial" w:hAnsi="Arial"/>
          <w:sz w:val="15"/>
          <w:szCs w:val="15"/>
          <w:color w:val="auto"/>
        </w:rPr>
        <w:t>The net operating cash flow of discontinued operations for the year ended December 26, 2021 is substantially related to the final settlement of the closing working capital of our discontinued PSS business which was a payment of approximately $3.0 million, which included a $1.1 million charge recorded in the third and fourth quarters of 2021 related to the settlement as well as the payment of related legal fees. The net operating cash flow of discontinued operations for the year ended December 27, 2020 is substantially related to the approximately $3.1 million collected on amounts due related to the legacy projects retained by us following the sale of our PSS business unit, partially offset by the loss from operations from our discontinued PSS business unit of $0.9 million.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6.5% Senior Secured Notes due 2025</w:t>
      </w:r>
    </w:p>
    <w:p>
      <w:pPr>
        <w:spacing w:after="0" w:line="2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November 2017, we issued and sold $300 million aggregate principal amount of 6.5% Senior Secured Notes due 2025 (the “6.5% Notes”) in a private placement conducted pursuant to Rule 144A and Regulation S under the Securities Act of 1933, as amended (the “Act”). The net proceeds from the issuance of the 6.5% Notes were $295.5 million after expenses of $4.5 million. We utilized the net proceeds from the sale of the 6.5% Notes, as well as cash from an equity offering to extinguish our previously outstanding 7% Notes. The total reacquisition price of the 7% Notes was $385.2 million, including a $12.0 million call premium, and $0.3 million of accrued interest.</w:t>
      </w:r>
    </w:p>
    <w:p>
      <w:pPr>
        <w:spacing w:after="0" w:line="20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6.5% Notes are governed by the Indenture, dated as of November 20, 2017 (the “Indenture”), among the Company, our existing and future domestic subsidiaries parties thereto (the “Subsidiary Guarantors”) and Wilmington Trust, National Association, as trustee and collateral agent (in such capacity, the “2017 Trustee and Collateral Agent”). A Subsidiary Guarantor can be released from its guarantee if (a) all of the capital stock issued by such Subsidiary Guarantor or all or substantially all of the assets of such Subsidiary Guarantor are sold or otherwise disposed of; (b) we designate such Subsidiary Guarantor as an Unrestricted Subsidiary; (c) we exercise our legal defeasance option or our covenant defeasance option; or (d) upon satisfaction and discharge of the Indenture or payment in full in cash of the principal of, premium, if any, and accrued and unpaid interest on the 6.5% Notes.</w:t>
      </w:r>
    </w:p>
    <w:p>
      <w:pPr>
        <w:spacing w:after="0" w:line="19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6.5% Notes bear interest at a rate of 6.5% per year from the date of original issuance or from the most recent payment date on which interest has been paid or provided for. Interest on the 6.5% Notes is payable in arrears on May 30 and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November 30 of each year, beginning on May 30, 2018. The 6.5% Notes are fully and unconditionally guaranteed by the Subsidiary Guarantors.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6.5% Notes and the guarantees (as set forth in the Indenture, the “Guarantees”) are our senior secured obligations and are equal in right of payment with all other senior obligations of the Subsidiary Guarantors’ existing and future secured debt to the extent of the assets securing that secured debt. Our obligations under the 6.5% Notes are secured by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our obligations under the Credit Agreement.</w:t>
      </w:r>
    </w:p>
    <w:p>
      <w:pPr>
        <w:spacing w:after="0" w:line="194" w:lineRule="exact"/>
        <w:rPr>
          <w:sz w:val="20"/>
          <w:szCs w:val="20"/>
          <w:color w:val="auto"/>
        </w:rPr>
      </w:pPr>
    </w:p>
    <w:p>
      <w:pPr>
        <w:ind w:right="440" w:firstLine="619"/>
        <w:spacing w:after="0" w:line="264" w:lineRule="auto"/>
        <w:rPr>
          <w:sz w:val="20"/>
          <w:szCs w:val="20"/>
          <w:color w:val="auto"/>
        </w:rPr>
      </w:pPr>
      <w:r>
        <w:rPr>
          <w:rFonts w:ascii="Arial" w:cs="Arial" w:eastAsia="Arial" w:hAnsi="Arial"/>
          <w:sz w:val="17"/>
          <w:szCs w:val="17"/>
          <w:color w:val="auto"/>
        </w:rPr>
        <w:t>The 6.5% Notes are redeemable by the Company, in whole or in part, at the respective redemption prices specified in the Indenture. We may also be required to make an offer to purchase the 6.5% Notes upon a change of control and certain sales of our assets.</w:t>
      </w:r>
    </w:p>
    <w:p>
      <w:pPr>
        <w:spacing w:after="0" w:line="18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Indenture contains covenants limiting, among other things, our ability and the Subsidiary Guarantors’ ability to: (a) pay dividends on or make distributions or repurchase or redeem the Company’s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our assets; (i) enter into transactions with affiliates; and (j) enter into agreements restricting our ability and certain of our subsidiaries’ ability to pay dividends. These covenants are subject to a number of exceptions. As of December 26, 2021, we were in compliance with the covenants contained in the Indenture governing the 6.5% Notes.</w:t>
      </w:r>
    </w:p>
    <w:p>
      <w:pPr>
        <w:spacing w:after="0" w:line="209"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(iii) a combination of (i), (ii) and (iii). To the extent there are any remaining net proceeds from the asset disposition after application of (i), (ii) and (iii), such amounts are required to be utilized to repurchase 6.5% Notes at par.</w:t>
      </w:r>
    </w:p>
    <w:p>
      <w:pPr>
        <w:spacing w:after="0" w:line="18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Indenture also provides for events of default which, if any of them occurs, would permit or require the principal, premium, if any, interest, if any, and any other monetary obligations on all the then-outstanding 6.5% Notes to become or to be declared due and payable immediately.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Indebtedness</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Credit and Security Agreement</w:t>
      </w:r>
    </w:p>
    <w:p>
      <w:pPr>
        <w:spacing w:after="0" w:line="243" w:lineRule="exact"/>
        <w:rPr>
          <w:sz w:val="20"/>
          <w:szCs w:val="20"/>
          <w:color w:val="auto"/>
        </w:rPr>
      </w:pPr>
    </w:p>
    <w:p>
      <w:pPr>
        <w:ind w:right="140" w:firstLine="619"/>
        <w:spacing w:after="0" w:line="279" w:lineRule="auto"/>
        <w:rPr>
          <w:sz w:val="20"/>
          <w:szCs w:val="20"/>
          <w:color w:val="auto"/>
        </w:rPr>
      </w:pPr>
      <w:r>
        <w:rPr>
          <w:rFonts w:ascii="Arial" w:cs="Arial" w:eastAsia="Arial" w:hAnsi="Arial"/>
          <w:sz w:val="16"/>
          <w:szCs w:val="16"/>
          <w:color w:val="auto"/>
        </w:rPr>
        <w:t>On November 20, 2017, we entered into an amended and restated Credit Agreement with the lenders from time to time party thereto, the Agent, and SunTrust Robinson Humphrey, Inc., as Joint Lead Arranger and Sole Book Runner. As amended and restated, the Credit Agreement establishes a five year senior secured revolving credit facility in the aggregate principal amount of $90.0 million (subject to a potential increase of the aggregate principal amount to $115.0 million, subject to SunTrust’s and applicable lenders’ approval), consisting of a subline for letters of credit in an amount not to exceed $50.0 million, as well as a swingline loan in an aggregate principal amount at any time outstanding not to exceed $10.0 million.</w:t>
      </w:r>
    </w:p>
    <w:p>
      <w:pPr>
        <w:spacing w:after="0" w:line="194" w:lineRule="exact"/>
        <w:rPr>
          <w:sz w:val="20"/>
          <w:szCs w:val="20"/>
          <w:color w:val="auto"/>
        </w:rPr>
      </w:pPr>
    </w:p>
    <w:p>
      <w:pPr>
        <w:ind w:right="40" w:firstLine="619"/>
        <w:spacing w:after="0" w:line="274" w:lineRule="auto"/>
        <w:rPr>
          <w:sz w:val="20"/>
          <w:szCs w:val="20"/>
          <w:color w:val="auto"/>
        </w:rPr>
      </w:pPr>
      <w:r>
        <w:rPr>
          <w:rFonts w:ascii="Arial" w:cs="Arial" w:eastAsia="Arial" w:hAnsi="Arial"/>
          <w:sz w:val="16"/>
          <w:szCs w:val="16"/>
          <w:color w:val="auto"/>
        </w:rPr>
        <w:t>Borrowings under the revolving credit facility may take the form of a base rate revolving loan, Eurodollar revolving loan or swing line loan. Base rate revolving loans and swing 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LIBOR Rate (as defined in the Credit Agreement) determined at such time for an interest period of one month, plus 1.00% per annum. Eurodollar revolving loans will bear interest a rate per annum equal to the sum of the Applicable Margin from time to time in effect plus the Adjusted LIBOR Rate. The Applicable Margin varies between 1.00%-1.50% for base rate revolving loans and swing line loans and 2.00%-2.50%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receivables, then held eligible raw materials inventory, work-in-process inventory, and applicable reserves.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5" w:name="page56"/>
    <w:bookmarkEnd w:id="55"/>
    <w:p>
      <w:pPr>
        <w:ind w:right="100" w:firstLine="619"/>
        <w:spacing w:after="0" w:line="349" w:lineRule="auto"/>
        <w:rPr>
          <w:sz w:val="20"/>
          <w:szCs w:val="20"/>
          <w:color w:val="auto"/>
        </w:rPr>
      </w:pPr>
      <w:r>
        <w:rPr>
          <w:rFonts w:ascii="Arial" w:cs="Arial" w:eastAsia="Arial" w:hAnsi="Arial"/>
          <w:sz w:val="15"/>
          <w:szCs w:val="15"/>
          <w:color w:val="auto"/>
        </w:rPr>
        <w:t>As of December 26, 2021, there were no borrowings outstanding on the Credit Agreement and $6.5 million was outstanding on letters of credit, resulting in net borrowing base availability of $66.6 million. We were in compliance with the financial covenants of the Credit Agreement as of December 26, 2021.</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Israel Debt</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During August 2020, we entered into two five-year term loans with two banks in Israel representing an aggregate principal amount of approximately</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$5.1 million. These loans were subsidized by the State of Israel as part of a COVID-19 relief package with interest at Israeli NIS prime interest, plus a margin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1.5%. The first year of interest was paid by the State of Israel with subsequent interest and principal payments due monthly, commencing in August 2021. We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repaid all amounts outstanding under this debt in the third quarter of 2021.</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5-D Systems Loan</w:t>
      </w:r>
    </w:p>
    <w:p>
      <w:pPr>
        <w:spacing w:after="0" w:line="243"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In connection with the acquisition of 5-D Systems, we assumed a loan in the amount of approximately $0.5 million with an interest rate of 1.0% that had been obtained under the Small Business Administration Paycheck Protection Program as part of a COVID-19 relief package. Payment of interest and principal was due monthly with the balance due in April 2022. The sellers of 5-D Systems applied for forgiveness of this loan and the application was accepted and the loan was forgiven in July 2021.</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Liquidity Matters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discussion of how we expect to fund our short- and long-term liquidity needs from known contractual and other obligations.</w:t>
      </w:r>
    </w:p>
    <w:p>
      <w:pPr>
        <w:spacing w:after="0" w:line="243"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The majority of our revenue is derived from contracts and programs that can span several years. We enter into agreements with suppliers and subcontractors for goods and services in support of these contracts and programs with payment terms that are generally aligned with the payment terms from our customers. In some instances, we require advance payments or deposits from our customers, which help fund our purchase commitments and reduce the risk of customer performance.</w:t>
      </w:r>
    </w:p>
    <w:p>
      <w:pPr>
        <w:spacing w:after="0" w:line="204" w:lineRule="exact"/>
        <w:rPr>
          <w:sz w:val="20"/>
          <w:szCs w:val="20"/>
          <w:color w:val="auto"/>
        </w:rPr>
      </w:pPr>
    </w:p>
    <w:p>
      <w:pPr>
        <w:ind w:firstLine="619"/>
        <w:spacing w:after="0" w:line="283" w:lineRule="auto"/>
        <w:rPr>
          <w:sz w:val="20"/>
          <w:szCs w:val="20"/>
          <w:color w:val="auto"/>
        </w:rPr>
      </w:pPr>
      <w:r>
        <w:rPr>
          <w:rFonts w:ascii="Arial" w:cs="Arial" w:eastAsia="Arial" w:hAnsi="Arial"/>
          <w:sz w:val="16"/>
          <w:szCs w:val="16"/>
          <w:color w:val="auto"/>
        </w:rPr>
        <w:t>As of December 26, 2021, we had contractual commitments to repay debt, make payments under finance and operating leases, repay obligations related to agreements to purchase goods and services and settle tax and other liabilities. The following table summarizes our contractual obligations and other commitments as of December 26, 2021, and the effect such obligations could have on our liquidity and cash flow in future periods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Total</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Due within 1 Year</w:t>
            </w: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debt</w:t>
            </w:r>
          </w:p>
        </w:tc>
        <w:tc>
          <w:tcPr>
            <w:tcW w:w="1540" w:type="dxa"/>
            <w:vAlign w:val="bottom"/>
            <w:shd w:val="clear" w:color="auto" w:fill="CCEEFF"/>
          </w:tcPr>
          <w:p>
            <w:pPr>
              <w:jc w:val="right"/>
              <w:ind w:right="135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700" w:type="dxa"/>
            <w:vAlign w:val="bottom"/>
          </w:tcPr>
          <w:p>
            <w:pPr>
              <w:ind w:left="20"/>
              <w:spacing w:after="0"/>
              <w:rPr>
                <w:sz w:val="20"/>
                <w:szCs w:val="20"/>
                <w:color w:val="auto"/>
              </w:rPr>
            </w:pPr>
            <w:r>
              <w:rPr>
                <w:rFonts w:ascii="Arial" w:cs="Arial" w:eastAsia="Arial" w:hAnsi="Arial"/>
                <w:sz w:val="17"/>
                <w:szCs w:val="17"/>
                <w:color w:val="auto"/>
              </w:rPr>
              <w:t>Interest payment</w:t>
            </w:r>
          </w:p>
        </w:tc>
        <w:tc>
          <w:tcPr>
            <w:tcW w:w="1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19.5</w:t>
            </w: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orders</w:t>
            </w:r>
          </w:p>
        </w:tc>
        <w:tc>
          <w:tcPr>
            <w:tcW w:w="15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w:t>
            </w:r>
          </w:p>
        </w:tc>
      </w:tr>
      <w:tr>
        <w:trPr>
          <w:trHeight w:val="218"/>
        </w:trPr>
        <w:tc>
          <w:tcPr>
            <w:tcW w:w="670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1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leases</w:t>
            </w:r>
          </w:p>
        </w:tc>
        <w:tc>
          <w:tcPr>
            <w:tcW w:w="15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13"/>
        </w:trPr>
        <w:tc>
          <w:tcPr>
            <w:tcW w:w="6700" w:type="dxa"/>
            <w:vAlign w:val="bottom"/>
          </w:tcPr>
          <w:p>
            <w:pPr>
              <w:ind w:left="220"/>
              <w:spacing w:after="0"/>
              <w:rPr>
                <w:sz w:val="20"/>
                <w:szCs w:val="20"/>
                <w:color w:val="auto"/>
              </w:rPr>
            </w:pPr>
            <w:r>
              <w:rPr>
                <w:rFonts w:ascii="Arial" w:cs="Arial" w:eastAsia="Arial" w:hAnsi="Arial"/>
                <w:sz w:val="17"/>
                <w:szCs w:val="17"/>
                <w:color w:val="auto"/>
              </w:rPr>
              <w:t>Total contractual cash obligations and commitments</w:t>
            </w:r>
          </w:p>
        </w:tc>
        <w:tc>
          <w:tcPr>
            <w:tcW w:w="1540" w:type="dxa"/>
            <w:vAlign w:val="bottom"/>
            <w:tcBorders>
              <w:bottom w:val="single" w:sz="8" w:color="auto"/>
            </w:tcBorders>
          </w:tcPr>
          <w:p>
            <w:pPr>
              <w:jc w:val="right"/>
              <w:ind w:right="1354"/>
              <w:spacing w:after="0"/>
              <w:rPr>
                <w:sz w:val="20"/>
                <w:szCs w:val="20"/>
                <w:color w:val="auto"/>
              </w:rPr>
            </w:pPr>
            <w:r>
              <w:rPr>
                <w:rFonts w:ascii="Arial" w:cs="Arial" w:eastAsia="Arial" w:hAnsi="Arial"/>
                <w:sz w:val="17"/>
                <w:szCs w:val="17"/>
                <w:b w:val="1"/>
                <w:bCs w:val="1"/>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680.8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171.4</w:t>
            </w:r>
          </w:p>
        </w:tc>
      </w:tr>
      <w:tr>
        <w:trPr>
          <w:trHeight w:val="20"/>
        </w:trPr>
        <w:tc>
          <w:tcPr>
            <w:tcW w:w="67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60" w:firstLine="619"/>
        <w:spacing w:after="0" w:line="259" w:lineRule="auto"/>
        <w:rPr>
          <w:sz w:val="20"/>
          <w:szCs w:val="20"/>
          <w:color w:val="auto"/>
        </w:rPr>
      </w:pPr>
      <w:r>
        <w:rPr>
          <w:rFonts w:ascii="Arial" w:cs="Arial" w:eastAsia="Arial" w:hAnsi="Arial"/>
          <w:sz w:val="17"/>
          <w:szCs w:val="17"/>
          <w:color w:val="auto"/>
        </w:rPr>
        <w:t>The 6.5% Notes in the aggregate outstanding principal amount of $300.0 million are due November 30, 2025. As of December 26, 2021, we have $6.5 million of standby letters of credit outstanding. Our letters of credit are primarily related to milestone payments received from foreign customers for which the customer has not yet received the product. Information regarding our debt payments and lease agreements can be found in Notes 5 and 6 to the Consolidated Financial Statements contained in this Annual Report. Additional information regarding our financial commitments is provided in the Note 15 to Consolidated Financial Statements contained in this Annual Report.</w:t>
      </w:r>
    </w:p>
    <w:p>
      <w:pPr>
        <w:spacing w:after="0" w:line="209" w:lineRule="exact"/>
        <w:rPr>
          <w:sz w:val="20"/>
          <w:szCs w:val="20"/>
          <w:color w:val="auto"/>
        </w:rPr>
      </w:pPr>
    </w:p>
    <w:p>
      <w:pPr>
        <w:ind w:right="160" w:firstLine="619"/>
        <w:spacing w:after="0" w:line="279" w:lineRule="auto"/>
        <w:rPr>
          <w:sz w:val="20"/>
          <w:szCs w:val="20"/>
          <w:color w:val="auto"/>
        </w:rPr>
      </w:pPr>
      <w:r>
        <w:rPr>
          <w:rFonts w:ascii="Arial" w:cs="Arial" w:eastAsia="Arial" w:hAnsi="Arial"/>
          <w:sz w:val="16"/>
          <w:szCs w:val="16"/>
          <w:color w:val="auto"/>
        </w:rPr>
        <w:t>We believe our cash on hand, together with funds available under the Credit Agreement and cash expected to be generated from operating activities will be sufficient to fund our short- and long-term liquidity needs. As discussed in Item 1A “Risk Factors” contained within this Annual Report, our quarterly and annual operating results have fluctuated in the past and may vary in the future due to a variety of factors, many of which are external to our control. If the conditions in our industry deteriorate, our customers cancel or postpone projects or if we are unable to sufficiently increase our revenues or further reduce our expenses, we may experience, in the future, a significant long-term negative impact to our financial results and cash flows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6" w:name="page57"/>
    <w:bookmarkEnd w:id="56"/>
    <w:p>
      <w:pPr>
        <w:ind w:right="380"/>
        <w:spacing w:after="0" w:line="279" w:lineRule="auto"/>
        <w:rPr>
          <w:sz w:val="20"/>
          <w:szCs w:val="20"/>
          <w:color w:val="auto"/>
        </w:rPr>
      </w:pPr>
      <w:r>
        <w:rPr>
          <w:rFonts w:ascii="Arial" w:cs="Arial" w:eastAsia="Arial" w:hAnsi="Arial"/>
          <w:sz w:val="17"/>
          <w:szCs w:val="17"/>
          <w:color w:val="auto"/>
        </w:rPr>
        <w:t>from operations. In such a situation, we could fall out of compliance with our financial and other covenants which, if not waived, could limit our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Principles and Estimates</w:t>
      </w:r>
    </w:p>
    <w:p>
      <w:pPr>
        <w:spacing w:after="0" w:line="223" w:lineRule="exact"/>
        <w:rPr>
          <w:sz w:val="20"/>
          <w:szCs w:val="20"/>
          <w:color w:val="auto"/>
        </w:rPr>
      </w:pPr>
    </w:p>
    <w:p>
      <w:pPr>
        <w:ind w:right="40" w:firstLine="619"/>
        <w:spacing w:after="0" w:line="294" w:lineRule="auto"/>
        <w:rPr>
          <w:sz w:val="20"/>
          <w:szCs w:val="20"/>
          <w:color w:val="auto"/>
        </w:rPr>
      </w:pPr>
      <w:r>
        <w:rPr>
          <w:rFonts w:ascii="Arial" w:cs="Arial" w:eastAsia="Arial" w:hAnsi="Arial"/>
          <w:sz w:val="15"/>
          <w:szCs w:val="15"/>
          <w:color w:val="auto"/>
        </w:rPr>
        <w:t>The preparation of our Consolidated Financial Statements in conformity with GAAP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valuation of inventory including the reserves for excess and obsolete inventory, valuation of long-lived assets including identifiable intangibles and goodwill, accounting for income taxes including the related valuation allowance, warranties, contingencies and litigation, contingent acquisition consideration, and losses on unused office space. We explain these accounting policies in the Notes to Consolidated Financial Statements contained within this Annual Report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 and such differences may be material. We have identified the following critical accounting policies that affect our more significant judgments and estimates used in the preparation of our Consolidated Financial Statements.</w:t>
      </w:r>
    </w:p>
    <w:p>
      <w:pPr>
        <w:spacing w:after="0" w:line="187" w:lineRule="exact"/>
        <w:rPr>
          <w:sz w:val="20"/>
          <w:szCs w:val="20"/>
          <w:color w:val="auto"/>
        </w:rPr>
      </w:pPr>
    </w:p>
    <w:p>
      <w:pPr>
        <w:ind w:right="800" w:firstLine="619"/>
        <w:spacing w:after="0" w:line="264"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Effective January 1, 2018, we adopted the FASB ASU 2014-09,</w:t>
      </w:r>
      <w:r>
        <w:rPr>
          <w:rFonts w:ascii="Arial" w:cs="Arial" w:eastAsia="Arial" w:hAnsi="Arial"/>
          <w:sz w:val="17"/>
          <w:szCs w:val="17"/>
          <w:i w:val="1"/>
          <w:iCs w:val="1"/>
          <w:color w:val="auto"/>
        </w:rPr>
        <w:t xml:space="preserve"> Revenue from Contracts with Customers</w:t>
      </w:r>
      <w:r>
        <w:rPr>
          <w:rFonts w:ascii="Arial" w:cs="Arial" w:eastAsia="Arial" w:hAnsi="Arial"/>
          <w:sz w:val="17"/>
          <w:szCs w:val="17"/>
          <w:color w:val="auto"/>
        </w:rPr>
        <w:t>, and the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which are codified into Accounting Standards Codification (“ASC”) 606 (“ASC 606”).</w:t>
      </w:r>
    </w:p>
    <w:p>
      <w:pPr>
        <w:spacing w:after="0" w:line="189" w:lineRule="exact"/>
        <w:rPr>
          <w:sz w:val="20"/>
          <w:szCs w:val="20"/>
          <w:color w:val="auto"/>
        </w:rPr>
      </w:pPr>
    </w:p>
    <w:p>
      <w:pPr>
        <w:ind w:right="80" w:firstLine="619"/>
        <w:spacing w:after="0" w:line="277" w:lineRule="auto"/>
        <w:rPr>
          <w:sz w:val="20"/>
          <w:szCs w:val="20"/>
          <w:color w:val="auto"/>
        </w:rPr>
      </w:pPr>
      <w:r>
        <w:rPr>
          <w:rFonts w:ascii="Arial" w:cs="Arial" w:eastAsia="Arial" w:hAnsi="Arial"/>
          <w:sz w:val="16"/>
          <w:szCs w:val="16"/>
          <w:color w:val="auto"/>
        </w:rPr>
        <w:t>To determine revenue recognition for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96"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under ASC 606. The majority of our contracts have a single performance obligation as the promise to transfer the individual goods or services is not separately identifiable from other promises in the contracts and, therefore, not distinct. For contracts with multiple performance obligations, we allocate the contract’s transaction price to each performance obligation using the best estimate of the standalone selling price of each distinct good or service in the contract. The primary method used to estimate standalone selling price is the expected-cost-plus-margin approach, under which we forecast the expected costs of satisfying a performance obligation and then add an appropriate margin for that distinct good or service.</w:t>
      </w:r>
    </w:p>
    <w:p>
      <w:pPr>
        <w:spacing w:after="0" w:line="209" w:lineRule="exact"/>
        <w:rPr>
          <w:sz w:val="20"/>
          <w:szCs w:val="20"/>
          <w:color w:val="auto"/>
        </w:rPr>
      </w:pPr>
    </w:p>
    <w:p>
      <w:pPr>
        <w:ind w:right="80" w:firstLine="619"/>
        <w:spacing w:after="0" w:line="297" w:lineRule="auto"/>
        <w:rPr>
          <w:sz w:val="20"/>
          <w:szCs w:val="20"/>
          <w:color w:val="auto"/>
        </w:rPr>
      </w:pPr>
      <w:r>
        <w:rPr>
          <w:rFonts w:ascii="Arial" w:cs="Arial" w:eastAsia="Arial" w:hAnsi="Arial"/>
          <w:sz w:val="15"/>
          <w:szCs w:val="15"/>
          <w:color w:val="auto"/>
        </w:rPr>
        <w:t>For the majority of contracts, we satisfy the underlying performance obligations over time as the customer obtains control or receives benefits as work is performed on the contract. We generally recognize revenue over time as we perform on long-term contracts because of continuous transfer of control to the customer. For U.S. government contracts, this continuous transfer of control to the customer is supported by clauses in the contract that allow the customer to unilaterally terminate the contract for convenience, pay us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percentage-of-completion cost-to-cost method (cost incurred relative to total estimated cost at completion).</w:t>
      </w:r>
    </w:p>
    <w:p>
      <w:pPr>
        <w:spacing w:after="0" w:line="182" w:lineRule="exact"/>
        <w:rPr>
          <w:sz w:val="20"/>
          <w:szCs w:val="20"/>
          <w:color w:val="auto"/>
        </w:rPr>
      </w:pPr>
    </w:p>
    <w:p>
      <w:pPr>
        <w:ind w:right="140" w:firstLine="619"/>
        <w:spacing w:after="0" w:line="275" w:lineRule="auto"/>
        <w:rPr>
          <w:sz w:val="20"/>
          <w:szCs w:val="20"/>
          <w:color w:val="auto"/>
        </w:rPr>
      </w:pPr>
      <w:r>
        <w:rPr>
          <w:rFonts w:ascii="Arial" w:cs="Arial" w:eastAsia="Arial" w:hAnsi="Arial"/>
          <w:sz w:val="16"/>
          <w:szCs w:val="16"/>
          <w:color w:val="auto"/>
        </w:rPr>
        <w:t>For our federal contracts, we apply U.S. Government procurement and accounting standards in assessing the allowability and the allocability of costs to contracts. Due to the significance of the judgments and estimation processes, it is likely that materially different amounts could be recorded if we used different assumptions or if the underlying circumstances were to change. We closely monitor compliance with, and the consistent application of, our critical accounting policies related to contract accounting. Business operations personnel conduct periodic contract status and performance reviews. When adjustments in estimated contract revenues or costs are required, any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our personnel, and are subject to audit by the DCAA.</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7" w:name="page58"/>
    <w:bookmarkEnd w:id="57"/>
    <w:p>
      <w:pPr>
        <w:ind w:right="160" w:firstLine="619"/>
        <w:spacing w:after="0" w:line="257" w:lineRule="auto"/>
        <w:rPr>
          <w:sz w:val="20"/>
          <w:szCs w:val="20"/>
          <w:color w:val="auto"/>
        </w:rPr>
      </w:pPr>
      <w:r>
        <w:rPr>
          <w:rFonts w:ascii="Arial" w:cs="Arial" w:eastAsia="Arial" w:hAnsi="Arial"/>
          <w:sz w:val="17"/>
          <w:szCs w:val="17"/>
          <w:i w:val="1"/>
          <w:iCs w:val="1"/>
          <w:color w:val="auto"/>
        </w:rPr>
        <w:t xml:space="preserve">Long-lived and Intangible Assets. </w:t>
      </w:r>
      <w:r>
        <w:rPr>
          <w:rFonts w:ascii="Arial" w:cs="Arial" w:eastAsia="Arial" w:hAnsi="Arial"/>
          <w:sz w:val="17"/>
          <w:szCs w:val="17"/>
          <w:color w:val="auto"/>
        </w:rPr>
        <w:t>We account for long-lived assets in accordance with the provisions of FASB ASC</w:t>
      </w:r>
      <w:r>
        <w:rPr>
          <w:rFonts w:ascii="Arial" w:cs="Arial" w:eastAsia="Arial" w:hAnsi="Arial"/>
          <w:sz w:val="17"/>
          <w:szCs w:val="17"/>
          <w:i w:val="1"/>
          <w:iCs w:val="1"/>
          <w:color w:val="auto"/>
        </w:rPr>
        <w:t xml:space="preserve"> Topic 360 Property, Plant, and Equipment </w:t>
      </w:r>
      <w:r>
        <w:rPr>
          <w:rFonts w:ascii="Arial" w:cs="Arial" w:eastAsia="Arial" w:hAnsi="Arial"/>
          <w:sz w:val="17"/>
          <w:szCs w:val="17"/>
          <w:color w:val="auto"/>
        </w:rPr>
        <w:t>(“Topic 360</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Topic 360 addresses financial accounting and reporting for the impairment or disposal of long-lived assets and requires that long-lived</w:t>
      </w:r>
      <w:r>
        <w:rPr>
          <w:rFonts w:ascii="Arial" w:cs="Arial" w:eastAsia="Arial" w:hAnsi="Arial"/>
          <w:sz w:val="17"/>
          <w:szCs w:val="17"/>
          <w:i w:val="1"/>
          <w:iCs w:val="1"/>
          <w:color w:val="auto"/>
        </w:rPr>
        <w:t xml:space="preserve"> </w:t>
      </w:r>
      <w:r>
        <w:rPr>
          <w:rFonts w:ascii="Arial" w:cs="Arial" w:eastAsia="Arial" w:hAnsi="Arial"/>
          <w:sz w:val="17"/>
          <w:szCs w:val="17"/>
          <w:color w:val="auto"/>
        </w:rPr>
        <w:t>assets be reviewed for impairment whenever events or changes in circumstances indicate that the carrying amount of an asset may not be recoverable. 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Topic 360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208" w:lineRule="exact"/>
        <w:rPr>
          <w:sz w:val="20"/>
          <w:szCs w:val="20"/>
          <w:color w:val="auto"/>
        </w:rPr>
      </w:pPr>
    </w:p>
    <w:p>
      <w:pPr>
        <w:ind w:right="180" w:firstLine="619"/>
        <w:spacing w:after="0" w:line="266" w:lineRule="auto"/>
        <w:rPr>
          <w:sz w:val="20"/>
          <w:szCs w:val="20"/>
          <w:color w:val="auto"/>
        </w:rPr>
      </w:pPr>
      <w:r>
        <w:rPr>
          <w:rFonts w:ascii="Arial" w:cs="Arial" w:eastAsia="Arial" w:hAnsi="Arial"/>
          <w:sz w:val="17"/>
          <w:szCs w:val="17"/>
          <w:color w:val="auto"/>
        </w:rPr>
        <w:t>In accordance with Topic 360,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201" w:lineRule="exact"/>
        <w:rPr>
          <w:sz w:val="20"/>
          <w:szCs w:val="20"/>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significant underperformance relative to expected historical or projected future operating results;</w:t>
      </w:r>
    </w:p>
    <w:p>
      <w:pPr>
        <w:spacing w:after="0" w:line="21"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significant changes in the manner of our use of the acquired assets or the strategy for our overall business;</w:t>
      </w:r>
    </w:p>
    <w:p>
      <w:pPr>
        <w:spacing w:after="0" w:line="10"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significant negative industry or economic trends;</w:t>
      </w:r>
    </w:p>
    <w:p>
      <w:pPr>
        <w:spacing w:after="0" w:line="10"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significant decline in our stock price for a sustained period; and</w:t>
      </w:r>
    </w:p>
    <w:p>
      <w:pPr>
        <w:spacing w:after="0" w:line="10"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market capitalization relative to net book value.</w:t>
      </w:r>
    </w:p>
    <w:p>
      <w:pPr>
        <w:spacing w:after="0" w:line="232" w:lineRule="exact"/>
        <w:rPr>
          <w:sz w:val="20"/>
          <w:szCs w:val="20"/>
          <w:color w:val="auto"/>
        </w:rPr>
      </w:pPr>
    </w:p>
    <w:p>
      <w:pPr>
        <w:ind w:right="40" w:firstLine="619"/>
        <w:spacing w:after="0" w:line="312" w:lineRule="auto"/>
        <w:rPr>
          <w:sz w:val="20"/>
          <w:szCs w:val="20"/>
          <w:color w:val="auto"/>
        </w:rPr>
      </w:pPr>
      <w:r>
        <w:rPr>
          <w:rFonts w:ascii="Arial" w:cs="Arial" w:eastAsia="Arial" w:hAnsi="Arial"/>
          <w:sz w:val="16"/>
          <w:szCs w:val="16"/>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66" w:lineRule="exact"/>
        <w:rPr>
          <w:sz w:val="20"/>
          <w:szCs w:val="20"/>
          <w:color w:val="auto"/>
        </w:rPr>
      </w:pPr>
    </w:p>
    <w:p>
      <w:pPr>
        <w:ind w:right="160" w:firstLine="619"/>
        <w:spacing w:after="0" w:line="290"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The purchase price of an acquired business is allocated to the underlying tangible and intangible assets acquired and liabilities assumed based</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their respective fair values, with the excess recorded as goodwill. Such fair value assessments require judgments and estimates that can be affected by contract performance and other factors over time, which may cause final amounts to differ materially from original estimates.</w:t>
      </w:r>
    </w:p>
    <w:p>
      <w:pPr>
        <w:spacing w:after="0" w:line="184"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 xml:space="preserve">We perform our impairment test for goodwill in accordance with ASC Topic 350, </w:t>
      </w:r>
      <w:r>
        <w:rPr>
          <w:rFonts w:ascii="Arial" w:cs="Arial" w:eastAsia="Arial" w:hAnsi="Arial"/>
          <w:sz w:val="17"/>
          <w:szCs w:val="17"/>
          <w:i w:val="1"/>
          <w:iCs w:val="1"/>
          <w:color w:val="auto"/>
        </w:rPr>
        <w:t>Intangibles-Goodwill and Other (</w:t>
      </w:r>
      <w:r>
        <w:rPr>
          <w:rFonts w:ascii="Arial" w:cs="Arial" w:eastAsia="Arial" w:hAnsi="Arial"/>
          <w:sz w:val="17"/>
          <w:szCs w:val="17"/>
          <w:color w:val="auto"/>
        </w:rPr>
        <w:t>“Topic 350”</w:t>
      </w:r>
      <w:r>
        <w:rPr>
          <w:rFonts w:ascii="Arial" w:cs="Arial" w:eastAsia="Arial" w:hAnsi="Arial"/>
          <w:sz w:val="17"/>
          <w:szCs w:val="17"/>
          <w:i w:val="1"/>
          <w:iCs w:val="1"/>
          <w:color w:val="auto"/>
        </w:rPr>
        <w:t>)</w:t>
      </w:r>
      <w:r>
        <w:rPr>
          <w:rFonts w:ascii="Arial" w:cs="Arial" w:eastAsia="Arial" w:hAnsi="Arial"/>
          <w:sz w:val="17"/>
          <w:szCs w:val="17"/>
          <w:color w:val="auto"/>
        </w:rPr>
        <w:t>. We assess goodwill for impairment at the reporting unit level, which is defined as an operating segment or one level below an operating segment, referred to as a component. We determine our reporting units by first identifying our operating segments, and then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w:t>
      </w:r>
    </w:p>
    <w:p>
      <w:pPr>
        <w:spacing w:after="0" w:line="209" w:lineRule="exact"/>
        <w:rPr>
          <w:sz w:val="20"/>
          <w:szCs w:val="20"/>
          <w:color w:val="auto"/>
        </w:rPr>
      </w:pPr>
    </w:p>
    <w:p>
      <w:pPr>
        <w:ind w:right="120" w:firstLine="619"/>
        <w:spacing w:after="0" w:line="257" w:lineRule="auto"/>
        <w:rPr>
          <w:sz w:val="20"/>
          <w:szCs w:val="20"/>
          <w:color w:val="auto"/>
        </w:rPr>
      </w:pPr>
      <w:r>
        <w:rPr>
          <w:rFonts w:ascii="Arial" w:cs="Arial" w:eastAsia="Arial" w:hAnsi="Arial"/>
          <w:sz w:val="17"/>
          <w:szCs w:val="17"/>
          <w:color w:val="auto"/>
        </w:rPr>
        <w:t>KGS has five operating businesses: Defense Rocket Support Services (“DRSS”), Microwave Electronics (“ME”), Space, Training and Cybersecurity Solutions (“ST&amp;C”), C5ISR Systems/Modular Systems (“MS”), and Kratos Turbine Technologies (“KTT”), that provide technology based defense solutions, involving products and services, primarily for mission critical U.S. national security priorities, with the primary focus relating to the nation’s Command, Control, Communications, Computing, Combat Systems, Intelligence, Surveillance (“C5ISR”) and Reconnaissance requirements. The US reportable segment provides unmanned aerial systems, unmanned ground, and unmanned seaborne systems. We have identified our reporting units to be the DRSS, ME, ST&amp;C, MS, and KTT operating segments, within the KGS reportable segment, and the US reportable segment, each of which has been assessed and evaluated for potential impairment in our fiscal year 2021 annual test.</w:t>
      </w:r>
    </w:p>
    <w:p>
      <w:pPr>
        <w:spacing w:after="0" w:line="211" w:lineRule="exact"/>
        <w:rPr>
          <w:sz w:val="20"/>
          <w:szCs w:val="20"/>
          <w:color w:val="auto"/>
        </w:rPr>
      </w:pPr>
    </w:p>
    <w:p>
      <w:pPr>
        <w:ind w:firstLine="619"/>
        <w:spacing w:after="0" w:line="257" w:lineRule="auto"/>
        <w:rPr>
          <w:sz w:val="20"/>
          <w:szCs w:val="20"/>
          <w:color w:val="auto"/>
        </w:rPr>
      </w:pPr>
      <w:r>
        <w:rPr>
          <w:rFonts w:ascii="Arial" w:cs="Arial" w:eastAsia="Arial" w:hAnsi="Arial"/>
          <w:sz w:val="16"/>
          <w:szCs w:val="16"/>
          <w:color w:val="auto"/>
        </w:rPr>
        <w:t>We test goodwill for impairment by first performing a qualitative assessment, and then a quantitative assessment if necessary. If, after performing a qualitative assessment and after assessing the totality of events or circumstances such as macroeconomic, industry and market conditions, cost factors, and overall financial performance, we determine that it is more likely than not (that is, a likelihood of more than 50 percent) that the fair value of a reporting unit is greater than its carrying amount, then a quantitative assessment is not unnecessary. If, after performing a qualitative assessment we determine it is more likely than not that the fair value of a reporting unit is less than its carrying amount, including goodwill, then a quantitative assessment is performed to determine if an impairment exists. For operations where a quantitative assessment is performed, the identification and measurement of impairment involves the estimation of the fair value of reporting units to determine the amount of the impairment. When any impairment has occurred, a charge to operations is recorded. In order to test for potential impairment, we estimate the fair value of each of the impacted reporting units based on a comparison and weighting of the income approach, specifically the discounted cash flow (“DCF”) method and the market approach, which estimates the fair value of our reporting units based upon comparable market prices and recent transactions and also validates the reasonableness of the implied multiples from the income approach.</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8" w:name="page59"/>
    <w:bookmarkEnd w:id="58"/>
    <w:p>
      <w:pPr>
        <w:ind w:firstLine="619"/>
        <w:spacing w:after="0" w:line="250" w:lineRule="auto"/>
        <w:rPr>
          <w:sz w:val="20"/>
          <w:szCs w:val="20"/>
          <w:color w:val="auto"/>
        </w:rPr>
      </w:pPr>
      <w:r>
        <w:rPr>
          <w:rFonts w:ascii="Arial" w:cs="Arial" w:eastAsia="Arial" w:hAnsi="Arial"/>
          <w:sz w:val="17"/>
          <w:szCs w:val="17"/>
          <w:color w:val="auto"/>
        </w:rPr>
        <w:t>In testing for impairment of our goodwill using a quantitative assessment at a particular reporting unit, we make assumptions about the amount and timing of future expected cash flows, terminal growth rates, appropriate discount rates, market multiples, and the control premium a controlling shareholder could be expected to pay:</w:t>
      </w:r>
    </w:p>
    <w:p>
      <w:pPr>
        <w:spacing w:after="0" w:line="201" w:lineRule="exact"/>
        <w:rPr>
          <w:sz w:val="20"/>
          <w:szCs w:val="20"/>
          <w:color w:val="auto"/>
        </w:rPr>
      </w:pPr>
    </w:p>
    <w:p>
      <w:pPr>
        <w:ind w:left="940" w:right="240" w:hanging="318"/>
        <w:spacing w:after="0" w:line="294" w:lineRule="auto"/>
        <w:tabs>
          <w:tab w:leader="none" w:pos="936"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timing of future cash flows within our DCF analysis is based on our most recent forecasts and other estimates. Our historical growth rates and operating results are not indicative of our projected growth rates and operating results as a consequence of our acquisitions and divestitures.</w:t>
      </w:r>
    </w:p>
    <w:p>
      <w:pPr>
        <w:ind w:left="940" w:right="520" w:hanging="318"/>
        <w:spacing w:after="0" w:line="253" w:lineRule="auto"/>
        <w:tabs>
          <w:tab w:leader="none" w:pos="9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terminal growth rate is used to calculate the value of cash flows beyond the last projected period in our DCF analysis and reflects our best estimates for stable, perpetual growth of our reporting units.</w:t>
      </w:r>
    </w:p>
    <w:p>
      <w:pPr>
        <w:ind w:left="940" w:right="120" w:hanging="318"/>
        <w:spacing w:after="0" w:line="269" w:lineRule="auto"/>
        <w:tabs>
          <w:tab w:leader="none" w:pos="936"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use estimates of market participant weighted average cost of capital (“WACC”) as a basis for determining the discount rates to apply to our reporting units’ future expected cash flows. The significant assumptions within our WACC are: (a) equity risk premium, (b) beta, (c) size premium adjustments, (d) cost of debt and (e) capital structure assumptions. In addition, we may use a company specific risk adjustment which is a subjective adjustment that, by its very nature does not include market related data, but instead examines the prospects of the reporting unit relative to the broader industry to determine if there are specific factors, which may make it more “risky” relative to the industry.</w:t>
      </w:r>
    </w:p>
    <w:p>
      <w:pPr>
        <w:ind w:left="920" w:hanging="298"/>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Recent historical market multiples are used to estimate future market pricing.</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carrying value of goodwill of the US and KGS reportable segments, was $114.1 million and $379.8 million, respectively, at December 26, 2021.</w:t>
      </w:r>
    </w:p>
    <w:p>
      <w:pPr>
        <w:spacing w:after="0" w:line="254" w:lineRule="exact"/>
        <w:rPr>
          <w:sz w:val="20"/>
          <w:szCs w:val="20"/>
          <w:color w:val="auto"/>
        </w:rPr>
      </w:pPr>
    </w:p>
    <w:p>
      <w:pPr>
        <w:ind w:right="100" w:firstLine="619"/>
        <w:spacing w:after="0" w:line="259" w:lineRule="auto"/>
        <w:rPr>
          <w:sz w:val="20"/>
          <w:szCs w:val="20"/>
          <w:color w:val="auto"/>
        </w:rPr>
      </w:pPr>
      <w:r>
        <w:rPr>
          <w:rFonts w:ascii="Arial" w:cs="Arial" w:eastAsia="Arial" w:hAnsi="Arial"/>
          <w:sz w:val="16"/>
          <w:szCs w:val="16"/>
          <w:color w:val="auto"/>
        </w:rPr>
        <w:t>In determining the fair value of our reporting units, there are key assumptions related to our future operating performance and revenue growth. If the actual operating performance and financial results are not consistent with our assumptions, a further impairment in our $493.9 million goodwill and $43.2 million long-lived intangibles could occur in future periods. In particular, the US reporting unit fair value includes assumptions that the development of the high performance UCAS product is successful and we are awarded future contracts for new tactical unmanned aircraft systems. Additionally, the US reporting unit fair value assumes that the U.S. Navy will continue to award full rate production contracts for the Sub-Sonic Aerial Target. Our goodwill impairment assessment includes assumptions of the entry to new international markets for which we have not yet penetrated. Additional risks for goodwill across all reporting units include, but are not limited to, the risks discussed in Item 1A “Risk Factors” contained within this Annual Report and:</w:t>
      </w:r>
    </w:p>
    <w:p>
      <w:pPr>
        <w:spacing w:after="0" w:line="196" w:lineRule="exact"/>
        <w:rPr>
          <w:sz w:val="20"/>
          <w:szCs w:val="20"/>
          <w:color w:val="auto"/>
        </w:rPr>
      </w:pPr>
    </w:p>
    <w:p>
      <w:pPr>
        <w:ind w:left="940" w:right="360" w:hanging="318"/>
        <w:spacing w:after="0" w:line="259" w:lineRule="auto"/>
        <w:tabs>
          <w:tab w:leader="none" w:pos="9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decline in our stock price and resulting market capitalization, if we determine the decline is sustained and is indicative of a reduction in the fair value below the carrying value of our reporting units;</w:t>
      </w:r>
    </w:p>
    <w:p>
      <w:pPr>
        <w:spacing w:after="0" w:line="1" w:lineRule="exact"/>
        <w:rPr>
          <w:rFonts w:ascii="Arial" w:cs="Arial" w:eastAsia="Arial" w:hAnsi="Arial"/>
          <w:sz w:val="17"/>
          <w:szCs w:val="17"/>
          <w:color w:val="auto"/>
        </w:rPr>
      </w:pPr>
    </w:p>
    <w:p>
      <w:pPr>
        <w:ind w:left="940" w:right="140" w:hanging="318"/>
        <w:spacing w:after="0" w:line="253" w:lineRule="auto"/>
        <w:tabs>
          <w:tab w:leader="none" w:pos="9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decrease in available government funding, including budgetary constraints affecting U.S. Government spending generally, or specific departments or agencies;</w:t>
      </w: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U.S. Government programs or requirements, including the increased use of small business providers;</w:t>
      </w:r>
    </w:p>
    <w:p>
      <w:pPr>
        <w:spacing w:after="0" w:line="10" w:lineRule="exact"/>
        <w:rPr>
          <w:rFonts w:ascii="Arial" w:cs="Arial" w:eastAsia="Arial" w:hAnsi="Arial"/>
          <w:sz w:val="17"/>
          <w:szCs w:val="17"/>
          <w:color w:val="auto"/>
        </w:rPr>
      </w:pPr>
    </w:p>
    <w:p>
      <w:pPr>
        <w:ind w:left="940" w:right="120" w:hanging="318"/>
        <w:spacing w:after="0" w:line="253" w:lineRule="auto"/>
        <w:tabs>
          <w:tab w:leader="none" w:pos="9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failure to reach our internal forecasts could impact our ability to achieve our forecasted levels of cash flows and reduce the estimated discounted value of our reporting units;</w:t>
      </w: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volatility in equity and debt markets resulting in higher discount rates;</w:t>
      </w:r>
    </w:p>
    <w:p>
      <w:pPr>
        <w:spacing w:after="0" w:line="10"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market and political factors that could impact the success of new products, especially related to new unmanned systems platforms; and</w:t>
      </w:r>
    </w:p>
    <w:p>
      <w:pPr>
        <w:spacing w:after="0" w:line="10"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continued impact to our businesses and the industry resulting from COVID-19.</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 xml:space="preserve">Accounting for income taxes and tax contingencies. </w:t>
      </w:r>
      <w:r>
        <w:rPr>
          <w:rFonts w:ascii="Arial" w:cs="Arial" w:eastAsia="Arial" w:hAnsi="Arial"/>
          <w:sz w:val="15"/>
          <w:szCs w:val="15"/>
          <w:color w:val="auto"/>
        </w:rPr>
        <w:t>FASB ASC</w:t>
      </w:r>
      <w:r>
        <w:rPr>
          <w:rFonts w:ascii="Arial" w:cs="Arial" w:eastAsia="Arial" w:hAnsi="Arial"/>
          <w:sz w:val="15"/>
          <w:szCs w:val="15"/>
          <w:i w:val="1"/>
          <w:iCs w:val="1"/>
          <w:color w:val="auto"/>
        </w:rPr>
        <w:t xml:space="preserve"> Topic 740 Income Taxes </w:t>
      </w:r>
      <w:r>
        <w:rPr>
          <w:rFonts w:ascii="Arial" w:cs="Arial" w:eastAsia="Arial" w:hAnsi="Arial"/>
          <w:sz w:val="15"/>
          <w:szCs w:val="15"/>
          <w:color w:val="auto"/>
        </w:rPr>
        <w:t>(“</w:t>
      </w:r>
      <w:r>
        <w:rPr>
          <w:rFonts w:ascii="Arial" w:cs="Arial" w:eastAsia="Arial" w:hAnsi="Arial"/>
          <w:sz w:val="15"/>
          <w:szCs w:val="15"/>
          <w:i w:val="1"/>
          <w:iCs w:val="1"/>
          <w:color w:val="auto"/>
        </w:rPr>
        <w:t>Topic 740</w:t>
      </w:r>
      <w:r>
        <w:rPr>
          <w:rFonts w:ascii="Arial" w:cs="Arial" w:eastAsia="Arial" w:hAnsi="Arial"/>
          <w:sz w:val="15"/>
          <w:szCs w:val="15"/>
          <w:color w:val="auto"/>
        </w:rPr>
        <w:t>”) provides the accounting treatment for uncertainty</w:t>
      </w:r>
    </w:p>
    <w:p>
      <w:pPr>
        <w:spacing w:after="0" w:line="45" w:lineRule="exact"/>
        <w:rPr>
          <w:sz w:val="20"/>
          <w:szCs w:val="20"/>
          <w:color w:val="auto"/>
        </w:rPr>
      </w:pPr>
    </w:p>
    <w:p>
      <w:pPr>
        <w:jc w:val="both"/>
        <w:ind w:right="600"/>
        <w:spacing w:after="0" w:line="259" w:lineRule="auto"/>
        <w:rPr>
          <w:sz w:val="20"/>
          <w:szCs w:val="20"/>
          <w:color w:val="auto"/>
        </w:rPr>
      </w:pPr>
      <w:r>
        <w:rPr>
          <w:rFonts w:ascii="Arial" w:cs="Arial" w:eastAsia="Arial" w:hAnsi="Arial"/>
          <w:sz w:val="17"/>
          <w:szCs w:val="17"/>
          <w:color w:val="auto"/>
        </w:rPr>
        <w:t xml:space="preserve">in income taxes recognized in an enterprise’s financial statements. </w:t>
      </w:r>
      <w:r>
        <w:rPr>
          <w:rFonts w:ascii="Arial" w:cs="Arial" w:eastAsia="Arial" w:hAnsi="Arial"/>
          <w:sz w:val="17"/>
          <w:szCs w:val="17"/>
          <w:i w:val="1"/>
          <w:iCs w:val="1"/>
          <w:color w:val="auto"/>
        </w:rPr>
        <w:t>Topic 740</w:t>
      </w:r>
      <w:r>
        <w:rPr>
          <w:rFonts w:ascii="Arial" w:cs="Arial" w:eastAsia="Arial" w:hAnsi="Arial"/>
          <w:sz w:val="17"/>
          <w:szCs w:val="17"/>
          <w:color w:val="auto"/>
        </w:rPr>
        <w:t xml:space="preserve"> prescribes a recognition threshold and measurement attribute for the financial statement recognition and measurement of a tax position taken or expected to be taken in a tax return. </w:t>
      </w:r>
      <w:r>
        <w:rPr>
          <w:rFonts w:ascii="Arial" w:cs="Arial" w:eastAsia="Arial" w:hAnsi="Arial"/>
          <w:sz w:val="17"/>
          <w:szCs w:val="17"/>
          <w:i w:val="1"/>
          <w:iCs w:val="1"/>
          <w:color w:val="auto"/>
        </w:rPr>
        <w:t>Topic 740</w:t>
      </w:r>
      <w:r>
        <w:rPr>
          <w:rFonts w:ascii="Arial" w:cs="Arial" w:eastAsia="Arial" w:hAnsi="Arial"/>
          <w:sz w:val="17"/>
          <w:szCs w:val="17"/>
          <w:color w:val="auto"/>
        </w:rPr>
        <w:t xml:space="preserve"> also provides guidance on derecognizing, classification, interest and penalties, accounting in interim periods, disclosure and transition.</w:t>
      </w:r>
    </w:p>
    <w:p>
      <w:pPr>
        <w:spacing w:after="0" w:line="207" w:lineRule="exact"/>
        <w:rPr>
          <w:sz w:val="20"/>
          <w:szCs w:val="20"/>
          <w:color w:val="auto"/>
        </w:rPr>
      </w:pPr>
    </w:p>
    <w:p>
      <w:pPr>
        <w:ind w:right="20" w:firstLine="619"/>
        <w:spacing w:after="0" w:line="277"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9" w:name="page60"/>
    <w:bookmarkEnd w:id="59"/>
    <w:p>
      <w:pPr>
        <w:ind w:right="220" w:firstLine="619"/>
        <w:spacing w:after="0" w:line="258" w:lineRule="auto"/>
        <w:rPr>
          <w:sz w:val="20"/>
          <w:szCs w:val="20"/>
          <w:color w:val="auto"/>
        </w:rPr>
      </w:pPr>
      <w:r>
        <w:rPr>
          <w:rFonts w:ascii="Arial" w:cs="Arial" w:eastAsia="Arial" w:hAnsi="Arial"/>
          <w:sz w:val="17"/>
          <w:szCs w:val="17"/>
          <w:color w:val="auto"/>
        </w:rPr>
        <w:t>Significant management judgment is required in determining our provision for income taxes, our deferred tax assets and liabilities, tax contingencies, unrecognized tax benefits, and any required valuation allowance, including taking into consideration the probability of the tax contingencies being incurred. Management assesses this probability based upon information provided to us by our tax advisers, our legal advisers and similar tax cases. If at a later time our assessment of the probability of these tax contingencies changes, our accrual for such tax uncertainties may increase or decrease. During the fourth quarter of 2020, the Company released a significant portion of the valuation allowance. For further discussion see Note 8 “Income Taxes” in the Notes to the Consolidated Financial Statements in this Annual Report.</w:t>
      </w:r>
    </w:p>
    <w:p>
      <w:pPr>
        <w:spacing w:after="0" w:line="209"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The effective tax rate at December 26, 2021 for annual and interim reporting periods could be impacted if uncertain tax positions that are not recognized at December 26, 2021 are settled at an amount which differs from our estimate.</w:t>
      </w:r>
    </w:p>
    <w:p>
      <w:pPr>
        <w:spacing w:after="0" w:line="190" w:lineRule="exact"/>
        <w:rPr>
          <w:sz w:val="20"/>
          <w:szCs w:val="20"/>
          <w:color w:val="auto"/>
        </w:rPr>
      </w:pPr>
    </w:p>
    <w:p>
      <w:pPr>
        <w:ind w:right="20" w:firstLine="619"/>
        <w:spacing w:after="0" w:line="299" w:lineRule="auto"/>
        <w:rPr>
          <w:sz w:val="20"/>
          <w:szCs w:val="20"/>
          <w:color w:val="auto"/>
        </w:rPr>
      </w:pPr>
      <w:r>
        <w:rPr>
          <w:rFonts w:ascii="Arial" w:cs="Arial" w:eastAsia="Arial" w:hAnsi="Arial"/>
          <w:sz w:val="15"/>
          <w:szCs w:val="15"/>
          <w:i w:val="1"/>
          <w:iCs w:val="1"/>
          <w:color w:val="auto"/>
        </w:rPr>
        <w:t xml:space="preserve">Contingencies and litigation. </w:t>
      </w:r>
      <w:r>
        <w:rPr>
          <w:rFonts w:ascii="Arial" w:cs="Arial" w:eastAsia="Arial" w:hAnsi="Arial"/>
          <w:sz w:val="15"/>
          <w:szCs w:val="15"/>
          <w:color w:val="auto"/>
        </w:rPr>
        <w:t>We are currently involved in certain legal proceedings. We estimate a range of liability related to pending litigation where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amount and range of loss can be estimated. We record our estimate of a loss when the loss is considered probable and reasonably estimable. Where a liability is probable and there is a range of estimated loss and no amount in the range is more likely than any other number in the range, we record the minimum estimated liability related to the claim in accordance with FASB ASC Topic 450, </w:t>
      </w:r>
      <w:r>
        <w:rPr>
          <w:rFonts w:ascii="Arial" w:cs="Arial" w:eastAsia="Arial" w:hAnsi="Arial"/>
          <w:sz w:val="15"/>
          <w:szCs w:val="15"/>
          <w:i w:val="1"/>
          <w:iCs w:val="1"/>
          <w:color w:val="auto"/>
        </w:rPr>
        <w:t>Contingencies</w:t>
      </w:r>
      <w:r>
        <w:rPr>
          <w:rFonts w:ascii="Arial" w:cs="Arial" w:eastAsia="Arial" w:hAnsi="Arial"/>
          <w:sz w:val="15"/>
          <w:szCs w:val="15"/>
          <w:color w:val="auto"/>
        </w:rPr>
        <w:t>. As additional information becomes available, we assess the potential liability related to our pending litigation and revise our estimates. Revisions in our estimates of potential liability could materially impact our results of operations. See Note 15 of the Notes to Consolidated Financial Statements contained within this Annual Report for a further discussion of our legal proceedings.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See Note 1 of the Notes to Consolidated Financial Statements contained within this Annual Report for a discussion of recent accounting pronouncements.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Interest Rate and Foreign Currency Risks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are exposed to market risk, primarily related to interest rates and foreign currency exchange rates.</w:t>
      </w:r>
    </w:p>
    <w:p>
      <w:pPr>
        <w:spacing w:after="0" w:line="243" w:lineRule="exact"/>
        <w:rPr>
          <w:sz w:val="20"/>
          <w:szCs w:val="20"/>
          <w:color w:val="auto"/>
        </w:rPr>
      </w:pPr>
    </w:p>
    <w:p>
      <w:pPr>
        <w:ind w:right="80" w:firstLine="619"/>
        <w:spacing w:after="0" w:line="277" w:lineRule="auto"/>
        <w:rPr>
          <w:sz w:val="20"/>
          <w:szCs w:val="20"/>
          <w:color w:val="auto"/>
        </w:rPr>
      </w:pPr>
      <w:r>
        <w:rPr>
          <w:rFonts w:ascii="Arial" w:cs="Arial" w:eastAsia="Arial" w:hAnsi="Arial"/>
          <w:sz w:val="16"/>
          <w:szCs w:val="16"/>
          <w:color w:val="auto"/>
        </w:rPr>
        <w:t xml:space="preserve">Exposure to market risk for changes in interest rates relates to our outstanding debt. We are exposed to interest rate risk, primarily through our borrowing activities under the Credit Agreement discussed under </w:t>
      </w:r>
      <w:r>
        <w:rPr>
          <w:rFonts w:ascii="Arial" w:cs="Arial" w:eastAsia="Arial" w:hAnsi="Arial"/>
          <w:sz w:val="16"/>
          <w:szCs w:val="16"/>
          <w:b w:val="1"/>
          <w:bCs w:val="1"/>
          <w:color w:val="auto"/>
        </w:rPr>
        <w:t>“</w:t>
      </w:r>
      <w:r>
        <w:rPr>
          <w:rFonts w:ascii="Arial" w:cs="Arial" w:eastAsia="Arial" w:hAnsi="Arial"/>
          <w:sz w:val="16"/>
          <w:szCs w:val="16"/>
          <w:color w:val="auto"/>
        </w:rPr>
        <w:t>Liquidity and Capital Resources” above. Based on our current outstanding balances, a 1% change in the LIBOR would not materially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interest rate risk on our prior credit facilities. We had no outstanding derivative financial instruments as of December 26, 2021.</w:t>
      </w:r>
    </w:p>
    <w:p>
      <w:pPr>
        <w:spacing w:after="0" w:line="196" w:lineRule="exact"/>
        <w:rPr>
          <w:sz w:val="20"/>
          <w:szCs w:val="20"/>
          <w:color w:val="auto"/>
        </w:rPr>
      </w:pPr>
    </w:p>
    <w:p>
      <w:pPr>
        <w:ind w:firstLine="619"/>
        <w:spacing w:after="0" w:line="244" w:lineRule="auto"/>
        <w:rPr>
          <w:sz w:val="20"/>
          <w:szCs w:val="20"/>
          <w:color w:val="auto"/>
        </w:rPr>
      </w:pPr>
      <w:r>
        <w:rPr>
          <w:rFonts w:ascii="Arial" w:cs="Arial" w:eastAsia="Arial" w:hAnsi="Arial"/>
          <w:sz w:val="17"/>
          <w:szCs w:val="17"/>
          <w:color w:val="auto"/>
        </w:rPr>
        <w:t>We are also exposed to market risk due to the current phase out of LIBOR and the subsequent replacement with alternative reference rates, including SOFR. Uncertainty as to the nature of alternative reference rates and as to potential changes or other reforms to LIBOR may adversely impact our interest rates and related interest expense. Risks and uncertainties related to the LIBOR phase out are further described in Part I, Item 1A. Risk Factors- "The discontinuance of LIBOR and the replacement of LIBOR with an alternative reference rate may adversely affect our borrowing costs and could impact our business and results of operations.”</w:t>
      </w:r>
    </w:p>
    <w:p>
      <w:pPr>
        <w:spacing w:after="0" w:line="205" w:lineRule="exact"/>
        <w:rPr>
          <w:sz w:val="20"/>
          <w:szCs w:val="20"/>
          <w:color w:val="auto"/>
        </w:rPr>
      </w:pPr>
    </w:p>
    <w:p>
      <w:pPr>
        <w:ind w:right="340" w:firstLine="619"/>
        <w:spacing w:after="0" w:line="281" w:lineRule="auto"/>
        <w:rPr>
          <w:sz w:val="20"/>
          <w:szCs w:val="20"/>
          <w:color w:val="auto"/>
        </w:rPr>
      </w:pPr>
      <w:r>
        <w:rPr>
          <w:rFonts w:ascii="Arial" w:cs="Arial" w:eastAsia="Arial" w:hAnsi="Arial"/>
          <w:sz w:val="15"/>
          <w:szCs w:val="15"/>
          <w:color w:val="auto"/>
        </w:rPr>
        <w:t>Exposure to market risk for foreign currency exchange rate risk is related to receipts from customers, payments to suppliers and intercompany loans denominated in foreign currencies. Accordingly, a strengthening of the U.S. dollar (“USD”) or a strengthening of certain foreign currencies, such as the Israeli Shekel, will negatively impact revenues and gross margins expressed in consolidated USD terms. For instance, in our Israeli business, we are paid in USD for</w:t>
      </w:r>
    </w:p>
    <w:p>
      <w:pPr>
        <w:ind w:right="20"/>
        <w:spacing w:after="0" w:line="267" w:lineRule="auto"/>
        <w:rPr>
          <w:sz w:val="20"/>
          <w:szCs w:val="20"/>
          <w:color w:val="auto"/>
        </w:rPr>
      </w:pPr>
      <w:r>
        <w:rPr>
          <w:rFonts w:ascii="Arial" w:cs="Arial" w:eastAsia="Arial" w:hAnsi="Arial"/>
          <w:sz w:val="16"/>
          <w:szCs w:val="16"/>
          <w:color w:val="auto"/>
        </w:rPr>
        <w:t>work performed but our cost of sales (payroll, materials, subcontract costs, etc.) are paid in Israeli Shekel. We currently enter into limited foreign currency forward contracts to manage foreign currency exchange rate risk because exchange rate fluctuations have had, and we expect will have, minimal impact on our operating results and cash flows. Based on our overall foreign currency rate exposure as of December 27, 2020, including the limited derivative financial instruments that we have entered into to manage this risk, a 10% appreciation or depreciation of the USD from its cross-functional rates would not be expected, in the aggregate, to have a material effect on our financial position, results of operations and cash flows in the near-term.</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60" w:name="page61"/>
    <w:bookmarkEnd w:id="60"/>
    <w:p>
      <w:pPr>
        <w:ind w:right="40" w:firstLine="619"/>
        <w:spacing w:after="0" w:line="266" w:lineRule="auto"/>
        <w:rPr>
          <w:sz w:val="20"/>
          <w:szCs w:val="20"/>
          <w:color w:val="auto"/>
        </w:rPr>
      </w:pPr>
      <w:r>
        <w:rPr>
          <w:rFonts w:ascii="Arial" w:cs="Arial" w:eastAsia="Arial" w:hAnsi="Arial"/>
          <w:sz w:val="17"/>
          <w:szCs w:val="17"/>
          <w:color w:val="auto"/>
        </w:rPr>
        <w:t>Our cash and cash equivalents as of December 26, 2021 were $349.4 million and are primarily invested in money market interest bearing accounts. A hypothetical 10% adverse change in the average interest rate on our money market cash investments and short-term investments would have had no material effect on our net income for the year ended December 26, 2021.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Commodity Price Risk Management</w:t>
      </w:r>
    </w:p>
    <w:p>
      <w:pPr>
        <w:spacing w:after="0" w:line="243"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We purchase commodities for use in our manufacturing processes. We typically purchase these commodities at market prices, and as a result are affected by market price fluctuations. We have decided not to hedge these exposures as they are deemed immaterial.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p>
      <w:pPr>
        <w:spacing w:after="0" w:line="249"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Our Consolidated Financial Statements and supplementary data required by this item are set forth at the pages indicated in Item 15(a) (1) and 15(a) (2),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 Controls and Procedures</w:t>
      </w:r>
    </w:p>
    <w:p>
      <w:pPr>
        <w:spacing w:after="0" w:line="243"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We maintain disclosure controls and procedures, as defined in Rules 13a-15(e) and 15d-15(e) promulgated under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211" w:lineRule="exact"/>
        <w:rPr>
          <w:sz w:val="20"/>
          <w:szCs w:val="20"/>
          <w:color w:val="auto"/>
        </w:rPr>
      </w:pPr>
    </w:p>
    <w:p>
      <w:pPr>
        <w:ind w:right="80" w:firstLine="619"/>
        <w:spacing w:after="0" w:line="283" w:lineRule="auto"/>
        <w:rPr>
          <w:sz w:val="20"/>
          <w:szCs w:val="20"/>
          <w:color w:val="auto"/>
        </w:rPr>
      </w:pPr>
      <w:r>
        <w:rPr>
          <w:rFonts w:ascii="Arial" w:cs="Arial" w:eastAsia="Arial" w:hAnsi="Arial"/>
          <w:sz w:val="16"/>
          <w:szCs w:val="16"/>
          <w:color w:val="auto"/>
        </w:rPr>
        <w:t>As required by Rule 13a-15(b) and 15d-15(b)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Based on the foregoing, our Principal Executive Officer and Principal Financial Officer concluded that our disclosure controls and procedures were effective at the reasonable assurance level as of December 26, 2021.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Management’s Report on Internal Control over Financial Reporting</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because the degree of compliance with the policies and procedures may deteriorate.</w:t>
      </w:r>
    </w:p>
    <w:p>
      <w:pPr>
        <w:spacing w:after="0" w:line="181" w:lineRule="exact"/>
        <w:rPr>
          <w:sz w:val="20"/>
          <w:szCs w:val="20"/>
          <w:color w:val="auto"/>
        </w:rPr>
      </w:pPr>
    </w:p>
    <w:p>
      <w:pPr>
        <w:ind w:right="20" w:firstLine="619"/>
        <w:spacing w:after="0" w:line="242" w:lineRule="auto"/>
        <w:rPr>
          <w:sz w:val="20"/>
          <w:szCs w:val="20"/>
          <w:color w:val="auto"/>
        </w:rPr>
      </w:pPr>
      <w:r>
        <w:rPr>
          <w:rFonts w:ascii="Arial" w:cs="Arial" w:eastAsia="Arial" w:hAnsi="Arial"/>
          <w:sz w:val="16"/>
          <w:szCs w:val="16"/>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the 2013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Management's assessment of and conclusion on the effectiveness</w:t>
      </w:r>
      <w:r>
        <w:rPr>
          <w:rFonts w:ascii="Arial" w:cs="Arial" w:eastAsia="Arial" w:hAnsi="Arial"/>
          <w:sz w:val="16"/>
          <w:szCs w:val="16"/>
          <w:i w:val="1"/>
          <w:iCs w:val="1"/>
          <w:color w:val="auto"/>
        </w:rPr>
        <w:t xml:space="preserve"> </w:t>
      </w:r>
      <w:r>
        <w:rPr>
          <w:rFonts w:ascii="Arial" w:cs="Arial" w:eastAsia="Arial" w:hAnsi="Arial"/>
          <w:sz w:val="16"/>
          <w:szCs w:val="16"/>
          <w:color w:val="auto"/>
        </w:rPr>
        <w:t>of internal control over financial reporting as of December 26, 2021 did not include the internal controls of CTT Inc. which was acquired by the Company on December 10, 2021. The total assets of CTT Inc., which are now included in the MP Division, in aggregate, are approximately 0.6% of the total assets of the Company, and the revenues of CTT Inc. comprise approximately 1.2% of the revenues of the Company, as such amounts for the Company are reflected in the Company’s Consolidated Financial Statements as of and for the fiscal year ended December 26, 2021 included in this Annual Report.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61" w:name="page62"/>
    <w:bookmarkEnd w:id="61"/>
    <w:p>
      <w:pPr>
        <w:jc w:val="both"/>
        <w:ind w:right="20" w:firstLine="619"/>
        <w:spacing w:after="0" w:line="349" w:lineRule="auto"/>
        <w:rPr>
          <w:sz w:val="20"/>
          <w:szCs w:val="20"/>
          <w:color w:val="auto"/>
        </w:rPr>
      </w:pPr>
      <w:r>
        <w:rPr>
          <w:rFonts w:ascii="Arial" w:cs="Arial" w:eastAsia="Arial" w:hAnsi="Arial"/>
          <w:sz w:val="15"/>
          <w:szCs w:val="15"/>
          <w:color w:val="auto"/>
        </w:rPr>
        <w:t>Our internal control over financial reporting has been audited by Deloitte &amp; Touche LLP, an independent registered public accounting firm, as stated in their report appearing below, which expresses an unqualified opinion on the effectiveness of our internal control over financial reporting as of December 26, 2021.</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There were no changes in our internal control over financial accounting and reporting (as defined in Rules 13a-15(f) and 15d-15(f) of the Exchange Act) during the fourth quarter of the fiscal year ended December 26, 2021 that have materially affected, or are reasonably likely to materially affect, our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9C. </w:t>
      </w:r>
      <w:r>
        <w:rPr>
          <w:rFonts w:ascii="Arial" w:cs="Arial" w:eastAsia="Arial" w:hAnsi="Arial"/>
          <w:sz w:val="17"/>
          <w:szCs w:val="17"/>
          <w:b w:val="1"/>
          <w:bCs w:val="1"/>
          <w:i w:val="1"/>
          <w:iCs w:val="1"/>
          <w:color w:val="auto"/>
        </w:rPr>
        <w:t>Disclosure Regarding Foreign Jurisdictions that Prevent Inspections</w:t>
      </w:r>
      <w:r>
        <w:rPr>
          <w:rFonts w:ascii="Arial" w:cs="Arial" w:eastAsia="Arial" w:hAnsi="Arial"/>
          <w:sz w:val="20"/>
          <w:szCs w:val="20"/>
          <w:b w:val="1"/>
          <w:bCs w:val="1"/>
          <w:i w:val="1"/>
          <w:iCs w:val="1"/>
          <w:color w:val="auto"/>
        </w:rPr>
        <w:t>.</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223" w:lineRule="exact"/>
        <w:rPr>
          <w:sz w:val="20"/>
          <w:szCs w:val="20"/>
          <w:color w:val="auto"/>
        </w:rPr>
      </w:pPr>
    </w:p>
    <w:p>
      <w:pPr>
        <w:ind w:right="40" w:firstLine="619"/>
        <w:spacing w:after="0" w:line="31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filed in connection with our 2022 Annual Meeting of Stockholders or an amendment to this Annual Report to be filed with the SEC within 120 days after the close of our fiscal year ended December 26, 2021.</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223" w:lineRule="exact"/>
        <w:rPr>
          <w:sz w:val="20"/>
          <w:szCs w:val="20"/>
          <w:color w:val="auto"/>
        </w:rPr>
      </w:pPr>
    </w:p>
    <w:p>
      <w:pPr>
        <w:ind w:right="40" w:firstLine="619"/>
        <w:spacing w:after="0" w:line="31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filed in connection with our 2022 Annual Meeting of Stockholders or an amendment to this Annual Report to be filed with the SEC within 120 days after the close of our fiscal year ended December 26, 2021.</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23" w:lineRule="exact"/>
        <w:rPr>
          <w:sz w:val="20"/>
          <w:szCs w:val="20"/>
          <w:color w:val="auto"/>
        </w:rPr>
      </w:pPr>
    </w:p>
    <w:p>
      <w:pPr>
        <w:ind w:right="40" w:firstLine="619"/>
        <w:spacing w:after="0" w:line="31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filed in connection with our 2022 Annual Meeting of Stockholders or an amendment to this Annual Report to be filed with the SEC within 120 days after the close of our fiscal year ended December 26, 2021.</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223" w:lineRule="exact"/>
        <w:rPr>
          <w:sz w:val="20"/>
          <w:szCs w:val="20"/>
          <w:color w:val="auto"/>
        </w:rPr>
      </w:pPr>
    </w:p>
    <w:p>
      <w:pPr>
        <w:ind w:right="40" w:firstLine="619"/>
        <w:spacing w:after="0" w:line="31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filed in connection with our 2022 Annual Meeting of Stockholders or an amendment to this Annual Report to be filed with the SEC within 120 days after the close of our fiscal year ended December 26, 2021.</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Accountant Fees and Services.</w:t>
      </w:r>
    </w:p>
    <w:p>
      <w:pPr>
        <w:spacing w:after="0" w:line="223" w:lineRule="exact"/>
        <w:rPr>
          <w:sz w:val="20"/>
          <w:szCs w:val="20"/>
          <w:color w:val="auto"/>
        </w:rPr>
      </w:pPr>
    </w:p>
    <w:p>
      <w:pPr>
        <w:ind w:right="40" w:firstLine="619"/>
        <w:spacing w:after="0" w:line="31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filed in connection with our 2022 Annual Meeting of Stockholders or an amendment to this Annual Report to be filed with the SEC within 120 days after the close of our fiscal year ended December 26, 2021.</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62" w:name="page63"/>
    <w:bookmarkEnd w:id="62"/>
    <w:p>
      <w:pPr>
        <w:jc w:val="center"/>
        <w:ind w:right="-239"/>
        <w:spacing w:after="0"/>
        <w:rPr>
          <w:sz w:val="20"/>
          <w:szCs w:val="20"/>
          <w:color w:val="auto"/>
        </w:rPr>
      </w:pPr>
      <w:r>
        <w:rPr>
          <w:rFonts w:ascii="Arial" w:cs="Arial" w:eastAsia="Arial" w:hAnsi="Arial"/>
          <w:sz w:val="17"/>
          <w:szCs w:val="17"/>
          <w:b w:val="1"/>
          <w:bCs w:val="1"/>
          <w:color w:val="auto"/>
        </w:rPr>
        <w:t>PART IV</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 and Financial Statement Schedules.</w:t>
      </w:r>
    </w:p>
    <w:p>
      <w:pPr>
        <w:spacing w:after="0" w:line="243" w:lineRule="exact"/>
        <w:rPr>
          <w:sz w:val="20"/>
          <w:szCs w:val="20"/>
          <w:color w:val="auto"/>
        </w:rPr>
      </w:pPr>
    </w:p>
    <w:p>
      <w:pPr>
        <w:ind w:left="620"/>
        <w:spacing w:after="0"/>
        <w:tabs>
          <w:tab w:leader="none" w:pos="1180" w:val="left"/>
        </w:tabs>
        <w:rPr>
          <w:sz w:val="20"/>
          <w:szCs w:val="20"/>
          <w:color w:val="auto"/>
        </w:rPr>
      </w:pPr>
      <w:r>
        <w:rPr>
          <w:rFonts w:ascii="Arial" w:cs="Arial" w:eastAsia="Arial" w:hAnsi="Arial"/>
          <w:sz w:val="17"/>
          <w:szCs w:val="17"/>
          <w:b w:val="1"/>
          <w:bCs w:val="1"/>
          <w:color w:val="auto"/>
        </w:rPr>
        <w:t>(a)(1)</w:t>
      </w:r>
      <w:r>
        <w:rPr>
          <w:sz w:val="20"/>
          <w:szCs w:val="20"/>
          <w:color w:val="auto"/>
        </w:rPr>
        <w:tab/>
      </w:r>
      <w:r>
        <w:rPr>
          <w:rFonts w:ascii="Arial" w:cs="Arial" w:eastAsia="Arial" w:hAnsi="Arial"/>
          <w:sz w:val="15"/>
          <w:szCs w:val="15"/>
          <w:b w:val="1"/>
          <w:bCs w:val="1"/>
          <w:color w:val="auto"/>
        </w:rPr>
        <w:t>Financial Statements</w:t>
      </w:r>
    </w:p>
    <w:p>
      <w:pPr>
        <w:spacing w:after="0" w:line="223"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The Consolidated Financial Statements of Kratos Defense &amp; Security Solutions, Inc. and Report of Deloitte &amp; Touche LLP, Independent Registered Public Accounting Firm, are included in a separate section of this Annual Report beginning on page F-1.</w:t>
      </w:r>
    </w:p>
    <w:p>
      <w:pPr>
        <w:spacing w:after="0" w:line="184" w:lineRule="exact"/>
        <w:rPr>
          <w:sz w:val="20"/>
          <w:szCs w:val="20"/>
          <w:color w:val="auto"/>
        </w:rPr>
      </w:pPr>
    </w:p>
    <w:p>
      <w:pPr>
        <w:ind w:left="620"/>
        <w:spacing w:after="0"/>
        <w:tabs>
          <w:tab w:leader="none" w:pos="1180" w:val="left"/>
        </w:tabs>
        <w:rPr>
          <w:sz w:val="20"/>
          <w:szCs w:val="20"/>
          <w:color w:val="auto"/>
        </w:rPr>
      </w:pPr>
      <w:r>
        <w:rPr>
          <w:rFonts w:ascii="Arial" w:cs="Arial" w:eastAsia="Arial" w:hAnsi="Arial"/>
          <w:sz w:val="17"/>
          <w:szCs w:val="17"/>
          <w:b w:val="1"/>
          <w:bCs w:val="1"/>
          <w:color w:val="auto"/>
        </w:rPr>
        <w:t>(a)(2)</w:t>
      </w:r>
      <w:r>
        <w:rPr>
          <w:sz w:val="20"/>
          <w:szCs w:val="20"/>
          <w:color w:val="auto"/>
        </w:rPr>
        <w:tab/>
      </w:r>
      <w:r>
        <w:rPr>
          <w:rFonts w:ascii="Arial" w:cs="Arial" w:eastAsia="Arial" w:hAnsi="Arial"/>
          <w:sz w:val="15"/>
          <w:szCs w:val="15"/>
          <w:b w:val="1"/>
          <w:bCs w:val="1"/>
          <w:color w:val="auto"/>
        </w:rPr>
        <w:t>Financial Statement Schedules</w:t>
      </w:r>
    </w:p>
    <w:p>
      <w:pPr>
        <w:spacing w:after="0" w:line="22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All schedules have been omitted because they are not applicable or are not required or the information required to be set forth therein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00"/>
          </w:cols>
          <w:pgMar w:left="320" w:top="856" w:right="57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auto"/>
        </w:rPr>
        <w:t>(a) (3) Exhibits</w:t>
      </w:r>
    </w:p>
    <w:p>
      <w:pPr>
        <w:sectPr>
          <w:pgSz w:w="11900" w:h="16838" w:orient="portrait"/>
          <w:cols w:equalWidth="0" w:num="1">
            <w:col w:w="11160"/>
          </w:cols>
          <w:pgMar w:left="320" w:top="85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080" w:type="dxa"/>
            <w:vAlign w:val="bottom"/>
            <w:gridSpan w:val="35"/>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9"/>
        </w:trPr>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4080" w:type="dxa"/>
            <w:vAlign w:val="bottom"/>
            <w:gridSpan w:val="3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30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7"/>
                <w:szCs w:val="17"/>
                <w:color w:val="auto"/>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640" w:type="dxa"/>
            <w:vAlign w:val="bottom"/>
            <w:tcBorders>
              <w:top w:val="single" w:sz="8" w:color="auto"/>
              <w:bottom w:val="single" w:sz="8" w:color="0000FF"/>
            </w:tcBorders>
            <w:gridSpan w:val="17"/>
          </w:tcPr>
          <w:p>
            <w:pPr>
              <w:spacing w:after="0" w:line="175" w:lineRule="exact"/>
              <w:rPr>
                <w:rFonts w:ascii="Arial" w:cs="Arial" w:eastAsia="Arial" w:hAnsi="Arial"/>
                <w:sz w:val="17"/>
                <w:szCs w:val="17"/>
                <w:color w:val="0000FF"/>
                <w:w w:val="89"/>
              </w:rPr>
            </w:pPr>
            <w:hyperlink r:id="rId79">
              <w:r>
                <w:rPr>
                  <w:rFonts w:ascii="Arial" w:cs="Arial" w:eastAsia="Arial" w:hAnsi="Arial"/>
                  <w:sz w:val="17"/>
                  <w:szCs w:val="17"/>
                  <w:color w:val="0000FF"/>
                  <w:w w:val="89"/>
                </w:rPr>
                <w:t>Stock Purchase Agreement, dated February 28, 2018</w:t>
              </w:r>
            </w:hyperlink>
          </w:p>
        </w:tc>
        <w:tc>
          <w:tcPr>
            <w:tcW w:w="440" w:type="dxa"/>
            <w:vAlign w:val="bottom"/>
            <w:tcBorders>
              <w:top w:val="single" w:sz="8" w:color="auto"/>
            </w:tcBorders>
            <w:gridSpan w:val="18"/>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gridSpan w:val="35"/>
          </w:tcPr>
          <w:p>
            <w:pPr>
              <w:spacing w:after="0" w:line="148" w:lineRule="exact"/>
              <w:rPr>
                <w:rFonts w:ascii="Arial" w:cs="Arial" w:eastAsia="Arial" w:hAnsi="Arial"/>
                <w:sz w:val="17"/>
                <w:szCs w:val="17"/>
                <w:color w:val="0000FF"/>
                <w:w w:val="95"/>
              </w:rPr>
            </w:pPr>
            <w:hyperlink r:id="rId79">
              <w:r>
                <w:rPr>
                  <w:rFonts w:ascii="Arial" w:cs="Arial" w:eastAsia="Arial" w:hAnsi="Arial"/>
                  <w:sz w:val="17"/>
                  <w:szCs w:val="17"/>
                  <w:color w:val="0000FF"/>
                  <w:w w:val="95"/>
                </w:rPr>
                <w:t>among Kratos Defense &amp; Security Solutions, Inc., Kratos</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top w:val="single" w:sz="8" w:color="0000FF"/>
            </w:tcBorders>
            <w:gridSpan w:val="29"/>
          </w:tcPr>
          <w:p>
            <w:pPr>
              <w:spacing w:after="0" w:line="148" w:lineRule="exact"/>
              <w:rPr>
                <w:rFonts w:ascii="Arial" w:cs="Arial" w:eastAsia="Arial" w:hAnsi="Arial"/>
                <w:sz w:val="17"/>
                <w:szCs w:val="17"/>
                <w:color w:val="0000FF"/>
              </w:rPr>
            </w:pPr>
            <w:hyperlink r:id="rId79">
              <w:r>
                <w:rPr>
                  <w:rFonts w:ascii="Arial" w:cs="Arial" w:eastAsia="Arial" w:hAnsi="Arial"/>
                  <w:sz w:val="17"/>
                  <w:szCs w:val="17"/>
                  <w:color w:val="0000FF"/>
                </w:rPr>
                <w:t>Public Safety Security Solutions, Inc. and Securitas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tcBorders>
              <w:top w:val="single" w:sz="8" w:color="0000FF"/>
            </w:tcBorders>
            <w:gridSpan w:val="15"/>
          </w:tcPr>
          <w:p>
            <w:pPr>
              <w:spacing w:after="0" w:line="148" w:lineRule="exact"/>
              <w:rPr>
                <w:rFonts w:ascii="Arial" w:cs="Arial" w:eastAsia="Arial" w:hAnsi="Arial"/>
                <w:sz w:val="17"/>
                <w:szCs w:val="17"/>
                <w:color w:val="0000FF"/>
              </w:rPr>
            </w:pPr>
            <w:hyperlink r:id="rId79">
              <w:r>
                <w:rPr>
                  <w:rFonts w:ascii="Arial" w:cs="Arial" w:eastAsia="Arial" w:hAnsi="Arial"/>
                  <w:sz w:val="17"/>
                  <w:szCs w:val="17"/>
                  <w:color w:val="0000FF"/>
                </w:rPr>
                <w:t>Electronic Security, Inc</w:t>
              </w:r>
              <w:r>
                <w:rPr>
                  <w:rFonts w:ascii="Arial" w:cs="Arial" w:eastAsia="Arial" w:hAnsi="Arial"/>
                  <w:sz w:val="17"/>
                  <w:szCs w:val="17"/>
                  <w:color w:val="000000"/>
                </w:rPr>
                <w:t>.</w:t>
              </w:r>
            </w:hyperlink>
          </w:p>
        </w:tc>
        <w:tc>
          <w:tcPr>
            <w:tcW w:w="8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300" w:type="dxa"/>
            <w:vAlign w:val="bottom"/>
          </w:tcPr>
          <w:p>
            <w:pPr>
              <w:ind w:left="20"/>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tcBorders>
              <w:bottom w:val="single" w:sz="8" w:color="0000FF"/>
            </w:tcBorders>
            <w:gridSpan w:val="19"/>
          </w:tcPr>
          <w:p>
            <w:pPr>
              <w:spacing w:after="0"/>
              <w:rPr>
                <w:rFonts w:ascii="Arial" w:cs="Arial" w:eastAsia="Arial" w:hAnsi="Arial"/>
                <w:sz w:val="17"/>
                <w:szCs w:val="17"/>
                <w:color w:val="0000FF"/>
                <w:w w:val="89"/>
              </w:rPr>
            </w:pPr>
            <w:hyperlink r:id="rId80">
              <w:r>
                <w:rPr>
                  <w:rFonts w:ascii="Arial" w:cs="Arial" w:eastAsia="Arial" w:hAnsi="Arial"/>
                  <w:sz w:val="17"/>
                  <w:szCs w:val="17"/>
                  <w:color w:val="0000FF"/>
                  <w:w w:val="89"/>
                </w:rPr>
                <w:t>Purchase Agreement, dated February 27, 2019, by and</w:t>
              </w:r>
            </w:hyperlink>
          </w:p>
        </w:tc>
        <w:tc>
          <w:tcPr>
            <w:tcW w:w="3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gridSpan w:val="35"/>
          </w:tcPr>
          <w:p>
            <w:pPr>
              <w:spacing w:after="0" w:line="148" w:lineRule="exact"/>
              <w:rPr>
                <w:rFonts w:ascii="Arial" w:cs="Arial" w:eastAsia="Arial" w:hAnsi="Arial"/>
                <w:sz w:val="17"/>
                <w:szCs w:val="17"/>
                <w:color w:val="0000FF"/>
                <w:w w:val="94"/>
              </w:rPr>
            </w:pPr>
            <w:hyperlink r:id="rId80">
              <w:r>
                <w:rPr>
                  <w:rFonts w:ascii="Arial" w:cs="Arial" w:eastAsia="Arial" w:hAnsi="Arial"/>
                  <w:sz w:val="17"/>
                  <w:szCs w:val="17"/>
                  <w:color w:val="0000FF"/>
                  <w:w w:val="94"/>
                </w:rPr>
                <w:t>among Kratos Defense &amp; Security Solutions, Inc., Shirley</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40" w:type="dxa"/>
            <w:vAlign w:val="bottom"/>
            <w:tcBorders>
              <w:top w:val="single" w:sz="8" w:color="0000FF"/>
            </w:tcBorders>
            <w:gridSpan w:val="33"/>
          </w:tcPr>
          <w:p>
            <w:pPr>
              <w:spacing w:after="0" w:line="148" w:lineRule="exact"/>
              <w:rPr>
                <w:rFonts w:ascii="Arial" w:cs="Arial" w:eastAsia="Arial" w:hAnsi="Arial"/>
                <w:sz w:val="17"/>
                <w:szCs w:val="17"/>
                <w:color w:val="0000FF"/>
                <w:w w:val="99"/>
              </w:rPr>
            </w:pPr>
            <w:hyperlink r:id="rId80">
              <w:r>
                <w:rPr>
                  <w:rFonts w:ascii="Arial" w:cs="Arial" w:eastAsia="Arial" w:hAnsi="Arial"/>
                  <w:sz w:val="17"/>
                  <w:szCs w:val="17"/>
                  <w:color w:val="0000FF"/>
                  <w:w w:val="99"/>
                </w:rPr>
                <w:t>Brostmeyer, (“SB”), Joseph Brostmeyer (“JB”), certain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tcBorders>
              <w:top w:val="single" w:sz="8" w:color="0000FF"/>
              <w:bottom w:val="single" w:sz="8" w:color="0000FF"/>
            </w:tcBorders>
            <w:gridSpan w:val="14"/>
          </w:tcPr>
          <w:p>
            <w:pPr>
              <w:spacing w:after="0" w:line="148" w:lineRule="exact"/>
              <w:rPr>
                <w:rFonts w:ascii="Arial" w:cs="Arial" w:eastAsia="Arial" w:hAnsi="Arial"/>
                <w:sz w:val="17"/>
                <w:szCs w:val="17"/>
                <w:color w:val="0000FF"/>
                <w:w w:val="90"/>
              </w:rPr>
            </w:pPr>
            <w:hyperlink r:id="rId80">
              <w:r>
                <w:rPr>
                  <w:rFonts w:ascii="Arial" w:cs="Arial" w:eastAsia="Arial" w:hAnsi="Arial"/>
                  <w:sz w:val="17"/>
                  <w:szCs w:val="17"/>
                  <w:color w:val="0000FF"/>
                  <w:w w:val="90"/>
                </w:rPr>
                <w:t>trusts established by SB, JB and members of their</w:t>
              </w:r>
            </w:hyperlink>
          </w:p>
        </w:tc>
        <w:tc>
          <w:tcPr>
            <w:tcW w:w="38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tcBorders>
              <w:bottom w:val="single" w:sz="8" w:color="0000FF"/>
            </w:tcBorders>
            <w:gridSpan w:val="26"/>
          </w:tcPr>
          <w:p>
            <w:pPr>
              <w:spacing w:after="0" w:line="148" w:lineRule="exact"/>
              <w:rPr>
                <w:rFonts w:ascii="Arial" w:cs="Arial" w:eastAsia="Arial" w:hAnsi="Arial"/>
                <w:sz w:val="17"/>
                <w:szCs w:val="17"/>
                <w:color w:val="0000FF"/>
                <w:w w:val="90"/>
              </w:rPr>
            </w:pPr>
            <w:hyperlink r:id="rId80">
              <w:r>
                <w:rPr>
                  <w:rFonts w:ascii="Arial" w:cs="Arial" w:eastAsia="Arial" w:hAnsi="Arial"/>
                  <w:sz w:val="17"/>
                  <w:szCs w:val="17"/>
                  <w:color w:val="0000FF"/>
                  <w:w w:val="90"/>
                </w:rPr>
                <w:t>immediate family, and JB, as the Sellers Representative.</w:t>
              </w:r>
            </w:hyperlink>
          </w:p>
        </w:tc>
        <w:tc>
          <w:tcPr>
            <w:tcW w:w="20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300" w:type="dxa"/>
            <w:vAlign w:val="bottom"/>
          </w:tcPr>
          <w:p>
            <w:pPr>
              <w:ind w:left="2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35"/>
          </w:tcPr>
          <w:p>
            <w:pPr>
              <w:spacing w:after="0"/>
              <w:rPr>
                <w:rFonts w:ascii="Arial" w:cs="Arial" w:eastAsia="Arial" w:hAnsi="Arial"/>
                <w:sz w:val="17"/>
                <w:szCs w:val="17"/>
                <w:color w:val="0000FF"/>
              </w:rPr>
            </w:pPr>
            <w:hyperlink r:id="rId81">
              <w:r>
                <w:rPr>
                  <w:rFonts w:ascii="Arial" w:cs="Arial" w:eastAsia="Arial" w:hAnsi="Arial"/>
                  <w:sz w:val="17"/>
                  <w:szCs w:val="17"/>
                  <w:color w:val="0000FF"/>
                </w:rPr>
                <w:t>Amended and Restated Certificate of Incorporation of</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18"/>
          </w:tcPr>
          <w:p>
            <w:pPr>
              <w:spacing w:after="0" w:line="148" w:lineRule="exact"/>
              <w:rPr>
                <w:rFonts w:ascii="Arial" w:cs="Arial" w:eastAsia="Arial" w:hAnsi="Arial"/>
                <w:sz w:val="17"/>
                <w:szCs w:val="17"/>
                <w:color w:val="0000FF"/>
                <w:w w:val="87"/>
              </w:rPr>
            </w:pPr>
            <w:hyperlink r:id="rId81">
              <w:r>
                <w:rPr>
                  <w:rFonts w:ascii="Arial" w:cs="Arial" w:eastAsia="Arial" w:hAnsi="Arial"/>
                  <w:sz w:val="17"/>
                  <w:szCs w:val="17"/>
                  <w:color w:val="0000FF"/>
                  <w:w w:val="87"/>
                </w:rPr>
                <w:t>Kratos Defense &amp; Security Solutions, Inc., as amended.</w:t>
              </w:r>
            </w:hyperlink>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300" w:type="dxa"/>
            <w:vAlign w:val="bottom"/>
          </w:tcPr>
          <w:p>
            <w:pPr>
              <w:ind w:left="2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35"/>
          </w:tcPr>
          <w:p>
            <w:pPr>
              <w:spacing w:after="0"/>
              <w:rPr>
                <w:rFonts w:ascii="Arial" w:cs="Arial" w:eastAsia="Arial" w:hAnsi="Arial"/>
                <w:sz w:val="17"/>
                <w:szCs w:val="17"/>
                <w:color w:val="0000FF"/>
                <w:w w:val="92"/>
              </w:rPr>
            </w:pPr>
            <w:hyperlink r:id="rId82">
              <w:r>
                <w:rPr>
                  <w:rFonts w:ascii="Arial" w:cs="Arial" w:eastAsia="Arial" w:hAnsi="Arial"/>
                  <w:sz w:val="17"/>
                  <w:szCs w:val="17"/>
                  <w:color w:val="0000FF"/>
                  <w:w w:val="92"/>
                </w:rPr>
                <w:t>Second Amended and Restated Bylaws of Kratos Defense</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w w:val="90"/>
              </w:rPr>
            </w:pPr>
            <w:hyperlink r:id="rId82">
              <w:r>
                <w:rPr>
                  <w:rFonts w:ascii="Arial" w:cs="Arial" w:eastAsia="Arial" w:hAnsi="Arial"/>
                  <w:sz w:val="17"/>
                  <w:szCs w:val="17"/>
                  <w:color w:val="0000FF"/>
                  <w:w w:val="90"/>
                </w:rPr>
                <w:t>&amp; Security Solutions, Inc., as amended.</w:t>
              </w:r>
            </w:hyperlink>
          </w:p>
        </w:tc>
        <w:tc>
          <w:tcPr>
            <w:tcW w:w="1340" w:type="dxa"/>
            <w:vAlign w:val="bottom"/>
            <w:tcBorders>
              <w:top w:val="single" w:sz="8" w:color="0000FF"/>
            </w:tcBorders>
            <w:gridSpan w:val="2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300" w:type="dxa"/>
            <w:vAlign w:val="bottom"/>
          </w:tcPr>
          <w:p>
            <w:pPr>
              <w:ind w:left="2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bottom w:val="single" w:sz="8" w:color="0000FF"/>
            </w:tcBorders>
            <w:gridSpan w:val="7"/>
          </w:tcPr>
          <w:p>
            <w:pPr>
              <w:spacing w:after="0"/>
              <w:rPr>
                <w:rFonts w:ascii="Arial" w:cs="Arial" w:eastAsia="Arial" w:hAnsi="Arial"/>
                <w:sz w:val="17"/>
                <w:szCs w:val="17"/>
                <w:color w:val="0000FF"/>
                <w:w w:val="91"/>
              </w:rPr>
            </w:pPr>
            <w:hyperlink r:id="rId83">
              <w:r>
                <w:rPr>
                  <w:rFonts w:ascii="Arial" w:cs="Arial" w:eastAsia="Arial" w:hAnsi="Arial"/>
                  <w:sz w:val="17"/>
                  <w:szCs w:val="17"/>
                  <w:color w:val="0000FF"/>
                  <w:w w:val="91"/>
                </w:rPr>
                <w:t>Specimen Stock Certificate.</w:t>
              </w:r>
            </w:hyperlink>
          </w:p>
        </w:tc>
        <w:tc>
          <w:tcPr>
            <w:tcW w:w="21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1300" w:type="dxa"/>
            <w:vAlign w:val="bottom"/>
          </w:tcPr>
          <w:p>
            <w:pPr>
              <w:ind w:left="20"/>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35"/>
          </w:tcPr>
          <w:p>
            <w:pPr>
              <w:spacing w:after="0"/>
              <w:rPr>
                <w:rFonts w:ascii="Arial" w:cs="Arial" w:eastAsia="Arial" w:hAnsi="Arial"/>
                <w:sz w:val="17"/>
                <w:szCs w:val="17"/>
                <w:color w:val="0000FF"/>
                <w:w w:val="93"/>
              </w:rPr>
            </w:pPr>
            <w:hyperlink r:id="rId84">
              <w:r>
                <w:rPr>
                  <w:rFonts w:ascii="Arial" w:cs="Arial" w:eastAsia="Arial" w:hAnsi="Arial"/>
                  <w:sz w:val="17"/>
                  <w:szCs w:val="17"/>
                  <w:color w:val="0000FF"/>
                  <w:w w:val="93"/>
                </w:rPr>
                <w:t>Indenture, dated as of November 20, 2017, among Kratos</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tcBorders>
              <w:top w:val="single" w:sz="8" w:color="0000FF"/>
            </w:tcBorders>
            <w:gridSpan w:val="30"/>
          </w:tcPr>
          <w:p>
            <w:pPr>
              <w:spacing w:after="0" w:line="148" w:lineRule="exact"/>
              <w:rPr>
                <w:rFonts w:ascii="Arial" w:cs="Arial" w:eastAsia="Arial" w:hAnsi="Arial"/>
                <w:sz w:val="17"/>
                <w:szCs w:val="17"/>
                <w:color w:val="0000FF"/>
              </w:rPr>
            </w:pPr>
            <w:hyperlink r:id="rId84">
              <w:r>
                <w:rPr>
                  <w:rFonts w:ascii="Arial" w:cs="Arial" w:eastAsia="Arial" w:hAnsi="Arial"/>
                  <w:sz w:val="17"/>
                  <w:szCs w:val="17"/>
                  <w:color w:val="0000FF"/>
                </w:rPr>
                <w:t>Defense &amp; Security Solutions, Inc., as Issuer,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60" w:type="dxa"/>
            <w:vAlign w:val="bottom"/>
            <w:tcBorders>
              <w:top w:val="single" w:sz="8" w:color="0000FF"/>
            </w:tcBorders>
            <w:gridSpan w:val="12"/>
          </w:tcPr>
          <w:p>
            <w:pPr>
              <w:spacing w:after="0" w:line="148" w:lineRule="exact"/>
              <w:rPr>
                <w:rFonts w:ascii="Arial" w:cs="Arial" w:eastAsia="Arial" w:hAnsi="Arial"/>
                <w:sz w:val="17"/>
                <w:szCs w:val="17"/>
                <w:color w:val="0000FF"/>
                <w:w w:val="92"/>
              </w:rPr>
            </w:pPr>
            <w:hyperlink r:id="rId84">
              <w:r>
                <w:rPr>
                  <w:rFonts w:ascii="Arial" w:cs="Arial" w:eastAsia="Arial" w:hAnsi="Arial"/>
                  <w:sz w:val="17"/>
                  <w:szCs w:val="17"/>
                  <w:color w:val="0000FF"/>
                  <w:w w:val="92"/>
                </w:rPr>
                <w:t>Guarantors party thereto, and Wilmington Trust,</w:t>
              </w:r>
            </w:hyperlink>
          </w:p>
        </w:tc>
        <w:tc>
          <w:tcPr>
            <w:tcW w:w="720" w:type="dxa"/>
            <w:vAlign w:val="bottom"/>
            <w:gridSpan w:val="23"/>
          </w:tcPr>
          <w:p>
            <w:pPr>
              <w:spacing w:after="0" w:line="148" w:lineRule="exact"/>
              <w:rPr>
                <w:rFonts w:ascii="Arial" w:cs="Arial" w:eastAsia="Arial" w:hAnsi="Arial"/>
                <w:sz w:val="17"/>
                <w:szCs w:val="17"/>
                <w:color w:val="0000FF"/>
              </w:rPr>
            </w:pPr>
            <w:hyperlink r:id="rId84">
              <w:r>
                <w:rPr>
                  <w:rFonts w:ascii="Arial" w:cs="Arial" w:eastAsia="Arial" w:hAnsi="Arial"/>
                  <w:sz w:val="17"/>
                  <w:szCs w:val="17"/>
                  <w:color w:val="0000FF"/>
                </w:rPr>
                <w:t>National</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top w:val="single" w:sz="8" w:color="0000FF"/>
            </w:tcBorders>
            <w:gridSpan w:val="31"/>
          </w:tcPr>
          <w:p>
            <w:pPr>
              <w:spacing w:after="0" w:line="148" w:lineRule="exact"/>
              <w:rPr>
                <w:rFonts w:ascii="Arial" w:cs="Arial" w:eastAsia="Arial" w:hAnsi="Arial"/>
                <w:sz w:val="17"/>
                <w:szCs w:val="17"/>
                <w:color w:val="0000FF"/>
              </w:rPr>
            </w:pPr>
            <w:hyperlink r:id="rId84">
              <w:r>
                <w:rPr>
                  <w:rFonts w:ascii="Arial" w:cs="Arial" w:eastAsia="Arial" w:hAnsi="Arial"/>
                  <w:sz w:val="17"/>
                  <w:szCs w:val="17"/>
                  <w:color w:val="0000FF"/>
                </w:rPr>
                <w:t>Association, as Trustee and Collateral Agent.</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300" w:type="dxa"/>
            <w:vAlign w:val="bottom"/>
          </w:tcPr>
          <w:p>
            <w:pPr>
              <w:ind w:left="20"/>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35"/>
          </w:tcPr>
          <w:p>
            <w:pPr>
              <w:spacing w:after="0"/>
              <w:rPr>
                <w:rFonts w:ascii="Arial" w:cs="Arial" w:eastAsia="Arial" w:hAnsi="Arial"/>
                <w:sz w:val="17"/>
                <w:szCs w:val="17"/>
                <w:color w:val="0000FF"/>
                <w:w w:val="95"/>
              </w:rPr>
            </w:pPr>
            <w:hyperlink r:id="rId85">
              <w:r>
                <w:rPr>
                  <w:rFonts w:ascii="Arial" w:cs="Arial" w:eastAsia="Arial" w:hAnsi="Arial"/>
                  <w:sz w:val="17"/>
                  <w:szCs w:val="17"/>
                  <w:color w:val="0000FF"/>
                  <w:w w:val="95"/>
                </w:rPr>
                <w:t>First Supplemental Indenture, dated as of December 21,</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24"/>
          </w:tcPr>
          <w:p>
            <w:pPr>
              <w:spacing w:after="0" w:line="148" w:lineRule="exact"/>
              <w:rPr>
                <w:rFonts w:ascii="Arial" w:cs="Arial" w:eastAsia="Arial" w:hAnsi="Arial"/>
                <w:sz w:val="17"/>
                <w:szCs w:val="17"/>
                <w:color w:val="0000FF"/>
                <w:w w:val="91"/>
              </w:rPr>
            </w:pPr>
            <w:hyperlink r:id="rId85">
              <w:r>
                <w:rPr>
                  <w:rFonts w:ascii="Arial" w:cs="Arial" w:eastAsia="Arial" w:hAnsi="Arial"/>
                  <w:sz w:val="17"/>
                  <w:szCs w:val="17"/>
                  <w:color w:val="0000FF"/>
                  <w:w w:val="91"/>
                </w:rPr>
                <w:t>2017, among Kratos Defense &amp; Security Solutions, Inc.,</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tcBorders>
              <w:bottom w:val="single" w:sz="8" w:color="0000FF"/>
            </w:tcBorders>
            <w:gridSpan w:val="26"/>
          </w:tcPr>
          <w:p>
            <w:pPr>
              <w:spacing w:after="0" w:line="148" w:lineRule="exact"/>
              <w:rPr>
                <w:rFonts w:ascii="Arial" w:cs="Arial" w:eastAsia="Arial" w:hAnsi="Arial"/>
                <w:sz w:val="17"/>
                <w:szCs w:val="17"/>
                <w:color w:val="0000FF"/>
                <w:w w:val="89"/>
              </w:rPr>
            </w:pPr>
            <w:hyperlink r:id="rId85">
              <w:r>
                <w:rPr>
                  <w:rFonts w:ascii="Arial" w:cs="Arial" w:eastAsia="Arial" w:hAnsi="Arial"/>
                  <w:sz w:val="17"/>
                  <w:szCs w:val="17"/>
                  <w:color w:val="0000FF"/>
                  <w:w w:val="89"/>
                </w:rPr>
                <w:t>as Issuer, the Guarantor as party thereto, and Wilmington</w:t>
              </w:r>
            </w:hyperlink>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gridSpan w:val="28"/>
          </w:tcPr>
          <w:p>
            <w:pPr>
              <w:spacing w:after="0" w:line="148" w:lineRule="exact"/>
              <w:rPr>
                <w:rFonts w:ascii="Arial" w:cs="Arial" w:eastAsia="Arial" w:hAnsi="Arial"/>
                <w:sz w:val="17"/>
                <w:szCs w:val="17"/>
                <w:color w:val="0000FF"/>
              </w:rPr>
            </w:pPr>
            <w:hyperlink r:id="rId85">
              <w:r>
                <w:rPr>
                  <w:rFonts w:ascii="Arial" w:cs="Arial" w:eastAsia="Arial" w:hAnsi="Arial"/>
                  <w:sz w:val="17"/>
                  <w:szCs w:val="17"/>
                  <w:color w:val="0000FF"/>
                </w:rPr>
                <w:t>Trust, National Association, as Trustee.</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300" w:type="dxa"/>
            <w:vAlign w:val="bottom"/>
          </w:tcPr>
          <w:p>
            <w:pPr>
              <w:ind w:left="20"/>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35"/>
          </w:tcPr>
          <w:p>
            <w:pPr>
              <w:spacing w:after="0"/>
              <w:rPr>
                <w:rFonts w:ascii="Arial" w:cs="Arial" w:eastAsia="Arial" w:hAnsi="Arial"/>
                <w:sz w:val="17"/>
                <w:szCs w:val="17"/>
                <w:color w:val="0000FF"/>
                <w:w w:val="94"/>
              </w:rPr>
            </w:pPr>
            <w:hyperlink r:id="rId86">
              <w:r>
                <w:rPr>
                  <w:rFonts w:ascii="Arial" w:cs="Arial" w:eastAsia="Arial" w:hAnsi="Arial"/>
                  <w:sz w:val="17"/>
                  <w:szCs w:val="17"/>
                  <w:color w:val="0000FF"/>
                  <w:w w:val="94"/>
                </w:rPr>
                <w:t>Description of Equity Securities Registered under Section</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w w:val="90"/>
              </w:rPr>
            </w:pPr>
            <w:hyperlink r:id="rId86">
              <w:r>
                <w:rPr>
                  <w:rFonts w:ascii="Arial" w:cs="Arial" w:eastAsia="Arial" w:hAnsi="Arial"/>
                  <w:sz w:val="17"/>
                  <w:szCs w:val="17"/>
                  <w:color w:val="0000FF"/>
                  <w:w w:val="90"/>
                </w:rPr>
                <w:t>12 of the Exchange Act.</w:t>
              </w:r>
            </w:hyperlink>
          </w:p>
        </w:tc>
        <w:tc>
          <w:tcPr>
            <w:tcW w:w="2360" w:type="dxa"/>
            <w:vAlign w:val="bottom"/>
            <w:tcBorders>
              <w:top w:val="single" w:sz="8" w:color="0000FF"/>
            </w:tcBorders>
            <w:gridSpan w:val="28"/>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300" w:type="dxa"/>
            <w:vAlign w:val="bottom"/>
          </w:tcPr>
          <w:p>
            <w:pPr>
              <w:ind w:left="2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35"/>
          </w:tcPr>
          <w:p>
            <w:pPr>
              <w:spacing w:after="0"/>
              <w:rPr>
                <w:rFonts w:ascii="Arial" w:cs="Arial" w:eastAsia="Arial" w:hAnsi="Arial"/>
                <w:sz w:val="17"/>
                <w:szCs w:val="17"/>
                <w:color w:val="0000FF"/>
              </w:rPr>
            </w:pPr>
            <w:hyperlink r:id="rId87">
              <w:r>
                <w:rPr>
                  <w:rFonts w:ascii="Arial" w:cs="Arial" w:eastAsia="Arial" w:hAnsi="Arial"/>
                  <w:sz w:val="17"/>
                  <w:szCs w:val="17"/>
                  <w:color w:val="0000FF"/>
                </w:rPr>
                <w:t>Form of Indemnification Agreement by and between</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tcBorders>
              <w:top w:val="single" w:sz="8" w:color="0000FF"/>
            </w:tcBorders>
            <w:gridSpan w:val="16"/>
          </w:tcPr>
          <w:p>
            <w:pPr>
              <w:spacing w:after="0" w:line="148" w:lineRule="exact"/>
              <w:rPr>
                <w:rFonts w:ascii="Arial" w:cs="Arial" w:eastAsia="Arial" w:hAnsi="Arial"/>
                <w:sz w:val="17"/>
                <w:szCs w:val="17"/>
                <w:color w:val="0000FF"/>
                <w:w w:val="98"/>
              </w:rPr>
            </w:pPr>
            <w:hyperlink r:id="rId87">
              <w:r>
                <w:rPr>
                  <w:rFonts w:ascii="Arial" w:cs="Arial" w:eastAsia="Arial" w:hAnsi="Arial"/>
                  <w:sz w:val="17"/>
                  <w:szCs w:val="17"/>
                  <w:color w:val="0000FF"/>
                  <w:w w:val="98"/>
                </w:rPr>
                <w:t>Kratos Defense &amp; Security Solutions, Inc. and its</w:t>
              </w:r>
            </w:hyperlink>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tcBorders>
              <w:top w:val="single" w:sz="8" w:color="0000FF"/>
              <w:bottom w:val="single" w:sz="8" w:color="0000FF"/>
            </w:tcBorders>
            <w:gridSpan w:val="8"/>
          </w:tcPr>
          <w:p>
            <w:pPr>
              <w:spacing w:after="0" w:line="148" w:lineRule="exact"/>
              <w:rPr>
                <w:rFonts w:ascii="Arial" w:cs="Arial" w:eastAsia="Arial" w:hAnsi="Arial"/>
                <w:sz w:val="17"/>
                <w:szCs w:val="17"/>
                <w:color w:val="0000FF"/>
                <w:w w:val="91"/>
              </w:rPr>
            </w:pPr>
            <w:hyperlink r:id="rId87">
              <w:r>
                <w:rPr>
                  <w:rFonts w:ascii="Arial" w:cs="Arial" w:eastAsia="Arial" w:hAnsi="Arial"/>
                  <w:sz w:val="17"/>
                  <w:szCs w:val="17"/>
                  <w:color w:val="0000FF"/>
                  <w:w w:val="91"/>
                </w:rPr>
                <w:t>directors and executive officers.</w:t>
              </w:r>
            </w:hyperlink>
          </w:p>
        </w:tc>
        <w:tc>
          <w:tcPr>
            <w:tcW w:w="1180" w:type="dxa"/>
            <w:vAlign w:val="bottom"/>
            <w:tcBorders>
              <w:top w:val="single" w:sz="8" w:color="0000FF"/>
            </w:tcBorders>
            <w:gridSpan w:val="5"/>
          </w:tcPr>
          <w:p>
            <w:pPr>
              <w:spacing w:after="0"/>
              <w:rPr>
                <w:sz w:val="12"/>
                <w:szCs w:val="12"/>
                <w:color w:val="auto"/>
              </w:rPr>
            </w:pPr>
          </w:p>
        </w:tc>
        <w:tc>
          <w:tcPr>
            <w:tcW w:w="36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300" w:type="dxa"/>
            <w:vAlign w:val="bottom"/>
          </w:tcPr>
          <w:p>
            <w:pPr>
              <w:ind w:left="20"/>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35"/>
          </w:tcPr>
          <w:p>
            <w:pPr>
              <w:spacing w:after="0"/>
              <w:rPr>
                <w:rFonts w:ascii="Arial" w:cs="Arial" w:eastAsia="Arial" w:hAnsi="Arial"/>
                <w:sz w:val="17"/>
                <w:szCs w:val="17"/>
                <w:color w:val="0000FF"/>
                <w:w w:val="95"/>
              </w:rPr>
            </w:pPr>
            <w:hyperlink r:id="rId88">
              <w:r>
                <w:rPr>
                  <w:rFonts w:ascii="Arial" w:cs="Arial" w:eastAsia="Arial" w:hAnsi="Arial"/>
                  <w:sz w:val="17"/>
                  <w:szCs w:val="17"/>
                  <w:color w:val="0000FF"/>
                  <w:w w:val="95"/>
                </w:rPr>
                <w:t>Amended and Restated 1999 Employee Stock Purchase</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20" w:type="dxa"/>
            <w:vAlign w:val="bottom"/>
            <w:tcBorders>
              <w:top w:val="single" w:sz="8" w:color="0000FF"/>
            </w:tcBorders>
            <w:gridSpan w:val="23"/>
          </w:tcPr>
          <w:p>
            <w:pPr>
              <w:spacing w:after="0" w:line="148" w:lineRule="exact"/>
              <w:rPr>
                <w:rFonts w:ascii="Arial" w:cs="Arial" w:eastAsia="Arial" w:hAnsi="Arial"/>
                <w:sz w:val="17"/>
                <w:szCs w:val="17"/>
                <w:color w:val="0000FF"/>
              </w:rPr>
            </w:pPr>
            <w:hyperlink r:id="rId88">
              <w:r>
                <w:rPr>
                  <w:rFonts w:ascii="Arial" w:cs="Arial" w:eastAsia="Arial" w:hAnsi="Arial"/>
                  <w:sz w:val="17"/>
                  <w:szCs w:val="17"/>
                  <w:color w:val="0000FF"/>
                </w:rPr>
                <w:t>Plan.</w:t>
              </w:r>
            </w:hyperlink>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300" w:type="dxa"/>
            <w:vAlign w:val="bottom"/>
          </w:tcPr>
          <w:p>
            <w:pPr>
              <w:ind w:left="20"/>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bottom w:val="single" w:sz="8" w:color="0000FF"/>
            </w:tcBorders>
            <w:gridSpan w:val="6"/>
          </w:tcPr>
          <w:p>
            <w:pPr>
              <w:spacing w:after="0"/>
              <w:rPr>
                <w:rFonts w:ascii="Arial" w:cs="Arial" w:eastAsia="Arial" w:hAnsi="Arial"/>
                <w:sz w:val="17"/>
                <w:szCs w:val="17"/>
                <w:color w:val="0000FF"/>
                <w:w w:val="92"/>
              </w:rPr>
            </w:pPr>
            <w:hyperlink r:id="rId89">
              <w:r>
                <w:rPr>
                  <w:rFonts w:ascii="Arial" w:cs="Arial" w:eastAsia="Arial" w:hAnsi="Arial"/>
                  <w:sz w:val="17"/>
                  <w:szCs w:val="17"/>
                  <w:color w:val="0000FF"/>
                  <w:w w:val="92"/>
                </w:rPr>
                <w:t>2005 Equity Incentive Plan.</w:t>
              </w:r>
            </w:hyperlink>
          </w:p>
        </w:tc>
        <w:tc>
          <w:tcPr>
            <w:tcW w:w="216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1300" w:type="dxa"/>
            <w:vAlign w:val="bottom"/>
          </w:tcPr>
          <w:p>
            <w:pPr>
              <w:ind w:left="2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35"/>
          </w:tcPr>
          <w:p>
            <w:pPr>
              <w:spacing w:after="0"/>
              <w:rPr>
                <w:rFonts w:ascii="Arial" w:cs="Arial" w:eastAsia="Arial" w:hAnsi="Arial"/>
                <w:sz w:val="17"/>
                <w:szCs w:val="17"/>
                <w:color w:val="0000FF"/>
                <w:w w:val="99"/>
              </w:rPr>
            </w:pPr>
            <w:hyperlink r:id="rId90">
              <w:r>
                <w:rPr>
                  <w:rFonts w:ascii="Arial" w:cs="Arial" w:eastAsia="Arial" w:hAnsi="Arial"/>
                  <w:sz w:val="17"/>
                  <w:szCs w:val="17"/>
                  <w:color w:val="0000FF"/>
                  <w:w w:val="99"/>
                </w:rPr>
                <w:t>Form of Stock Option Agreement pursuant to the 2005</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w w:val="95"/>
              </w:rPr>
            </w:pPr>
            <w:hyperlink r:id="rId90">
              <w:r>
                <w:rPr>
                  <w:rFonts w:ascii="Arial" w:cs="Arial" w:eastAsia="Arial" w:hAnsi="Arial"/>
                  <w:sz w:val="17"/>
                  <w:szCs w:val="17"/>
                  <w:color w:val="0000FF"/>
                  <w:w w:val="95"/>
                </w:rPr>
                <w:t>Equity Incentive Plan.</w:t>
              </w:r>
            </w:hyperlink>
          </w:p>
        </w:tc>
        <w:tc>
          <w:tcPr>
            <w:tcW w:w="216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300" w:type="dxa"/>
            <w:vAlign w:val="bottom"/>
          </w:tcPr>
          <w:p>
            <w:pPr>
              <w:ind w:left="20"/>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Borders>
              <w:bottom w:val="single" w:sz="8" w:color="0000FF"/>
            </w:tcBorders>
            <w:gridSpan w:val="21"/>
          </w:tcPr>
          <w:p>
            <w:pPr>
              <w:spacing w:after="0"/>
              <w:rPr>
                <w:rFonts w:ascii="Arial" w:cs="Arial" w:eastAsia="Arial" w:hAnsi="Arial"/>
                <w:sz w:val="17"/>
                <w:szCs w:val="17"/>
                <w:color w:val="0000FF"/>
                <w:w w:val="92"/>
              </w:rPr>
            </w:pPr>
            <w:hyperlink r:id="rId91">
              <w:r>
                <w:rPr>
                  <w:rFonts w:ascii="Arial" w:cs="Arial" w:eastAsia="Arial" w:hAnsi="Arial"/>
                  <w:sz w:val="17"/>
                  <w:szCs w:val="17"/>
                  <w:color w:val="0000FF"/>
                  <w:w w:val="92"/>
                </w:rPr>
                <w:t>Form of Restricted Stock Unit Agreement and Form of</w:t>
              </w:r>
            </w:hyperlink>
          </w:p>
        </w:tc>
        <w:tc>
          <w:tcPr>
            <w:tcW w:w="3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gridSpan w:val="35"/>
          </w:tcPr>
          <w:p>
            <w:pPr>
              <w:spacing w:after="0" w:line="148" w:lineRule="exact"/>
              <w:rPr>
                <w:rFonts w:ascii="Arial" w:cs="Arial" w:eastAsia="Arial" w:hAnsi="Arial"/>
                <w:sz w:val="17"/>
                <w:szCs w:val="17"/>
                <w:color w:val="0000FF"/>
                <w:w w:val="95"/>
              </w:rPr>
            </w:pPr>
            <w:hyperlink r:id="rId91">
              <w:r>
                <w:rPr>
                  <w:rFonts w:ascii="Arial" w:cs="Arial" w:eastAsia="Arial" w:hAnsi="Arial"/>
                  <w:sz w:val="17"/>
                  <w:szCs w:val="17"/>
                  <w:color w:val="0000FF"/>
                  <w:w w:val="95"/>
                </w:rPr>
                <w:t>Notice of Grant of Restricted Stock Units under the 2005</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tcBorders>
              <w:top w:val="single" w:sz="8" w:color="0000FF"/>
            </w:tcBorders>
            <w:gridSpan w:val="27"/>
          </w:tcPr>
          <w:p>
            <w:pPr>
              <w:spacing w:after="0" w:line="148" w:lineRule="exact"/>
              <w:rPr>
                <w:rFonts w:ascii="Arial" w:cs="Arial" w:eastAsia="Arial" w:hAnsi="Arial"/>
                <w:sz w:val="17"/>
                <w:szCs w:val="17"/>
                <w:color w:val="0000FF"/>
              </w:rPr>
            </w:pPr>
            <w:hyperlink r:id="rId91">
              <w:r>
                <w:rPr>
                  <w:rFonts w:ascii="Arial" w:cs="Arial" w:eastAsia="Arial" w:hAnsi="Arial"/>
                  <w:sz w:val="17"/>
                  <w:szCs w:val="17"/>
                  <w:color w:val="0000FF"/>
                </w:rPr>
                <w:t>Equity Incentive Plan.</w:t>
              </w:r>
            </w:hyperlink>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40" w:type="dxa"/>
            <w:vAlign w:val="bottom"/>
            <w:gridSpan w:val="1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300" w:type="dxa"/>
            <w:vAlign w:val="bottom"/>
          </w:tcPr>
          <w:p>
            <w:pPr>
              <w:ind w:left="20"/>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35"/>
          </w:tcPr>
          <w:p>
            <w:pPr>
              <w:spacing w:after="0"/>
              <w:rPr>
                <w:rFonts w:ascii="Arial" w:cs="Arial" w:eastAsia="Arial" w:hAnsi="Arial"/>
                <w:sz w:val="17"/>
                <w:szCs w:val="17"/>
                <w:color w:val="0000FF"/>
              </w:rPr>
            </w:pPr>
            <w:hyperlink r:id="rId92">
              <w:r>
                <w:rPr>
                  <w:rFonts w:ascii="Arial" w:cs="Arial" w:eastAsia="Arial" w:hAnsi="Arial"/>
                  <w:sz w:val="17"/>
                  <w:szCs w:val="17"/>
                  <w:color w:val="0000FF"/>
                </w:rPr>
                <w:t>2011 Equity Incentive Plan.</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1840" w:type="dxa"/>
            <w:vAlign w:val="bottom"/>
            <w:gridSpan w:val="1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300" w:type="dxa"/>
            <w:vAlign w:val="bottom"/>
          </w:tcPr>
          <w:p>
            <w:pPr>
              <w:ind w:left="20"/>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bottom w:val="single" w:sz="8" w:color="0000FF"/>
            </w:tcBorders>
            <w:gridSpan w:val="19"/>
          </w:tcPr>
          <w:p>
            <w:pPr>
              <w:spacing w:after="0"/>
              <w:rPr>
                <w:rFonts w:ascii="Arial" w:cs="Arial" w:eastAsia="Arial" w:hAnsi="Arial"/>
                <w:sz w:val="17"/>
                <w:szCs w:val="17"/>
                <w:color w:val="0000FF"/>
                <w:w w:val="92"/>
              </w:rPr>
            </w:pPr>
            <w:hyperlink r:id="rId93">
              <w:r>
                <w:rPr>
                  <w:rFonts w:ascii="Arial" w:cs="Arial" w:eastAsia="Arial" w:hAnsi="Arial"/>
                  <w:sz w:val="17"/>
                  <w:szCs w:val="17"/>
                  <w:color w:val="0000FF"/>
                  <w:w w:val="92"/>
                </w:rPr>
                <w:t>Form of Notice of Grant of Restricted Stock Units and</w:t>
              </w:r>
            </w:hyperlink>
          </w:p>
        </w:tc>
        <w:tc>
          <w:tcPr>
            <w:tcW w:w="3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gridSpan w:val="35"/>
          </w:tcPr>
          <w:p>
            <w:pPr>
              <w:spacing w:after="0" w:line="148" w:lineRule="exact"/>
              <w:rPr>
                <w:rFonts w:ascii="Arial" w:cs="Arial" w:eastAsia="Arial" w:hAnsi="Arial"/>
                <w:sz w:val="17"/>
                <w:szCs w:val="17"/>
                <w:color w:val="0000FF"/>
                <w:w w:val="97"/>
              </w:rPr>
            </w:pPr>
            <w:hyperlink r:id="rId93">
              <w:r>
                <w:rPr>
                  <w:rFonts w:ascii="Arial" w:cs="Arial" w:eastAsia="Arial" w:hAnsi="Arial"/>
                  <w:sz w:val="17"/>
                  <w:szCs w:val="17"/>
                  <w:color w:val="0000FF"/>
                  <w:w w:val="97"/>
                </w:rPr>
                <w:t>Restricted Stock Unit Award Agreement pursuant to the</w:t>
              </w:r>
            </w:hyperlink>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60" w:type="dxa"/>
            <w:vAlign w:val="bottom"/>
            <w:tcBorders>
              <w:top w:val="single" w:sz="8" w:color="0000FF"/>
            </w:tcBorders>
            <w:gridSpan w:val="25"/>
          </w:tcPr>
          <w:p>
            <w:pPr>
              <w:spacing w:after="0" w:line="148" w:lineRule="exact"/>
              <w:rPr>
                <w:rFonts w:ascii="Arial" w:cs="Arial" w:eastAsia="Arial" w:hAnsi="Arial"/>
                <w:sz w:val="17"/>
                <w:szCs w:val="17"/>
                <w:color w:val="0000FF"/>
              </w:rPr>
            </w:pPr>
            <w:hyperlink r:id="rId93">
              <w:r>
                <w:rPr>
                  <w:rFonts w:ascii="Arial" w:cs="Arial" w:eastAsia="Arial" w:hAnsi="Arial"/>
                  <w:sz w:val="17"/>
                  <w:szCs w:val="17"/>
                  <w:color w:val="0000FF"/>
                </w:rPr>
                <w:t>2011 Equity Incentive Plan.</w:t>
              </w:r>
            </w:hyperlink>
          </w:p>
        </w:tc>
        <w:tc>
          <w:tcPr>
            <w:tcW w:w="22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218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300" w:type="dxa"/>
            <w:vAlign w:val="bottom"/>
          </w:tcPr>
          <w:p>
            <w:pPr>
              <w:ind w:left="20"/>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bottom w:val="single" w:sz="8" w:color="0000FF"/>
            </w:tcBorders>
            <w:gridSpan w:val="6"/>
          </w:tcPr>
          <w:p>
            <w:pPr>
              <w:spacing w:after="0"/>
              <w:rPr>
                <w:rFonts w:ascii="Arial" w:cs="Arial" w:eastAsia="Arial" w:hAnsi="Arial"/>
                <w:sz w:val="17"/>
                <w:szCs w:val="17"/>
                <w:color w:val="0000FF"/>
                <w:w w:val="92"/>
              </w:rPr>
            </w:pPr>
            <w:hyperlink r:id="rId94">
              <w:r>
                <w:rPr>
                  <w:rFonts w:ascii="Arial" w:cs="Arial" w:eastAsia="Arial" w:hAnsi="Arial"/>
                  <w:sz w:val="17"/>
                  <w:szCs w:val="17"/>
                  <w:color w:val="0000FF"/>
                  <w:w w:val="92"/>
                </w:rPr>
                <w:t>2014 Equity Incentive Plan.</w:t>
              </w:r>
            </w:hyperlink>
          </w:p>
        </w:tc>
        <w:tc>
          <w:tcPr>
            <w:tcW w:w="216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Incorporated by</w:t>
      </w:r>
    </w:p>
    <w:p>
      <w:pPr>
        <w:ind w:left="20"/>
        <w:spacing w:after="0"/>
        <w:rPr>
          <w:sz w:val="20"/>
          <w:szCs w:val="20"/>
          <w:color w:val="auto"/>
        </w:rPr>
      </w:pPr>
      <w:r>
        <w:rPr>
          <w:rFonts w:ascii="Arial" w:cs="Arial" w:eastAsia="Arial" w:hAnsi="Arial"/>
          <w:sz w:val="14"/>
          <w:szCs w:val="14"/>
          <w:b w:val="1"/>
          <w:bCs w:val="1"/>
          <w:color w:val="auto"/>
        </w:rPr>
        <w:t>Reference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ind w:left="20"/>
              <w:spacing w:after="0" w:line="121"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29"/>
        </w:trPr>
        <w:tc>
          <w:tcPr>
            <w:tcW w:w="1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1"/>
                <w:szCs w:val="11"/>
                <w:color w:val="auto"/>
              </w:rPr>
            </w:pPr>
          </w:p>
        </w:tc>
        <w:tc>
          <w:tcPr>
            <w:tcW w:w="2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Filing Date (File No.)   Exhibit</w:t>
            </w:r>
          </w:p>
        </w:tc>
        <w:tc>
          <w:tcPr>
            <w:tcW w:w="13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9"/>
        </w:trPr>
        <w:tc>
          <w:tcPr>
            <w:tcW w:w="13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840" w:type="dxa"/>
            <w:vAlign w:val="bottom"/>
            <w:gridSpan w:val="4"/>
            <w:vMerge w:val="continue"/>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980" w:type="dxa"/>
            <w:vAlign w:val="bottom"/>
            <w:vMerge w:val="restart"/>
          </w:tcPr>
          <w:p>
            <w:pPr>
              <w:jc w:val="center"/>
              <w:ind w:right="234"/>
              <w:spacing w:after="0"/>
              <w:rPr>
                <w:sz w:val="20"/>
                <w:szCs w:val="20"/>
                <w:color w:val="auto"/>
              </w:rPr>
            </w:pPr>
            <w:r>
              <w:rPr>
                <w:rFonts w:ascii="Arial" w:cs="Arial" w:eastAsia="Arial" w:hAnsi="Arial"/>
                <w:sz w:val="17"/>
                <w:szCs w:val="17"/>
                <w:color w:val="auto"/>
                <w:w w:val="89"/>
              </w:rPr>
              <w:t>10-Q</w:t>
            </w: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2"/>
              </w:rPr>
              <w:t>5/10/2018</w:t>
            </w:r>
          </w:p>
        </w:tc>
        <w:tc>
          <w:tcPr>
            <w:tcW w:w="720" w:type="dxa"/>
            <w:vAlign w:val="bottom"/>
            <w:vMerge w:val="restart"/>
          </w:tcPr>
          <w:p>
            <w:pPr>
              <w:jc w:val="center"/>
              <w:ind w:left="314"/>
              <w:spacing w:after="0"/>
              <w:rPr>
                <w:sz w:val="20"/>
                <w:szCs w:val="20"/>
                <w:color w:val="auto"/>
              </w:rPr>
            </w:pPr>
            <w:r>
              <w:rPr>
                <w:rFonts w:ascii="Arial" w:cs="Arial" w:eastAsia="Arial" w:hAnsi="Arial"/>
                <w:sz w:val="17"/>
                <w:szCs w:val="17"/>
                <w:color w:val="auto"/>
                <w:w w:val="84"/>
              </w:rPr>
              <w:t>2.2</w:t>
            </w:r>
          </w:p>
        </w:tc>
        <w:tc>
          <w:tcPr>
            <w:tcW w:w="0" w:type="dxa"/>
            <w:vAlign w:val="bottom"/>
          </w:tcPr>
          <w:p>
            <w:pPr>
              <w:spacing w:after="0"/>
              <w:rPr>
                <w:sz w:val="1"/>
                <w:szCs w:val="1"/>
                <w:color w:val="auto"/>
              </w:rPr>
            </w:pPr>
          </w:p>
        </w:tc>
      </w:tr>
      <w:tr>
        <w:trPr>
          <w:trHeight w:val="217"/>
        </w:trPr>
        <w:tc>
          <w:tcPr>
            <w:tcW w:w="980" w:type="dxa"/>
            <w:vAlign w:val="bottom"/>
            <w:vMerge w:val="continue"/>
          </w:tcPr>
          <w:p>
            <w:pPr>
              <w:spacing w:after="0"/>
              <w:rPr>
                <w:sz w:val="18"/>
                <w:szCs w:val="18"/>
                <w:color w:val="auto"/>
              </w:rPr>
            </w:pP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2"/>
              </w:rPr>
              <w:t>(001-34460)</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2"/>
        </w:trPr>
        <w:tc>
          <w:tcPr>
            <w:tcW w:w="980" w:type="dxa"/>
            <w:vAlign w:val="bottom"/>
            <w:vMerge w:val="restart"/>
          </w:tcPr>
          <w:p>
            <w:pPr>
              <w:jc w:val="center"/>
              <w:ind w:right="234"/>
              <w:spacing w:after="0"/>
              <w:rPr>
                <w:sz w:val="20"/>
                <w:szCs w:val="20"/>
                <w:color w:val="auto"/>
              </w:rPr>
            </w:pPr>
            <w:r>
              <w:rPr>
                <w:rFonts w:ascii="Arial" w:cs="Arial" w:eastAsia="Arial" w:hAnsi="Arial"/>
                <w:sz w:val="17"/>
                <w:szCs w:val="17"/>
                <w:color w:val="auto"/>
                <w:w w:val="89"/>
              </w:rPr>
              <w:t>10-Q</w:t>
            </w: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2"/>
              </w:rPr>
              <w:t>5/08/2019</w:t>
            </w:r>
          </w:p>
        </w:tc>
        <w:tc>
          <w:tcPr>
            <w:tcW w:w="720" w:type="dxa"/>
            <w:vAlign w:val="bottom"/>
            <w:vMerge w:val="restart"/>
          </w:tcPr>
          <w:p>
            <w:pPr>
              <w:jc w:val="center"/>
              <w:ind w:left="314"/>
              <w:spacing w:after="0"/>
              <w:rPr>
                <w:sz w:val="20"/>
                <w:szCs w:val="20"/>
                <w:color w:val="auto"/>
              </w:rPr>
            </w:pPr>
            <w:r>
              <w:rPr>
                <w:rFonts w:ascii="Arial" w:cs="Arial" w:eastAsia="Arial" w:hAnsi="Arial"/>
                <w:sz w:val="17"/>
                <w:szCs w:val="17"/>
                <w:color w:val="auto"/>
                <w:w w:val="84"/>
              </w:rPr>
              <w:t>2.3</w:t>
            </w:r>
          </w:p>
        </w:tc>
        <w:tc>
          <w:tcPr>
            <w:tcW w:w="0" w:type="dxa"/>
            <w:vAlign w:val="bottom"/>
          </w:tcPr>
          <w:p>
            <w:pPr>
              <w:spacing w:after="0"/>
              <w:rPr>
                <w:sz w:val="1"/>
                <w:szCs w:val="1"/>
                <w:color w:val="auto"/>
              </w:rPr>
            </w:pPr>
          </w:p>
        </w:tc>
      </w:tr>
      <w:tr>
        <w:trPr>
          <w:trHeight w:val="217"/>
        </w:trPr>
        <w:tc>
          <w:tcPr>
            <w:tcW w:w="980" w:type="dxa"/>
            <w:vAlign w:val="bottom"/>
            <w:vMerge w:val="continue"/>
          </w:tcPr>
          <w:p>
            <w:pPr>
              <w:spacing w:after="0"/>
              <w:rPr>
                <w:sz w:val="18"/>
                <w:szCs w:val="18"/>
                <w:color w:val="auto"/>
              </w:rPr>
            </w:pP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2"/>
              </w:rPr>
              <w:t>(001-34460)</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980" w:type="dxa"/>
            <w:vAlign w:val="bottom"/>
            <w:vMerge w:val="restart"/>
          </w:tcPr>
          <w:p>
            <w:pPr>
              <w:jc w:val="center"/>
              <w:ind w:right="234"/>
              <w:spacing w:after="0"/>
              <w:rPr>
                <w:sz w:val="20"/>
                <w:szCs w:val="20"/>
                <w:color w:val="auto"/>
              </w:rPr>
            </w:pPr>
            <w:r>
              <w:rPr>
                <w:rFonts w:ascii="Arial" w:cs="Arial" w:eastAsia="Arial" w:hAnsi="Arial"/>
                <w:sz w:val="17"/>
                <w:szCs w:val="17"/>
                <w:color w:val="auto"/>
                <w:w w:val="94"/>
              </w:rPr>
              <w:t>10-K</w:t>
            </w:r>
          </w:p>
        </w:tc>
        <w:tc>
          <w:tcPr>
            <w:tcW w:w="1640" w:type="dxa"/>
            <w:vAlign w:val="bottom"/>
          </w:tcPr>
          <w:p>
            <w:pPr>
              <w:jc w:val="center"/>
              <w:ind w:right="14"/>
              <w:spacing w:after="0" w:line="170" w:lineRule="exact"/>
              <w:rPr>
                <w:sz w:val="20"/>
                <w:szCs w:val="20"/>
                <w:color w:val="auto"/>
              </w:rPr>
            </w:pPr>
            <w:r>
              <w:rPr>
                <w:rFonts w:ascii="Arial" w:cs="Arial" w:eastAsia="Arial" w:hAnsi="Arial"/>
                <w:sz w:val="17"/>
                <w:szCs w:val="17"/>
                <w:color w:val="auto"/>
                <w:w w:val="92"/>
              </w:rPr>
              <w:t>2/27/2017</w:t>
            </w:r>
          </w:p>
        </w:tc>
        <w:tc>
          <w:tcPr>
            <w:tcW w:w="720" w:type="dxa"/>
            <w:vAlign w:val="bottom"/>
            <w:vMerge w:val="restart"/>
          </w:tcPr>
          <w:p>
            <w:pPr>
              <w:jc w:val="center"/>
              <w:ind w:left="314"/>
              <w:spacing w:after="0"/>
              <w:rPr>
                <w:sz w:val="20"/>
                <w:szCs w:val="20"/>
                <w:color w:val="auto"/>
              </w:rPr>
            </w:pPr>
            <w:r>
              <w:rPr>
                <w:rFonts w:ascii="Arial" w:cs="Arial" w:eastAsia="Arial" w:hAnsi="Arial"/>
                <w:sz w:val="17"/>
                <w:szCs w:val="17"/>
                <w:color w:val="auto"/>
                <w:w w:val="84"/>
              </w:rPr>
              <w:t>3.1</w:t>
            </w:r>
          </w:p>
        </w:tc>
        <w:tc>
          <w:tcPr>
            <w:tcW w:w="0" w:type="dxa"/>
            <w:vAlign w:val="bottom"/>
          </w:tcPr>
          <w:p>
            <w:pPr>
              <w:spacing w:after="0"/>
              <w:rPr>
                <w:sz w:val="1"/>
                <w:szCs w:val="1"/>
                <w:color w:val="auto"/>
              </w:rPr>
            </w:pPr>
          </w:p>
        </w:tc>
      </w:tr>
      <w:tr>
        <w:trPr>
          <w:trHeight w:val="217"/>
        </w:trPr>
        <w:tc>
          <w:tcPr>
            <w:tcW w:w="980" w:type="dxa"/>
            <w:vAlign w:val="bottom"/>
            <w:vMerge w:val="continue"/>
          </w:tcPr>
          <w:p>
            <w:pPr>
              <w:spacing w:after="0"/>
              <w:rPr>
                <w:sz w:val="18"/>
                <w:szCs w:val="18"/>
                <w:color w:val="auto"/>
              </w:rPr>
            </w:pP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2"/>
              </w:rPr>
              <w:t>(001-34460)</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980" w:type="dxa"/>
            <w:vAlign w:val="bottom"/>
            <w:vMerge w:val="restart"/>
          </w:tcPr>
          <w:p>
            <w:pPr>
              <w:jc w:val="center"/>
              <w:ind w:right="234"/>
              <w:spacing w:after="0"/>
              <w:rPr>
                <w:sz w:val="20"/>
                <w:szCs w:val="20"/>
                <w:color w:val="auto"/>
              </w:rPr>
            </w:pPr>
            <w:r>
              <w:rPr>
                <w:rFonts w:ascii="Arial" w:cs="Arial" w:eastAsia="Arial" w:hAnsi="Arial"/>
                <w:sz w:val="17"/>
                <w:szCs w:val="17"/>
                <w:color w:val="auto"/>
                <w:w w:val="94"/>
              </w:rPr>
              <w:t>10-K</w:t>
            </w:r>
          </w:p>
        </w:tc>
        <w:tc>
          <w:tcPr>
            <w:tcW w:w="1640" w:type="dxa"/>
            <w:vAlign w:val="bottom"/>
          </w:tcPr>
          <w:p>
            <w:pPr>
              <w:jc w:val="center"/>
              <w:ind w:right="14"/>
              <w:spacing w:after="0" w:line="170" w:lineRule="exact"/>
              <w:rPr>
                <w:sz w:val="20"/>
                <w:szCs w:val="20"/>
                <w:color w:val="auto"/>
              </w:rPr>
            </w:pPr>
            <w:r>
              <w:rPr>
                <w:rFonts w:ascii="Arial" w:cs="Arial" w:eastAsia="Arial" w:hAnsi="Arial"/>
                <w:sz w:val="17"/>
                <w:szCs w:val="17"/>
                <w:color w:val="auto"/>
                <w:w w:val="92"/>
              </w:rPr>
              <w:t>2/27/2017</w:t>
            </w:r>
          </w:p>
        </w:tc>
        <w:tc>
          <w:tcPr>
            <w:tcW w:w="720" w:type="dxa"/>
            <w:vAlign w:val="bottom"/>
            <w:vMerge w:val="restart"/>
          </w:tcPr>
          <w:p>
            <w:pPr>
              <w:jc w:val="center"/>
              <w:ind w:left="314"/>
              <w:spacing w:after="0"/>
              <w:rPr>
                <w:sz w:val="20"/>
                <w:szCs w:val="20"/>
                <w:color w:val="auto"/>
              </w:rPr>
            </w:pPr>
            <w:r>
              <w:rPr>
                <w:rFonts w:ascii="Arial" w:cs="Arial" w:eastAsia="Arial" w:hAnsi="Arial"/>
                <w:sz w:val="17"/>
                <w:szCs w:val="17"/>
                <w:color w:val="auto"/>
                <w:w w:val="84"/>
              </w:rPr>
              <w:t>3.2</w:t>
            </w:r>
          </w:p>
        </w:tc>
        <w:tc>
          <w:tcPr>
            <w:tcW w:w="0" w:type="dxa"/>
            <w:vAlign w:val="bottom"/>
          </w:tcPr>
          <w:p>
            <w:pPr>
              <w:spacing w:after="0"/>
              <w:rPr>
                <w:sz w:val="1"/>
                <w:szCs w:val="1"/>
                <w:color w:val="auto"/>
              </w:rPr>
            </w:pPr>
          </w:p>
        </w:tc>
      </w:tr>
      <w:tr>
        <w:trPr>
          <w:trHeight w:val="217"/>
        </w:trPr>
        <w:tc>
          <w:tcPr>
            <w:tcW w:w="980" w:type="dxa"/>
            <w:vAlign w:val="bottom"/>
            <w:vMerge w:val="continue"/>
          </w:tcPr>
          <w:p>
            <w:pPr>
              <w:spacing w:after="0"/>
              <w:rPr>
                <w:sz w:val="18"/>
                <w:szCs w:val="18"/>
                <w:color w:val="auto"/>
              </w:rPr>
            </w:pP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2"/>
              </w:rPr>
              <w:t>(001-34460)</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980" w:type="dxa"/>
            <w:vAlign w:val="bottom"/>
            <w:vMerge w:val="restart"/>
          </w:tcPr>
          <w:p>
            <w:pPr>
              <w:jc w:val="center"/>
              <w:ind w:right="234"/>
              <w:spacing w:after="0"/>
              <w:rPr>
                <w:sz w:val="20"/>
                <w:szCs w:val="20"/>
                <w:color w:val="auto"/>
              </w:rPr>
            </w:pPr>
            <w:r>
              <w:rPr>
                <w:rFonts w:ascii="Arial" w:cs="Arial" w:eastAsia="Arial" w:hAnsi="Arial"/>
                <w:sz w:val="17"/>
                <w:szCs w:val="17"/>
                <w:color w:val="auto"/>
                <w:w w:val="94"/>
              </w:rPr>
              <w:t>10-K</w:t>
            </w:r>
          </w:p>
        </w:tc>
        <w:tc>
          <w:tcPr>
            <w:tcW w:w="1640" w:type="dxa"/>
            <w:vAlign w:val="bottom"/>
          </w:tcPr>
          <w:p>
            <w:pPr>
              <w:jc w:val="center"/>
              <w:ind w:right="14"/>
              <w:spacing w:after="0" w:line="170" w:lineRule="exact"/>
              <w:rPr>
                <w:sz w:val="20"/>
                <w:szCs w:val="20"/>
                <w:color w:val="auto"/>
              </w:rPr>
            </w:pPr>
            <w:r>
              <w:rPr>
                <w:rFonts w:ascii="Arial" w:cs="Arial" w:eastAsia="Arial" w:hAnsi="Arial"/>
                <w:sz w:val="17"/>
                <w:szCs w:val="17"/>
                <w:color w:val="auto"/>
                <w:w w:val="92"/>
              </w:rPr>
              <w:t>2/27/2017</w:t>
            </w:r>
          </w:p>
        </w:tc>
        <w:tc>
          <w:tcPr>
            <w:tcW w:w="720" w:type="dxa"/>
            <w:vAlign w:val="bottom"/>
            <w:vMerge w:val="restart"/>
          </w:tcPr>
          <w:p>
            <w:pPr>
              <w:jc w:val="center"/>
              <w:ind w:left="314"/>
              <w:spacing w:after="0"/>
              <w:rPr>
                <w:sz w:val="20"/>
                <w:szCs w:val="20"/>
                <w:color w:val="auto"/>
              </w:rPr>
            </w:pPr>
            <w:r>
              <w:rPr>
                <w:rFonts w:ascii="Arial" w:cs="Arial" w:eastAsia="Arial" w:hAnsi="Arial"/>
                <w:sz w:val="17"/>
                <w:szCs w:val="17"/>
                <w:color w:val="auto"/>
                <w:w w:val="84"/>
              </w:rPr>
              <w:t>4.1</w:t>
            </w:r>
          </w:p>
        </w:tc>
        <w:tc>
          <w:tcPr>
            <w:tcW w:w="0" w:type="dxa"/>
            <w:vAlign w:val="bottom"/>
          </w:tcPr>
          <w:p>
            <w:pPr>
              <w:spacing w:after="0"/>
              <w:rPr>
                <w:sz w:val="1"/>
                <w:szCs w:val="1"/>
                <w:color w:val="auto"/>
              </w:rPr>
            </w:pPr>
          </w:p>
        </w:tc>
      </w:tr>
      <w:tr>
        <w:trPr>
          <w:trHeight w:val="217"/>
        </w:trPr>
        <w:tc>
          <w:tcPr>
            <w:tcW w:w="980" w:type="dxa"/>
            <w:vAlign w:val="bottom"/>
            <w:vMerge w:val="continue"/>
          </w:tcPr>
          <w:p>
            <w:pPr>
              <w:spacing w:after="0"/>
              <w:rPr>
                <w:sz w:val="18"/>
                <w:szCs w:val="18"/>
                <w:color w:val="auto"/>
              </w:rPr>
            </w:pP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2"/>
              </w:rPr>
              <w:t>(001-34460)</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05"/>
        </w:trPr>
        <w:tc>
          <w:tcPr>
            <w:tcW w:w="980" w:type="dxa"/>
            <w:vAlign w:val="bottom"/>
            <w:vMerge w:val="restart"/>
          </w:tcPr>
          <w:p>
            <w:pPr>
              <w:jc w:val="center"/>
              <w:ind w:right="234"/>
              <w:spacing w:after="0"/>
              <w:rPr>
                <w:sz w:val="20"/>
                <w:szCs w:val="20"/>
                <w:color w:val="auto"/>
              </w:rPr>
            </w:pPr>
            <w:r>
              <w:rPr>
                <w:rFonts w:ascii="Arial" w:cs="Arial" w:eastAsia="Arial" w:hAnsi="Arial"/>
                <w:sz w:val="17"/>
                <w:szCs w:val="17"/>
                <w:color w:val="auto"/>
                <w:w w:val="98"/>
              </w:rPr>
              <w:t>8-K</w:t>
            </w: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1"/>
              </w:rPr>
              <w:t>11/21/2017</w:t>
            </w:r>
          </w:p>
        </w:tc>
        <w:tc>
          <w:tcPr>
            <w:tcW w:w="720" w:type="dxa"/>
            <w:vAlign w:val="bottom"/>
            <w:vMerge w:val="restart"/>
          </w:tcPr>
          <w:p>
            <w:pPr>
              <w:jc w:val="center"/>
              <w:ind w:left="314"/>
              <w:spacing w:after="0"/>
              <w:rPr>
                <w:sz w:val="20"/>
                <w:szCs w:val="20"/>
                <w:color w:val="auto"/>
              </w:rPr>
            </w:pPr>
            <w:r>
              <w:rPr>
                <w:rFonts w:ascii="Arial" w:cs="Arial" w:eastAsia="Arial" w:hAnsi="Arial"/>
                <w:sz w:val="17"/>
                <w:szCs w:val="17"/>
                <w:color w:val="auto"/>
                <w:w w:val="84"/>
              </w:rPr>
              <w:t>4.1</w:t>
            </w:r>
          </w:p>
        </w:tc>
        <w:tc>
          <w:tcPr>
            <w:tcW w:w="0" w:type="dxa"/>
            <w:vAlign w:val="bottom"/>
          </w:tcPr>
          <w:p>
            <w:pPr>
              <w:spacing w:after="0"/>
              <w:rPr>
                <w:sz w:val="1"/>
                <w:szCs w:val="1"/>
                <w:color w:val="auto"/>
              </w:rPr>
            </w:pPr>
          </w:p>
        </w:tc>
      </w:tr>
      <w:tr>
        <w:trPr>
          <w:trHeight w:val="217"/>
        </w:trPr>
        <w:tc>
          <w:tcPr>
            <w:tcW w:w="980" w:type="dxa"/>
            <w:vAlign w:val="bottom"/>
            <w:vMerge w:val="continue"/>
          </w:tcPr>
          <w:p>
            <w:pPr>
              <w:spacing w:after="0"/>
              <w:rPr>
                <w:sz w:val="18"/>
                <w:szCs w:val="18"/>
                <w:color w:val="auto"/>
              </w:rPr>
            </w:pP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2"/>
              </w:rPr>
              <w:t>(001-34460)</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05"/>
        </w:trPr>
        <w:tc>
          <w:tcPr>
            <w:tcW w:w="980" w:type="dxa"/>
            <w:vAlign w:val="bottom"/>
            <w:vMerge w:val="restart"/>
          </w:tcPr>
          <w:p>
            <w:pPr>
              <w:jc w:val="center"/>
              <w:ind w:right="234"/>
              <w:spacing w:after="0"/>
              <w:rPr>
                <w:sz w:val="20"/>
                <w:szCs w:val="20"/>
                <w:color w:val="auto"/>
              </w:rPr>
            </w:pPr>
            <w:r>
              <w:rPr>
                <w:rFonts w:ascii="Arial" w:cs="Arial" w:eastAsia="Arial" w:hAnsi="Arial"/>
                <w:sz w:val="17"/>
                <w:szCs w:val="17"/>
                <w:color w:val="auto"/>
                <w:w w:val="94"/>
              </w:rPr>
              <w:t>10-K</w:t>
            </w: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1"/>
              </w:rPr>
              <w:t>02/28/2018</w:t>
            </w:r>
          </w:p>
        </w:tc>
        <w:tc>
          <w:tcPr>
            <w:tcW w:w="720" w:type="dxa"/>
            <w:vAlign w:val="bottom"/>
            <w:vMerge w:val="restart"/>
          </w:tcPr>
          <w:p>
            <w:pPr>
              <w:jc w:val="center"/>
              <w:ind w:left="314"/>
              <w:spacing w:after="0"/>
              <w:rPr>
                <w:sz w:val="20"/>
                <w:szCs w:val="20"/>
                <w:color w:val="auto"/>
              </w:rPr>
            </w:pPr>
            <w:r>
              <w:rPr>
                <w:rFonts w:ascii="Arial" w:cs="Arial" w:eastAsia="Arial" w:hAnsi="Arial"/>
                <w:sz w:val="17"/>
                <w:szCs w:val="17"/>
                <w:color w:val="auto"/>
                <w:w w:val="84"/>
              </w:rPr>
              <w:t>4.5</w:t>
            </w:r>
          </w:p>
        </w:tc>
        <w:tc>
          <w:tcPr>
            <w:tcW w:w="0" w:type="dxa"/>
            <w:vAlign w:val="bottom"/>
          </w:tcPr>
          <w:p>
            <w:pPr>
              <w:spacing w:after="0"/>
              <w:rPr>
                <w:sz w:val="1"/>
                <w:szCs w:val="1"/>
                <w:color w:val="auto"/>
              </w:rPr>
            </w:pPr>
          </w:p>
        </w:tc>
      </w:tr>
      <w:tr>
        <w:trPr>
          <w:trHeight w:val="217"/>
        </w:trPr>
        <w:tc>
          <w:tcPr>
            <w:tcW w:w="980" w:type="dxa"/>
            <w:vAlign w:val="bottom"/>
            <w:vMerge w:val="continue"/>
          </w:tcPr>
          <w:p>
            <w:pPr>
              <w:spacing w:after="0"/>
              <w:rPr>
                <w:sz w:val="18"/>
                <w:szCs w:val="18"/>
                <w:color w:val="auto"/>
              </w:rPr>
            </w:pP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2"/>
              </w:rPr>
              <w:t>(001-34460)</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980" w:type="dxa"/>
            <w:vAlign w:val="bottom"/>
            <w:vMerge w:val="restart"/>
          </w:tcPr>
          <w:p>
            <w:pPr>
              <w:jc w:val="center"/>
              <w:ind w:right="234"/>
              <w:spacing w:after="0"/>
              <w:rPr>
                <w:sz w:val="20"/>
                <w:szCs w:val="20"/>
                <w:color w:val="auto"/>
              </w:rPr>
            </w:pPr>
            <w:r>
              <w:rPr>
                <w:rFonts w:ascii="Arial" w:cs="Arial" w:eastAsia="Arial" w:hAnsi="Arial"/>
                <w:sz w:val="17"/>
                <w:szCs w:val="17"/>
                <w:color w:val="auto"/>
                <w:w w:val="94"/>
              </w:rPr>
              <w:t>10-K</w:t>
            </w:r>
          </w:p>
        </w:tc>
        <w:tc>
          <w:tcPr>
            <w:tcW w:w="1640" w:type="dxa"/>
            <w:vAlign w:val="bottom"/>
          </w:tcPr>
          <w:p>
            <w:pPr>
              <w:jc w:val="center"/>
              <w:ind w:right="14"/>
              <w:spacing w:after="0" w:line="170" w:lineRule="exact"/>
              <w:rPr>
                <w:sz w:val="20"/>
                <w:szCs w:val="20"/>
                <w:color w:val="auto"/>
              </w:rPr>
            </w:pPr>
            <w:r>
              <w:rPr>
                <w:rFonts w:ascii="Arial" w:cs="Arial" w:eastAsia="Arial" w:hAnsi="Arial"/>
                <w:sz w:val="17"/>
                <w:szCs w:val="17"/>
                <w:color w:val="auto"/>
                <w:w w:val="91"/>
              </w:rPr>
              <w:t>02/24/2020</w:t>
            </w:r>
          </w:p>
        </w:tc>
        <w:tc>
          <w:tcPr>
            <w:tcW w:w="720" w:type="dxa"/>
            <w:vAlign w:val="bottom"/>
            <w:vMerge w:val="restart"/>
          </w:tcPr>
          <w:p>
            <w:pPr>
              <w:jc w:val="center"/>
              <w:ind w:left="314"/>
              <w:spacing w:after="0"/>
              <w:rPr>
                <w:sz w:val="20"/>
                <w:szCs w:val="20"/>
                <w:color w:val="auto"/>
              </w:rPr>
            </w:pPr>
            <w:r>
              <w:rPr>
                <w:rFonts w:ascii="Arial" w:cs="Arial" w:eastAsia="Arial" w:hAnsi="Arial"/>
                <w:sz w:val="17"/>
                <w:szCs w:val="17"/>
                <w:color w:val="auto"/>
                <w:w w:val="84"/>
              </w:rPr>
              <w:t>4.4</w:t>
            </w:r>
          </w:p>
        </w:tc>
        <w:tc>
          <w:tcPr>
            <w:tcW w:w="0" w:type="dxa"/>
            <w:vAlign w:val="bottom"/>
          </w:tcPr>
          <w:p>
            <w:pPr>
              <w:spacing w:after="0"/>
              <w:rPr>
                <w:sz w:val="1"/>
                <w:szCs w:val="1"/>
                <w:color w:val="auto"/>
              </w:rPr>
            </w:pPr>
          </w:p>
        </w:tc>
      </w:tr>
      <w:tr>
        <w:trPr>
          <w:trHeight w:val="217"/>
        </w:trPr>
        <w:tc>
          <w:tcPr>
            <w:tcW w:w="980" w:type="dxa"/>
            <w:vAlign w:val="bottom"/>
            <w:vMerge w:val="continue"/>
          </w:tcPr>
          <w:p>
            <w:pPr>
              <w:spacing w:after="0"/>
              <w:rPr>
                <w:sz w:val="18"/>
                <w:szCs w:val="18"/>
                <w:color w:val="auto"/>
              </w:rPr>
            </w:pP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2"/>
              </w:rPr>
              <w:t>(001-34460)</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980" w:type="dxa"/>
            <w:vAlign w:val="bottom"/>
            <w:vMerge w:val="restart"/>
          </w:tcPr>
          <w:p>
            <w:pPr>
              <w:jc w:val="center"/>
              <w:ind w:right="234"/>
              <w:spacing w:after="0"/>
              <w:rPr>
                <w:sz w:val="20"/>
                <w:szCs w:val="20"/>
                <w:color w:val="auto"/>
              </w:rPr>
            </w:pPr>
            <w:r>
              <w:rPr>
                <w:rFonts w:ascii="Arial" w:cs="Arial" w:eastAsia="Arial" w:hAnsi="Arial"/>
                <w:sz w:val="17"/>
                <w:szCs w:val="17"/>
                <w:color w:val="auto"/>
                <w:w w:val="89"/>
              </w:rPr>
              <w:t>10-Q</w:t>
            </w: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1"/>
              </w:rPr>
              <w:t>08/04/2011</w:t>
            </w:r>
          </w:p>
        </w:tc>
        <w:tc>
          <w:tcPr>
            <w:tcW w:w="720" w:type="dxa"/>
            <w:vAlign w:val="bottom"/>
            <w:vMerge w:val="restart"/>
          </w:tcPr>
          <w:p>
            <w:pPr>
              <w:jc w:val="center"/>
              <w:ind w:left="334"/>
              <w:spacing w:after="0"/>
              <w:rPr>
                <w:sz w:val="20"/>
                <w:szCs w:val="20"/>
                <w:color w:val="auto"/>
              </w:rPr>
            </w:pPr>
            <w:r>
              <w:rPr>
                <w:rFonts w:ascii="Arial" w:cs="Arial" w:eastAsia="Arial" w:hAnsi="Arial"/>
                <w:sz w:val="17"/>
                <w:szCs w:val="17"/>
                <w:color w:val="auto"/>
                <w:w w:val="90"/>
              </w:rPr>
              <w:t>10.8</w:t>
            </w:r>
          </w:p>
        </w:tc>
        <w:tc>
          <w:tcPr>
            <w:tcW w:w="0" w:type="dxa"/>
            <w:vAlign w:val="bottom"/>
          </w:tcPr>
          <w:p>
            <w:pPr>
              <w:spacing w:after="0"/>
              <w:rPr>
                <w:sz w:val="1"/>
                <w:szCs w:val="1"/>
                <w:color w:val="auto"/>
              </w:rPr>
            </w:pPr>
          </w:p>
        </w:tc>
      </w:tr>
      <w:tr>
        <w:trPr>
          <w:trHeight w:val="217"/>
        </w:trPr>
        <w:tc>
          <w:tcPr>
            <w:tcW w:w="980" w:type="dxa"/>
            <w:vAlign w:val="bottom"/>
            <w:vMerge w:val="continue"/>
          </w:tcPr>
          <w:p>
            <w:pPr>
              <w:spacing w:after="0"/>
              <w:rPr>
                <w:sz w:val="18"/>
                <w:szCs w:val="18"/>
                <w:color w:val="auto"/>
              </w:rPr>
            </w:pP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2"/>
              </w:rPr>
              <w:t>(001-34460)</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980" w:type="dxa"/>
            <w:vAlign w:val="bottom"/>
            <w:vMerge w:val="restart"/>
          </w:tcPr>
          <w:p>
            <w:pPr>
              <w:jc w:val="center"/>
              <w:ind w:right="214"/>
              <w:spacing w:after="0"/>
              <w:rPr>
                <w:sz w:val="20"/>
                <w:szCs w:val="20"/>
                <w:color w:val="auto"/>
              </w:rPr>
            </w:pPr>
            <w:r>
              <w:rPr>
                <w:rFonts w:ascii="Arial" w:cs="Arial" w:eastAsia="Arial" w:hAnsi="Arial"/>
                <w:sz w:val="17"/>
                <w:szCs w:val="17"/>
                <w:color w:val="auto"/>
                <w:w w:val="90"/>
              </w:rPr>
              <w:t>S-8</w:t>
            </w:r>
          </w:p>
        </w:tc>
        <w:tc>
          <w:tcPr>
            <w:tcW w:w="1640" w:type="dxa"/>
            <w:vAlign w:val="bottom"/>
          </w:tcPr>
          <w:p>
            <w:pPr>
              <w:jc w:val="center"/>
              <w:ind w:right="14"/>
              <w:spacing w:after="0" w:line="170" w:lineRule="exact"/>
              <w:rPr>
                <w:sz w:val="20"/>
                <w:szCs w:val="20"/>
                <w:color w:val="auto"/>
              </w:rPr>
            </w:pPr>
            <w:r>
              <w:rPr>
                <w:rFonts w:ascii="Arial" w:cs="Arial" w:eastAsia="Arial" w:hAnsi="Arial"/>
                <w:sz w:val="17"/>
                <w:szCs w:val="17"/>
                <w:color w:val="auto"/>
                <w:w w:val="91"/>
              </w:rPr>
              <w:t>07/31/2017</w:t>
            </w:r>
          </w:p>
        </w:tc>
        <w:tc>
          <w:tcPr>
            <w:tcW w:w="720" w:type="dxa"/>
            <w:vAlign w:val="bottom"/>
            <w:vMerge w:val="restart"/>
          </w:tcPr>
          <w:p>
            <w:pPr>
              <w:jc w:val="center"/>
              <w:ind w:left="334"/>
              <w:spacing w:after="0"/>
              <w:rPr>
                <w:sz w:val="20"/>
                <w:szCs w:val="20"/>
                <w:color w:val="auto"/>
              </w:rPr>
            </w:pPr>
            <w:r>
              <w:rPr>
                <w:rFonts w:ascii="Arial" w:cs="Arial" w:eastAsia="Arial" w:hAnsi="Arial"/>
                <w:sz w:val="17"/>
                <w:szCs w:val="17"/>
                <w:color w:val="auto"/>
                <w:w w:val="90"/>
              </w:rPr>
              <w:t>99.1</w:t>
            </w:r>
          </w:p>
        </w:tc>
        <w:tc>
          <w:tcPr>
            <w:tcW w:w="0" w:type="dxa"/>
            <w:vAlign w:val="bottom"/>
          </w:tcPr>
          <w:p>
            <w:pPr>
              <w:spacing w:after="0"/>
              <w:rPr>
                <w:sz w:val="1"/>
                <w:szCs w:val="1"/>
                <w:color w:val="auto"/>
              </w:rPr>
            </w:pPr>
          </w:p>
        </w:tc>
      </w:tr>
      <w:tr>
        <w:trPr>
          <w:trHeight w:val="217"/>
        </w:trPr>
        <w:tc>
          <w:tcPr>
            <w:tcW w:w="980" w:type="dxa"/>
            <w:vAlign w:val="bottom"/>
            <w:vMerge w:val="continue"/>
          </w:tcPr>
          <w:p>
            <w:pPr>
              <w:spacing w:after="0"/>
              <w:rPr>
                <w:sz w:val="18"/>
                <w:szCs w:val="18"/>
                <w:color w:val="auto"/>
              </w:rPr>
            </w:pP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2"/>
              </w:rPr>
              <w:t>(001-34460)</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980" w:type="dxa"/>
            <w:vAlign w:val="bottom"/>
            <w:vMerge w:val="restart"/>
          </w:tcPr>
          <w:p>
            <w:pPr>
              <w:jc w:val="center"/>
              <w:ind w:right="214"/>
              <w:spacing w:after="0"/>
              <w:rPr>
                <w:sz w:val="20"/>
                <w:szCs w:val="20"/>
                <w:color w:val="auto"/>
              </w:rPr>
            </w:pPr>
            <w:r>
              <w:rPr>
                <w:rFonts w:ascii="Arial" w:cs="Arial" w:eastAsia="Arial" w:hAnsi="Arial"/>
                <w:sz w:val="17"/>
                <w:szCs w:val="17"/>
                <w:color w:val="auto"/>
                <w:w w:val="90"/>
              </w:rPr>
              <w:t>S-8</w:t>
            </w:r>
          </w:p>
        </w:tc>
        <w:tc>
          <w:tcPr>
            <w:tcW w:w="1640" w:type="dxa"/>
            <w:vAlign w:val="bottom"/>
          </w:tcPr>
          <w:p>
            <w:pPr>
              <w:jc w:val="center"/>
              <w:ind w:right="14"/>
              <w:spacing w:after="0" w:line="170" w:lineRule="exact"/>
              <w:rPr>
                <w:sz w:val="20"/>
                <w:szCs w:val="20"/>
                <w:color w:val="auto"/>
              </w:rPr>
            </w:pPr>
            <w:r>
              <w:rPr>
                <w:rFonts w:ascii="Arial" w:cs="Arial" w:eastAsia="Arial" w:hAnsi="Arial"/>
                <w:sz w:val="17"/>
                <w:szCs w:val="17"/>
                <w:color w:val="auto"/>
                <w:w w:val="91"/>
              </w:rPr>
              <w:t>08/01/2005</w:t>
            </w:r>
          </w:p>
        </w:tc>
        <w:tc>
          <w:tcPr>
            <w:tcW w:w="720" w:type="dxa"/>
            <w:vAlign w:val="bottom"/>
            <w:vMerge w:val="restart"/>
          </w:tcPr>
          <w:p>
            <w:pPr>
              <w:jc w:val="center"/>
              <w:ind w:left="334"/>
              <w:spacing w:after="0"/>
              <w:rPr>
                <w:sz w:val="20"/>
                <w:szCs w:val="20"/>
                <w:color w:val="auto"/>
              </w:rPr>
            </w:pPr>
            <w:r>
              <w:rPr>
                <w:rFonts w:ascii="Arial" w:cs="Arial" w:eastAsia="Arial" w:hAnsi="Arial"/>
                <w:sz w:val="17"/>
                <w:szCs w:val="17"/>
                <w:color w:val="auto"/>
                <w:w w:val="90"/>
              </w:rPr>
              <w:t>99.2</w:t>
            </w:r>
          </w:p>
        </w:tc>
        <w:tc>
          <w:tcPr>
            <w:tcW w:w="0" w:type="dxa"/>
            <w:vAlign w:val="bottom"/>
          </w:tcPr>
          <w:p>
            <w:pPr>
              <w:spacing w:after="0"/>
              <w:rPr>
                <w:sz w:val="1"/>
                <w:szCs w:val="1"/>
                <w:color w:val="auto"/>
              </w:rPr>
            </w:pPr>
          </w:p>
        </w:tc>
      </w:tr>
      <w:tr>
        <w:trPr>
          <w:trHeight w:val="217"/>
        </w:trPr>
        <w:tc>
          <w:tcPr>
            <w:tcW w:w="980" w:type="dxa"/>
            <w:vAlign w:val="bottom"/>
            <w:vMerge w:val="continue"/>
          </w:tcPr>
          <w:p>
            <w:pPr>
              <w:spacing w:after="0"/>
              <w:rPr>
                <w:sz w:val="18"/>
                <w:szCs w:val="18"/>
                <w:color w:val="auto"/>
              </w:rPr>
            </w:pP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2"/>
              </w:rPr>
              <w:t>(333-127060)</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980" w:type="dxa"/>
            <w:vAlign w:val="bottom"/>
            <w:vMerge w:val="restart"/>
          </w:tcPr>
          <w:p>
            <w:pPr>
              <w:jc w:val="center"/>
              <w:ind w:right="214"/>
              <w:spacing w:after="0"/>
              <w:rPr>
                <w:sz w:val="20"/>
                <w:szCs w:val="20"/>
                <w:color w:val="auto"/>
              </w:rPr>
            </w:pPr>
            <w:r>
              <w:rPr>
                <w:rFonts w:ascii="Arial" w:cs="Arial" w:eastAsia="Arial" w:hAnsi="Arial"/>
                <w:sz w:val="17"/>
                <w:szCs w:val="17"/>
                <w:color w:val="auto"/>
                <w:w w:val="90"/>
              </w:rPr>
              <w:t>S-8</w:t>
            </w:r>
          </w:p>
        </w:tc>
        <w:tc>
          <w:tcPr>
            <w:tcW w:w="1640" w:type="dxa"/>
            <w:vAlign w:val="bottom"/>
          </w:tcPr>
          <w:p>
            <w:pPr>
              <w:jc w:val="center"/>
              <w:ind w:right="14"/>
              <w:spacing w:after="0" w:line="170" w:lineRule="exact"/>
              <w:rPr>
                <w:sz w:val="20"/>
                <w:szCs w:val="20"/>
                <w:color w:val="auto"/>
              </w:rPr>
            </w:pPr>
            <w:r>
              <w:rPr>
                <w:rFonts w:ascii="Arial" w:cs="Arial" w:eastAsia="Arial" w:hAnsi="Arial"/>
                <w:sz w:val="17"/>
                <w:szCs w:val="17"/>
                <w:color w:val="auto"/>
                <w:w w:val="91"/>
              </w:rPr>
              <w:t>08/01/2005</w:t>
            </w:r>
          </w:p>
        </w:tc>
        <w:tc>
          <w:tcPr>
            <w:tcW w:w="720" w:type="dxa"/>
            <w:vAlign w:val="bottom"/>
            <w:vMerge w:val="restart"/>
          </w:tcPr>
          <w:p>
            <w:pPr>
              <w:jc w:val="center"/>
              <w:ind w:left="334"/>
              <w:spacing w:after="0"/>
              <w:rPr>
                <w:sz w:val="20"/>
                <w:szCs w:val="20"/>
                <w:color w:val="auto"/>
              </w:rPr>
            </w:pPr>
            <w:r>
              <w:rPr>
                <w:rFonts w:ascii="Arial" w:cs="Arial" w:eastAsia="Arial" w:hAnsi="Arial"/>
                <w:sz w:val="17"/>
                <w:szCs w:val="17"/>
                <w:color w:val="auto"/>
                <w:w w:val="90"/>
              </w:rPr>
              <w:t>99.1</w:t>
            </w:r>
          </w:p>
        </w:tc>
        <w:tc>
          <w:tcPr>
            <w:tcW w:w="0" w:type="dxa"/>
            <w:vAlign w:val="bottom"/>
          </w:tcPr>
          <w:p>
            <w:pPr>
              <w:spacing w:after="0"/>
              <w:rPr>
                <w:sz w:val="1"/>
                <w:szCs w:val="1"/>
                <w:color w:val="auto"/>
              </w:rPr>
            </w:pPr>
          </w:p>
        </w:tc>
      </w:tr>
      <w:tr>
        <w:trPr>
          <w:trHeight w:val="217"/>
        </w:trPr>
        <w:tc>
          <w:tcPr>
            <w:tcW w:w="980" w:type="dxa"/>
            <w:vAlign w:val="bottom"/>
            <w:vMerge w:val="continue"/>
          </w:tcPr>
          <w:p>
            <w:pPr>
              <w:spacing w:after="0"/>
              <w:rPr>
                <w:sz w:val="18"/>
                <w:szCs w:val="18"/>
                <w:color w:val="auto"/>
              </w:rPr>
            </w:pP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2"/>
              </w:rPr>
              <w:t>(333-127060)</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980" w:type="dxa"/>
            <w:vAlign w:val="bottom"/>
            <w:vMerge w:val="restart"/>
          </w:tcPr>
          <w:p>
            <w:pPr>
              <w:jc w:val="center"/>
              <w:ind w:right="234"/>
              <w:spacing w:after="0"/>
              <w:rPr>
                <w:sz w:val="20"/>
                <w:szCs w:val="20"/>
                <w:color w:val="auto"/>
              </w:rPr>
            </w:pPr>
            <w:r>
              <w:rPr>
                <w:rFonts w:ascii="Arial" w:cs="Arial" w:eastAsia="Arial" w:hAnsi="Arial"/>
                <w:sz w:val="17"/>
                <w:szCs w:val="17"/>
                <w:color w:val="auto"/>
                <w:w w:val="98"/>
              </w:rPr>
              <w:t>8-K</w:t>
            </w: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1"/>
              </w:rPr>
              <w:t>01/17/2007</w:t>
            </w:r>
          </w:p>
        </w:tc>
        <w:tc>
          <w:tcPr>
            <w:tcW w:w="720" w:type="dxa"/>
            <w:vAlign w:val="bottom"/>
            <w:vMerge w:val="restart"/>
          </w:tcPr>
          <w:p>
            <w:pPr>
              <w:jc w:val="center"/>
              <w:ind w:left="334"/>
              <w:spacing w:after="0"/>
              <w:rPr>
                <w:sz w:val="20"/>
                <w:szCs w:val="20"/>
                <w:color w:val="auto"/>
              </w:rPr>
            </w:pPr>
            <w:r>
              <w:rPr>
                <w:rFonts w:ascii="Arial" w:cs="Arial" w:eastAsia="Arial" w:hAnsi="Arial"/>
                <w:sz w:val="17"/>
                <w:szCs w:val="17"/>
                <w:color w:val="auto"/>
                <w:w w:val="90"/>
              </w:rPr>
              <w:t>99.3</w:t>
            </w:r>
          </w:p>
        </w:tc>
        <w:tc>
          <w:tcPr>
            <w:tcW w:w="0" w:type="dxa"/>
            <w:vAlign w:val="bottom"/>
          </w:tcPr>
          <w:p>
            <w:pPr>
              <w:spacing w:after="0"/>
              <w:rPr>
                <w:sz w:val="1"/>
                <w:szCs w:val="1"/>
                <w:color w:val="auto"/>
              </w:rPr>
            </w:pPr>
          </w:p>
        </w:tc>
      </w:tr>
      <w:tr>
        <w:trPr>
          <w:trHeight w:val="217"/>
        </w:trPr>
        <w:tc>
          <w:tcPr>
            <w:tcW w:w="980" w:type="dxa"/>
            <w:vAlign w:val="bottom"/>
            <w:vMerge w:val="continue"/>
          </w:tcPr>
          <w:p>
            <w:pPr>
              <w:spacing w:after="0"/>
              <w:rPr>
                <w:sz w:val="18"/>
                <w:szCs w:val="18"/>
                <w:color w:val="auto"/>
              </w:rPr>
            </w:pP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2"/>
              </w:rPr>
              <w:t>(000-27231)</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980" w:type="dxa"/>
            <w:vAlign w:val="bottom"/>
            <w:vMerge w:val="restart"/>
          </w:tcPr>
          <w:p>
            <w:pPr>
              <w:jc w:val="center"/>
              <w:ind w:right="234"/>
              <w:spacing w:after="0"/>
              <w:rPr>
                <w:sz w:val="20"/>
                <w:szCs w:val="20"/>
                <w:color w:val="auto"/>
              </w:rPr>
            </w:pPr>
            <w:r>
              <w:rPr>
                <w:rFonts w:ascii="Arial" w:cs="Arial" w:eastAsia="Arial" w:hAnsi="Arial"/>
                <w:sz w:val="17"/>
                <w:szCs w:val="17"/>
                <w:color w:val="auto"/>
                <w:w w:val="95"/>
              </w:rPr>
              <w:t>DEF 14A</w:t>
            </w:r>
          </w:p>
        </w:tc>
        <w:tc>
          <w:tcPr>
            <w:tcW w:w="1640" w:type="dxa"/>
            <w:vAlign w:val="bottom"/>
          </w:tcPr>
          <w:p>
            <w:pPr>
              <w:jc w:val="center"/>
              <w:ind w:right="14"/>
              <w:spacing w:after="0" w:line="170" w:lineRule="exact"/>
              <w:rPr>
                <w:sz w:val="20"/>
                <w:szCs w:val="20"/>
                <w:color w:val="auto"/>
              </w:rPr>
            </w:pPr>
            <w:r>
              <w:rPr>
                <w:rFonts w:ascii="Arial" w:cs="Arial" w:eastAsia="Arial" w:hAnsi="Arial"/>
                <w:sz w:val="17"/>
                <w:szCs w:val="17"/>
                <w:color w:val="auto"/>
                <w:w w:val="91"/>
              </w:rPr>
              <w:t>04/15/2011</w:t>
            </w:r>
          </w:p>
        </w:tc>
        <w:tc>
          <w:tcPr>
            <w:tcW w:w="720" w:type="dxa"/>
            <w:vAlign w:val="bottom"/>
            <w:vMerge w:val="restart"/>
          </w:tcPr>
          <w:p>
            <w:pPr>
              <w:ind w:left="46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7"/>
        </w:trPr>
        <w:tc>
          <w:tcPr>
            <w:tcW w:w="980" w:type="dxa"/>
            <w:vAlign w:val="bottom"/>
            <w:vMerge w:val="continue"/>
          </w:tcPr>
          <w:p>
            <w:pPr>
              <w:spacing w:after="0"/>
              <w:rPr>
                <w:sz w:val="18"/>
                <w:szCs w:val="18"/>
                <w:color w:val="auto"/>
              </w:rPr>
            </w:pP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2"/>
              </w:rPr>
              <w:t>(001-34460)</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980" w:type="dxa"/>
            <w:vAlign w:val="bottom"/>
            <w:vMerge w:val="restart"/>
          </w:tcPr>
          <w:p>
            <w:pPr>
              <w:jc w:val="center"/>
              <w:ind w:right="234"/>
              <w:spacing w:after="0"/>
              <w:rPr>
                <w:sz w:val="20"/>
                <w:szCs w:val="20"/>
                <w:color w:val="auto"/>
              </w:rPr>
            </w:pPr>
            <w:r>
              <w:rPr>
                <w:rFonts w:ascii="Arial" w:cs="Arial" w:eastAsia="Arial" w:hAnsi="Arial"/>
                <w:sz w:val="17"/>
                <w:szCs w:val="17"/>
                <w:color w:val="auto"/>
                <w:w w:val="98"/>
              </w:rPr>
              <w:t>8-K</w:t>
            </w:r>
          </w:p>
        </w:tc>
        <w:tc>
          <w:tcPr>
            <w:tcW w:w="1640" w:type="dxa"/>
            <w:vAlign w:val="bottom"/>
          </w:tcPr>
          <w:p>
            <w:pPr>
              <w:jc w:val="center"/>
              <w:spacing w:after="0"/>
              <w:rPr>
                <w:sz w:val="20"/>
                <w:szCs w:val="20"/>
                <w:color w:val="auto"/>
              </w:rPr>
            </w:pPr>
            <w:r>
              <w:rPr>
                <w:rFonts w:ascii="Arial" w:cs="Arial" w:eastAsia="Arial" w:hAnsi="Arial"/>
                <w:sz w:val="17"/>
                <w:szCs w:val="17"/>
                <w:color w:val="auto"/>
                <w:w w:val="89"/>
              </w:rPr>
              <w:t>11/18/2011</w:t>
            </w:r>
          </w:p>
        </w:tc>
        <w:tc>
          <w:tcPr>
            <w:tcW w:w="720" w:type="dxa"/>
            <w:vAlign w:val="bottom"/>
            <w:vMerge w:val="restart"/>
          </w:tcPr>
          <w:p>
            <w:pPr>
              <w:jc w:val="center"/>
              <w:ind w:left="334"/>
              <w:spacing w:after="0"/>
              <w:rPr>
                <w:sz w:val="20"/>
                <w:szCs w:val="20"/>
                <w:color w:val="auto"/>
              </w:rPr>
            </w:pPr>
            <w:r>
              <w:rPr>
                <w:rFonts w:ascii="Arial" w:cs="Arial" w:eastAsia="Arial" w:hAnsi="Arial"/>
                <w:sz w:val="17"/>
                <w:szCs w:val="17"/>
                <w:color w:val="auto"/>
                <w:w w:val="90"/>
              </w:rPr>
              <w:t>10.2</w:t>
            </w:r>
          </w:p>
        </w:tc>
        <w:tc>
          <w:tcPr>
            <w:tcW w:w="0" w:type="dxa"/>
            <w:vAlign w:val="bottom"/>
          </w:tcPr>
          <w:p>
            <w:pPr>
              <w:spacing w:after="0"/>
              <w:rPr>
                <w:sz w:val="1"/>
                <w:szCs w:val="1"/>
                <w:color w:val="auto"/>
              </w:rPr>
            </w:pPr>
          </w:p>
        </w:tc>
      </w:tr>
      <w:tr>
        <w:trPr>
          <w:trHeight w:val="217"/>
        </w:trPr>
        <w:tc>
          <w:tcPr>
            <w:tcW w:w="980" w:type="dxa"/>
            <w:vAlign w:val="bottom"/>
            <w:vMerge w:val="continue"/>
          </w:tcPr>
          <w:p>
            <w:pPr>
              <w:spacing w:after="0"/>
              <w:rPr>
                <w:sz w:val="18"/>
                <w:szCs w:val="18"/>
                <w:color w:val="auto"/>
              </w:rPr>
            </w:pP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2"/>
              </w:rPr>
              <w:t>(001-34460)</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980" w:type="dxa"/>
            <w:vAlign w:val="bottom"/>
            <w:vMerge w:val="restart"/>
          </w:tcPr>
          <w:p>
            <w:pPr>
              <w:jc w:val="center"/>
              <w:ind w:right="234"/>
              <w:spacing w:after="0"/>
              <w:rPr>
                <w:sz w:val="20"/>
                <w:szCs w:val="20"/>
                <w:color w:val="auto"/>
              </w:rPr>
            </w:pPr>
            <w:r>
              <w:rPr>
                <w:rFonts w:ascii="Arial" w:cs="Arial" w:eastAsia="Arial" w:hAnsi="Arial"/>
                <w:sz w:val="17"/>
                <w:szCs w:val="17"/>
                <w:color w:val="auto"/>
                <w:w w:val="98"/>
              </w:rPr>
              <w:t>8-K</w:t>
            </w:r>
          </w:p>
        </w:tc>
        <w:tc>
          <w:tcPr>
            <w:tcW w:w="1640" w:type="dxa"/>
            <w:vAlign w:val="bottom"/>
          </w:tcPr>
          <w:p>
            <w:pPr>
              <w:jc w:val="center"/>
              <w:ind w:right="14"/>
              <w:spacing w:after="0" w:line="170" w:lineRule="exact"/>
              <w:rPr>
                <w:sz w:val="20"/>
                <w:szCs w:val="20"/>
                <w:color w:val="auto"/>
              </w:rPr>
            </w:pPr>
            <w:r>
              <w:rPr>
                <w:rFonts w:ascii="Arial" w:cs="Arial" w:eastAsia="Arial" w:hAnsi="Arial"/>
                <w:sz w:val="17"/>
                <w:szCs w:val="17"/>
                <w:color w:val="auto"/>
                <w:w w:val="91"/>
              </w:rPr>
              <w:t>06/05/2020</w:t>
            </w:r>
          </w:p>
        </w:tc>
        <w:tc>
          <w:tcPr>
            <w:tcW w:w="720" w:type="dxa"/>
            <w:vAlign w:val="bottom"/>
            <w:vMerge w:val="restart"/>
          </w:tcPr>
          <w:p>
            <w:pPr>
              <w:jc w:val="center"/>
              <w:ind w:left="334"/>
              <w:spacing w:after="0"/>
              <w:rPr>
                <w:sz w:val="20"/>
                <w:szCs w:val="20"/>
                <w:color w:val="auto"/>
              </w:rPr>
            </w:pPr>
            <w:r>
              <w:rPr>
                <w:rFonts w:ascii="Arial" w:cs="Arial" w:eastAsia="Arial" w:hAnsi="Arial"/>
                <w:sz w:val="17"/>
                <w:szCs w:val="17"/>
                <w:color w:val="auto"/>
                <w:w w:val="90"/>
              </w:rPr>
              <w:t>10.1</w:t>
            </w:r>
          </w:p>
        </w:tc>
        <w:tc>
          <w:tcPr>
            <w:tcW w:w="0" w:type="dxa"/>
            <w:vAlign w:val="bottom"/>
          </w:tcPr>
          <w:p>
            <w:pPr>
              <w:spacing w:after="0"/>
              <w:rPr>
                <w:sz w:val="1"/>
                <w:szCs w:val="1"/>
                <w:color w:val="auto"/>
              </w:rPr>
            </w:pPr>
          </w:p>
        </w:tc>
      </w:tr>
      <w:tr>
        <w:trPr>
          <w:trHeight w:val="217"/>
        </w:trPr>
        <w:tc>
          <w:tcPr>
            <w:tcW w:w="980" w:type="dxa"/>
            <w:vAlign w:val="bottom"/>
            <w:vMerge w:val="continue"/>
          </w:tcPr>
          <w:p>
            <w:pPr>
              <w:spacing w:after="0"/>
              <w:rPr>
                <w:sz w:val="18"/>
                <w:szCs w:val="18"/>
                <w:color w:val="auto"/>
              </w:rPr>
            </w:pPr>
          </w:p>
        </w:tc>
        <w:tc>
          <w:tcPr>
            <w:tcW w:w="1640" w:type="dxa"/>
            <w:vAlign w:val="bottom"/>
          </w:tcPr>
          <w:p>
            <w:pPr>
              <w:jc w:val="center"/>
              <w:ind w:right="14"/>
              <w:spacing w:after="0"/>
              <w:rPr>
                <w:sz w:val="20"/>
                <w:szCs w:val="20"/>
                <w:color w:val="auto"/>
              </w:rPr>
            </w:pPr>
            <w:r>
              <w:rPr>
                <w:rFonts w:ascii="Arial" w:cs="Arial" w:eastAsia="Arial" w:hAnsi="Arial"/>
                <w:sz w:val="17"/>
                <w:szCs w:val="17"/>
                <w:color w:val="auto"/>
                <w:w w:val="92"/>
              </w:rPr>
              <w:t>(001-34460)</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40" w:space="100"/>
            <w:col w:w="5620"/>
          </w:cols>
          <w:pgMar w:left="320" w:top="856" w:right="41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Arial" w:cs="Arial" w:eastAsia="Arial" w:hAnsi="Arial"/>
                <w:sz w:val="17"/>
                <w:szCs w:val="17"/>
                <w:color w:val="auto"/>
              </w:rPr>
              <w:t>10.9#</w:t>
            </w:r>
          </w:p>
        </w:tc>
        <w:tc>
          <w:tcPr>
            <w:tcW w:w="4260" w:type="dxa"/>
            <w:vAlign w:val="bottom"/>
            <w:gridSpan w:val="45"/>
          </w:tcPr>
          <w:p>
            <w:pPr>
              <w:spacing w:after="0"/>
              <w:rPr>
                <w:rFonts w:ascii="Arial" w:cs="Arial" w:eastAsia="Arial" w:hAnsi="Arial"/>
                <w:sz w:val="17"/>
                <w:szCs w:val="17"/>
                <w:color w:val="0000FF"/>
              </w:rPr>
            </w:pPr>
            <w:hyperlink r:id="rId96">
              <w:r>
                <w:rPr>
                  <w:rFonts w:ascii="Arial" w:cs="Arial" w:eastAsia="Arial" w:hAnsi="Arial"/>
                  <w:sz w:val="17"/>
                  <w:szCs w:val="17"/>
                  <w:color w:val="0000FF"/>
                </w:rPr>
                <w:t>Form of Restricted Stock Unit Grant &amp; Notice and Form</w:t>
              </w:r>
            </w:hyperlink>
          </w:p>
        </w:tc>
      </w:tr>
      <w:tr>
        <w:trPr>
          <w:trHeight w:val="148"/>
        </w:trPr>
        <w:tc>
          <w:tcPr>
            <w:tcW w:w="1400" w:type="dxa"/>
            <w:vAlign w:val="bottom"/>
          </w:tcPr>
          <w:p>
            <w:pPr>
              <w:spacing w:after="0"/>
              <w:rPr>
                <w:sz w:val="12"/>
                <w:szCs w:val="12"/>
                <w:color w:val="auto"/>
              </w:rPr>
            </w:pPr>
          </w:p>
        </w:tc>
        <w:tc>
          <w:tcPr>
            <w:tcW w:w="4120" w:type="dxa"/>
            <w:vAlign w:val="bottom"/>
            <w:tcBorders>
              <w:top w:val="single" w:sz="8" w:color="0000FF"/>
            </w:tcBorders>
            <w:gridSpan w:val="38"/>
          </w:tcPr>
          <w:p>
            <w:pPr>
              <w:spacing w:after="0" w:line="148" w:lineRule="exact"/>
              <w:rPr>
                <w:rFonts w:ascii="Arial" w:cs="Arial" w:eastAsia="Arial" w:hAnsi="Arial"/>
                <w:sz w:val="17"/>
                <w:szCs w:val="17"/>
                <w:color w:val="0000FF"/>
              </w:rPr>
            </w:pPr>
            <w:hyperlink r:id="rId96">
              <w:r>
                <w:rPr>
                  <w:rFonts w:ascii="Arial" w:cs="Arial" w:eastAsia="Arial" w:hAnsi="Arial"/>
                  <w:sz w:val="17"/>
                  <w:szCs w:val="17"/>
                  <w:color w:val="0000FF"/>
                </w:rPr>
                <w:t>of Restricted Stock Unit Award Agreement pursuant 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3800" w:type="dxa"/>
            <w:vAlign w:val="bottom"/>
            <w:tcBorders>
              <w:top w:val="single" w:sz="8" w:color="0000FF"/>
            </w:tcBorders>
            <w:gridSpan w:val="22"/>
          </w:tcPr>
          <w:p>
            <w:pPr>
              <w:spacing w:after="0" w:line="148" w:lineRule="exact"/>
              <w:rPr>
                <w:rFonts w:ascii="Arial" w:cs="Arial" w:eastAsia="Arial" w:hAnsi="Arial"/>
                <w:sz w:val="17"/>
                <w:szCs w:val="17"/>
                <w:color w:val="0000FF"/>
              </w:rPr>
            </w:pPr>
            <w:hyperlink r:id="rId96">
              <w:r>
                <w:rPr>
                  <w:rFonts w:ascii="Arial" w:cs="Arial" w:eastAsia="Arial" w:hAnsi="Arial"/>
                  <w:sz w:val="17"/>
                  <w:szCs w:val="17"/>
                  <w:color w:val="0000FF"/>
                </w:rPr>
                <w:t>the 2014 Equity Incentive Plan.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400" w:type="dxa"/>
            <w:vAlign w:val="bottom"/>
          </w:tcPr>
          <w:p>
            <w:pPr>
              <w:spacing w:after="0"/>
              <w:rPr>
                <w:sz w:val="20"/>
                <w:szCs w:val="20"/>
                <w:color w:val="auto"/>
              </w:rPr>
            </w:pPr>
            <w:r>
              <w:rPr>
                <w:rFonts w:ascii="Arial" w:cs="Arial" w:eastAsia="Arial" w:hAnsi="Arial"/>
                <w:sz w:val="17"/>
                <w:szCs w:val="17"/>
                <w:color w:val="auto"/>
              </w:rPr>
              <w:t>10.10#</w:t>
            </w:r>
          </w:p>
        </w:tc>
        <w:tc>
          <w:tcPr>
            <w:tcW w:w="4260" w:type="dxa"/>
            <w:vAlign w:val="bottom"/>
            <w:gridSpan w:val="45"/>
          </w:tcPr>
          <w:p>
            <w:pPr>
              <w:spacing w:after="0"/>
              <w:rPr>
                <w:rFonts w:ascii="Arial" w:cs="Arial" w:eastAsia="Arial" w:hAnsi="Arial"/>
                <w:sz w:val="17"/>
                <w:szCs w:val="17"/>
                <w:color w:val="0000FF"/>
              </w:rPr>
            </w:pPr>
            <w:hyperlink r:id="rId97">
              <w:r>
                <w:rPr>
                  <w:rFonts w:ascii="Arial" w:cs="Arial" w:eastAsia="Arial" w:hAnsi="Arial"/>
                  <w:sz w:val="17"/>
                  <w:szCs w:val="17"/>
                  <w:color w:val="0000FF"/>
                </w:rPr>
                <w:t>Second Amended and Restated Executive Employment</w:t>
              </w:r>
            </w:hyperlink>
          </w:p>
        </w:tc>
      </w:tr>
      <w:tr>
        <w:trPr>
          <w:trHeight w:val="148"/>
        </w:trPr>
        <w:tc>
          <w:tcPr>
            <w:tcW w:w="1400" w:type="dxa"/>
            <w:vAlign w:val="bottom"/>
          </w:tcPr>
          <w:p>
            <w:pPr>
              <w:spacing w:after="0"/>
              <w:rPr>
                <w:sz w:val="12"/>
                <w:szCs w:val="12"/>
                <w:color w:val="auto"/>
              </w:rPr>
            </w:pPr>
          </w:p>
        </w:tc>
        <w:tc>
          <w:tcPr>
            <w:tcW w:w="3960" w:type="dxa"/>
            <w:vAlign w:val="bottom"/>
            <w:tcBorders>
              <w:top w:val="single" w:sz="8" w:color="0000FF"/>
              <w:bottom w:val="single" w:sz="8" w:color="0000FF"/>
            </w:tcBorders>
            <w:gridSpan w:val="30"/>
          </w:tcPr>
          <w:p>
            <w:pPr>
              <w:spacing w:after="0" w:line="148" w:lineRule="exact"/>
              <w:rPr>
                <w:rFonts w:ascii="Arial" w:cs="Arial" w:eastAsia="Arial" w:hAnsi="Arial"/>
                <w:sz w:val="17"/>
                <w:szCs w:val="17"/>
                <w:color w:val="0000FF"/>
                <w:w w:val="92"/>
              </w:rPr>
            </w:pPr>
            <w:hyperlink r:id="rId97">
              <w:r>
                <w:rPr>
                  <w:rFonts w:ascii="Arial" w:cs="Arial" w:eastAsia="Arial" w:hAnsi="Arial"/>
                  <w:sz w:val="17"/>
                  <w:szCs w:val="17"/>
                  <w:color w:val="0000FF"/>
                  <w:w w:val="92"/>
                </w:rPr>
                <w:t>Agreement, dated as of August 4, 2011, by and between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4060" w:type="dxa"/>
            <w:vAlign w:val="bottom"/>
            <w:gridSpan w:val="35"/>
          </w:tcPr>
          <w:p>
            <w:pPr>
              <w:spacing w:after="0" w:line="148" w:lineRule="exact"/>
              <w:rPr>
                <w:rFonts w:ascii="Arial" w:cs="Arial" w:eastAsia="Arial" w:hAnsi="Arial"/>
                <w:sz w:val="17"/>
                <w:szCs w:val="17"/>
                <w:color w:val="0000FF"/>
              </w:rPr>
            </w:pPr>
            <w:hyperlink r:id="rId97">
              <w:r>
                <w:rPr>
                  <w:rFonts w:ascii="Arial" w:cs="Arial" w:eastAsia="Arial" w:hAnsi="Arial"/>
                  <w:sz w:val="17"/>
                  <w:szCs w:val="17"/>
                  <w:color w:val="0000FF"/>
                </w:rPr>
                <w:t>Kratos Defense &amp; Security Solutions, Inc. and Eric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3500" w:type="dxa"/>
            <w:vAlign w:val="bottom"/>
            <w:tcBorders>
              <w:top w:val="single" w:sz="8" w:color="0000FF"/>
            </w:tcBorders>
            <w:gridSpan w:val="13"/>
          </w:tcPr>
          <w:p>
            <w:pPr>
              <w:spacing w:after="0" w:line="148" w:lineRule="exact"/>
              <w:rPr>
                <w:rFonts w:ascii="Arial" w:cs="Arial" w:eastAsia="Arial" w:hAnsi="Arial"/>
                <w:sz w:val="17"/>
                <w:szCs w:val="17"/>
                <w:color w:val="0000FF"/>
              </w:rPr>
            </w:pPr>
            <w:hyperlink r:id="rId97">
              <w:r>
                <w:rPr>
                  <w:rFonts w:ascii="Arial" w:cs="Arial" w:eastAsia="Arial" w:hAnsi="Arial"/>
                  <w:sz w:val="17"/>
                  <w:szCs w:val="17"/>
                  <w:color w:val="0000FF"/>
                </w:rPr>
                <w:t>DeMarco.</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400" w:type="dxa"/>
            <w:vAlign w:val="bottom"/>
          </w:tcPr>
          <w:p>
            <w:pPr>
              <w:spacing w:after="0"/>
              <w:rPr>
                <w:sz w:val="20"/>
                <w:szCs w:val="20"/>
                <w:color w:val="auto"/>
              </w:rPr>
            </w:pPr>
            <w:r>
              <w:rPr>
                <w:rFonts w:ascii="Arial" w:cs="Arial" w:eastAsia="Arial" w:hAnsi="Arial"/>
                <w:sz w:val="17"/>
                <w:szCs w:val="17"/>
                <w:color w:val="auto"/>
              </w:rPr>
              <w:t>10.11#</w:t>
            </w:r>
          </w:p>
        </w:tc>
        <w:tc>
          <w:tcPr>
            <w:tcW w:w="4260" w:type="dxa"/>
            <w:vAlign w:val="bottom"/>
            <w:gridSpan w:val="45"/>
          </w:tcPr>
          <w:p>
            <w:pPr>
              <w:spacing w:after="0"/>
              <w:rPr>
                <w:rFonts w:ascii="Arial" w:cs="Arial" w:eastAsia="Arial" w:hAnsi="Arial"/>
                <w:sz w:val="17"/>
                <w:szCs w:val="17"/>
                <w:color w:val="0000FF"/>
                <w:w w:val="95"/>
              </w:rPr>
            </w:pPr>
            <w:hyperlink r:id="rId98">
              <w:r>
                <w:rPr>
                  <w:rFonts w:ascii="Arial" w:cs="Arial" w:eastAsia="Arial" w:hAnsi="Arial"/>
                  <w:sz w:val="17"/>
                  <w:szCs w:val="17"/>
                  <w:color w:val="0000FF"/>
                  <w:w w:val="95"/>
                </w:rPr>
                <w:t>Second Amended and Restated Severance and Change of</w:t>
              </w:r>
            </w:hyperlink>
          </w:p>
        </w:tc>
      </w:tr>
      <w:tr>
        <w:trPr>
          <w:trHeight w:val="148"/>
        </w:trPr>
        <w:tc>
          <w:tcPr>
            <w:tcW w:w="1400" w:type="dxa"/>
            <w:vAlign w:val="bottom"/>
          </w:tcPr>
          <w:p>
            <w:pPr>
              <w:spacing w:after="0"/>
              <w:rPr>
                <w:sz w:val="12"/>
                <w:szCs w:val="12"/>
                <w:color w:val="auto"/>
              </w:rPr>
            </w:pPr>
          </w:p>
        </w:tc>
        <w:tc>
          <w:tcPr>
            <w:tcW w:w="4180" w:type="dxa"/>
            <w:vAlign w:val="bottom"/>
            <w:tcBorders>
              <w:top w:val="single" w:sz="8" w:color="0000FF"/>
            </w:tcBorders>
            <w:gridSpan w:val="41"/>
          </w:tcPr>
          <w:p>
            <w:pPr>
              <w:spacing w:after="0" w:line="148" w:lineRule="exact"/>
              <w:rPr>
                <w:rFonts w:ascii="Arial" w:cs="Arial" w:eastAsia="Arial" w:hAnsi="Arial"/>
                <w:sz w:val="17"/>
                <w:szCs w:val="17"/>
                <w:color w:val="0000FF"/>
              </w:rPr>
            </w:pPr>
            <w:hyperlink r:id="rId98">
              <w:r>
                <w:rPr>
                  <w:rFonts w:ascii="Arial" w:cs="Arial" w:eastAsia="Arial" w:hAnsi="Arial"/>
                  <w:sz w:val="17"/>
                  <w:szCs w:val="17"/>
                  <w:color w:val="0000FF"/>
                </w:rPr>
                <w:t>Control Agreement, dated as of August 4, 2011, by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3920" w:type="dxa"/>
            <w:vAlign w:val="bottom"/>
            <w:tcBorders>
              <w:top w:val="single" w:sz="8" w:color="0000FF"/>
              <w:bottom w:val="single" w:sz="8" w:color="0000FF"/>
            </w:tcBorders>
            <w:gridSpan w:val="28"/>
          </w:tcPr>
          <w:p>
            <w:pPr>
              <w:spacing w:after="0" w:line="148" w:lineRule="exact"/>
              <w:rPr>
                <w:rFonts w:ascii="Arial" w:cs="Arial" w:eastAsia="Arial" w:hAnsi="Arial"/>
                <w:sz w:val="17"/>
                <w:szCs w:val="17"/>
                <w:color w:val="0000FF"/>
                <w:w w:val="94"/>
              </w:rPr>
            </w:pPr>
            <w:hyperlink r:id="rId98">
              <w:r>
                <w:rPr>
                  <w:rFonts w:ascii="Arial" w:cs="Arial" w:eastAsia="Arial" w:hAnsi="Arial"/>
                  <w:sz w:val="17"/>
                  <w:szCs w:val="17"/>
                  <w:color w:val="0000FF"/>
                  <w:w w:val="94"/>
                </w:rPr>
                <w:t>between Kratos Defense &amp; Security Solutions, Inc. and</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980" w:type="dxa"/>
            <w:vAlign w:val="bottom"/>
            <w:tcBorders>
              <w:bottom w:val="single" w:sz="8" w:color="0000FF"/>
            </w:tcBorders>
            <w:gridSpan w:val="4"/>
          </w:tcPr>
          <w:p>
            <w:pPr>
              <w:spacing w:after="0" w:line="148" w:lineRule="exact"/>
              <w:rPr>
                <w:rFonts w:ascii="Arial" w:cs="Arial" w:eastAsia="Arial" w:hAnsi="Arial"/>
                <w:sz w:val="17"/>
                <w:szCs w:val="17"/>
                <w:color w:val="0000FF"/>
                <w:w w:val="89"/>
              </w:rPr>
            </w:pPr>
            <w:hyperlink r:id="rId98">
              <w:r>
                <w:rPr>
                  <w:rFonts w:ascii="Arial" w:cs="Arial" w:eastAsia="Arial" w:hAnsi="Arial"/>
                  <w:sz w:val="17"/>
                  <w:szCs w:val="17"/>
                  <w:color w:val="0000FF"/>
                  <w:w w:val="89"/>
                </w:rPr>
                <w:t>Deanna Lund.</w:t>
              </w:r>
            </w:hyperlink>
          </w:p>
        </w:tc>
        <w:tc>
          <w:tcPr>
            <w:tcW w:w="2960" w:type="dxa"/>
            <w:vAlign w:val="bottom"/>
            <w:gridSpan w:val="2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400" w:type="dxa"/>
            <w:vAlign w:val="bottom"/>
          </w:tcPr>
          <w:p>
            <w:pPr>
              <w:spacing w:after="0"/>
              <w:rPr>
                <w:sz w:val="20"/>
                <w:szCs w:val="20"/>
                <w:color w:val="auto"/>
              </w:rPr>
            </w:pPr>
            <w:r>
              <w:rPr>
                <w:rFonts w:ascii="Arial" w:cs="Arial" w:eastAsia="Arial" w:hAnsi="Arial"/>
                <w:sz w:val="17"/>
                <w:szCs w:val="17"/>
                <w:color w:val="auto"/>
              </w:rPr>
              <w:t>10.12</w:t>
            </w:r>
          </w:p>
        </w:tc>
        <w:tc>
          <w:tcPr>
            <w:tcW w:w="4260" w:type="dxa"/>
            <w:vAlign w:val="bottom"/>
            <w:gridSpan w:val="45"/>
          </w:tcPr>
          <w:p>
            <w:pPr>
              <w:spacing w:after="0"/>
              <w:rPr>
                <w:rFonts w:ascii="Arial" w:cs="Arial" w:eastAsia="Arial" w:hAnsi="Arial"/>
                <w:sz w:val="17"/>
                <w:szCs w:val="17"/>
                <w:color w:val="0000FF"/>
              </w:rPr>
            </w:pPr>
            <w:hyperlink r:id="rId99">
              <w:r>
                <w:rPr>
                  <w:rFonts w:ascii="Arial" w:cs="Arial" w:eastAsia="Arial" w:hAnsi="Arial"/>
                  <w:sz w:val="17"/>
                  <w:szCs w:val="17"/>
                  <w:color w:val="0000FF"/>
                </w:rPr>
                <w:t>Amended and Restated Credit and Security Agreement,</w:t>
              </w:r>
            </w:hyperlink>
          </w:p>
        </w:tc>
      </w:tr>
      <w:tr>
        <w:trPr>
          <w:trHeight w:val="148"/>
        </w:trPr>
        <w:tc>
          <w:tcPr>
            <w:tcW w:w="1400" w:type="dxa"/>
            <w:vAlign w:val="bottom"/>
          </w:tcPr>
          <w:p>
            <w:pPr>
              <w:spacing w:after="0"/>
              <w:rPr>
                <w:sz w:val="12"/>
                <w:szCs w:val="12"/>
                <w:color w:val="auto"/>
              </w:rPr>
            </w:pPr>
          </w:p>
        </w:tc>
        <w:tc>
          <w:tcPr>
            <w:tcW w:w="3980" w:type="dxa"/>
            <w:vAlign w:val="bottom"/>
            <w:tcBorders>
              <w:top w:val="single" w:sz="8" w:color="0000FF"/>
            </w:tcBorders>
            <w:gridSpan w:val="31"/>
          </w:tcPr>
          <w:p>
            <w:pPr>
              <w:spacing w:after="0" w:line="148" w:lineRule="exact"/>
              <w:rPr>
                <w:rFonts w:ascii="Arial" w:cs="Arial" w:eastAsia="Arial" w:hAnsi="Arial"/>
                <w:sz w:val="17"/>
                <w:szCs w:val="17"/>
                <w:color w:val="0000FF"/>
                <w:w w:val="93"/>
              </w:rPr>
            </w:pPr>
            <w:hyperlink r:id="rId99">
              <w:r>
                <w:rPr>
                  <w:rFonts w:ascii="Arial" w:cs="Arial" w:eastAsia="Arial" w:hAnsi="Arial"/>
                  <w:sz w:val="17"/>
                  <w:szCs w:val="17"/>
                  <w:color w:val="0000FF"/>
                  <w:w w:val="93"/>
                </w:rPr>
                <w:t>dated as of November 20, 2017, among Kratos Defense</w:t>
              </w:r>
            </w:hyperlink>
          </w:p>
        </w:tc>
        <w:tc>
          <w:tcPr>
            <w:tcW w:w="280" w:type="dxa"/>
            <w:vAlign w:val="bottom"/>
            <w:gridSpan w:val="14"/>
          </w:tcPr>
          <w:p>
            <w:pPr>
              <w:jc w:val="right"/>
              <w:ind w:right="280"/>
              <w:spacing w:after="0"/>
              <w:rPr>
                <w:rFonts w:ascii="Arial" w:cs="Arial" w:eastAsia="Arial" w:hAnsi="Arial"/>
                <w:sz w:val="4"/>
                <w:szCs w:val="4"/>
                <w:color w:val="0000FF"/>
                <w:w w:val="73"/>
              </w:rPr>
            </w:pPr>
            <w:hyperlink r:id="rId99">
              <w:r>
                <w:rPr>
                  <w:rFonts w:ascii="Arial" w:cs="Arial" w:eastAsia="Arial" w:hAnsi="Arial"/>
                  <w:sz w:val="4"/>
                  <w:szCs w:val="4"/>
                  <w:color w:val="0000FF"/>
                  <w:w w:val="73"/>
                </w:rPr>
                <w:t>&amp;</w:t>
              </w:r>
            </w:hyperlink>
          </w:p>
        </w:tc>
      </w:tr>
      <w:tr>
        <w:trPr>
          <w:trHeight w:val="148"/>
        </w:trPr>
        <w:tc>
          <w:tcPr>
            <w:tcW w:w="1400" w:type="dxa"/>
            <w:vAlign w:val="bottom"/>
          </w:tcPr>
          <w:p>
            <w:pPr>
              <w:spacing w:after="0"/>
              <w:rPr>
                <w:sz w:val="12"/>
                <w:szCs w:val="12"/>
                <w:color w:val="auto"/>
              </w:rPr>
            </w:pPr>
          </w:p>
        </w:tc>
        <w:tc>
          <w:tcPr>
            <w:tcW w:w="4240" w:type="dxa"/>
            <w:vAlign w:val="bottom"/>
            <w:tcBorders>
              <w:top w:val="single" w:sz="8" w:color="0000FF"/>
            </w:tcBorders>
            <w:gridSpan w:val="44"/>
          </w:tcPr>
          <w:p>
            <w:pPr>
              <w:spacing w:after="0" w:line="148" w:lineRule="exact"/>
              <w:rPr>
                <w:rFonts w:ascii="Arial" w:cs="Arial" w:eastAsia="Arial" w:hAnsi="Arial"/>
                <w:sz w:val="17"/>
                <w:szCs w:val="17"/>
                <w:color w:val="0000FF"/>
                <w:w w:val="99"/>
              </w:rPr>
            </w:pPr>
            <w:hyperlink r:id="rId99">
              <w:r>
                <w:rPr>
                  <w:rFonts w:ascii="Arial" w:cs="Arial" w:eastAsia="Arial" w:hAnsi="Arial"/>
                  <w:sz w:val="17"/>
                  <w:szCs w:val="17"/>
                  <w:color w:val="0000FF"/>
                  <w:w w:val="99"/>
                </w:rPr>
                <w:t>Security Solutions, Inc., as Borrower, the lenders named</w:t>
              </w:r>
            </w:hyperlink>
          </w:p>
        </w:tc>
        <w:tc>
          <w:tcPr>
            <w:tcW w:w="20" w:type="dxa"/>
            <w:vAlign w:val="bottom"/>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4080" w:type="dxa"/>
            <w:vAlign w:val="bottom"/>
            <w:tcBorders>
              <w:top w:val="single" w:sz="8" w:color="0000FF"/>
              <w:bottom w:val="single" w:sz="8" w:color="0000FF"/>
            </w:tcBorders>
            <w:gridSpan w:val="36"/>
          </w:tcPr>
          <w:p>
            <w:pPr>
              <w:spacing w:after="0" w:line="148" w:lineRule="exact"/>
              <w:rPr>
                <w:rFonts w:ascii="Arial" w:cs="Arial" w:eastAsia="Arial" w:hAnsi="Arial"/>
                <w:sz w:val="17"/>
                <w:szCs w:val="17"/>
                <w:color w:val="0000FF"/>
                <w:w w:val="92"/>
              </w:rPr>
            </w:pPr>
            <w:hyperlink r:id="rId99">
              <w:r>
                <w:rPr>
                  <w:rFonts w:ascii="Arial" w:cs="Arial" w:eastAsia="Arial" w:hAnsi="Arial"/>
                  <w:sz w:val="17"/>
                  <w:szCs w:val="17"/>
                  <w:color w:val="0000FF"/>
                  <w:w w:val="92"/>
                </w:rPr>
                <w:t>therein, SunTrust Bank, as Agent, and SunTrust Robinson</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4220" w:type="dxa"/>
            <w:vAlign w:val="bottom"/>
            <w:tcBorders>
              <w:bottom w:val="single" w:sz="8" w:color="0000FF"/>
            </w:tcBorders>
            <w:gridSpan w:val="43"/>
          </w:tcPr>
          <w:p>
            <w:pPr>
              <w:spacing w:after="0" w:line="148" w:lineRule="exact"/>
              <w:rPr>
                <w:rFonts w:ascii="Arial" w:cs="Arial" w:eastAsia="Arial" w:hAnsi="Arial"/>
                <w:sz w:val="17"/>
                <w:szCs w:val="17"/>
                <w:color w:val="0000FF"/>
                <w:w w:val="96"/>
              </w:rPr>
            </w:pPr>
            <w:hyperlink r:id="rId99">
              <w:r>
                <w:rPr>
                  <w:rFonts w:ascii="Arial" w:cs="Arial" w:eastAsia="Arial" w:hAnsi="Arial"/>
                  <w:sz w:val="17"/>
                  <w:szCs w:val="17"/>
                  <w:color w:val="0000FF"/>
                  <w:w w:val="96"/>
                </w:rPr>
                <w:t>Humphrey, Inc., as Lead Arranger and Sole Book Runner.</w:t>
              </w:r>
            </w:hyperlink>
          </w:p>
        </w:tc>
        <w:tc>
          <w:tcPr>
            <w:tcW w:w="40" w:type="dxa"/>
            <w:vAlign w:val="bottom"/>
            <w:tcBorders>
              <w:bottom w:val="single" w:sz="8" w:color="0000FF"/>
            </w:tcBorders>
            <w:gridSpan w:val="2"/>
          </w:tcPr>
          <w:p>
            <w:pPr>
              <w:spacing w:after="0"/>
              <w:rPr>
                <w:sz w:val="12"/>
                <w:szCs w:val="12"/>
                <w:color w:val="auto"/>
              </w:rPr>
            </w:pPr>
          </w:p>
        </w:tc>
      </w:tr>
      <w:tr>
        <w:trPr>
          <w:trHeight w:val="199"/>
        </w:trPr>
        <w:tc>
          <w:tcPr>
            <w:tcW w:w="1400" w:type="dxa"/>
            <w:vAlign w:val="bottom"/>
          </w:tcPr>
          <w:p>
            <w:pPr>
              <w:spacing w:after="0"/>
              <w:rPr>
                <w:sz w:val="20"/>
                <w:szCs w:val="20"/>
                <w:color w:val="auto"/>
              </w:rPr>
            </w:pPr>
            <w:r>
              <w:rPr>
                <w:rFonts w:ascii="Arial" w:cs="Arial" w:eastAsia="Arial" w:hAnsi="Arial"/>
                <w:sz w:val="17"/>
                <w:szCs w:val="17"/>
                <w:color w:val="auto"/>
              </w:rPr>
              <w:t>10.13</w:t>
            </w:r>
          </w:p>
        </w:tc>
        <w:tc>
          <w:tcPr>
            <w:tcW w:w="4260" w:type="dxa"/>
            <w:vAlign w:val="bottom"/>
            <w:gridSpan w:val="45"/>
          </w:tcPr>
          <w:p>
            <w:pPr>
              <w:spacing w:after="0"/>
              <w:rPr>
                <w:rFonts w:ascii="Arial" w:cs="Arial" w:eastAsia="Arial" w:hAnsi="Arial"/>
                <w:sz w:val="17"/>
                <w:szCs w:val="17"/>
                <w:color w:val="0000FF"/>
              </w:rPr>
            </w:pPr>
            <w:hyperlink r:id="rId100">
              <w:r>
                <w:rPr>
                  <w:rFonts w:ascii="Arial" w:cs="Arial" w:eastAsia="Arial" w:hAnsi="Arial"/>
                  <w:sz w:val="17"/>
                  <w:szCs w:val="17"/>
                  <w:color w:val="0000FF"/>
                </w:rPr>
                <w:t>First Amendment to Amended and Restated Credit and</w:t>
              </w:r>
            </w:hyperlink>
          </w:p>
        </w:tc>
      </w:tr>
      <w:tr>
        <w:trPr>
          <w:trHeight w:val="148"/>
        </w:trPr>
        <w:tc>
          <w:tcPr>
            <w:tcW w:w="1400" w:type="dxa"/>
            <w:vAlign w:val="bottom"/>
          </w:tcPr>
          <w:p>
            <w:pPr>
              <w:spacing w:after="0"/>
              <w:rPr>
                <w:sz w:val="12"/>
                <w:szCs w:val="12"/>
                <w:color w:val="auto"/>
              </w:rPr>
            </w:pPr>
          </w:p>
        </w:tc>
        <w:tc>
          <w:tcPr>
            <w:tcW w:w="3820" w:type="dxa"/>
            <w:vAlign w:val="bottom"/>
            <w:tcBorders>
              <w:top w:val="single" w:sz="8" w:color="0000FF"/>
              <w:bottom w:val="single" w:sz="8" w:color="0000FF"/>
            </w:tcBorders>
            <w:gridSpan w:val="23"/>
          </w:tcPr>
          <w:p>
            <w:pPr>
              <w:spacing w:after="0" w:line="148" w:lineRule="exact"/>
              <w:rPr>
                <w:rFonts w:ascii="Arial" w:cs="Arial" w:eastAsia="Arial" w:hAnsi="Arial"/>
                <w:sz w:val="17"/>
                <w:szCs w:val="17"/>
                <w:color w:val="0000FF"/>
                <w:w w:val="88"/>
              </w:rPr>
            </w:pPr>
            <w:hyperlink r:id="rId100">
              <w:r>
                <w:rPr>
                  <w:rFonts w:ascii="Arial" w:cs="Arial" w:eastAsia="Arial" w:hAnsi="Arial"/>
                  <w:sz w:val="17"/>
                  <w:szCs w:val="17"/>
                  <w:color w:val="0000FF"/>
                  <w:w w:val="88"/>
                </w:rPr>
                <w:t>Security Agreement, dated June 11, 2018, among Kratos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4100" w:type="dxa"/>
            <w:vAlign w:val="bottom"/>
            <w:tcBorders>
              <w:bottom w:val="single" w:sz="8" w:color="0000FF"/>
            </w:tcBorders>
            <w:gridSpan w:val="37"/>
          </w:tcPr>
          <w:p>
            <w:pPr>
              <w:spacing w:after="0" w:line="148" w:lineRule="exact"/>
              <w:rPr>
                <w:rFonts w:ascii="Arial" w:cs="Arial" w:eastAsia="Arial" w:hAnsi="Arial"/>
                <w:sz w:val="17"/>
                <w:szCs w:val="17"/>
                <w:color w:val="0000FF"/>
                <w:w w:val="96"/>
              </w:rPr>
            </w:pPr>
            <w:hyperlink r:id="rId100">
              <w:r>
                <w:rPr>
                  <w:rFonts w:ascii="Arial" w:cs="Arial" w:eastAsia="Arial" w:hAnsi="Arial"/>
                  <w:sz w:val="17"/>
                  <w:szCs w:val="17"/>
                  <w:color w:val="0000FF"/>
                  <w:w w:val="96"/>
                </w:rPr>
                <w:t>Defense &amp; Security Solutions, Inc., as Borrower, each of</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4140" w:type="dxa"/>
            <w:vAlign w:val="bottom"/>
            <w:tcBorders>
              <w:bottom w:val="single" w:sz="8" w:color="0000FF"/>
            </w:tcBorders>
            <w:gridSpan w:val="39"/>
          </w:tcPr>
          <w:p>
            <w:pPr>
              <w:spacing w:after="0" w:line="148" w:lineRule="exact"/>
              <w:rPr>
                <w:rFonts w:ascii="Arial" w:cs="Arial" w:eastAsia="Arial" w:hAnsi="Arial"/>
                <w:sz w:val="17"/>
                <w:szCs w:val="17"/>
                <w:color w:val="0000FF"/>
                <w:w w:val="94"/>
              </w:rPr>
            </w:pPr>
            <w:hyperlink r:id="rId100">
              <w:r>
                <w:rPr>
                  <w:rFonts w:ascii="Arial" w:cs="Arial" w:eastAsia="Arial" w:hAnsi="Arial"/>
                  <w:sz w:val="17"/>
                  <w:szCs w:val="17"/>
                  <w:color w:val="0000FF"/>
                  <w:w w:val="94"/>
                </w:rPr>
                <w:t>the Credit Parties and Required Lenders party thereto and</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1720" w:type="dxa"/>
            <w:vAlign w:val="bottom"/>
            <w:tcBorders>
              <w:bottom w:val="single" w:sz="8" w:color="0000FF"/>
            </w:tcBorders>
            <w:gridSpan w:val="8"/>
          </w:tcPr>
          <w:p>
            <w:pPr>
              <w:spacing w:after="0" w:line="148" w:lineRule="exact"/>
              <w:rPr>
                <w:rFonts w:ascii="Arial" w:cs="Arial" w:eastAsia="Arial" w:hAnsi="Arial"/>
                <w:sz w:val="17"/>
                <w:szCs w:val="17"/>
                <w:color w:val="0000FF"/>
                <w:w w:val="89"/>
              </w:rPr>
            </w:pPr>
            <w:hyperlink r:id="rId100">
              <w:r>
                <w:rPr>
                  <w:rFonts w:ascii="Arial" w:cs="Arial" w:eastAsia="Arial" w:hAnsi="Arial"/>
                  <w:sz w:val="17"/>
                  <w:szCs w:val="17"/>
                  <w:color w:val="0000FF"/>
                  <w:w w:val="89"/>
                </w:rPr>
                <w:t>SunTrust Bank as Agent.</w:t>
              </w:r>
            </w:hyperlink>
          </w:p>
        </w:tc>
        <w:tc>
          <w:tcPr>
            <w:tcW w:w="2480" w:type="dxa"/>
            <w:vAlign w:val="bottom"/>
            <w:gridSpan w:val="34"/>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99"/>
        </w:trPr>
        <w:tc>
          <w:tcPr>
            <w:tcW w:w="1400" w:type="dxa"/>
            <w:vAlign w:val="bottom"/>
          </w:tcPr>
          <w:p>
            <w:pPr>
              <w:spacing w:after="0"/>
              <w:rPr>
                <w:sz w:val="20"/>
                <w:szCs w:val="20"/>
                <w:color w:val="auto"/>
              </w:rPr>
            </w:pPr>
            <w:r>
              <w:rPr>
                <w:rFonts w:ascii="Arial" w:cs="Arial" w:eastAsia="Arial" w:hAnsi="Arial"/>
                <w:sz w:val="17"/>
                <w:szCs w:val="17"/>
                <w:color w:val="auto"/>
              </w:rPr>
              <w:t>10.14</w:t>
            </w:r>
          </w:p>
        </w:tc>
        <w:tc>
          <w:tcPr>
            <w:tcW w:w="4260" w:type="dxa"/>
            <w:vAlign w:val="bottom"/>
            <w:gridSpan w:val="45"/>
          </w:tcPr>
          <w:p>
            <w:pPr>
              <w:spacing w:after="0"/>
              <w:rPr>
                <w:rFonts w:ascii="Arial" w:cs="Arial" w:eastAsia="Arial" w:hAnsi="Arial"/>
                <w:sz w:val="17"/>
                <w:szCs w:val="17"/>
                <w:color w:val="0000FF"/>
              </w:rPr>
            </w:pPr>
            <w:hyperlink r:id="rId101">
              <w:r>
                <w:rPr>
                  <w:rFonts w:ascii="Arial" w:cs="Arial" w:eastAsia="Arial" w:hAnsi="Arial"/>
                  <w:sz w:val="17"/>
                  <w:szCs w:val="17"/>
                  <w:color w:val="0000FF"/>
                </w:rPr>
                <w:t>Office Lease, dated as of May 1, 2017, by and between</w:t>
              </w:r>
            </w:hyperlink>
          </w:p>
        </w:tc>
      </w:tr>
      <w:tr>
        <w:trPr>
          <w:trHeight w:val="148"/>
        </w:trPr>
        <w:tc>
          <w:tcPr>
            <w:tcW w:w="140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25"/>
          </w:tcPr>
          <w:p>
            <w:pPr>
              <w:spacing w:after="0" w:line="148" w:lineRule="exact"/>
              <w:rPr>
                <w:rFonts w:ascii="Arial" w:cs="Arial" w:eastAsia="Arial" w:hAnsi="Arial"/>
                <w:sz w:val="17"/>
                <w:szCs w:val="17"/>
                <w:color w:val="0000FF"/>
                <w:w w:val="92"/>
              </w:rPr>
            </w:pPr>
            <w:hyperlink r:id="rId101">
              <w:r>
                <w:rPr>
                  <w:rFonts w:ascii="Arial" w:cs="Arial" w:eastAsia="Arial" w:hAnsi="Arial"/>
                  <w:sz w:val="17"/>
                  <w:szCs w:val="17"/>
                  <w:color w:val="0000FF"/>
                  <w:w w:val="92"/>
                </w:rPr>
                <w:t>Kratos Defense &amp; Security Solutions, Inc. and TPP 212</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4000" w:type="dxa"/>
            <w:vAlign w:val="bottom"/>
            <w:gridSpan w:val="32"/>
          </w:tcPr>
          <w:p>
            <w:pPr>
              <w:spacing w:after="0" w:line="148" w:lineRule="exact"/>
              <w:rPr>
                <w:rFonts w:ascii="Arial" w:cs="Arial" w:eastAsia="Arial" w:hAnsi="Arial"/>
                <w:sz w:val="17"/>
                <w:szCs w:val="17"/>
                <w:color w:val="0000FF"/>
              </w:rPr>
            </w:pPr>
            <w:hyperlink r:id="rId101">
              <w:r>
                <w:rPr>
                  <w:rFonts w:ascii="Arial" w:cs="Arial" w:eastAsia="Arial" w:hAnsi="Arial"/>
                  <w:sz w:val="17"/>
                  <w:szCs w:val="17"/>
                  <w:color w:val="0000FF"/>
                </w:rPr>
                <w:t>Scripps, LLC.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9"/>
        </w:trPr>
        <w:tc>
          <w:tcPr>
            <w:tcW w:w="1400" w:type="dxa"/>
            <w:vAlign w:val="bottom"/>
          </w:tcPr>
          <w:p>
            <w:pPr>
              <w:spacing w:after="0"/>
              <w:rPr>
                <w:sz w:val="20"/>
                <w:szCs w:val="20"/>
                <w:color w:val="auto"/>
              </w:rPr>
            </w:pPr>
            <w:r>
              <w:rPr>
                <w:rFonts w:ascii="Arial" w:cs="Arial" w:eastAsia="Arial" w:hAnsi="Arial"/>
                <w:sz w:val="17"/>
                <w:szCs w:val="17"/>
                <w:color w:val="auto"/>
              </w:rPr>
              <w:t>10.15</w:t>
            </w:r>
          </w:p>
        </w:tc>
        <w:tc>
          <w:tcPr>
            <w:tcW w:w="4260" w:type="dxa"/>
            <w:vAlign w:val="bottom"/>
            <w:gridSpan w:val="45"/>
          </w:tcPr>
          <w:p>
            <w:pPr>
              <w:spacing w:after="0"/>
              <w:rPr>
                <w:rFonts w:ascii="Arial" w:cs="Arial" w:eastAsia="Arial" w:hAnsi="Arial"/>
                <w:sz w:val="17"/>
                <w:szCs w:val="17"/>
                <w:color w:val="0000FF"/>
              </w:rPr>
            </w:pPr>
            <w:hyperlink r:id="rId102">
              <w:r>
                <w:rPr>
                  <w:rFonts w:ascii="Arial" w:cs="Arial" w:eastAsia="Arial" w:hAnsi="Arial"/>
                  <w:sz w:val="17"/>
                  <w:szCs w:val="17"/>
                  <w:color w:val="0000FF"/>
                </w:rPr>
                <w:t>Exchange Agreement, dated February 27, 2019, by and</w:t>
              </w:r>
            </w:hyperlink>
          </w:p>
        </w:tc>
      </w:tr>
      <w:tr>
        <w:trPr>
          <w:trHeight w:val="148"/>
        </w:trPr>
        <w:tc>
          <w:tcPr>
            <w:tcW w:w="1400" w:type="dxa"/>
            <w:vAlign w:val="bottom"/>
          </w:tcPr>
          <w:p>
            <w:pPr>
              <w:spacing w:after="0"/>
              <w:rPr>
                <w:sz w:val="12"/>
                <w:szCs w:val="12"/>
                <w:color w:val="auto"/>
              </w:rPr>
            </w:pPr>
          </w:p>
        </w:tc>
        <w:tc>
          <w:tcPr>
            <w:tcW w:w="3880" w:type="dxa"/>
            <w:vAlign w:val="bottom"/>
            <w:tcBorders>
              <w:top w:val="single" w:sz="8" w:color="0000FF"/>
              <w:bottom w:val="single" w:sz="8" w:color="0000FF"/>
            </w:tcBorders>
            <w:gridSpan w:val="26"/>
          </w:tcPr>
          <w:p>
            <w:pPr>
              <w:spacing w:after="0" w:line="148" w:lineRule="exact"/>
              <w:rPr>
                <w:rFonts w:ascii="Arial" w:cs="Arial" w:eastAsia="Arial" w:hAnsi="Arial"/>
                <w:sz w:val="17"/>
                <w:szCs w:val="17"/>
                <w:color w:val="0000FF"/>
                <w:w w:val="94"/>
              </w:rPr>
            </w:pPr>
            <w:hyperlink r:id="rId102">
              <w:r>
                <w:rPr>
                  <w:rFonts w:ascii="Arial" w:cs="Arial" w:eastAsia="Arial" w:hAnsi="Arial"/>
                  <w:sz w:val="17"/>
                  <w:szCs w:val="17"/>
                  <w:color w:val="0000FF"/>
                  <w:w w:val="94"/>
                </w:rPr>
                <w:t>among Kratos Defense &amp; Security Solutions, Inc., FTT</w:t>
              </w:r>
            </w:hyperlink>
          </w:p>
        </w:tc>
        <w:tc>
          <w:tcPr>
            <w:tcW w:w="20" w:type="dxa"/>
            <w:vAlign w:val="bottom"/>
            <w:tcBorders>
              <w:bottom w:val="single" w:sz="8" w:color="0000FF"/>
            </w:tcBorders>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3900" w:type="dxa"/>
            <w:vAlign w:val="bottom"/>
            <w:tcBorders>
              <w:bottom w:val="single" w:sz="8" w:color="0000FF"/>
            </w:tcBorders>
            <w:gridSpan w:val="27"/>
          </w:tcPr>
          <w:p>
            <w:pPr>
              <w:spacing w:after="0" w:line="148" w:lineRule="exact"/>
              <w:rPr>
                <w:rFonts w:ascii="Arial" w:cs="Arial" w:eastAsia="Arial" w:hAnsi="Arial"/>
                <w:sz w:val="17"/>
                <w:szCs w:val="17"/>
                <w:color w:val="0000FF"/>
                <w:w w:val="92"/>
              </w:rPr>
            </w:pPr>
            <w:hyperlink r:id="rId102">
              <w:r>
                <w:rPr>
                  <w:rFonts w:ascii="Arial" w:cs="Arial" w:eastAsia="Arial" w:hAnsi="Arial"/>
                  <w:sz w:val="17"/>
                  <w:szCs w:val="17"/>
                  <w:color w:val="0000FF"/>
                  <w:w w:val="92"/>
                </w:rPr>
                <w:t>CORE, LLC, Florida Turbine Technologies, Inc., Shirley</w:t>
              </w:r>
            </w:hyperlink>
          </w:p>
        </w:tc>
        <w:tc>
          <w:tcPr>
            <w:tcW w:w="120" w:type="dxa"/>
            <w:vAlign w:val="bottom"/>
            <w:tcBorders>
              <w:bottom w:val="single" w:sz="8" w:color="0000FF"/>
            </w:tcBorders>
            <w:gridSpan w:val="6"/>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20" w:type="dxa"/>
            <w:vAlign w:val="bottom"/>
            <w:tcBorders>
              <w:bottom w:val="single" w:sz="8" w:color="0000FF"/>
            </w:tcBorders>
            <w:gridSpan w:val="6"/>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4160" w:type="dxa"/>
            <w:vAlign w:val="bottom"/>
            <w:gridSpan w:val="40"/>
          </w:tcPr>
          <w:p>
            <w:pPr>
              <w:spacing w:after="0" w:line="148" w:lineRule="exact"/>
              <w:rPr>
                <w:rFonts w:ascii="Arial" w:cs="Arial" w:eastAsia="Arial" w:hAnsi="Arial"/>
                <w:sz w:val="17"/>
                <w:szCs w:val="17"/>
                <w:color w:val="0000FF"/>
              </w:rPr>
            </w:pPr>
            <w:hyperlink r:id="rId102">
              <w:r>
                <w:rPr>
                  <w:rFonts w:ascii="Arial" w:cs="Arial" w:eastAsia="Arial" w:hAnsi="Arial"/>
                  <w:sz w:val="17"/>
                  <w:szCs w:val="17"/>
                  <w:color w:val="0000FF"/>
                </w:rPr>
                <w:t>Brostmeyer (“SB”), Joseph Brostmeyer (“JB”), and</w:t>
              </w:r>
            </w:hyperlink>
          </w:p>
        </w:tc>
        <w:tc>
          <w:tcPr>
            <w:tcW w:w="100" w:type="dxa"/>
            <w:vAlign w:val="bottom"/>
            <w:gridSpan w:val="5"/>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3540" w:type="dxa"/>
            <w:vAlign w:val="bottom"/>
            <w:tcBorders>
              <w:top w:val="single" w:sz="8" w:color="0000FF"/>
            </w:tcBorders>
            <w:gridSpan w:val="14"/>
          </w:tcPr>
          <w:p>
            <w:pPr>
              <w:spacing w:after="0" w:line="148" w:lineRule="exact"/>
              <w:rPr>
                <w:rFonts w:ascii="Arial" w:cs="Arial" w:eastAsia="Arial" w:hAnsi="Arial"/>
                <w:sz w:val="17"/>
                <w:szCs w:val="17"/>
                <w:color w:val="0000FF"/>
                <w:w w:val="89"/>
              </w:rPr>
            </w:pPr>
            <w:hyperlink r:id="rId102">
              <w:r>
                <w:rPr>
                  <w:rFonts w:ascii="Arial" w:cs="Arial" w:eastAsia="Arial" w:hAnsi="Arial"/>
                  <w:sz w:val="17"/>
                  <w:szCs w:val="17"/>
                  <w:color w:val="0000FF"/>
                  <w:w w:val="89"/>
                </w:rPr>
                <w:t>certain trusts established by S</w:t>
              </w:r>
              <w:r>
                <w:rPr>
                  <w:rFonts w:ascii="Arial" w:cs="Arial" w:eastAsia="Arial" w:hAnsi="Arial"/>
                  <w:sz w:val="17"/>
                  <w:szCs w:val="17"/>
                  <w:color w:val="000000"/>
                  <w:w w:val="89"/>
                </w:rPr>
                <w:t>B, JB and members of</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9"/>
          </w:tcPr>
          <w:p>
            <w:pPr>
              <w:spacing w:after="0" w:line="148" w:lineRule="exact"/>
              <w:rPr>
                <w:rFonts w:ascii="Arial" w:cs="Arial" w:eastAsia="Arial" w:hAnsi="Arial"/>
                <w:sz w:val="17"/>
                <w:szCs w:val="17"/>
                <w:color w:val="auto"/>
              </w:rPr>
            </w:pPr>
            <w:hyperlink r:id="rId102">
              <w:r>
                <w:rPr>
                  <w:rFonts w:ascii="Arial" w:cs="Arial" w:eastAsia="Arial" w:hAnsi="Arial"/>
                  <w:sz w:val="17"/>
                  <w:szCs w:val="17"/>
                  <w:color w:val="auto"/>
                </w:rPr>
                <w:t>their</w:t>
              </w:r>
            </w:hyperlink>
          </w:p>
        </w:tc>
      </w:tr>
      <w:tr>
        <w:trPr>
          <w:trHeight w:val="187"/>
        </w:trPr>
        <w:tc>
          <w:tcPr>
            <w:tcW w:w="1400" w:type="dxa"/>
            <w:vAlign w:val="bottom"/>
          </w:tcPr>
          <w:p>
            <w:pPr>
              <w:spacing w:after="0"/>
              <w:rPr>
                <w:sz w:val="16"/>
                <w:szCs w:val="16"/>
                <w:color w:val="auto"/>
              </w:rPr>
            </w:pPr>
          </w:p>
        </w:tc>
        <w:tc>
          <w:tcPr>
            <w:tcW w:w="2040" w:type="dxa"/>
            <w:vAlign w:val="bottom"/>
            <w:tcBorders>
              <w:top w:val="single" w:sz="8" w:color="0000FF"/>
            </w:tcBorders>
            <w:gridSpan w:val="9"/>
          </w:tcPr>
          <w:p>
            <w:pPr>
              <w:spacing w:after="0" w:line="187" w:lineRule="exact"/>
              <w:rPr>
                <w:sz w:val="20"/>
                <w:szCs w:val="20"/>
                <w:color w:val="auto"/>
              </w:rPr>
            </w:pPr>
            <w:r>
              <w:rPr>
                <w:rFonts w:ascii="Arial" w:cs="Arial" w:eastAsia="Arial" w:hAnsi="Arial"/>
                <w:sz w:val="17"/>
                <w:szCs w:val="17"/>
                <w:color w:val="auto"/>
                <w:w w:val="92"/>
              </w:rPr>
              <w:t>immediate family, and JB, as</w:t>
            </w:r>
          </w:p>
        </w:tc>
        <w:tc>
          <w:tcPr>
            <w:tcW w:w="2220" w:type="dxa"/>
            <w:vAlign w:val="bottom"/>
            <w:gridSpan w:val="36"/>
          </w:tcPr>
          <w:p>
            <w:pPr>
              <w:spacing w:after="0" w:line="187" w:lineRule="exact"/>
              <w:rPr>
                <w:sz w:val="20"/>
                <w:szCs w:val="20"/>
                <w:color w:val="auto"/>
              </w:rPr>
            </w:pPr>
            <w:r>
              <w:rPr>
                <w:rFonts w:ascii="Arial" w:cs="Arial" w:eastAsia="Arial" w:hAnsi="Arial"/>
                <w:sz w:val="17"/>
                <w:szCs w:val="17"/>
                <w:color w:val="auto"/>
              </w:rPr>
              <w:t>the Sellers Representative.</w:t>
            </w:r>
          </w:p>
        </w:tc>
      </w:tr>
      <w:tr>
        <w:trPr>
          <w:trHeight w:val="180"/>
        </w:trPr>
        <w:tc>
          <w:tcPr>
            <w:tcW w:w="1400" w:type="dxa"/>
            <w:vAlign w:val="bottom"/>
          </w:tcPr>
          <w:p>
            <w:pPr>
              <w:spacing w:after="0" w:line="180" w:lineRule="exact"/>
              <w:rPr>
                <w:sz w:val="20"/>
                <w:szCs w:val="20"/>
                <w:color w:val="auto"/>
              </w:rPr>
            </w:pPr>
            <w:r>
              <w:rPr>
                <w:rFonts w:ascii="Arial" w:cs="Arial" w:eastAsia="Arial" w:hAnsi="Arial"/>
                <w:sz w:val="17"/>
                <w:szCs w:val="17"/>
                <w:color w:val="auto"/>
              </w:rPr>
              <w:t>10.16#</w:t>
            </w:r>
          </w:p>
        </w:tc>
        <w:tc>
          <w:tcPr>
            <w:tcW w:w="4260" w:type="dxa"/>
            <w:vAlign w:val="bottom"/>
            <w:gridSpan w:val="45"/>
          </w:tcPr>
          <w:p>
            <w:pPr>
              <w:spacing w:after="0" w:line="180" w:lineRule="exact"/>
              <w:rPr>
                <w:rFonts w:ascii="Arial" w:cs="Arial" w:eastAsia="Arial" w:hAnsi="Arial"/>
                <w:sz w:val="17"/>
                <w:szCs w:val="17"/>
                <w:color w:val="0000FF"/>
              </w:rPr>
            </w:pPr>
            <w:hyperlink r:id="rId103">
              <w:r>
                <w:rPr>
                  <w:rFonts w:ascii="Arial" w:cs="Arial" w:eastAsia="Arial" w:hAnsi="Arial"/>
                  <w:sz w:val="17"/>
                  <w:szCs w:val="17"/>
                  <w:color w:val="0000FF"/>
                </w:rPr>
                <w:t>Employment Agreement, effective January 1, 2020 by</w:t>
              </w:r>
            </w:hyperlink>
          </w:p>
        </w:tc>
      </w:tr>
      <w:tr>
        <w:trPr>
          <w:trHeight w:val="20"/>
        </w:trPr>
        <w:tc>
          <w:tcPr>
            <w:tcW w:w="1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148"/>
        </w:trPr>
        <w:tc>
          <w:tcPr>
            <w:tcW w:w="1400" w:type="dxa"/>
            <w:vAlign w:val="bottom"/>
          </w:tcPr>
          <w:p>
            <w:pPr>
              <w:spacing w:after="0"/>
              <w:rPr>
                <w:sz w:val="12"/>
                <w:szCs w:val="12"/>
                <w:color w:val="auto"/>
              </w:rPr>
            </w:pPr>
          </w:p>
        </w:tc>
        <w:tc>
          <w:tcPr>
            <w:tcW w:w="4260" w:type="dxa"/>
            <w:vAlign w:val="bottom"/>
            <w:gridSpan w:val="45"/>
          </w:tcPr>
          <w:p>
            <w:pPr>
              <w:spacing w:after="0" w:line="148" w:lineRule="exact"/>
              <w:rPr>
                <w:rFonts w:ascii="Arial" w:cs="Arial" w:eastAsia="Arial" w:hAnsi="Arial"/>
                <w:sz w:val="17"/>
                <w:szCs w:val="17"/>
                <w:color w:val="0000FF"/>
                <w:w w:val="99"/>
              </w:rPr>
            </w:pPr>
            <w:hyperlink r:id="rId103">
              <w:r>
                <w:rPr>
                  <w:rFonts w:ascii="Arial" w:cs="Arial" w:eastAsia="Arial" w:hAnsi="Arial"/>
                  <w:sz w:val="17"/>
                  <w:szCs w:val="17"/>
                  <w:color w:val="0000FF"/>
                  <w:w w:val="99"/>
                </w:rPr>
                <w:t>and between Kratos Defense and Security Systems, Inc.</w:t>
              </w:r>
            </w:hyperlink>
          </w:p>
        </w:tc>
      </w:tr>
      <w:tr>
        <w:trPr>
          <w:trHeight w:val="148"/>
        </w:trPr>
        <w:tc>
          <w:tcPr>
            <w:tcW w:w="1400" w:type="dxa"/>
            <w:vAlign w:val="bottom"/>
          </w:tcPr>
          <w:p>
            <w:pPr>
              <w:spacing w:after="0"/>
              <w:rPr>
                <w:sz w:val="12"/>
                <w:szCs w:val="12"/>
                <w:color w:val="auto"/>
              </w:rPr>
            </w:pPr>
          </w:p>
        </w:tc>
        <w:tc>
          <w:tcPr>
            <w:tcW w:w="104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w w:val="90"/>
              </w:rPr>
            </w:pPr>
            <w:hyperlink r:id="rId103">
              <w:r>
                <w:rPr>
                  <w:rFonts w:ascii="Arial" w:cs="Arial" w:eastAsia="Arial" w:hAnsi="Arial"/>
                  <w:sz w:val="17"/>
                  <w:szCs w:val="17"/>
                  <w:color w:val="0000FF"/>
                  <w:w w:val="90"/>
                </w:rPr>
                <w:t>and Phil Carrai</w:t>
              </w:r>
            </w:hyperlink>
          </w:p>
        </w:tc>
        <w:tc>
          <w:tcPr>
            <w:tcW w:w="3000" w:type="dxa"/>
            <w:vAlign w:val="bottom"/>
            <w:tcBorders>
              <w:top w:val="single" w:sz="8" w:color="0000FF"/>
            </w:tcBorders>
            <w:gridSpan w:val="29"/>
          </w:tcPr>
          <w:p>
            <w:pPr>
              <w:spacing w:after="0"/>
              <w:rPr>
                <w:sz w:val="12"/>
                <w:szCs w:val="12"/>
                <w:color w:val="auto"/>
              </w:rPr>
            </w:pPr>
          </w:p>
        </w:tc>
        <w:tc>
          <w:tcPr>
            <w:tcW w:w="220" w:type="dxa"/>
            <w:vAlign w:val="bottom"/>
            <w:gridSpan w:val="11"/>
          </w:tcPr>
          <w:p>
            <w:pPr>
              <w:spacing w:after="0"/>
              <w:rPr>
                <w:sz w:val="12"/>
                <w:szCs w:val="12"/>
                <w:color w:val="auto"/>
              </w:rPr>
            </w:pPr>
          </w:p>
        </w:tc>
      </w:tr>
      <w:tr>
        <w:trPr>
          <w:trHeight w:val="199"/>
        </w:trPr>
        <w:tc>
          <w:tcPr>
            <w:tcW w:w="1400" w:type="dxa"/>
            <w:vAlign w:val="bottom"/>
          </w:tcPr>
          <w:p>
            <w:pPr>
              <w:spacing w:after="0"/>
              <w:rPr>
                <w:sz w:val="20"/>
                <w:szCs w:val="20"/>
                <w:color w:val="auto"/>
              </w:rPr>
            </w:pPr>
            <w:r>
              <w:rPr>
                <w:rFonts w:ascii="Arial" w:cs="Arial" w:eastAsia="Arial" w:hAnsi="Arial"/>
                <w:sz w:val="17"/>
                <w:szCs w:val="17"/>
                <w:color w:val="auto"/>
              </w:rPr>
              <w:t>10.17#</w:t>
            </w:r>
          </w:p>
        </w:tc>
        <w:tc>
          <w:tcPr>
            <w:tcW w:w="4260" w:type="dxa"/>
            <w:vAlign w:val="bottom"/>
            <w:gridSpan w:val="45"/>
          </w:tcPr>
          <w:p>
            <w:pPr>
              <w:spacing w:after="0"/>
              <w:rPr>
                <w:rFonts w:ascii="Arial" w:cs="Arial" w:eastAsia="Arial" w:hAnsi="Arial"/>
                <w:sz w:val="17"/>
                <w:szCs w:val="17"/>
                <w:color w:val="0000FF"/>
              </w:rPr>
            </w:pPr>
            <w:hyperlink r:id="rId104">
              <w:r>
                <w:rPr>
                  <w:rFonts w:ascii="Arial" w:cs="Arial" w:eastAsia="Arial" w:hAnsi="Arial"/>
                  <w:sz w:val="17"/>
                  <w:szCs w:val="17"/>
                  <w:color w:val="0000FF"/>
                </w:rPr>
                <w:t>Employment Agreement, effective November 18, 2020</w:t>
              </w:r>
            </w:hyperlink>
          </w:p>
        </w:tc>
      </w:tr>
      <w:tr>
        <w:trPr>
          <w:trHeight w:val="148"/>
        </w:trPr>
        <w:tc>
          <w:tcPr>
            <w:tcW w:w="1400" w:type="dxa"/>
            <w:vAlign w:val="bottom"/>
          </w:tcPr>
          <w:p>
            <w:pPr>
              <w:spacing w:after="0"/>
              <w:rPr>
                <w:sz w:val="12"/>
                <w:szCs w:val="12"/>
                <w:color w:val="auto"/>
              </w:rPr>
            </w:pPr>
          </w:p>
        </w:tc>
        <w:tc>
          <w:tcPr>
            <w:tcW w:w="3840" w:type="dxa"/>
            <w:vAlign w:val="bottom"/>
            <w:tcBorders>
              <w:top w:val="single" w:sz="8" w:color="0000FF"/>
            </w:tcBorders>
            <w:gridSpan w:val="24"/>
          </w:tcPr>
          <w:p>
            <w:pPr>
              <w:spacing w:after="0" w:line="148" w:lineRule="exact"/>
              <w:rPr>
                <w:rFonts w:ascii="Arial" w:cs="Arial" w:eastAsia="Arial" w:hAnsi="Arial"/>
                <w:sz w:val="17"/>
                <w:szCs w:val="17"/>
                <w:color w:val="0000FF"/>
                <w:w w:val="91"/>
              </w:rPr>
            </w:pPr>
            <w:hyperlink r:id="rId104">
              <w:r>
                <w:rPr>
                  <w:rFonts w:ascii="Arial" w:cs="Arial" w:eastAsia="Arial" w:hAnsi="Arial"/>
                  <w:sz w:val="17"/>
                  <w:szCs w:val="17"/>
                  <w:color w:val="0000FF"/>
                  <w:w w:val="91"/>
                </w:rPr>
                <w:t>by and between Kratos Defense and Security Systems,</w:t>
              </w:r>
            </w:hyperlink>
          </w:p>
        </w:tc>
        <w:tc>
          <w:tcPr>
            <w:tcW w:w="180" w:type="dxa"/>
            <w:vAlign w:val="bottom"/>
            <w:gridSpan w:val="9"/>
          </w:tcPr>
          <w:p>
            <w:pPr>
              <w:spacing w:after="0"/>
              <w:rPr>
                <w:sz w:val="12"/>
                <w:szCs w:val="12"/>
                <w:color w:val="auto"/>
              </w:rPr>
            </w:pPr>
          </w:p>
        </w:tc>
        <w:tc>
          <w:tcPr>
            <w:tcW w:w="240" w:type="dxa"/>
            <w:vAlign w:val="bottom"/>
            <w:gridSpan w:val="12"/>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1660" w:type="dxa"/>
            <w:vAlign w:val="bottom"/>
            <w:tcBorders>
              <w:top w:val="single" w:sz="8" w:color="0000FF"/>
              <w:bottom w:val="single" w:sz="8" w:color="0000FF"/>
            </w:tcBorders>
            <w:gridSpan w:val="7"/>
          </w:tcPr>
          <w:p>
            <w:pPr>
              <w:spacing w:after="0" w:line="148" w:lineRule="exact"/>
              <w:rPr>
                <w:rFonts w:ascii="Arial" w:cs="Arial" w:eastAsia="Arial" w:hAnsi="Arial"/>
                <w:sz w:val="17"/>
                <w:szCs w:val="17"/>
                <w:color w:val="0000FF"/>
                <w:w w:val="89"/>
              </w:rPr>
            </w:pPr>
            <w:hyperlink r:id="rId104">
              <w:r>
                <w:rPr>
                  <w:rFonts w:ascii="Arial" w:cs="Arial" w:eastAsia="Arial" w:hAnsi="Arial"/>
                  <w:sz w:val="17"/>
                  <w:szCs w:val="17"/>
                  <w:color w:val="0000FF"/>
                  <w:w w:val="89"/>
                </w:rPr>
                <w:t>Inc. and Steven Fendley</w:t>
              </w:r>
            </w:hyperlink>
          </w:p>
        </w:tc>
        <w:tc>
          <w:tcPr>
            <w:tcW w:w="2120" w:type="dxa"/>
            <w:vAlign w:val="bottom"/>
            <w:tcBorders>
              <w:top w:val="single" w:sz="8" w:color="0000FF"/>
            </w:tcBorders>
            <w:gridSpan w:val="14"/>
          </w:tcPr>
          <w:p>
            <w:pPr>
              <w:spacing w:after="0"/>
              <w:rPr>
                <w:sz w:val="12"/>
                <w:szCs w:val="12"/>
                <w:color w:val="auto"/>
              </w:rPr>
            </w:pPr>
          </w:p>
        </w:tc>
        <w:tc>
          <w:tcPr>
            <w:tcW w:w="240" w:type="dxa"/>
            <w:vAlign w:val="bottom"/>
            <w:gridSpan w:val="12"/>
          </w:tcPr>
          <w:p>
            <w:pPr>
              <w:spacing w:after="0"/>
              <w:rPr>
                <w:sz w:val="12"/>
                <w:szCs w:val="12"/>
                <w:color w:val="auto"/>
              </w:rPr>
            </w:pPr>
          </w:p>
        </w:tc>
        <w:tc>
          <w:tcPr>
            <w:tcW w:w="240" w:type="dxa"/>
            <w:vAlign w:val="bottom"/>
            <w:gridSpan w:val="12"/>
          </w:tcPr>
          <w:p>
            <w:pPr>
              <w:spacing w:after="0"/>
              <w:rPr>
                <w:sz w:val="12"/>
                <w:szCs w:val="12"/>
                <w:color w:val="auto"/>
              </w:rPr>
            </w:pPr>
          </w:p>
        </w:tc>
      </w:tr>
      <w:tr>
        <w:trPr>
          <w:trHeight w:val="225"/>
        </w:trPr>
        <w:tc>
          <w:tcPr>
            <w:tcW w:w="1400" w:type="dxa"/>
            <w:vAlign w:val="bottom"/>
          </w:tcPr>
          <w:p>
            <w:pPr>
              <w:spacing w:after="0"/>
              <w:rPr>
                <w:sz w:val="20"/>
                <w:szCs w:val="20"/>
                <w:color w:val="auto"/>
              </w:rPr>
            </w:pPr>
            <w:r>
              <w:rPr>
                <w:rFonts w:ascii="Arial" w:cs="Arial" w:eastAsia="Arial" w:hAnsi="Arial"/>
                <w:sz w:val="17"/>
                <w:szCs w:val="17"/>
                <w:color w:val="auto"/>
              </w:rPr>
              <w:t>10.18</w:t>
            </w:r>
          </w:p>
        </w:tc>
        <w:tc>
          <w:tcPr>
            <w:tcW w:w="4260" w:type="dxa"/>
            <w:vAlign w:val="bottom"/>
            <w:gridSpan w:val="45"/>
          </w:tcPr>
          <w:p>
            <w:pPr>
              <w:spacing w:after="0"/>
              <w:rPr>
                <w:rFonts w:ascii="Arial" w:cs="Arial" w:eastAsia="Arial" w:hAnsi="Arial"/>
                <w:sz w:val="17"/>
                <w:szCs w:val="17"/>
                <w:color w:val="0000FF"/>
              </w:rPr>
            </w:pPr>
            <w:hyperlink w:anchor="page108">
              <w:r>
                <w:rPr>
                  <w:rFonts w:ascii="Arial" w:cs="Arial" w:eastAsia="Arial" w:hAnsi="Arial"/>
                  <w:sz w:val="17"/>
                  <w:szCs w:val="17"/>
                  <w:color w:val="0000FF"/>
                </w:rPr>
                <w:t>Amended and Restated Lease Agreement, dated as of</w:t>
              </w:r>
            </w:hyperlink>
          </w:p>
        </w:tc>
      </w:tr>
      <w:tr>
        <w:trPr>
          <w:trHeight w:val="148"/>
        </w:trPr>
        <w:tc>
          <w:tcPr>
            <w:tcW w:w="1400" w:type="dxa"/>
            <w:vAlign w:val="bottom"/>
          </w:tcPr>
          <w:p>
            <w:pPr>
              <w:spacing w:after="0"/>
              <w:rPr>
                <w:sz w:val="12"/>
                <w:szCs w:val="12"/>
                <w:color w:val="auto"/>
              </w:rPr>
            </w:pPr>
          </w:p>
        </w:tc>
        <w:tc>
          <w:tcPr>
            <w:tcW w:w="3720" w:type="dxa"/>
            <w:vAlign w:val="bottom"/>
            <w:tcBorders>
              <w:top w:val="single" w:sz="8" w:color="0000FF"/>
            </w:tcBorders>
            <w:gridSpan w:val="18"/>
          </w:tcPr>
          <w:p>
            <w:pPr>
              <w:spacing w:after="0" w:line="148" w:lineRule="exact"/>
              <w:rPr>
                <w:rFonts w:ascii="Arial" w:cs="Arial" w:eastAsia="Arial" w:hAnsi="Arial"/>
                <w:sz w:val="17"/>
                <w:szCs w:val="17"/>
                <w:color w:val="0000FF"/>
                <w:w w:val="92"/>
              </w:rPr>
            </w:pPr>
            <w:hyperlink w:anchor="page108">
              <w:r>
                <w:rPr>
                  <w:rFonts w:ascii="Arial" w:cs="Arial" w:eastAsia="Arial" w:hAnsi="Arial"/>
                  <w:sz w:val="17"/>
                  <w:szCs w:val="17"/>
                  <w:color w:val="0000FF"/>
                  <w:w w:val="92"/>
                </w:rPr>
                <w:t>December 20, 2019, by and between STORE Capital</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13"/>
          </w:tcPr>
          <w:p>
            <w:pPr>
              <w:spacing w:after="0"/>
              <w:rPr>
                <w:sz w:val="12"/>
                <w:szCs w:val="12"/>
                <w:color w:val="auto"/>
              </w:rPr>
            </w:pPr>
          </w:p>
        </w:tc>
        <w:tc>
          <w:tcPr>
            <w:tcW w:w="240" w:type="dxa"/>
            <w:vAlign w:val="bottom"/>
            <w:gridSpan w:val="12"/>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3620" w:type="dxa"/>
            <w:vAlign w:val="bottom"/>
            <w:tcBorders>
              <w:top w:val="single" w:sz="8" w:color="0000FF"/>
            </w:tcBorders>
            <w:gridSpan w:val="17"/>
          </w:tcPr>
          <w:p>
            <w:pPr>
              <w:spacing w:after="0" w:line="148" w:lineRule="exact"/>
              <w:rPr>
                <w:rFonts w:ascii="Arial" w:cs="Arial" w:eastAsia="Arial" w:hAnsi="Arial"/>
                <w:sz w:val="17"/>
                <w:szCs w:val="17"/>
                <w:color w:val="0000FF"/>
              </w:rPr>
            </w:pPr>
            <w:hyperlink w:anchor="page108">
              <w:r>
                <w:rPr>
                  <w:rFonts w:ascii="Arial" w:cs="Arial" w:eastAsia="Arial" w:hAnsi="Arial"/>
                  <w:sz w:val="17"/>
                  <w:szCs w:val="17"/>
                  <w:color w:val="0000FF"/>
                </w:rPr>
                <w:t>Acquisitions, LLC and Kratos RT Logic, Inc.</w:t>
              </w:r>
            </w:hyperlink>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13"/>
          </w:tcPr>
          <w:p>
            <w:pPr>
              <w:spacing w:after="0"/>
              <w:rPr>
                <w:sz w:val="12"/>
                <w:szCs w:val="12"/>
                <w:color w:val="auto"/>
              </w:rPr>
            </w:pPr>
          </w:p>
        </w:tc>
        <w:tc>
          <w:tcPr>
            <w:tcW w:w="240" w:type="dxa"/>
            <w:vAlign w:val="bottom"/>
            <w:gridSpan w:val="12"/>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172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38"/>
        </w:trPr>
        <w:tc>
          <w:tcPr>
            <w:tcW w:w="1400" w:type="dxa"/>
            <w:vAlign w:val="bottom"/>
          </w:tcPr>
          <w:p>
            <w:pPr>
              <w:spacing w:after="0"/>
              <w:rPr>
                <w:sz w:val="20"/>
                <w:szCs w:val="20"/>
                <w:color w:val="auto"/>
              </w:rPr>
            </w:pPr>
            <w:r>
              <w:rPr>
                <w:rFonts w:ascii="Arial" w:cs="Arial" w:eastAsia="Arial" w:hAnsi="Arial"/>
                <w:sz w:val="17"/>
                <w:szCs w:val="17"/>
                <w:color w:val="auto"/>
              </w:rPr>
              <w:t>10.19</w:t>
            </w:r>
          </w:p>
        </w:tc>
        <w:tc>
          <w:tcPr>
            <w:tcW w:w="4260" w:type="dxa"/>
            <w:vAlign w:val="bottom"/>
            <w:gridSpan w:val="45"/>
          </w:tcPr>
          <w:p>
            <w:pPr>
              <w:spacing w:after="0"/>
              <w:rPr>
                <w:rFonts w:ascii="Arial" w:cs="Arial" w:eastAsia="Arial" w:hAnsi="Arial"/>
                <w:sz w:val="17"/>
                <w:szCs w:val="17"/>
                <w:color w:val="0000FF"/>
              </w:rPr>
            </w:pPr>
            <w:hyperlink w:anchor="page155">
              <w:r>
                <w:rPr>
                  <w:rFonts w:ascii="Arial" w:cs="Arial" w:eastAsia="Arial" w:hAnsi="Arial"/>
                  <w:sz w:val="17"/>
                  <w:szCs w:val="17"/>
                  <w:color w:val="0000FF"/>
                </w:rPr>
                <w:t>First Amendment to Exchange Agreement, dated as of</w:t>
              </w:r>
            </w:hyperlink>
          </w:p>
        </w:tc>
      </w:tr>
      <w:tr>
        <w:trPr>
          <w:trHeight w:val="148"/>
        </w:trPr>
        <w:tc>
          <w:tcPr>
            <w:tcW w:w="1400" w:type="dxa"/>
            <w:vAlign w:val="bottom"/>
          </w:tcPr>
          <w:p>
            <w:pPr>
              <w:spacing w:after="0"/>
              <w:rPr>
                <w:sz w:val="12"/>
                <w:szCs w:val="12"/>
                <w:color w:val="auto"/>
              </w:rPr>
            </w:pPr>
          </w:p>
        </w:tc>
        <w:tc>
          <w:tcPr>
            <w:tcW w:w="3740" w:type="dxa"/>
            <w:vAlign w:val="bottom"/>
            <w:tcBorders>
              <w:top w:val="single" w:sz="8" w:color="0000FF"/>
            </w:tcBorders>
            <w:gridSpan w:val="19"/>
          </w:tcPr>
          <w:p>
            <w:pPr>
              <w:spacing w:after="0" w:line="148" w:lineRule="exact"/>
              <w:rPr>
                <w:rFonts w:ascii="Arial" w:cs="Arial" w:eastAsia="Arial" w:hAnsi="Arial"/>
                <w:sz w:val="17"/>
                <w:szCs w:val="17"/>
                <w:color w:val="0000FF"/>
                <w:w w:val="94"/>
              </w:rPr>
            </w:pPr>
            <w:hyperlink w:anchor="page155">
              <w:r>
                <w:rPr>
                  <w:rFonts w:ascii="Arial" w:cs="Arial" w:eastAsia="Arial" w:hAnsi="Arial"/>
                  <w:sz w:val="17"/>
                  <w:szCs w:val="17"/>
                  <w:color w:val="0000FF"/>
                  <w:w w:val="94"/>
                </w:rPr>
                <w:t>February 18, 2022, by and among Kratos Defense &amp;</w:t>
              </w:r>
            </w:hyperlink>
          </w:p>
        </w:tc>
        <w:tc>
          <w:tcPr>
            <w:tcW w:w="20" w:type="dxa"/>
            <w:vAlign w:val="bottom"/>
          </w:tcPr>
          <w:p>
            <w:pPr>
              <w:spacing w:after="0"/>
              <w:rPr>
                <w:sz w:val="12"/>
                <w:szCs w:val="12"/>
                <w:color w:val="auto"/>
              </w:rPr>
            </w:pPr>
          </w:p>
        </w:tc>
        <w:tc>
          <w:tcPr>
            <w:tcW w:w="260" w:type="dxa"/>
            <w:vAlign w:val="bottom"/>
            <w:gridSpan w:val="13"/>
          </w:tcPr>
          <w:p>
            <w:pPr>
              <w:spacing w:after="0"/>
              <w:rPr>
                <w:sz w:val="12"/>
                <w:szCs w:val="12"/>
                <w:color w:val="auto"/>
              </w:rPr>
            </w:pPr>
          </w:p>
        </w:tc>
        <w:tc>
          <w:tcPr>
            <w:tcW w:w="240" w:type="dxa"/>
            <w:vAlign w:val="bottom"/>
            <w:gridSpan w:val="12"/>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3540" w:type="dxa"/>
            <w:vAlign w:val="bottom"/>
            <w:tcBorders>
              <w:top w:val="single" w:sz="8" w:color="0000FF"/>
              <w:bottom w:val="single" w:sz="8" w:color="0000FF"/>
            </w:tcBorders>
            <w:gridSpan w:val="14"/>
          </w:tcPr>
          <w:p>
            <w:pPr>
              <w:spacing w:after="0" w:line="148" w:lineRule="exact"/>
              <w:rPr>
                <w:rFonts w:ascii="Arial" w:cs="Arial" w:eastAsia="Arial" w:hAnsi="Arial"/>
                <w:sz w:val="17"/>
                <w:szCs w:val="17"/>
                <w:color w:val="0000FF"/>
                <w:w w:val="94"/>
              </w:rPr>
            </w:pPr>
            <w:hyperlink w:anchor="page155">
              <w:r>
                <w:rPr>
                  <w:rFonts w:ascii="Arial" w:cs="Arial" w:eastAsia="Arial" w:hAnsi="Arial"/>
                  <w:sz w:val="17"/>
                  <w:szCs w:val="17"/>
                  <w:color w:val="0000FF"/>
                  <w:w w:val="94"/>
                </w:rPr>
                <w:t>Security Solutions, Inc. , FTT CORE, LLC, Florida</w:t>
              </w:r>
            </w:hyperlink>
          </w:p>
        </w:tc>
        <w:tc>
          <w:tcPr>
            <w:tcW w:w="60" w:type="dxa"/>
            <w:vAlign w:val="bottom"/>
            <w:tcBorders>
              <w:top w:val="single" w:sz="8" w:color="0000FF"/>
            </w:tcBorders>
            <w:gridSpan w:val="2"/>
          </w:tcPr>
          <w:p>
            <w:pPr>
              <w:spacing w:after="0"/>
              <w:rPr>
                <w:sz w:val="12"/>
                <w:szCs w:val="12"/>
                <w:color w:val="auto"/>
              </w:rPr>
            </w:pPr>
          </w:p>
        </w:tc>
        <w:tc>
          <w:tcPr>
            <w:tcW w:w="160" w:type="dxa"/>
            <w:vAlign w:val="bottom"/>
            <w:gridSpan w:val="4"/>
          </w:tcPr>
          <w:p>
            <w:pPr>
              <w:spacing w:after="0"/>
              <w:rPr>
                <w:sz w:val="12"/>
                <w:szCs w:val="12"/>
                <w:color w:val="auto"/>
              </w:rPr>
            </w:pPr>
          </w:p>
        </w:tc>
        <w:tc>
          <w:tcPr>
            <w:tcW w:w="260" w:type="dxa"/>
            <w:vAlign w:val="bottom"/>
            <w:gridSpan w:val="13"/>
          </w:tcPr>
          <w:p>
            <w:pPr>
              <w:spacing w:after="0"/>
              <w:rPr>
                <w:sz w:val="12"/>
                <w:szCs w:val="12"/>
                <w:color w:val="auto"/>
              </w:rPr>
            </w:pPr>
          </w:p>
        </w:tc>
        <w:tc>
          <w:tcPr>
            <w:tcW w:w="240" w:type="dxa"/>
            <w:vAlign w:val="bottom"/>
            <w:gridSpan w:val="12"/>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4260" w:type="dxa"/>
            <w:vAlign w:val="bottom"/>
            <w:gridSpan w:val="45"/>
          </w:tcPr>
          <w:p>
            <w:pPr>
              <w:spacing w:after="0" w:line="148" w:lineRule="exact"/>
              <w:rPr>
                <w:rFonts w:ascii="Arial" w:cs="Arial" w:eastAsia="Arial" w:hAnsi="Arial"/>
                <w:sz w:val="17"/>
                <w:szCs w:val="17"/>
                <w:color w:val="0000FF"/>
              </w:rPr>
            </w:pPr>
            <w:hyperlink w:anchor="page155">
              <w:r>
                <w:rPr>
                  <w:rFonts w:ascii="Arial" w:cs="Arial" w:eastAsia="Arial" w:hAnsi="Arial"/>
                  <w:sz w:val="17"/>
                  <w:szCs w:val="17"/>
                  <w:color w:val="0000FF"/>
                </w:rPr>
                <w:t>Turbine Technologies, Inc., Shirley Brostmeyer (“SB”),</w:t>
              </w:r>
            </w:hyperlink>
          </w:p>
        </w:tc>
      </w:tr>
      <w:tr>
        <w:trPr>
          <w:trHeight w:val="148"/>
        </w:trPr>
        <w:tc>
          <w:tcPr>
            <w:tcW w:w="1400" w:type="dxa"/>
            <w:vAlign w:val="bottom"/>
          </w:tcPr>
          <w:p>
            <w:pPr>
              <w:spacing w:after="0"/>
              <w:rPr>
                <w:sz w:val="12"/>
                <w:szCs w:val="12"/>
                <w:color w:val="auto"/>
              </w:rPr>
            </w:pPr>
          </w:p>
        </w:tc>
        <w:tc>
          <w:tcPr>
            <w:tcW w:w="4020" w:type="dxa"/>
            <w:vAlign w:val="bottom"/>
            <w:tcBorders>
              <w:top w:val="single" w:sz="8" w:color="0000FF"/>
            </w:tcBorders>
            <w:gridSpan w:val="33"/>
          </w:tcPr>
          <w:p>
            <w:pPr>
              <w:spacing w:after="0" w:line="148" w:lineRule="exact"/>
              <w:rPr>
                <w:rFonts w:ascii="Arial" w:cs="Arial" w:eastAsia="Arial" w:hAnsi="Arial"/>
                <w:sz w:val="17"/>
                <w:szCs w:val="17"/>
                <w:color w:val="0000FF"/>
                <w:w w:val="94"/>
              </w:rPr>
            </w:pPr>
            <w:hyperlink w:anchor="page155">
              <w:r>
                <w:rPr>
                  <w:rFonts w:ascii="Arial" w:cs="Arial" w:eastAsia="Arial" w:hAnsi="Arial"/>
                  <w:sz w:val="17"/>
                  <w:szCs w:val="17"/>
                  <w:color w:val="0000FF"/>
                  <w:w w:val="94"/>
                </w:rPr>
                <w:t xml:space="preserve">Joseph Brostmeyer (“JB”), and certain trusts </w:t>
              </w:r>
              <w:r>
                <w:rPr>
                  <w:rFonts w:ascii="Arial" w:cs="Arial" w:eastAsia="Arial" w:hAnsi="Arial"/>
                  <w:sz w:val="17"/>
                  <w:szCs w:val="17"/>
                  <w:color w:val="000000"/>
                  <w:w w:val="94"/>
                </w:rPr>
                <w:t>established</w:t>
              </w:r>
            </w:hyperlink>
          </w:p>
        </w:tc>
        <w:tc>
          <w:tcPr>
            <w:tcW w:w="240" w:type="dxa"/>
            <w:vAlign w:val="bottom"/>
            <w:gridSpan w:val="12"/>
          </w:tcPr>
          <w:p>
            <w:pPr>
              <w:spacing w:after="0"/>
              <w:rPr>
                <w:sz w:val="12"/>
                <w:szCs w:val="12"/>
                <w:color w:val="auto"/>
              </w:rPr>
            </w:pPr>
          </w:p>
        </w:tc>
      </w:tr>
      <w:tr>
        <w:trPr>
          <w:trHeight w:val="135"/>
        </w:trPr>
        <w:tc>
          <w:tcPr>
            <w:tcW w:w="1400" w:type="dxa"/>
            <w:vAlign w:val="bottom"/>
          </w:tcPr>
          <w:p>
            <w:pPr>
              <w:spacing w:after="0"/>
              <w:rPr>
                <w:sz w:val="11"/>
                <w:szCs w:val="11"/>
                <w:color w:val="auto"/>
              </w:rPr>
            </w:pPr>
          </w:p>
        </w:tc>
        <w:tc>
          <w:tcPr>
            <w:tcW w:w="3100" w:type="dxa"/>
            <w:vAlign w:val="bottom"/>
            <w:tcBorders>
              <w:top w:val="single" w:sz="8" w:color="0000FF"/>
            </w:tcBorders>
            <w:gridSpan w:val="11"/>
          </w:tcPr>
          <w:p>
            <w:pPr>
              <w:spacing w:after="0" w:line="136" w:lineRule="exact"/>
              <w:rPr>
                <w:sz w:val="20"/>
                <w:szCs w:val="20"/>
                <w:color w:val="auto"/>
              </w:rPr>
            </w:pPr>
            <w:r>
              <w:rPr>
                <w:rFonts w:ascii="Arial" w:cs="Arial" w:eastAsia="Arial" w:hAnsi="Arial"/>
                <w:sz w:val="15"/>
                <w:szCs w:val="15"/>
                <w:color w:val="auto"/>
              </w:rPr>
              <w:t>by SB, JB and members of their immediate</w:t>
            </w:r>
          </w:p>
        </w:tc>
        <w:tc>
          <w:tcPr>
            <w:tcW w:w="1160" w:type="dxa"/>
            <w:vAlign w:val="bottom"/>
            <w:gridSpan w:val="34"/>
          </w:tcPr>
          <w:p>
            <w:pPr>
              <w:spacing w:after="0" w:line="136" w:lineRule="exact"/>
              <w:rPr>
                <w:sz w:val="20"/>
                <w:szCs w:val="20"/>
                <w:color w:val="auto"/>
              </w:rPr>
            </w:pPr>
            <w:r>
              <w:rPr>
                <w:rFonts w:ascii="Arial" w:cs="Arial" w:eastAsia="Arial" w:hAnsi="Arial"/>
                <w:sz w:val="15"/>
                <w:szCs w:val="15"/>
                <w:color w:val="auto"/>
              </w:rPr>
              <w:t>family, and</w:t>
            </w:r>
          </w:p>
        </w:tc>
      </w:tr>
      <w:tr>
        <w:trPr>
          <w:trHeight w:val="217"/>
        </w:trPr>
        <w:tc>
          <w:tcPr>
            <w:tcW w:w="1400" w:type="dxa"/>
            <w:vAlign w:val="bottom"/>
          </w:tcPr>
          <w:p>
            <w:pPr>
              <w:spacing w:after="0"/>
              <w:rPr>
                <w:sz w:val="18"/>
                <w:szCs w:val="18"/>
                <w:color w:val="auto"/>
              </w:rPr>
            </w:pPr>
          </w:p>
        </w:tc>
        <w:tc>
          <w:tcPr>
            <w:tcW w:w="4260" w:type="dxa"/>
            <w:vAlign w:val="bottom"/>
            <w:gridSpan w:val="45"/>
          </w:tcPr>
          <w:p>
            <w:pPr>
              <w:spacing w:after="0"/>
              <w:rPr>
                <w:sz w:val="20"/>
                <w:szCs w:val="20"/>
                <w:color w:val="auto"/>
              </w:rPr>
            </w:pPr>
            <w:r>
              <w:rPr>
                <w:rFonts w:ascii="Arial" w:cs="Arial" w:eastAsia="Arial" w:hAnsi="Arial"/>
                <w:sz w:val="17"/>
                <w:szCs w:val="17"/>
                <w:color w:val="auto"/>
              </w:rPr>
              <w:t>JB, as the Sellers Representative.</w:t>
            </w:r>
          </w:p>
        </w:tc>
      </w:tr>
      <w:tr>
        <w:trPr>
          <w:trHeight w:val="182"/>
        </w:trPr>
        <w:tc>
          <w:tcPr>
            <w:tcW w:w="1400" w:type="dxa"/>
            <w:vAlign w:val="bottom"/>
          </w:tcPr>
          <w:p>
            <w:pPr>
              <w:spacing w:after="0" w:line="182" w:lineRule="exact"/>
              <w:rPr>
                <w:sz w:val="20"/>
                <w:szCs w:val="20"/>
                <w:color w:val="auto"/>
              </w:rPr>
            </w:pPr>
            <w:r>
              <w:rPr>
                <w:rFonts w:ascii="Arial" w:cs="Arial" w:eastAsia="Arial" w:hAnsi="Arial"/>
                <w:sz w:val="17"/>
                <w:szCs w:val="17"/>
                <w:color w:val="auto"/>
              </w:rPr>
              <w:t>21.1</w:t>
            </w:r>
          </w:p>
        </w:tc>
        <w:tc>
          <w:tcPr>
            <w:tcW w:w="1380" w:type="dxa"/>
            <w:vAlign w:val="bottom"/>
            <w:tcBorders>
              <w:bottom w:val="single" w:sz="8" w:color="0000FF"/>
            </w:tcBorders>
            <w:gridSpan w:val="6"/>
          </w:tcPr>
          <w:p>
            <w:pPr>
              <w:spacing w:after="0" w:line="182" w:lineRule="exact"/>
              <w:rPr>
                <w:rFonts w:ascii="Arial" w:cs="Arial" w:eastAsia="Arial" w:hAnsi="Arial"/>
                <w:sz w:val="17"/>
                <w:szCs w:val="17"/>
                <w:color w:val="0000FF"/>
                <w:w w:val="92"/>
              </w:rPr>
            </w:pPr>
            <w:hyperlink w:anchor="page162">
              <w:r>
                <w:rPr>
                  <w:rFonts w:ascii="Arial" w:cs="Arial" w:eastAsia="Arial" w:hAnsi="Arial"/>
                  <w:sz w:val="17"/>
                  <w:szCs w:val="17"/>
                  <w:color w:val="0000FF"/>
                  <w:w w:val="92"/>
                </w:rPr>
                <w:t>List of Subsidiaries.</w:t>
              </w:r>
            </w:hyperlink>
          </w:p>
        </w:tc>
        <w:tc>
          <w:tcPr>
            <w:tcW w:w="2880" w:type="dxa"/>
            <w:vAlign w:val="bottom"/>
            <w:gridSpan w:val="39"/>
          </w:tcPr>
          <w:p>
            <w:pPr>
              <w:spacing w:after="0"/>
              <w:rPr>
                <w:sz w:val="15"/>
                <w:szCs w:val="15"/>
                <w:color w:val="auto"/>
              </w:rPr>
            </w:pPr>
          </w:p>
        </w:tc>
      </w:tr>
      <w:tr>
        <w:trPr>
          <w:trHeight w:val="199"/>
        </w:trPr>
        <w:tc>
          <w:tcPr>
            <w:tcW w:w="1400" w:type="dxa"/>
            <w:vAlign w:val="bottom"/>
          </w:tcPr>
          <w:p>
            <w:pPr>
              <w:spacing w:after="0"/>
              <w:rPr>
                <w:sz w:val="20"/>
                <w:szCs w:val="20"/>
                <w:color w:val="auto"/>
              </w:rPr>
            </w:pPr>
            <w:r>
              <w:rPr>
                <w:rFonts w:ascii="Arial" w:cs="Arial" w:eastAsia="Arial" w:hAnsi="Arial"/>
                <w:sz w:val="17"/>
                <w:szCs w:val="17"/>
                <w:color w:val="auto"/>
              </w:rPr>
              <w:t>23.1</w:t>
            </w:r>
          </w:p>
        </w:tc>
        <w:tc>
          <w:tcPr>
            <w:tcW w:w="4260" w:type="dxa"/>
            <w:vAlign w:val="bottom"/>
            <w:gridSpan w:val="45"/>
          </w:tcPr>
          <w:p>
            <w:pPr>
              <w:spacing w:after="0"/>
              <w:rPr>
                <w:rFonts w:ascii="Arial" w:cs="Arial" w:eastAsia="Arial" w:hAnsi="Arial"/>
                <w:sz w:val="17"/>
                <w:szCs w:val="17"/>
                <w:color w:val="0000FF"/>
              </w:rPr>
            </w:pPr>
            <w:hyperlink w:anchor="page164">
              <w:r>
                <w:rPr>
                  <w:rFonts w:ascii="Arial" w:cs="Arial" w:eastAsia="Arial" w:hAnsi="Arial"/>
                  <w:sz w:val="17"/>
                  <w:szCs w:val="17"/>
                  <w:color w:val="0000FF"/>
                </w:rPr>
                <w:t>Consent of Independent Registered Public Accounting</w:t>
              </w:r>
            </w:hyperlink>
          </w:p>
        </w:tc>
      </w:tr>
      <w:tr>
        <w:trPr>
          <w:trHeight w:val="148"/>
        </w:trPr>
        <w:tc>
          <w:tcPr>
            <w:tcW w:w="1400" w:type="dxa"/>
            <w:vAlign w:val="bottom"/>
          </w:tcPr>
          <w:p>
            <w:pPr>
              <w:spacing w:after="0"/>
              <w:rPr>
                <w:sz w:val="12"/>
                <w:szCs w:val="12"/>
                <w:color w:val="auto"/>
              </w:rPr>
            </w:pPr>
          </w:p>
        </w:tc>
        <w:tc>
          <w:tcPr>
            <w:tcW w:w="3760" w:type="dxa"/>
            <w:vAlign w:val="bottom"/>
            <w:tcBorders>
              <w:top w:val="single" w:sz="8" w:color="0000FF"/>
            </w:tcBorders>
            <w:gridSpan w:val="20"/>
          </w:tcPr>
          <w:p>
            <w:pPr>
              <w:spacing w:after="0" w:line="148" w:lineRule="exact"/>
              <w:rPr>
                <w:rFonts w:ascii="Arial" w:cs="Arial" w:eastAsia="Arial" w:hAnsi="Arial"/>
                <w:sz w:val="17"/>
                <w:szCs w:val="17"/>
                <w:color w:val="0000FF"/>
              </w:rPr>
            </w:pPr>
            <w:hyperlink w:anchor="page164">
              <w:r>
                <w:rPr>
                  <w:rFonts w:ascii="Arial" w:cs="Arial" w:eastAsia="Arial" w:hAnsi="Arial"/>
                  <w:sz w:val="17"/>
                  <w:szCs w:val="17"/>
                  <w:color w:val="0000FF"/>
                </w:rPr>
                <w:t>Firm.</w:t>
              </w:r>
            </w:hyperlink>
          </w:p>
        </w:tc>
        <w:tc>
          <w:tcPr>
            <w:tcW w:w="500" w:type="dxa"/>
            <w:vAlign w:val="bottom"/>
            <w:gridSpan w:val="25"/>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20" w:type="dxa"/>
            <w:vAlign w:val="bottom"/>
            <w:gridSpan w:val="11"/>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00" w:type="dxa"/>
            <w:vAlign w:val="bottom"/>
            <w:gridSpan w:val="30"/>
          </w:tcPr>
          <w:p>
            <w:pPr>
              <w:spacing w:after="0" w:line="20" w:lineRule="exact"/>
              <w:rPr>
                <w:sz w:val="1"/>
                <w:szCs w:val="1"/>
                <w:color w:val="auto"/>
              </w:rPr>
            </w:pPr>
          </w:p>
        </w:tc>
      </w:tr>
      <w:tr>
        <w:trPr>
          <w:trHeight w:val="199"/>
        </w:trPr>
        <w:tc>
          <w:tcPr>
            <w:tcW w:w="1400" w:type="dxa"/>
            <w:vAlign w:val="bottom"/>
          </w:tcPr>
          <w:p>
            <w:pPr>
              <w:spacing w:after="0"/>
              <w:rPr>
                <w:sz w:val="20"/>
                <w:szCs w:val="20"/>
                <w:color w:val="auto"/>
              </w:rPr>
            </w:pPr>
            <w:r>
              <w:rPr>
                <w:rFonts w:ascii="Arial" w:cs="Arial" w:eastAsia="Arial" w:hAnsi="Arial"/>
                <w:sz w:val="17"/>
                <w:szCs w:val="17"/>
                <w:color w:val="auto"/>
              </w:rPr>
              <w:t>31.1</w:t>
            </w:r>
          </w:p>
        </w:tc>
        <w:tc>
          <w:tcPr>
            <w:tcW w:w="4260" w:type="dxa"/>
            <w:vAlign w:val="bottom"/>
            <w:gridSpan w:val="45"/>
          </w:tcPr>
          <w:p>
            <w:pPr>
              <w:spacing w:after="0"/>
              <w:rPr>
                <w:rFonts w:ascii="Arial" w:cs="Arial" w:eastAsia="Arial" w:hAnsi="Arial"/>
                <w:sz w:val="17"/>
                <w:szCs w:val="17"/>
                <w:color w:val="0000FF"/>
              </w:rPr>
            </w:pPr>
            <w:hyperlink w:anchor="page165">
              <w:r>
                <w:rPr>
                  <w:rFonts w:ascii="Arial" w:cs="Arial" w:eastAsia="Arial" w:hAnsi="Arial"/>
                  <w:sz w:val="17"/>
                  <w:szCs w:val="17"/>
                  <w:color w:val="0000FF"/>
                </w:rPr>
                <w:t>Certification of Chief Executive Officer pursuant to</w:t>
              </w:r>
            </w:hyperlink>
          </w:p>
        </w:tc>
      </w:tr>
      <w:tr>
        <w:trPr>
          <w:trHeight w:val="148"/>
        </w:trPr>
        <w:tc>
          <w:tcPr>
            <w:tcW w:w="1400" w:type="dxa"/>
            <w:vAlign w:val="bottom"/>
          </w:tcPr>
          <w:p>
            <w:pPr>
              <w:spacing w:after="0"/>
              <w:rPr>
                <w:sz w:val="12"/>
                <w:szCs w:val="12"/>
                <w:color w:val="auto"/>
              </w:rPr>
            </w:pPr>
          </w:p>
        </w:tc>
        <w:tc>
          <w:tcPr>
            <w:tcW w:w="3560" w:type="dxa"/>
            <w:vAlign w:val="bottom"/>
            <w:tcBorders>
              <w:top w:val="single" w:sz="8" w:color="0000FF"/>
            </w:tcBorders>
            <w:gridSpan w:val="15"/>
          </w:tcPr>
          <w:p>
            <w:pPr>
              <w:spacing w:after="0" w:line="148" w:lineRule="exact"/>
              <w:rPr>
                <w:rFonts w:ascii="Arial" w:cs="Arial" w:eastAsia="Arial" w:hAnsi="Arial"/>
                <w:sz w:val="17"/>
                <w:szCs w:val="17"/>
                <w:color w:val="0000FF"/>
                <w:w w:val="98"/>
              </w:rPr>
            </w:pPr>
            <w:hyperlink w:anchor="page165">
              <w:r>
                <w:rPr>
                  <w:rFonts w:ascii="Arial" w:cs="Arial" w:eastAsia="Arial" w:hAnsi="Arial"/>
                  <w:sz w:val="17"/>
                  <w:szCs w:val="17"/>
                  <w:color w:val="0000FF"/>
                  <w:w w:val="98"/>
                </w:rPr>
                <w:t>Section 302 of the Sarbanes Oxley Act of 2002.</w:t>
              </w:r>
            </w:hyperlink>
          </w:p>
        </w:tc>
        <w:tc>
          <w:tcPr>
            <w:tcW w:w="700" w:type="dxa"/>
            <w:vAlign w:val="bottom"/>
            <w:gridSpan w:val="30"/>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760" w:type="dxa"/>
            <w:vAlign w:val="bottom"/>
            <w:vMerge w:val="restart"/>
          </w:tcPr>
          <w:p>
            <w:pPr>
              <w:jc w:val="center"/>
              <w:ind w:right="334"/>
              <w:spacing w:after="0"/>
              <w:rPr>
                <w:sz w:val="20"/>
                <w:szCs w:val="20"/>
                <w:color w:val="auto"/>
              </w:rPr>
            </w:pPr>
            <w:r>
              <w:rPr>
                <w:rFonts w:ascii="Arial" w:cs="Arial" w:eastAsia="Arial" w:hAnsi="Arial"/>
                <w:sz w:val="17"/>
                <w:szCs w:val="17"/>
                <w:color w:val="auto"/>
                <w:w w:val="94"/>
              </w:rPr>
              <w:t>10-K</w:t>
            </w:r>
          </w:p>
        </w:tc>
        <w:tc>
          <w:tcPr>
            <w:tcW w:w="1660" w:type="dxa"/>
            <w:vAlign w:val="bottom"/>
          </w:tcPr>
          <w:p>
            <w:pPr>
              <w:jc w:val="center"/>
              <w:spacing w:after="0"/>
              <w:rPr>
                <w:sz w:val="20"/>
                <w:szCs w:val="20"/>
                <w:color w:val="auto"/>
              </w:rPr>
            </w:pPr>
            <w:r>
              <w:rPr>
                <w:rFonts w:ascii="Arial" w:cs="Arial" w:eastAsia="Arial" w:hAnsi="Arial"/>
                <w:sz w:val="17"/>
                <w:szCs w:val="17"/>
                <w:color w:val="auto"/>
                <w:w w:val="91"/>
              </w:rPr>
              <w:t>02/24/2020</w:t>
            </w:r>
          </w:p>
        </w:tc>
        <w:tc>
          <w:tcPr>
            <w:tcW w:w="800" w:type="dxa"/>
            <w:vAlign w:val="bottom"/>
            <w:vMerge w:val="restart"/>
          </w:tcPr>
          <w:p>
            <w:pPr>
              <w:jc w:val="center"/>
              <w:ind w:left="334"/>
              <w:spacing w:after="0"/>
              <w:rPr>
                <w:sz w:val="20"/>
                <w:szCs w:val="20"/>
                <w:color w:val="auto"/>
              </w:rPr>
            </w:pPr>
            <w:r>
              <w:rPr>
                <w:rFonts w:ascii="Arial" w:cs="Arial" w:eastAsia="Arial" w:hAnsi="Arial"/>
                <w:sz w:val="17"/>
                <w:szCs w:val="17"/>
                <w:color w:val="auto"/>
                <w:w w:val="89"/>
              </w:rPr>
              <w:t>10.15</w:t>
            </w:r>
          </w:p>
        </w:tc>
        <w:tc>
          <w:tcPr>
            <w:tcW w:w="0" w:type="dxa"/>
            <w:vAlign w:val="bottom"/>
          </w:tcPr>
          <w:p>
            <w:pPr>
              <w:spacing w:after="0"/>
              <w:rPr>
                <w:sz w:val="1"/>
                <w:szCs w:val="1"/>
                <w:color w:val="auto"/>
              </w:rPr>
            </w:pPr>
          </w:p>
        </w:tc>
      </w:tr>
      <w:tr>
        <w:trPr>
          <w:trHeight w:val="217"/>
        </w:trPr>
        <w:tc>
          <w:tcPr>
            <w:tcW w:w="76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3"/>
              </w:rPr>
              <w:t>(01-34460)</w:t>
            </w: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05"/>
        </w:trPr>
        <w:tc>
          <w:tcPr>
            <w:tcW w:w="760" w:type="dxa"/>
            <w:vAlign w:val="bottom"/>
            <w:vMerge w:val="restart"/>
          </w:tcPr>
          <w:p>
            <w:pPr>
              <w:jc w:val="center"/>
              <w:ind w:right="334"/>
              <w:spacing w:after="0"/>
              <w:rPr>
                <w:sz w:val="20"/>
                <w:szCs w:val="20"/>
                <w:color w:val="auto"/>
              </w:rPr>
            </w:pPr>
            <w:r>
              <w:rPr>
                <w:rFonts w:ascii="Arial" w:cs="Arial" w:eastAsia="Arial" w:hAnsi="Arial"/>
                <w:sz w:val="17"/>
                <w:szCs w:val="17"/>
                <w:color w:val="auto"/>
                <w:w w:val="89"/>
              </w:rPr>
              <w:t>10-Q</w:t>
            </w:r>
          </w:p>
        </w:tc>
        <w:tc>
          <w:tcPr>
            <w:tcW w:w="1660" w:type="dxa"/>
            <w:vAlign w:val="bottom"/>
          </w:tcPr>
          <w:p>
            <w:pPr>
              <w:jc w:val="center"/>
              <w:spacing w:after="0"/>
              <w:rPr>
                <w:sz w:val="20"/>
                <w:szCs w:val="20"/>
                <w:color w:val="auto"/>
              </w:rPr>
            </w:pPr>
            <w:r>
              <w:rPr>
                <w:rFonts w:ascii="Arial" w:cs="Arial" w:eastAsia="Arial" w:hAnsi="Arial"/>
                <w:sz w:val="17"/>
                <w:szCs w:val="17"/>
                <w:color w:val="auto"/>
                <w:w w:val="91"/>
              </w:rPr>
              <w:t>08/04/2011</w:t>
            </w:r>
          </w:p>
        </w:tc>
        <w:tc>
          <w:tcPr>
            <w:tcW w:w="800" w:type="dxa"/>
            <w:vAlign w:val="bottom"/>
            <w:vMerge w:val="restart"/>
          </w:tcPr>
          <w:p>
            <w:pPr>
              <w:jc w:val="center"/>
              <w:ind w:left="334"/>
              <w:spacing w:after="0"/>
              <w:rPr>
                <w:sz w:val="20"/>
                <w:szCs w:val="20"/>
                <w:color w:val="auto"/>
              </w:rPr>
            </w:pPr>
            <w:r>
              <w:rPr>
                <w:rFonts w:ascii="Arial" w:cs="Arial" w:eastAsia="Arial" w:hAnsi="Arial"/>
                <w:sz w:val="17"/>
                <w:szCs w:val="17"/>
                <w:color w:val="auto"/>
                <w:w w:val="90"/>
              </w:rPr>
              <w:t>10.3</w:t>
            </w:r>
          </w:p>
        </w:tc>
        <w:tc>
          <w:tcPr>
            <w:tcW w:w="0" w:type="dxa"/>
            <w:vAlign w:val="bottom"/>
          </w:tcPr>
          <w:p>
            <w:pPr>
              <w:spacing w:after="0"/>
              <w:rPr>
                <w:sz w:val="1"/>
                <w:szCs w:val="1"/>
                <w:color w:val="auto"/>
              </w:rPr>
            </w:pPr>
          </w:p>
        </w:tc>
      </w:tr>
      <w:tr>
        <w:trPr>
          <w:trHeight w:val="217"/>
        </w:trPr>
        <w:tc>
          <w:tcPr>
            <w:tcW w:w="76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(001-34460)</w:t>
            </w: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05"/>
        </w:trPr>
        <w:tc>
          <w:tcPr>
            <w:tcW w:w="760" w:type="dxa"/>
            <w:vAlign w:val="bottom"/>
            <w:vMerge w:val="restart"/>
          </w:tcPr>
          <w:p>
            <w:pPr>
              <w:jc w:val="center"/>
              <w:ind w:right="334"/>
              <w:spacing w:after="0"/>
              <w:rPr>
                <w:sz w:val="20"/>
                <w:szCs w:val="20"/>
                <w:color w:val="auto"/>
              </w:rPr>
            </w:pPr>
            <w:r>
              <w:rPr>
                <w:rFonts w:ascii="Arial" w:cs="Arial" w:eastAsia="Arial" w:hAnsi="Arial"/>
                <w:sz w:val="17"/>
                <w:szCs w:val="17"/>
                <w:color w:val="auto"/>
                <w:w w:val="89"/>
              </w:rPr>
              <w:t>10-Q</w:t>
            </w:r>
          </w:p>
        </w:tc>
        <w:tc>
          <w:tcPr>
            <w:tcW w:w="1660" w:type="dxa"/>
            <w:vAlign w:val="bottom"/>
          </w:tcPr>
          <w:p>
            <w:pPr>
              <w:jc w:val="center"/>
              <w:spacing w:after="0"/>
              <w:rPr>
                <w:sz w:val="20"/>
                <w:szCs w:val="20"/>
                <w:color w:val="auto"/>
              </w:rPr>
            </w:pPr>
            <w:r>
              <w:rPr>
                <w:rFonts w:ascii="Arial" w:cs="Arial" w:eastAsia="Arial" w:hAnsi="Arial"/>
                <w:sz w:val="17"/>
                <w:szCs w:val="17"/>
                <w:color w:val="auto"/>
                <w:w w:val="91"/>
              </w:rPr>
              <w:t>08/04/2011</w:t>
            </w:r>
          </w:p>
        </w:tc>
        <w:tc>
          <w:tcPr>
            <w:tcW w:w="800" w:type="dxa"/>
            <w:vAlign w:val="bottom"/>
            <w:vMerge w:val="restart"/>
          </w:tcPr>
          <w:p>
            <w:pPr>
              <w:jc w:val="center"/>
              <w:ind w:left="334"/>
              <w:spacing w:after="0"/>
              <w:rPr>
                <w:sz w:val="20"/>
                <w:szCs w:val="20"/>
                <w:color w:val="auto"/>
              </w:rPr>
            </w:pPr>
            <w:r>
              <w:rPr>
                <w:rFonts w:ascii="Arial" w:cs="Arial" w:eastAsia="Arial" w:hAnsi="Arial"/>
                <w:sz w:val="17"/>
                <w:szCs w:val="17"/>
                <w:color w:val="auto"/>
                <w:w w:val="90"/>
              </w:rPr>
              <w:t>10.4</w:t>
            </w:r>
          </w:p>
        </w:tc>
        <w:tc>
          <w:tcPr>
            <w:tcW w:w="0" w:type="dxa"/>
            <w:vAlign w:val="bottom"/>
          </w:tcPr>
          <w:p>
            <w:pPr>
              <w:spacing w:after="0"/>
              <w:rPr>
                <w:sz w:val="1"/>
                <w:szCs w:val="1"/>
                <w:color w:val="auto"/>
              </w:rPr>
            </w:pPr>
          </w:p>
        </w:tc>
      </w:tr>
      <w:tr>
        <w:trPr>
          <w:trHeight w:val="217"/>
        </w:trPr>
        <w:tc>
          <w:tcPr>
            <w:tcW w:w="76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(001-34460)</w:t>
            </w: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2"/>
        </w:trPr>
        <w:tc>
          <w:tcPr>
            <w:tcW w:w="760" w:type="dxa"/>
            <w:vAlign w:val="bottom"/>
            <w:vMerge w:val="restart"/>
          </w:tcPr>
          <w:p>
            <w:pPr>
              <w:jc w:val="center"/>
              <w:ind w:right="334"/>
              <w:spacing w:after="0"/>
              <w:rPr>
                <w:sz w:val="20"/>
                <w:szCs w:val="20"/>
                <w:color w:val="auto"/>
              </w:rPr>
            </w:pPr>
            <w:r>
              <w:rPr>
                <w:rFonts w:ascii="Arial" w:cs="Arial" w:eastAsia="Arial" w:hAnsi="Arial"/>
                <w:sz w:val="17"/>
                <w:szCs w:val="17"/>
                <w:color w:val="auto"/>
                <w:w w:val="98"/>
              </w:rPr>
              <w:t>8-K</w:t>
            </w:r>
          </w:p>
        </w:tc>
        <w:tc>
          <w:tcPr>
            <w:tcW w:w="1660" w:type="dxa"/>
            <w:vAlign w:val="bottom"/>
          </w:tcPr>
          <w:p>
            <w:pPr>
              <w:jc w:val="center"/>
              <w:spacing w:after="0"/>
              <w:rPr>
                <w:sz w:val="20"/>
                <w:szCs w:val="20"/>
                <w:color w:val="auto"/>
              </w:rPr>
            </w:pPr>
            <w:r>
              <w:rPr>
                <w:rFonts w:ascii="Arial" w:cs="Arial" w:eastAsia="Arial" w:hAnsi="Arial"/>
                <w:sz w:val="17"/>
                <w:szCs w:val="17"/>
                <w:color w:val="auto"/>
                <w:w w:val="91"/>
              </w:rPr>
              <w:t>11/21/2017</w:t>
            </w:r>
          </w:p>
        </w:tc>
        <w:tc>
          <w:tcPr>
            <w:tcW w:w="800" w:type="dxa"/>
            <w:vAlign w:val="bottom"/>
            <w:vMerge w:val="restart"/>
          </w:tcPr>
          <w:p>
            <w:pPr>
              <w:jc w:val="center"/>
              <w:ind w:left="334"/>
              <w:spacing w:after="0"/>
              <w:rPr>
                <w:sz w:val="20"/>
                <w:szCs w:val="20"/>
                <w:color w:val="auto"/>
              </w:rPr>
            </w:pPr>
            <w:r>
              <w:rPr>
                <w:rFonts w:ascii="Arial" w:cs="Arial" w:eastAsia="Arial" w:hAnsi="Arial"/>
                <w:sz w:val="17"/>
                <w:szCs w:val="17"/>
                <w:color w:val="auto"/>
                <w:w w:val="90"/>
              </w:rPr>
              <w:t>10.1</w:t>
            </w:r>
          </w:p>
        </w:tc>
        <w:tc>
          <w:tcPr>
            <w:tcW w:w="0" w:type="dxa"/>
            <w:vAlign w:val="bottom"/>
          </w:tcPr>
          <w:p>
            <w:pPr>
              <w:spacing w:after="0"/>
              <w:rPr>
                <w:sz w:val="1"/>
                <w:szCs w:val="1"/>
                <w:color w:val="auto"/>
              </w:rPr>
            </w:pPr>
          </w:p>
        </w:tc>
      </w:tr>
      <w:tr>
        <w:trPr>
          <w:trHeight w:val="217"/>
        </w:trPr>
        <w:tc>
          <w:tcPr>
            <w:tcW w:w="76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(001-34460)</w:t>
            </w: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2"/>
        </w:trPr>
        <w:tc>
          <w:tcPr>
            <w:tcW w:w="7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1"/>
              </w:rPr>
              <w:t>06/13/2018</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60" w:type="dxa"/>
            <w:vAlign w:val="bottom"/>
          </w:tcPr>
          <w:p>
            <w:pPr>
              <w:jc w:val="center"/>
              <w:ind w:right="334"/>
              <w:spacing w:after="0"/>
              <w:rPr>
                <w:sz w:val="20"/>
                <w:szCs w:val="20"/>
                <w:color w:val="auto"/>
              </w:rPr>
            </w:pPr>
            <w:r>
              <w:rPr>
                <w:rFonts w:ascii="Arial" w:cs="Arial" w:eastAsia="Arial" w:hAnsi="Arial"/>
                <w:sz w:val="17"/>
                <w:szCs w:val="17"/>
                <w:color w:val="auto"/>
                <w:w w:val="98"/>
              </w:rPr>
              <w:t>8-K</w:t>
            </w: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(001-34460)</w:t>
            </w:r>
          </w:p>
        </w:tc>
        <w:tc>
          <w:tcPr>
            <w:tcW w:w="800" w:type="dxa"/>
            <w:vAlign w:val="bottom"/>
          </w:tcPr>
          <w:p>
            <w:pPr>
              <w:jc w:val="center"/>
              <w:ind w:left="334"/>
              <w:spacing w:after="0"/>
              <w:rPr>
                <w:sz w:val="20"/>
                <w:szCs w:val="20"/>
                <w:color w:val="auto"/>
              </w:rPr>
            </w:pPr>
            <w:r>
              <w:rPr>
                <w:rFonts w:ascii="Arial" w:cs="Arial" w:eastAsia="Arial" w:hAnsi="Arial"/>
                <w:sz w:val="17"/>
                <w:szCs w:val="17"/>
                <w:color w:val="auto"/>
                <w:w w:val="90"/>
              </w:rPr>
              <w:t>10.1</w:t>
            </w:r>
          </w:p>
        </w:tc>
        <w:tc>
          <w:tcPr>
            <w:tcW w:w="0" w:type="dxa"/>
            <w:vAlign w:val="bottom"/>
          </w:tcPr>
          <w:p>
            <w:pPr>
              <w:spacing w:after="0"/>
              <w:rPr>
                <w:sz w:val="1"/>
                <w:szCs w:val="1"/>
                <w:color w:val="auto"/>
              </w:rPr>
            </w:pPr>
          </w:p>
        </w:tc>
      </w:tr>
      <w:tr>
        <w:trPr>
          <w:trHeight w:val="337"/>
        </w:trPr>
        <w:tc>
          <w:tcPr>
            <w:tcW w:w="7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1"/>
              </w:rPr>
              <w:t>05/04/2017</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60" w:type="dxa"/>
            <w:vAlign w:val="bottom"/>
          </w:tcPr>
          <w:p>
            <w:pPr>
              <w:jc w:val="center"/>
              <w:ind w:right="334"/>
              <w:spacing w:after="0"/>
              <w:rPr>
                <w:sz w:val="20"/>
                <w:szCs w:val="20"/>
                <w:color w:val="auto"/>
              </w:rPr>
            </w:pPr>
            <w:r>
              <w:rPr>
                <w:rFonts w:ascii="Arial" w:cs="Arial" w:eastAsia="Arial" w:hAnsi="Arial"/>
                <w:sz w:val="17"/>
                <w:szCs w:val="17"/>
                <w:color w:val="auto"/>
                <w:w w:val="89"/>
              </w:rPr>
              <w:t>10-Q</w:t>
            </w: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(001-34460)</w:t>
            </w:r>
          </w:p>
        </w:tc>
        <w:tc>
          <w:tcPr>
            <w:tcW w:w="800" w:type="dxa"/>
            <w:vAlign w:val="bottom"/>
          </w:tcPr>
          <w:p>
            <w:pPr>
              <w:jc w:val="center"/>
              <w:ind w:left="334"/>
              <w:spacing w:after="0"/>
              <w:rPr>
                <w:sz w:val="20"/>
                <w:szCs w:val="20"/>
                <w:color w:val="auto"/>
              </w:rPr>
            </w:pPr>
            <w:r>
              <w:rPr>
                <w:rFonts w:ascii="Arial" w:cs="Arial" w:eastAsia="Arial" w:hAnsi="Arial"/>
                <w:sz w:val="17"/>
                <w:szCs w:val="17"/>
                <w:color w:val="auto"/>
                <w:w w:val="90"/>
              </w:rPr>
              <w:t>10.2</w:t>
            </w:r>
          </w:p>
        </w:tc>
        <w:tc>
          <w:tcPr>
            <w:tcW w:w="0" w:type="dxa"/>
            <w:vAlign w:val="bottom"/>
          </w:tcPr>
          <w:p>
            <w:pPr>
              <w:spacing w:after="0"/>
              <w:rPr>
                <w:sz w:val="1"/>
                <w:szCs w:val="1"/>
                <w:color w:val="auto"/>
              </w:rPr>
            </w:pPr>
          </w:p>
        </w:tc>
      </w:tr>
      <w:tr>
        <w:trPr>
          <w:trHeight w:val="840"/>
        </w:trPr>
        <w:tc>
          <w:tcPr>
            <w:tcW w:w="7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1"/>
              </w:rPr>
              <w:t>05/08/2019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60" w:type="dxa"/>
            <w:vAlign w:val="bottom"/>
          </w:tcPr>
          <w:p>
            <w:pPr>
              <w:jc w:val="center"/>
              <w:ind w:right="334"/>
              <w:spacing w:after="0"/>
              <w:rPr>
                <w:sz w:val="20"/>
                <w:szCs w:val="20"/>
                <w:color w:val="auto"/>
              </w:rPr>
            </w:pPr>
            <w:r>
              <w:rPr>
                <w:rFonts w:ascii="Arial" w:cs="Arial" w:eastAsia="Arial" w:hAnsi="Arial"/>
                <w:sz w:val="17"/>
                <w:szCs w:val="17"/>
                <w:color w:val="auto"/>
                <w:w w:val="89"/>
              </w:rPr>
              <w:t>10-Q</w:t>
            </w: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(001-34460)</w:t>
            </w:r>
          </w:p>
        </w:tc>
        <w:tc>
          <w:tcPr>
            <w:tcW w:w="800" w:type="dxa"/>
            <w:vAlign w:val="bottom"/>
          </w:tcPr>
          <w:p>
            <w:pPr>
              <w:jc w:val="center"/>
              <w:ind w:left="334"/>
              <w:spacing w:after="0"/>
              <w:rPr>
                <w:sz w:val="20"/>
                <w:szCs w:val="20"/>
                <w:color w:val="auto"/>
              </w:rPr>
            </w:pPr>
            <w:r>
              <w:rPr>
                <w:rFonts w:ascii="Arial" w:cs="Arial" w:eastAsia="Arial" w:hAnsi="Arial"/>
                <w:sz w:val="17"/>
                <w:szCs w:val="17"/>
                <w:color w:val="auto"/>
                <w:w w:val="90"/>
              </w:rPr>
              <w:t>10.2</w:t>
            </w:r>
          </w:p>
        </w:tc>
        <w:tc>
          <w:tcPr>
            <w:tcW w:w="0" w:type="dxa"/>
            <w:vAlign w:val="bottom"/>
          </w:tcPr>
          <w:p>
            <w:pPr>
              <w:spacing w:after="0"/>
              <w:rPr>
                <w:sz w:val="1"/>
                <w:szCs w:val="1"/>
                <w:color w:val="auto"/>
              </w:rPr>
            </w:pPr>
          </w:p>
        </w:tc>
      </w:tr>
      <w:tr>
        <w:trPr>
          <w:trHeight w:val="337"/>
        </w:trPr>
        <w:tc>
          <w:tcPr>
            <w:tcW w:w="7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05/7/2020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60" w:type="dxa"/>
            <w:vAlign w:val="bottom"/>
          </w:tcPr>
          <w:p>
            <w:pPr>
              <w:jc w:val="center"/>
              <w:ind w:right="334"/>
              <w:spacing w:after="0"/>
              <w:rPr>
                <w:sz w:val="20"/>
                <w:szCs w:val="20"/>
                <w:color w:val="auto"/>
              </w:rPr>
            </w:pPr>
            <w:r>
              <w:rPr>
                <w:rFonts w:ascii="Arial" w:cs="Arial" w:eastAsia="Arial" w:hAnsi="Arial"/>
                <w:sz w:val="17"/>
                <w:szCs w:val="17"/>
                <w:color w:val="auto"/>
                <w:w w:val="89"/>
              </w:rPr>
              <w:t>10-Q</w:t>
            </w: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(001-34460)</w:t>
            </w:r>
          </w:p>
        </w:tc>
        <w:tc>
          <w:tcPr>
            <w:tcW w:w="800" w:type="dxa"/>
            <w:vAlign w:val="bottom"/>
          </w:tcPr>
          <w:p>
            <w:pPr>
              <w:jc w:val="center"/>
              <w:ind w:left="334"/>
              <w:spacing w:after="0"/>
              <w:rPr>
                <w:sz w:val="20"/>
                <w:szCs w:val="20"/>
                <w:color w:val="auto"/>
              </w:rPr>
            </w:pPr>
            <w:r>
              <w:rPr>
                <w:rFonts w:ascii="Arial" w:cs="Arial" w:eastAsia="Arial" w:hAnsi="Arial"/>
                <w:sz w:val="17"/>
                <w:szCs w:val="17"/>
                <w:color w:val="auto"/>
                <w:w w:val="90"/>
              </w:rPr>
              <w:t>10.2</w:t>
            </w:r>
          </w:p>
        </w:tc>
        <w:tc>
          <w:tcPr>
            <w:tcW w:w="0" w:type="dxa"/>
            <w:vAlign w:val="bottom"/>
          </w:tcPr>
          <w:p>
            <w:pPr>
              <w:spacing w:after="0"/>
              <w:rPr>
                <w:sz w:val="1"/>
                <w:szCs w:val="1"/>
                <w:color w:val="auto"/>
              </w:rPr>
            </w:pPr>
          </w:p>
        </w:tc>
      </w:tr>
      <w:tr>
        <w:trPr>
          <w:trHeight w:val="337"/>
        </w:trPr>
        <w:tc>
          <w:tcPr>
            <w:tcW w:w="760" w:type="dxa"/>
            <w:vAlign w:val="bottom"/>
            <w:vMerge w:val="restart"/>
          </w:tcPr>
          <w:p>
            <w:pPr>
              <w:jc w:val="center"/>
              <w:ind w:right="334"/>
              <w:spacing w:after="0"/>
              <w:rPr>
                <w:sz w:val="20"/>
                <w:szCs w:val="20"/>
                <w:color w:val="auto"/>
              </w:rPr>
            </w:pPr>
            <w:r>
              <w:rPr>
                <w:rFonts w:ascii="Arial" w:cs="Arial" w:eastAsia="Arial" w:hAnsi="Arial"/>
                <w:sz w:val="17"/>
                <w:szCs w:val="17"/>
                <w:color w:val="auto"/>
                <w:w w:val="94"/>
              </w:rPr>
              <w:t>10-K</w:t>
            </w:r>
          </w:p>
        </w:tc>
        <w:tc>
          <w:tcPr>
            <w:tcW w:w="1660" w:type="dxa"/>
            <w:vAlign w:val="bottom"/>
          </w:tcPr>
          <w:p>
            <w:pPr>
              <w:jc w:val="center"/>
              <w:spacing w:after="0"/>
              <w:rPr>
                <w:sz w:val="20"/>
                <w:szCs w:val="20"/>
                <w:color w:val="auto"/>
              </w:rPr>
            </w:pPr>
            <w:r>
              <w:rPr>
                <w:rFonts w:ascii="Arial" w:cs="Arial" w:eastAsia="Arial" w:hAnsi="Arial"/>
                <w:sz w:val="17"/>
                <w:szCs w:val="17"/>
                <w:color w:val="auto"/>
                <w:w w:val="91"/>
              </w:rPr>
              <w:t>02/25/2021</w:t>
            </w:r>
          </w:p>
        </w:tc>
        <w:tc>
          <w:tcPr>
            <w:tcW w:w="800" w:type="dxa"/>
            <w:vAlign w:val="bottom"/>
            <w:vMerge w:val="restart"/>
          </w:tcPr>
          <w:p>
            <w:pPr>
              <w:jc w:val="center"/>
              <w:ind w:left="334"/>
              <w:spacing w:after="0"/>
              <w:rPr>
                <w:sz w:val="20"/>
                <w:szCs w:val="20"/>
                <w:color w:val="auto"/>
              </w:rPr>
            </w:pPr>
            <w:r>
              <w:rPr>
                <w:rFonts w:ascii="Arial" w:cs="Arial" w:eastAsia="Arial" w:hAnsi="Arial"/>
                <w:sz w:val="17"/>
                <w:szCs w:val="17"/>
                <w:color w:val="auto"/>
                <w:w w:val="89"/>
              </w:rPr>
              <w:t>10.19</w:t>
            </w:r>
          </w:p>
        </w:tc>
        <w:tc>
          <w:tcPr>
            <w:tcW w:w="0" w:type="dxa"/>
            <w:vAlign w:val="bottom"/>
          </w:tcPr>
          <w:p>
            <w:pPr>
              <w:spacing w:after="0"/>
              <w:rPr>
                <w:sz w:val="1"/>
                <w:szCs w:val="1"/>
                <w:color w:val="auto"/>
              </w:rPr>
            </w:pPr>
          </w:p>
        </w:tc>
      </w:tr>
      <w:tr>
        <w:trPr>
          <w:trHeight w:val="217"/>
        </w:trPr>
        <w:tc>
          <w:tcPr>
            <w:tcW w:w="76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0"/>
              </w:rPr>
              <w:t>001-34460</w:t>
            </w: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760" w:type="dxa"/>
            <w:vAlign w:val="bottom"/>
            <w:vMerge w:val="restart"/>
          </w:tcPr>
          <w:p>
            <w:pPr>
              <w:jc w:val="center"/>
              <w:ind w:right="334"/>
              <w:spacing w:after="0"/>
              <w:rPr>
                <w:sz w:val="20"/>
                <w:szCs w:val="20"/>
                <w:color w:val="auto"/>
              </w:rPr>
            </w:pPr>
            <w:r>
              <w:rPr>
                <w:rFonts w:ascii="Arial" w:cs="Arial" w:eastAsia="Arial" w:hAnsi="Arial"/>
                <w:sz w:val="17"/>
                <w:szCs w:val="17"/>
                <w:color w:val="auto"/>
                <w:w w:val="94"/>
              </w:rPr>
              <w:t>10-K</w:t>
            </w:r>
          </w:p>
        </w:tc>
        <w:tc>
          <w:tcPr>
            <w:tcW w:w="1660" w:type="dxa"/>
            <w:vAlign w:val="bottom"/>
          </w:tcPr>
          <w:p>
            <w:pPr>
              <w:jc w:val="center"/>
              <w:spacing w:after="0"/>
              <w:rPr>
                <w:sz w:val="20"/>
                <w:szCs w:val="20"/>
                <w:color w:val="auto"/>
              </w:rPr>
            </w:pPr>
            <w:r>
              <w:rPr>
                <w:rFonts w:ascii="Arial" w:cs="Arial" w:eastAsia="Arial" w:hAnsi="Arial"/>
                <w:sz w:val="17"/>
                <w:szCs w:val="17"/>
                <w:color w:val="auto"/>
                <w:w w:val="91"/>
              </w:rPr>
              <w:t>02/28/2019</w:t>
            </w:r>
          </w:p>
        </w:tc>
        <w:tc>
          <w:tcPr>
            <w:tcW w:w="800" w:type="dxa"/>
            <w:vAlign w:val="bottom"/>
            <w:vMerge w:val="restart"/>
          </w:tcPr>
          <w:p>
            <w:pPr>
              <w:jc w:val="center"/>
              <w:ind w:left="334"/>
              <w:spacing w:after="0"/>
              <w:rPr>
                <w:sz w:val="20"/>
                <w:szCs w:val="20"/>
                <w:color w:val="auto"/>
              </w:rPr>
            </w:pPr>
            <w:r>
              <w:rPr>
                <w:rFonts w:ascii="Arial" w:cs="Arial" w:eastAsia="Arial" w:hAnsi="Arial"/>
                <w:sz w:val="17"/>
                <w:szCs w:val="17"/>
                <w:color w:val="auto"/>
                <w:w w:val="89"/>
              </w:rPr>
              <w:t>10.34</w:t>
            </w:r>
          </w:p>
        </w:tc>
        <w:tc>
          <w:tcPr>
            <w:tcW w:w="0" w:type="dxa"/>
            <w:vAlign w:val="bottom"/>
          </w:tcPr>
          <w:p>
            <w:pPr>
              <w:spacing w:after="0"/>
              <w:rPr>
                <w:sz w:val="1"/>
                <w:szCs w:val="1"/>
                <w:color w:val="auto"/>
              </w:rPr>
            </w:pPr>
          </w:p>
        </w:tc>
      </w:tr>
      <w:tr>
        <w:trPr>
          <w:trHeight w:val="217"/>
        </w:trPr>
        <w:tc>
          <w:tcPr>
            <w:tcW w:w="76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0"/>
              </w:rPr>
              <w:t>001-34460</w:t>
            </w: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800" w:val="left"/>
        </w:tabs>
        <w:rPr>
          <w:sz w:val="20"/>
          <w:szCs w:val="20"/>
          <w:color w:val="auto"/>
        </w:rPr>
      </w:pPr>
      <w:r>
        <w:rPr>
          <w:rFonts w:ascii="Arial" w:cs="Arial" w:eastAsia="Arial" w:hAnsi="Arial"/>
          <w:sz w:val="17"/>
          <w:szCs w:val="17"/>
          <w:color w:val="auto"/>
        </w:rPr>
        <w:t>10-K</w:t>
      </w:r>
      <w:r>
        <w:rPr>
          <w:sz w:val="20"/>
          <w:szCs w:val="20"/>
          <w:color w:val="auto"/>
        </w:rPr>
        <w:tab/>
      </w:r>
      <w:r>
        <w:rPr>
          <w:rFonts w:ascii="Arial" w:cs="Arial" w:eastAsia="Arial" w:hAnsi="Arial"/>
          <w:sz w:val="17"/>
          <w:szCs w:val="17"/>
          <w:color w:val="auto"/>
        </w:rPr>
        <w:t>*</w:t>
      </w:r>
    </w:p>
    <w:p>
      <w:pPr>
        <w:spacing w:after="0" w:line="24" w:lineRule="exact"/>
        <w:rPr>
          <w:sz w:val="20"/>
          <w:szCs w:val="20"/>
          <w:color w:val="auto"/>
        </w:rPr>
      </w:pPr>
    </w:p>
    <w:p>
      <w:pPr>
        <w:jc w:val="right"/>
        <w:ind w:right="219"/>
        <w:spacing w:after="0"/>
        <w:rPr>
          <w:sz w:val="20"/>
          <w:szCs w:val="20"/>
          <w:color w:val="auto"/>
        </w:rPr>
      </w:pPr>
      <w:r>
        <w:rPr>
          <w:rFonts w:ascii="Arial" w:cs="Arial" w:eastAsia="Arial" w:hAnsi="Arial"/>
          <w:sz w:val="17"/>
          <w:szCs w:val="17"/>
          <w:color w:val="auto"/>
        </w:rPr>
        <w:t>*</w:t>
      </w:r>
    </w:p>
    <w:p>
      <w:pPr>
        <w:spacing w:after="0" w:line="191" w:lineRule="exact"/>
        <w:rPr>
          <w:sz w:val="20"/>
          <w:szCs w:val="20"/>
          <w:color w:val="auto"/>
        </w:rPr>
      </w:pPr>
    </w:p>
    <w:p>
      <w:pPr>
        <w:jc w:val="right"/>
        <w:ind w:right="219"/>
        <w:spacing w:after="0"/>
        <w:rPr>
          <w:sz w:val="20"/>
          <w:szCs w:val="20"/>
          <w:color w:val="auto"/>
        </w:rPr>
      </w:pPr>
      <w:r>
        <w:rPr>
          <w:rFonts w:ascii="Arial" w:cs="Arial" w:eastAsia="Arial" w:hAnsi="Arial"/>
          <w:sz w:val="17"/>
          <w:szCs w:val="17"/>
          <w:color w:val="auto"/>
        </w:rPr>
        <w:t>*</w:t>
      </w:r>
    </w:p>
    <w:p>
      <w:pPr>
        <w:spacing w:after="0" w:line="191" w:lineRule="exact"/>
        <w:rPr>
          <w:sz w:val="20"/>
          <w:szCs w:val="20"/>
          <w:color w:val="auto"/>
        </w:rPr>
      </w:pPr>
    </w:p>
    <w:p>
      <w:pPr>
        <w:jc w:val="right"/>
        <w:ind w:right="219"/>
        <w:spacing w:after="0"/>
        <w:rPr>
          <w:sz w:val="20"/>
          <w:szCs w:val="20"/>
          <w:color w:val="auto"/>
        </w:rPr>
      </w:pPr>
      <w:r>
        <w:rPr>
          <w:rFonts w:ascii="Arial" w:cs="Arial" w:eastAsia="Arial" w:hAnsi="Arial"/>
          <w:sz w:val="17"/>
          <w:szCs w:val="17"/>
          <w:color w:val="auto"/>
        </w:rPr>
        <w:t>*</w:t>
      </w:r>
    </w:p>
    <w:p>
      <w:pPr>
        <w:sectPr>
          <w:pgSz w:w="11900" w:h="16838" w:orient="portrait"/>
          <w:cols w:equalWidth="0" w:num="2">
            <w:col w:w="5680" w:space="320"/>
            <w:col w:w="4119"/>
          </w:cols>
          <w:pgMar w:left="340" w:top="975" w:right="1440" w:bottom="1440" w:gutter="0" w:footer="0" w:header="0"/>
        </w:sectPr>
      </w:pPr>
    </w:p>
    <w:bookmarkStart w:id="65" w:name="page66"/>
    <w:bookmarkEnd w:id="65"/>
    <w:tbl>
      <w:tblPr>
        <w:tblLayout w:type="fixed"/>
        <w:tblInd w:w="2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Arial" w:cs="Arial" w:eastAsia="Arial" w:hAnsi="Arial"/>
                <w:sz w:val="17"/>
                <w:szCs w:val="17"/>
                <w:color w:val="auto"/>
              </w:rPr>
              <w:t>31.2</w:t>
            </w:r>
          </w:p>
        </w:tc>
        <w:tc>
          <w:tcPr>
            <w:tcW w:w="6160" w:type="dxa"/>
            <w:vAlign w:val="bottom"/>
            <w:gridSpan w:val="16"/>
          </w:tcPr>
          <w:p>
            <w:pPr>
              <w:spacing w:after="0"/>
              <w:rPr>
                <w:rFonts w:ascii="Arial" w:cs="Arial" w:eastAsia="Arial" w:hAnsi="Arial"/>
                <w:sz w:val="17"/>
                <w:szCs w:val="17"/>
                <w:color w:val="0000FF"/>
              </w:rPr>
            </w:pPr>
            <w:hyperlink w:anchor="page166">
              <w:r>
                <w:rPr>
                  <w:rFonts w:ascii="Arial" w:cs="Arial" w:eastAsia="Arial" w:hAnsi="Arial"/>
                  <w:sz w:val="17"/>
                  <w:szCs w:val="17"/>
                  <w:color w:val="0000FF"/>
                </w:rPr>
                <w:t>Certification of Chief Financial Officer pursuant to</w:t>
              </w:r>
            </w:hyperlink>
          </w:p>
        </w:tc>
        <w:tc>
          <w:tcPr>
            <w:tcW w:w="23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w w:val="91"/>
              </w:rPr>
            </w:pPr>
            <w:hyperlink w:anchor="page166">
              <w:r>
                <w:rPr>
                  <w:rFonts w:ascii="Arial" w:cs="Arial" w:eastAsia="Arial" w:hAnsi="Arial"/>
                  <w:sz w:val="17"/>
                  <w:szCs w:val="17"/>
                  <w:color w:val="0000FF"/>
                  <w:w w:val="91"/>
                </w:rPr>
                <w:t>Section 302 of the Sarbanes Oxley Act of 2002.</w:t>
              </w:r>
            </w:hyperlink>
          </w:p>
        </w:tc>
        <w:tc>
          <w:tcPr>
            <w:tcW w:w="22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400" w:type="dxa"/>
            <w:vAlign w:val="bottom"/>
          </w:tcPr>
          <w:p>
            <w:pPr>
              <w:spacing w:after="0"/>
              <w:rPr>
                <w:sz w:val="20"/>
                <w:szCs w:val="20"/>
                <w:color w:val="auto"/>
              </w:rPr>
            </w:pPr>
            <w:r>
              <w:rPr>
                <w:rFonts w:ascii="Arial" w:cs="Arial" w:eastAsia="Arial" w:hAnsi="Arial"/>
                <w:sz w:val="17"/>
                <w:szCs w:val="17"/>
                <w:color w:val="auto"/>
              </w:rPr>
              <w:t>32.1</w:t>
            </w:r>
          </w:p>
        </w:tc>
        <w:tc>
          <w:tcPr>
            <w:tcW w:w="3580" w:type="dxa"/>
            <w:vAlign w:val="bottom"/>
            <w:tcBorders>
              <w:bottom w:val="single" w:sz="8" w:color="0000FF"/>
            </w:tcBorders>
            <w:gridSpan w:val="10"/>
          </w:tcPr>
          <w:p>
            <w:pPr>
              <w:spacing w:after="0"/>
              <w:rPr>
                <w:rFonts w:ascii="Arial" w:cs="Arial" w:eastAsia="Arial" w:hAnsi="Arial"/>
                <w:sz w:val="17"/>
                <w:szCs w:val="17"/>
                <w:color w:val="0000FF"/>
                <w:w w:val="91"/>
              </w:rPr>
            </w:pPr>
            <w:hyperlink w:anchor="page167">
              <w:r>
                <w:rPr>
                  <w:rFonts w:ascii="Arial" w:cs="Arial" w:eastAsia="Arial" w:hAnsi="Arial"/>
                  <w:sz w:val="17"/>
                  <w:szCs w:val="17"/>
                  <w:color w:val="0000FF"/>
                  <w:w w:val="91"/>
                </w:rPr>
                <w:t>Certification pursuant to 18 U.S.C. Section 1350, as</w:t>
              </w:r>
            </w:hyperlink>
          </w:p>
        </w:tc>
        <w:tc>
          <w:tcPr>
            <w:tcW w:w="2580" w:type="dxa"/>
            <w:vAlign w:val="bottom"/>
            <w:gridSpan w:val="6"/>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6160" w:type="dxa"/>
            <w:vAlign w:val="bottom"/>
            <w:gridSpan w:val="16"/>
          </w:tcPr>
          <w:p>
            <w:pPr>
              <w:spacing w:after="0" w:line="148" w:lineRule="exact"/>
              <w:rPr>
                <w:rFonts w:ascii="Arial" w:cs="Arial" w:eastAsia="Arial" w:hAnsi="Arial"/>
                <w:sz w:val="17"/>
                <w:szCs w:val="17"/>
                <w:color w:val="0000FF"/>
              </w:rPr>
            </w:pPr>
            <w:hyperlink w:anchor="page167">
              <w:r>
                <w:rPr>
                  <w:rFonts w:ascii="Arial" w:cs="Arial" w:eastAsia="Arial" w:hAnsi="Arial"/>
                  <w:sz w:val="17"/>
                  <w:szCs w:val="17"/>
                  <w:color w:val="0000FF"/>
                </w:rPr>
                <w:t>adopted pursuant to Section 906 of the Sarbanes-Oxley</w:t>
              </w:r>
            </w:hyperlink>
          </w:p>
        </w:tc>
        <w:tc>
          <w:tcPr>
            <w:tcW w:w="23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38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w w:val="95"/>
              </w:rPr>
            </w:pPr>
            <w:hyperlink w:anchor="page167">
              <w:r>
                <w:rPr>
                  <w:rFonts w:ascii="Arial" w:cs="Arial" w:eastAsia="Arial" w:hAnsi="Arial"/>
                  <w:sz w:val="17"/>
                  <w:szCs w:val="17"/>
                  <w:color w:val="0000FF"/>
                  <w:w w:val="95"/>
                </w:rPr>
                <w:t>Act of 2002 for Eric M. DeMarco.</w:t>
              </w:r>
            </w:hyperlink>
          </w:p>
        </w:tc>
        <w:tc>
          <w:tcPr>
            <w:tcW w:w="1420" w:type="dxa"/>
            <w:vAlign w:val="bottom"/>
            <w:tcBorders>
              <w:top w:val="single" w:sz="8" w:color="0000FF"/>
            </w:tcBorders>
            <w:gridSpan w:val="10"/>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400" w:type="dxa"/>
            <w:vAlign w:val="bottom"/>
          </w:tcPr>
          <w:p>
            <w:pPr>
              <w:spacing w:after="0"/>
              <w:rPr>
                <w:sz w:val="20"/>
                <w:szCs w:val="20"/>
                <w:color w:val="auto"/>
              </w:rPr>
            </w:pPr>
            <w:r>
              <w:rPr>
                <w:rFonts w:ascii="Arial" w:cs="Arial" w:eastAsia="Arial" w:hAnsi="Arial"/>
                <w:sz w:val="17"/>
                <w:szCs w:val="17"/>
                <w:color w:val="auto"/>
              </w:rPr>
              <w:t>32.2</w:t>
            </w:r>
          </w:p>
        </w:tc>
        <w:tc>
          <w:tcPr>
            <w:tcW w:w="3580" w:type="dxa"/>
            <w:vAlign w:val="bottom"/>
            <w:tcBorders>
              <w:bottom w:val="single" w:sz="8" w:color="0000FF"/>
            </w:tcBorders>
            <w:gridSpan w:val="10"/>
          </w:tcPr>
          <w:p>
            <w:pPr>
              <w:spacing w:after="0"/>
              <w:rPr>
                <w:rFonts w:ascii="Arial" w:cs="Arial" w:eastAsia="Arial" w:hAnsi="Arial"/>
                <w:sz w:val="17"/>
                <w:szCs w:val="17"/>
                <w:color w:val="0000FF"/>
                <w:w w:val="91"/>
              </w:rPr>
            </w:pPr>
            <w:hyperlink w:anchor="page168">
              <w:r>
                <w:rPr>
                  <w:rFonts w:ascii="Arial" w:cs="Arial" w:eastAsia="Arial" w:hAnsi="Arial"/>
                  <w:sz w:val="17"/>
                  <w:szCs w:val="17"/>
                  <w:color w:val="0000FF"/>
                  <w:w w:val="91"/>
                </w:rPr>
                <w:t>Certification pursuant to 18 U.S.C. Section 1350, as</w:t>
              </w:r>
            </w:hyperlink>
          </w:p>
        </w:tc>
        <w:tc>
          <w:tcPr>
            <w:tcW w:w="2580" w:type="dxa"/>
            <w:vAlign w:val="bottom"/>
            <w:gridSpan w:val="6"/>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6160" w:type="dxa"/>
            <w:vAlign w:val="bottom"/>
            <w:gridSpan w:val="16"/>
          </w:tcPr>
          <w:p>
            <w:pPr>
              <w:spacing w:after="0" w:line="148" w:lineRule="exact"/>
              <w:rPr>
                <w:rFonts w:ascii="Arial" w:cs="Arial" w:eastAsia="Arial" w:hAnsi="Arial"/>
                <w:sz w:val="17"/>
                <w:szCs w:val="17"/>
                <w:color w:val="0000FF"/>
              </w:rPr>
            </w:pPr>
            <w:hyperlink w:anchor="page168">
              <w:r>
                <w:rPr>
                  <w:rFonts w:ascii="Arial" w:cs="Arial" w:eastAsia="Arial" w:hAnsi="Arial"/>
                  <w:sz w:val="17"/>
                  <w:szCs w:val="17"/>
                  <w:color w:val="0000FF"/>
                </w:rPr>
                <w:t>adopted pursuant to Section 906 of the Sarbanes-Oxley</w:t>
              </w:r>
            </w:hyperlink>
          </w:p>
        </w:tc>
        <w:tc>
          <w:tcPr>
            <w:tcW w:w="23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800" w:type="dxa"/>
            <w:vAlign w:val="bottom"/>
            <w:tcBorders>
              <w:top w:val="single" w:sz="8" w:color="0000FF"/>
            </w:tcBorders>
            <w:gridSpan w:val="13"/>
          </w:tcPr>
          <w:p>
            <w:pPr>
              <w:spacing w:after="0" w:line="148" w:lineRule="exact"/>
              <w:rPr>
                <w:rFonts w:ascii="Arial" w:cs="Arial" w:eastAsia="Arial" w:hAnsi="Arial"/>
                <w:sz w:val="17"/>
                <w:szCs w:val="17"/>
                <w:color w:val="0000FF"/>
              </w:rPr>
            </w:pPr>
            <w:hyperlink w:anchor="page168">
              <w:r>
                <w:rPr>
                  <w:rFonts w:ascii="Arial" w:cs="Arial" w:eastAsia="Arial" w:hAnsi="Arial"/>
                  <w:sz w:val="17"/>
                  <w:szCs w:val="17"/>
                  <w:color w:val="0000FF"/>
                </w:rPr>
                <w:t>Act of 2002 for Deanna Lund.</w:t>
              </w:r>
            </w:hyperlink>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400" w:type="dxa"/>
            <w:vAlign w:val="bottom"/>
          </w:tcPr>
          <w:p>
            <w:pPr>
              <w:spacing w:after="0"/>
              <w:rPr>
                <w:sz w:val="20"/>
                <w:szCs w:val="20"/>
                <w:color w:val="auto"/>
              </w:rPr>
            </w:pPr>
            <w:r>
              <w:rPr>
                <w:rFonts w:ascii="Arial" w:cs="Arial" w:eastAsia="Arial" w:hAnsi="Arial"/>
                <w:sz w:val="17"/>
                <w:szCs w:val="17"/>
                <w:color w:val="auto"/>
              </w:rPr>
              <w:t>101.INS</w:t>
            </w:r>
          </w:p>
        </w:tc>
        <w:tc>
          <w:tcPr>
            <w:tcW w:w="6160" w:type="dxa"/>
            <w:vAlign w:val="bottom"/>
            <w:gridSpan w:val="16"/>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XBRL Instance Document-the instance document does</w:t>
              </w:r>
            </w:hyperlink>
          </w:p>
        </w:tc>
        <w:tc>
          <w:tcPr>
            <w:tcW w:w="23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780" w:type="dxa"/>
            <w:vAlign w:val="bottom"/>
            <w:tcBorders>
              <w:top w:val="single" w:sz="8" w:color="0000FF"/>
              <w:bottom w:val="single" w:sz="8" w:color="0000FF"/>
            </w:tcBorders>
            <w:gridSpan w:val="12"/>
          </w:tcPr>
          <w:p>
            <w:pPr>
              <w:spacing w:after="0" w:line="148" w:lineRule="exact"/>
              <w:rPr>
                <w:rFonts w:ascii="Arial" w:cs="Arial" w:eastAsia="Arial" w:hAnsi="Arial"/>
                <w:sz w:val="17"/>
                <w:szCs w:val="17"/>
                <w:color w:val="0000FF"/>
                <w:w w:val="88"/>
              </w:rPr>
            </w:pPr>
            <w:hyperlink w:anchor="page4">
              <w:r>
                <w:rPr>
                  <w:rFonts w:ascii="Arial" w:cs="Arial" w:eastAsia="Arial" w:hAnsi="Arial"/>
                  <w:sz w:val="17"/>
                  <w:szCs w:val="17"/>
                  <w:color w:val="0000FF"/>
                  <w:w w:val="88"/>
                </w:rPr>
                <w:t>not appear in the Interactive Data File because its XBRL</w:t>
              </w:r>
            </w:hyperlink>
          </w:p>
        </w:tc>
        <w:tc>
          <w:tcPr>
            <w:tcW w:w="6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tcPr>
          <w:p>
            <w:pPr>
              <w:spacing w:after="0"/>
              <w:rPr>
                <w:sz w:val="12"/>
                <w:szCs w:val="12"/>
                <w:color w:val="auto"/>
              </w:rPr>
            </w:pPr>
          </w:p>
        </w:tc>
        <w:tc>
          <w:tcPr>
            <w:tcW w:w="22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900" w:type="dxa"/>
            <w:vAlign w:val="bottom"/>
            <w:gridSpan w:val="15"/>
          </w:tcPr>
          <w:p>
            <w:pPr>
              <w:spacing w:after="0" w:line="148" w:lineRule="exact"/>
              <w:rPr>
                <w:rFonts w:ascii="Arial" w:cs="Arial" w:eastAsia="Arial" w:hAnsi="Arial"/>
                <w:sz w:val="17"/>
                <w:szCs w:val="17"/>
                <w:color w:val="0000FF"/>
                <w:w w:val="97"/>
              </w:rPr>
            </w:pPr>
            <w:hyperlink w:anchor="page4">
              <w:r>
                <w:rPr>
                  <w:rFonts w:ascii="Arial" w:cs="Arial" w:eastAsia="Arial" w:hAnsi="Arial"/>
                  <w:sz w:val="17"/>
                  <w:szCs w:val="17"/>
                  <w:color w:val="0000FF"/>
                  <w:w w:val="97"/>
                </w:rPr>
                <w:t>tags are embedded within the Inline XBRL document</w:t>
              </w:r>
            </w:hyperlink>
          </w:p>
        </w:tc>
        <w:tc>
          <w:tcPr>
            <w:tcW w:w="22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400" w:type="dxa"/>
            <w:vAlign w:val="bottom"/>
          </w:tcPr>
          <w:p>
            <w:pPr>
              <w:spacing w:after="0"/>
              <w:rPr>
                <w:sz w:val="20"/>
                <w:szCs w:val="20"/>
                <w:color w:val="auto"/>
              </w:rPr>
            </w:pPr>
            <w:r>
              <w:rPr>
                <w:rFonts w:ascii="Arial" w:cs="Arial" w:eastAsia="Arial" w:hAnsi="Arial"/>
                <w:sz w:val="17"/>
                <w:szCs w:val="17"/>
                <w:color w:val="auto"/>
              </w:rPr>
              <w:t>101.SCH</w:t>
            </w:r>
          </w:p>
        </w:tc>
        <w:tc>
          <w:tcPr>
            <w:tcW w:w="3320" w:type="dxa"/>
            <w:vAlign w:val="bottom"/>
            <w:tcBorders>
              <w:top w:val="single" w:sz="8" w:color="0000FF"/>
              <w:bottom w:val="single" w:sz="8" w:color="0000FF"/>
            </w:tcBorders>
            <w:gridSpan w:val="5"/>
          </w:tcPr>
          <w:p>
            <w:pPr>
              <w:spacing w:after="0"/>
              <w:rPr>
                <w:rFonts w:ascii="Arial" w:cs="Arial" w:eastAsia="Arial" w:hAnsi="Arial"/>
                <w:sz w:val="17"/>
                <w:szCs w:val="17"/>
                <w:color w:val="0000FF"/>
                <w:w w:val="92"/>
              </w:rPr>
            </w:pPr>
            <w:hyperlink w:anchor="page4">
              <w:r>
                <w:rPr>
                  <w:rFonts w:ascii="Arial" w:cs="Arial" w:eastAsia="Arial" w:hAnsi="Arial"/>
                  <w:sz w:val="17"/>
                  <w:szCs w:val="17"/>
                  <w:color w:val="0000FF"/>
                  <w:w w:val="92"/>
                </w:rPr>
                <w:t>XBRL Taxonomy Extension Schema Document</w:t>
              </w:r>
            </w:hyperlink>
          </w:p>
        </w:tc>
        <w:tc>
          <w:tcPr>
            <w:tcW w:w="360" w:type="dxa"/>
            <w:vAlign w:val="bottom"/>
            <w:tcBorders>
              <w:top w:val="single" w:sz="8" w:color="0000FF"/>
            </w:tcBorders>
            <w:gridSpan w:val="6"/>
          </w:tcPr>
          <w:p>
            <w:pPr>
              <w:spacing w:after="0"/>
              <w:rPr>
                <w:sz w:val="17"/>
                <w:szCs w:val="17"/>
                <w:color w:val="auto"/>
              </w:rPr>
            </w:pPr>
          </w:p>
        </w:tc>
        <w:tc>
          <w:tcPr>
            <w:tcW w:w="2480" w:type="dxa"/>
            <w:vAlign w:val="bottom"/>
            <w:gridSpan w:val="5"/>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1400" w:type="dxa"/>
            <w:vAlign w:val="bottom"/>
          </w:tcPr>
          <w:p>
            <w:pPr>
              <w:spacing w:after="0"/>
              <w:rPr>
                <w:sz w:val="20"/>
                <w:szCs w:val="20"/>
                <w:color w:val="auto"/>
              </w:rPr>
            </w:pPr>
            <w:r>
              <w:rPr>
                <w:rFonts w:ascii="Arial" w:cs="Arial" w:eastAsia="Arial" w:hAnsi="Arial"/>
                <w:sz w:val="17"/>
                <w:szCs w:val="17"/>
                <w:color w:val="auto"/>
              </w:rPr>
              <w:t>101.CAL</w:t>
            </w:r>
          </w:p>
        </w:tc>
        <w:tc>
          <w:tcPr>
            <w:tcW w:w="6160" w:type="dxa"/>
            <w:vAlign w:val="bottom"/>
            <w:gridSpan w:val="16"/>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XBRL Taxonomy Extension Calculation Linkbase</w:t>
              </w:r>
            </w:hyperlink>
          </w:p>
        </w:tc>
        <w:tc>
          <w:tcPr>
            <w:tcW w:w="23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480" w:type="dxa"/>
            <w:vAlign w:val="bottom"/>
            <w:tcBorders>
              <w:top w:val="single" w:sz="8" w:color="0000FF"/>
            </w:tcBorders>
            <w:gridSpan w:val="7"/>
          </w:tcPr>
          <w:p>
            <w:pPr>
              <w:spacing w:after="0" w:line="148" w:lineRule="exact"/>
              <w:rPr>
                <w:rFonts w:ascii="Arial" w:cs="Arial" w:eastAsia="Arial" w:hAnsi="Arial"/>
                <w:sz w:val="17"/>
                <w:szCs w:val="17"/>
                <w:color w:val="0000FF"/>
              </w:rPr>
            </w:pPr>
            <w:hyperlink w:anchor="page4">
              <w:r>
                <w:rPr>
                  <w:rFonts w:ascii="Arial" w:cs="Arial" w:eastAsia="Arial" w:hAnsi="Arial"/>
                  <w:sz w:val="17"/>
                  <w:szCs w:val="17"/>
                  <w:color w:val="0000FF"/>
                </w:rPr>
                <w:t>Document</w:t>
              </w:r>
            </w:hyperlink>
          </w:p>
        </w:tc>
        <w:tc>
          <w:tcPr>
            <w:tcW w:w="60" w:type="dxa"/>
            <w:vAlign w:val="bottom"/>
            <w:gridSpan w:val="2"/>
          </w:tcPr>
          <w:p>
            <w:pPr>
              <w:spacing w:after="0"/>
              <w:rPr>
                <w:sz w:val="12"/>
                <w:szCs w:val="12"/>
                <w:color w:val="auto"/>
              </w:rPr>
            </w:pPr>
          </w:p>
        </w:tc>
        <w:tc>
          <w:tcPr>
            <w:tcW w:w="300" w:type="dxa"/>
            <w:vAlign w:val="bottom"/>
            <w:gridSpan w:val="5"/>
          </w:tcPr>
          <w:p>
            <w:pPr>
              <w:spacing w:after="0"/>
              <w:rPr>
                <w:sz w:val="12"/>
                <w:szCs w:val="12"/>
                <w:color w:val="auto"/>
              </w:rPr>
            </w:pPr>
          </w:p>
        </w:tc>
        <w:tc>
          <w:tcPr>
            <w:tcW w:w="2320" w:type="dxa"/>
            <w:vAlign w:val="bottom"/>
            <w:gridSpan w:val="2"/>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400" w:type="dxa"/>
            <w:vAlign w:val="bottom"/>
          </w:tcPr>
          <w:p>
            <w:pPr>
              <w:spacing w:after="0"/>
              <w:rPr>
                <w:sz w:val="20"/>
                <w:szCs w:val="20"/>
                <w:color w:val="auto"/>
              </w:rPr>
            </w:pPr>
            <w:r>
              <w:rPr>
                <w:rFonts w:ascii="Arial" w:cs="Arial" w:eastAsia="Arial" w:hAnsi="Arial"/>
                <w:sz w:val="17"/>
                <w:szCs w:val="17"/>
                <w:color w:val="auto"/>
              </w:rPr>
              <w:t>101.DEF</w:t>
            </w:r>
          </w:p>
        </w:tc>
        <w:tc>
          <w:tcPr>
            <w:tcW w:w="6160" w:type="dxa"/>
            <w:vAlign w:val="bottom"/>
            <w:gridSpan w:val="16"/>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XBRL Taxonomy Extension Definition Linkbase</w:t>
              </w:r>
            </w:hyperlink>
          </w:p>
        </w:tc>
        <w:tc>
          <w:tcPr>
            <w:tcW w:w="23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400" w:type="dxa"/>
            <w:vAlign w:val="bottom"/>
            <w:tcBorders>
              <w:top w:val="single" w:sz="8" w:color="0000FF"/>
            </w:tcBorders>
            <w:gridSpan w:val="6"/>
          </w:tcPr>
          <w:p>
            <w:pPr>
              <w:spacing w:after="0" w:line="148" w:lineRule="exact"/>
              <w:rPr>
                <w:rFonts w:ascii="Arial" w:cs="Arial" w:eastAsia="Arial" w:hAnsi="Arial"/>
                <w:sz w:val="17"/>
                <w:szCs w:val="17"/>
                <w:color w:val="0000FF"/>
              </w:rPr>
            </w:pPr>
            <w:hyperlink w:anchor="page4">
              <w:r>
                <w:rPr>
                  <w:rFonts w:ascii="Arial" w:cs="Arial" w:eastAsia="Arial" w:hAnsi="Arial"/>
                  <w:sz w:val="17"/>
                  <w:szCs w:val="17"/>
                  <w:color w:val="0000FF"/>
                </w:rPr>
                <w:t>Document</w:t>
              </w:r>
            </w:hyperlink>
          </w:p>
        </w:tc>
        <w:tc>
          <w:tcPr>
            <w:tcW w:w="140" w:type="dxa"/>
            <w:vAlign w:val="bottom"/>
            <w:gridSpan w:val="3"/>
          </w:tcPr>
          <w:p>
            <w:pPr>
              <w:spacing w:after="0"/>
              <w:rPr>
                <w:sz w:val="12"/>
                <w:szCs w:val="12"/>
                <w:color w:val="auto"/>
              </w:rPr>
            </w:pPr>
          </w:p>
        </w:tc>
        <w:tc>
          <w:tcPr>
            <w:tcW w:w="300" w:type="dxa"/>
            <w:vAlign w:val="bottom"/>
            <w:gridSpan w:val="5"/>
          </w:tcPr>
          <w:p>
            <w:pPr>
              <w:spacing w:after="0"/>
              <w:rPr>
                <w:sz w:val="12"/>
                <w:szCs w:val="12"/>
                <w:color w:val="auto"/>
              </w:rPr>
            </w:pPr>
          </w:p>
        </w:tc>
        <w:tc>
          <w:tcPr>
            <w:tcW w:w="2320" w:type="dxa"/>
            <w:vAlign w:val="bottom"/>
            <w:gridSpan w:val="2"/>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400" w:type="dxa"/>
            <w:vAlign w:val="bottom"/>
          </w:tcPr>
          <w:p>
            <w:pPr>
              <w:spacing w:after="0"/>
              <w:rPr>
                <w:sz w:val="20"/>
                <w:szCs w:val="20"/>
                <w:color w:val="auto"/>
              </w:rPr>
            </w:pPr>
            <w:r>
              <w:rPr>
                <w:rFonts w:ascii="Arial" w:cs="Arial" w:eastAsia="Arial" w:hAnsi="Arial"/>
                <w:sz w:val="17"/>
                <w:szCs w:val="17"/>
                <w:color w:val="auto"/>
              </w:rPr>
              <w:t>101.LAB</w:t>
            </w:r>
          </w:p>
        </w:tc>
        <w:tc>
          <w:tcPr>
            <w:tcW w:w="3840" w:type="dxa"/>
            <w:vAlign w:val="bottom"/>
            <w:tcBorders>
              <w:bottom w:val="single" w:sz="8" w:color="0000FF"/>
            </w:tcBorders>
            <w:gridSpan w:val="14"/>
          </w:tcPr>
          <w:p>
            <w:pPr>
              <w:spacing w:after="0"/>
              <w:rPr>
                <w:rFonts w:ascii="Arial" w:cs="Arial" w:eastAsia="Arial" w:hAnsi="Arial"/>
                <w:sz w:val="17"/>
                <w:szCs w:val="17"/>
                <w:color w:val="0000FF"/>
                <w:w w:val="93"/>
              </w:rPr>
            </w:pPr>
            <w:hyperlink w:anchor="page4">
              <w:r>
                <w:rPr>
                  <w:rFonts w:ascii="Arial" w:cs="Arial" w:eastAsia="Arial" w:hAnsi="Arial"/>
                  <w:sz w:val="17"/>
                  <w:szCs w:val="17"/>
                  <w:color w:val="0000FF"/>
                  <w:w w:val="93"/>
                </w:rPr>
                <w:t>XBRL Taxonomy Extension Label Linkbase Document</w:t>
              </w:r>
            </w:hyperlink>
          </w:p>
        </w:tc>
        <w:tc>
          <w:tcPr>
            <w:tcW w:w="2320" w:type="dxa"/>
            <w:vAlign w:val="bottom"/>
            <w:gridSpan w:val="2"/>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1400" w:type="dxa"/>
            <w:vAlign w:val="bottom"/>
          </w:tcPr>
          <w:p>
            <w:pPr>
              <w:spacing w:after="0"/>
              <w:rPr>
                <w:sz w:val="20"/>
                <w:szCs w:val="20"/>
                <w:color w:val="auto"/>
              </w:rPr>
            </w:pPr>
            <w:r>
              <w:rPr>
                <w:rFonts w:ascii="Arial" w:cs="Arial" w:eastAsia="Arial" w:hAnsi="Arial"/>
                <w:sz w:val="17"/>
                <w:szCs w:val="17"/>
                <w:color w:val="auto"/>
              </w:rPr>
              <w:t>101.PRE</w:t>
            </w:r>
          </w:p>
        </w:tc>
        <w:tc>
          <w:tcPr>
            <w:tcW w:w="6160" w:type="dxa"/>
            <w:vAlign w:val="bottom"/>
            <w:gridSpan w:val="16"/>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XBRL Taxonomy Extension Presentation Linkbase</w:t>
              </w:r>
            </w:hyperlink>
          </w:p>
        </w:tc>
        <w:tc>
          <w:tcPr>
            <w:tcW w:w="23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540" w:type="dxa"/>
            <w:vAlign w:val="bottom"/>
            <w:tcBorders>
              <w:top w:val="single" w:sz="8" w:color="0000FF"/>
            </w:tcBorders>
            <w:gridSpan w:val="9"/>
          </w:tcPr>
          <w:p>
            <w:pPr>
              <w:spacing w:after="0" w:line="148" w:lineRule="exact"/>
              <w:rPr>
                <w:rFonts w:ascii="Arial" w:cs="Arial" w:eastAsia="Arial" w:hAnsi="Arial"/>
                <w:sz w:val="17"/>
                <w:szCs w:val="17"/>
                <w:color w:val="0000FF"/>
              </w:rPr>
            </w:pPr>
            <w:hyperlink w:anchor="page4">
              <w:r>
                <w:rPr>
                  <w:rFonts w:ascii="Arial" w:cs="Arial" w:eastAsia="Arial" w:hAnsi="Arial"/>
                  <w:sz w:val="17"/>
                  <w:szCs w:val="17"/>
                  <w:color w:val="0000FF"/>
                </w:rPr>
                <w:t>Document</w:t>
              </w:r>
            </w:hyperlink>
          </w:p>
        </w:tc>
        <w:tc>
          <w:tcPr>
            <w:tcW w:w="2620" w:type="dxa"/>
            <w:vAlign w:val="bottom"/>
            <w:gridSpan w:val="7"/>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40" w:type="dxa"/>
            <w:vAlign w:val="bottom"/>
            <w:gridSpan w:val="15"/>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400" w:type="dxa"/>
            <w:vAlign w:val="bottom"/>
          </w:tcPr>
          <w:p>
            <w:pPr>
              <w:spacing w:after="0" w:line="187" w:lineRule="exact"/>
              <w:rPr>
                <w:sz w:val="20"/>
                <w:szCs w:val="20"/>
                <w:color w:val="auto"/>
              </w:rPr>
            </w:pPr>
            <w:r>
              <w:rPr>
                <w:rFonts w:ascii="Arial" w:cs="Arial" w:eastAsia="Arial" w:hAnsi="Arial"/>
                <w:sz w:val="17"/>
                <w:szCs w:val="17"/>
                <w:color w:val="auto"/>
              </w:rPr>
              <w:t>104</w:t>
            </w:r>
          </w:p>
        </w:tc>
        <w:tc>
          <w:tcPr>
            <w:tcW w:w="6160" w:type="dxa"/>
            <w:vAlign w:val="bottom"/>
            <w:gridSpan w:val="16"/>
          </w:tcPr>
          <w:p>
            <w:pPr>
              <w:spacing w:after="0" w:line="187" w:lineRule="exact"/>
              <w:rPr>
                <w:sz w:val="20"/>
                <w:szCs w:val="20"/>
                <w:color w:val="auto"/>
              </w:rPr>
            </w:pPr>
            <w:r>
              <w:rPr>
                <w:rFonts w:ascii="Arial" w:cs="Arial" w:eastAsia="Arial" w:hAnsi="Arial"/>
                <w:sz w:val="17"/>
                <w:szCs w:val="17"/>
                <w:color w:val="auto"/>
              </w:rPr>
              <w:t>Cover Page Interactive Data File (formatted as inline</w:t>
            </w:r>
          </w:p>
        </w:tc>
        <w:tc>
          <w:tcPr>
            <w:tcW w:w="23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1400" w:type="dxa"/>
            <w:vAlign w:val="bottom"/>
          </w:tcPr>
          <w:p>
            <w:pPr>
              <w:spacing w:after="0"/>
              <w:rPr>
                <w:sz w:val="18"/>
                <w:szCs w:val="18"/>
                <w:color w:val="auto"/>
              </w:rPr>
            </w:pPr>
          </w:p>
        </w:tc>
        <w:tc>
          <w:tcPr>
            <w:tcW w:w="6160" w:type="dxa"/>
            <w:vAlign w:val="bottom"/>
            <w:gridSpan w:val="16"/>
          </w:tcPr>
          <w:p>
            <w:pPr>
              <w:spacing w:after="0"/>
              <w:rPr>
                <w:sz w:val="20"/>
                <w:szCs w:val="20"/>
                <w:color w:val="auto"/>
              </w:rPr>
            </w:pPr>
            <w:r>
              <w:rPr>
                <w:rFonts w:ascii="Arial" w:cs="Arial" w:eastAsia="Arial" w:hAnsi="Arial"/>
                <w:sz w:val="17"/>
                <w:szCs w:val="17"/>
                <w:color w:val="auto"/>
              </w:rPr>
              <w:t>XBRL and contained in Exhibit 101)</w:t>
            </w:r>
          </w:p>
        </w:tc>
        <w:tc>
          <w:tcPr>
            <w:tcW w:w="2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262890</wp:posOffset>
            </wp:positionV>
            <wp:extent cx="24561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1779" w:firstLine="3"/>
        <w:spacing w:after="0" w:line="279" w:lineRule="auto"/>
        <w:tabs>
          <w:tab w:leader="none" w:pos="3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Certain confidential information contained in this Exhibit has been omitted because it is both (i) not material and (ii) would be competitively harmful if publicly disclosed.</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Management contract or compensatory plan or arrangement.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Exhibits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Item 15(a)(3) above.</w:t>
      </w:r>
    </w:p>
    <w:p>
      <w:pPr>
        <w:spacing w:after="0" w:line="200" w:lineRule="exact"/>
        <w:rPr>
          <w:sz w:val="20"/>
          <w:szCs w:val="20"/>
          <w:color w:val="auto"/>
        </w:rPr>
      </w:pPr>
    </w:p>
    <w:p>
      <w:pPr>
        <w:spacing w:after="0" w:line="217" w:lineRule="exact"/>
        <w:rPr>
          <w:sz w:val="20"/>
          <w:szCs w:val="20"/>
          <w:color w:val="auto"/>
        </w:rPr>
      </w:pPr>
    </w:p>
    <w:p>
      <w:pPr>
        <w:ind w:left="620" w:right="7659" w:hanging="617"/>
        <w:spacing w:after="0" w:line="590" w:lineRule="auto"/>
        <w:tabs>
          <w:tab w:leader="none" w:pos="235" w:val="left"/>
        </w:tabs>
        <w:numPr>
          <w:ilvl w:val="0"/>
          <w:numId w:val="2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 Schedules </w:t>
      </w:r>
      <w:r>
        <w:rPr>
          <w:rFonts w:ascii="Arial" w:cs="Arial" w:eastAsia="Arial" w:hAnsi="Arial"/>
          <w:sz w:val="15"/>
          <w:szCs w:val="15"/>
          <w:color w:val="auto"/>
        </w:rPr>
        <w:t>See Item 15(a)(2) above.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16. </w:t>
      </w:r>
      <w:r>
        <w:rPr>
          <w:rFonts w:ascii="Arial" w:cs="Arial" w:eastAsia="Arial" w:hAnsi="Arial"/>
          <w:sz w:val="17"/>
          <w:szCs w:val="17"/>
          <w:b w:val="1"/>
          <w:bCs w:val="1"/>
          <w:i w:val="1"/>
          <w:iCs w:val="1"/>
          <w:color w:val="auto"/>
        </w:rPr>
        <w:t>Form 10-K Summary.</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975" w:right="1440" w:bottom="1440" w:gutter="0" w:footer="0" w:header="0"/>
        </w:sectPr>
      </w:pPr>
    </w:p>
    <w:bookmarkStart w:id="66" w:name="page67"/>
    <w:bookmarkEnd w:id="66"/>
    <w:p>
      <w:pPr>
        <w:jc w:val="center"/>
        <w:ind w:right="80"/>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right="280" w:firstLine="619"/>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22, 2022</w:t>
      </w:r>
    </w:p>
    <w:p>
      <w:pPr>
        <w:spacing w:after="0" w:line="256"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Kratos Defense &amp; Security Solutions, Inc.</w:t>
      </w:r>
    </w:p>
    <w:p>
      <w:pPr>
        <w:spacing w:after="0" w:line="282" w:lineRule="exact"/>
        <w:rPr>
          <w:sz w:val="20"/>
          <w:szCs w:val="20"/>
          <w:color w:val="auto"/>
        </w:rPr>
      </w:pPr>
    </w:p>
    <w:p>
      <w:pPr>
        <w:ind w:left="4620"/>
        <w:spacing w:after="0"/>
        <w:tabs>
          <w:tab w:leader="none" w:pos="74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22860</wp:posOffset>
            </wp:positionV>
            <wp:extent cx="37985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3798570" cy="8255"/>
                    </a:xfrm>
                    <a:prstGeom prst="rect">
                      <a:avLst/>
                    </a:prstGeom>
                    <a:noFill/>
                  </pic:spPr>
                </pic:pic>
              </a:graphicData>
            </a:graphic>
          </wp:anchor>
        </w:drawing>
      </w:r>
    </w:p>
    <w:p>
      <w:pPr>
        <w:spacing w:after="0" w:line="28" w:lineRule="exact"/>
        <w:rPr>
          <w:sz w:val="20"/>
          <w:szCs w:val="20"/>
          <w:color w:val="auto"/>
        </w:rPr>
      </w:pPr>
    </w:p>
    <w:p>
      <w:pPr>
        <w:jc w:val="center"/>
        <w:ind w:left="5120"/>
        <w:spacing w:after="0"/>
        <w:rPr>
          <w:sz w:val="20"/>
          <w:szCs w:val="20"/>
          <w:color w:val="auto"/>
        </w:rPr>
      </w:pPr>
      <w:r>
        <w:rPr>
          <w:rFonts w:ascii="Arial" w:cs="Arial" w:eastAsia="Arial" w:hAnsi="Arial"/>
          <w:sz w:val="17"/>
          <w:szCs w:val="17"/>
          <w:color w:val="auto"/>
        </w:rPr>
        <w:t>Eric M. DeMarco</w:t>
      </w:r>
    </w:p>
    <w:p>
      <w:pPr>
        <w:jc w:val="center"/>
        <w:ind w:left="5120"/>
        <w:spacing w:after="0" w:line="237" w:lineRule="auto"/>
        <w:rPr>
          <w:sz w:val="20"/>
          <w:szCs w:val="20"/>
          <w:color w:val="auto"/>
        </w:rPr>
      </w:pPr>
      <w:r>
        <w:rPr>
          <w:rFonts w:ascii="Arial" w:cs="Arial" w:eastAsia="Arial" w:hAnsi="Arial"/>
          <w:sz w:val="17"/>
          <w:szCs w:val="17"/>
          <w:i w:val="1"/>
          <w:iCs w:val="1"/>
          <w:color w:val="auto"/>
        </w:rPr>
        <w:t>President and Chief Executive Officer (Principal</w:t>
      </w:r>
    </w:p>
    <w:p>
      <w:pPr>
        <w:ind w:left="7560"/>
        <w:spacing w:after="0"/>
        <w:rPr>
          <w:sz w:val="20"/>
          <w:szCs w:val="20"/>
          <w:color w:val="auto"/>
        </w:rPr>
      </w:pPr>
      <w:r>
        <w:rPr>
          <w:rFonts w:ascii="Arial" w:cs="Arial" w:eastAsia="Arial" w:hAnsi="Arial"/>
          <w:sz w:val="17"/>
          <w:szCs w:val="17"/>
          <w:i w:val="1"/>
          <w:iCs w:val="1"/>
          <w:color w:val="auto"/>
        </w:rPr>
        <w:t>Executive Officer)</w:t>
      </w:r>
    </w:p>
    <w:p>
      <w:pPr>
        <w:spacing w:after="0" w:line="216" w:lineRule="exact"/>
        <w:rPr>
          <w:sz w:val="20"/>
          <w:szCs w:val="20"/>
          <w:color w:val="auto"/>
        </w:rPr>
      </w:pPr>
    </w:p>
    <w:p>
      <w:pPr>
        <w:ind w:right="740"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40"/>
          </w:cols>
          <w:pgMar w:left="320" w:top="85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4"/>
          <w:szCs w:val="14"/>
          <w:color w:val="auto"/>
        </w:rPr>
        <w:t>Signature</w:t>
      </w:r>
    </w:p>
    <w:p>
      <w:pPr>
        <w:spacing w:after="0" w:line="282" w:lineRule="exact"/>
        <w:rPr>
          <w:sz w:val="20"/>
          <w:szCs w:val="20"/>
          <w:color w:val="auto"/>
        </w:rPr>
      </w:pPr>
    </w:p>
    <w:p>
      <w:pPr>
        <w:jc w:val="center"/>
        <w:ind w:left="1940"/>
        <w:spacing w:after="0"/>
        <w:rPr>
          <w:sz w:val="20"/>
          <w:szCs w:val="20"/>
          <w:color w:val="auto"/>
        </w:rPr>
      </w:pPr>
      <w:r>
        <w:rPr>
          <w:rFonts w:ascii="Arial" w:cs="Arial" w:eastAsia="Arial" w:hAnsi="Arial"/>
          <w:sz w:val="17"/>
          <w:szCs w:val="17"/>
          <w:u w:val="single" w:color="auto"/>
          <w:color w:val="auto"/>
        </w:rPr>
        <w:t>/s/ Eric M. DeMarco</w:t>
      </w:r>
    </w:p>
    <w:p>
      <w:pPr>
        <w:jc w:val="center"/>
        <w:ind w:left="1940"/>
        <w:spacing w:after="0"/>
        <w:rPr>
          <w:sz w:val="20"/>
          <w:szCs w:val="20"/>
          <w:color w:val="auto"/>
        </w:rPr>
      </w:pPr>
      <w:r>
        <w:rPr>
          <w:rFonts w:ascii="Arial" w:cs="Arial" w:eastAsia="Arial" w:hAnsi="Arial"/>
          <w:sz w:val="17"/>
          <w:szCs w:val="17"/>
          <w:color w:val="auto"/>
        </w:rPr>
        <w:t>Eric M. DeMarco</w:t>
      </w:r>
    </w:p>
    <w:p>
      <w:pPr>
        <w:spacing w:after="0" w:line="292" w:lineRule="exact"/>
        <w:rPr>
          <w:sz w:val="20"/>
          <w:szCs w:val="20"/>
          <w:color w:val="auto"/>
        </w:rPr>
      </w:pPr>
    </w:p>
    <w:p>
      <w:pPr>
        <w:jc w:val="center"/>
        <w:ind w:left="1940"/>
        <w:spacing w:after="0"/>
        <w:rPr>
          <w:sz w:val="20"/>
          <w:szCs w:val="20"/>
          <w:color w:val="auto"/>
        </w:rPr>
      </w:pPr>
      <w:r>
        <w:rPr>
          <w:rFonts w:ascii="Arial" w:cs="Arial" w:eastAsia="Arial" w:hAnsi="Arial"/>
          <w:sz w:val="17"/>
          <w:szCs w:val="17"/>
          <w:u w:val="single" w:color="auto"/>
          <w:color w:val="auto"/>
        </w:rPr>
        <w:t>/s/ Deanna H. Lund</w:t>
      </w:r>
    </w:p>
    <w:p>
      <w:pPr>
        <w:jc w:val="center"/>
        <w:ind w:left="1940"/>
        <w:spacing w:after="0"/>
        <w:rPr>
          <w:sz w:val="20"/>
          <w:szCs w:val="20"/>
          <w:color w:val="auto"/>
        </w:rPr>
      </w:pPr>
      <w:r>
        <w:rPr>
          <w:rFonts w:ascii="Arial" w:cs="Arial" w:eastAsia="Arial" w:hAnsi="Arial"/>
          <w:sz w:val="17"/>
          <w:szCs w:val="17"/>
          <w:color w:val="auto"/>
        </w:rPr>
        <w:t>Deanna H. Lund</w:t>
      </w:r>
    </w:p>
    <w:p>
      <w:pPr>
        <w:spacing w:after="0" w:line="293" w:lineRule="exact"/>
        <w:rPr>
          <w:sz w:val="20"/>
          <w:szCs w:val="20"/>
          <w:color w:val="auto"/>
        </w:rPr>
      </w:pPr>
    </w:p>
    <w:p>
      <w:pPr>
        <w:jc w:val="center"/>
        <w:ind w:left="1940"/>
        <w:spacing w:after="0"/>
        <w:rPr>
          <w:sz w:val="20"/>
          <w:szCs w:val="20"/>
          <w:color w:val="auto"/>
        </w:rPr>
      </w:pPr>
      <w:r>
        <w:rPr>
          <w:rFonts w:ascii="Arial" w:cs="Arial" w:eastAsia="Arial" w:hAnsi="Arial"/>
          <w:sz w:val="15"/>
          <w:szCs w:val="15"/>
          <w:u w:val="single" w:color="auto"/>
          <w:color w:val="auto"/>
        </w:rPr>
        <w:t>/s/ Maria Cervantes de Burgreen</w:t>
      </w:r>
    </w:p>
    <w:p>
      <w:pPr>
        <w:spacing w:after="0" w:line="22" w:lineRule="exact"/>
        <w:rPr>
          <w:sz w:val="20"/>
          <w:szCs w:val="20"/>
          <w:color w:val="auto"/>
        </w:rPr>
      </w:pPr>
    </w:p>
    <w:p>
      <w:pPr>
        <w:jc w:val="center"/>
        <w:ind w:left="1940"/>
        <w:spacing w:after="0"/>
        <w:rPr>
          <w:sz w:val="20"/>
          <w:szCs w:val="20"/>
          <w:color w:val="auto"/>
        </w:rPr>
      </w:pPr>
      <w:r>
        <w:rPr>
          <w:rFonts w:ascii="Arial" w:cs="Arial" w:eastAsia="Arial" w:hAnsi="Arial"/>
          <w:sz w:val="17"/>
          <w:szCs w:val="17"/>
          <w:color w:val="auto"/>
        </w:rPr>
        <w:t>Maria Cervantes de Burgreen</w:t>
      </w:r>
    </w:p>
    <w:p>
      <w:pPr>
        <w:spacing w:after="0" w:line="292" w:lineRule="exact"/>
        <w:rPr>
          <w:sz w:val="20"/>
          <w:szCs w:val="20"/>
          <w:color w:val="auto"/>
        </w:rPr>
      </w:pPr>
    </w:p>
    <w:p>
      <w:pPr>
        <w:jc w:val="center"/>
        <w:ind w:left="1940"/>
        <w:spacing w:after="0"/>
        <w:rPr>
          <w:sz w:val="20"/>
          <w:szCs w:val="20"/>
          <w:color w:val="auto"/>
        </w:rPr>
      </w:pPr>
      <w:r>
        <w:rPr>
          <w:rFonts w:ascii="Arial" w:cs="Arial" w:eastAsia="Arial" w:hAnsi="Arial"/>
          <w:sz w:val="17"/>
          <w:szCs w:val="17"/>
          <w:u w:val="single" w:color="auto"/>
          <w:color w:val="auto"/>
        </w:rPr>
        <w:t>/s/ Scott Anderson</w:t>
      </w:r>
    </w:p>
    <w:p>
      <w:pPr>
        <w:jc w:val="center"/>
        <w:ind w:left="1940"/>
        <w:spacing w:after="0"/>
        <w:rPr>
          <w:sz w:val="20"/>
          <w:szCs w:val="20"/>
          <w:color w:val="auto"/>
        </w:rPr>
      </w:pPr>
      <w:r>
        <w:rPr>
          <w:rFonts w:ascii="Arial" w:cs="Arial" w:eastAsia="Arial" w:hAnsi="Arial"/>
          <w:sz w:val="17"/>
          <w:szCs w:val="17"/>
          <w:color w:val="auto"/>
        </w:rPr>
        <w:t>Scott Anderson</w:t>
      </w:r>
    </w:p>
    <w:p>
      <w:pPr>
        <w:spacing w:after="0" w:line="292" w:lineRule="exact"/>
        <w:rPr>
          <w:sz w:val="20"/>
          <w:szCs w:val="20"/>
          <w:color w:val="auto"/>
        </w:rPr>
      </w:pPr>
    </w:p>
    <w:p>
      <w:pPr>
        <w:jc w:val="center"/>
        <w:ind w:left="1940"/>
        <w:spacing w:after="0"/>
        <w:rPr>
          <w:sz w:val="20"/>
          <w:szCs w:val="20"/>
          <w:color w:val="auto"/>
        </w:rPr>
      </w:pPr>
      <w:r>
        <w:rPr>
          <w:rFonts w:ascii="Arial" w:cs="Arial" w:eastAsia="Arial" w:hAnsi="Arial"/>
          <w:sz w:val="17"/>
          <w:szCs w:val="17"/>
          <w:u w:val="single" w:color="auto"/>
          <w:color w:val="auto"/>
        </w:rPr>
        <w:t>/s/ William Hoglund</w:t>
      </w:r>
    </w:p>
    <w:p>
      <w:pPr>
        <w:jc w:val="center"/>
        <w:ind w:left="1940"/>
        <w:spacing w:after="0"/>
        <w:rPr>
          <w:sz w:val="20"/>
          <w:szCs w:val="20"/>
          <w:color w:val="auto"/>
        </w:rPr>
      </w:pPr>
      <w:r>
        <w:rPr>
          <w:rFonts w:ascii="Arial" w:cs="Arial" w:eastAsia="Arial" w:hAnsi="Arial"/>
          <w:sz w:val="17"/>
          <w:szCs w:val="17"/>
          <w:color w:val="auto"/>
        </w:rPr>
        <w:t>William Hoglund</w:t>
      </w:r>
    </w:p>
    <w:p>
      <w:pPr>
        <w:spacing w:after="0" w:line="292" w:lineRule="exact"/>
        <w:rPr>
          <w:sz w:val="20"/>
          <w:szCs w:val="20"/>
          <w:color w:val="auto"/>
        </w:rPr>
      </w:pPr>
    </w:p>
    <w:p>
      <w:pPr>
        <w:jc w:val="center"/>
        <w:ind w:left="1940"/>
        <w:spacing w:after="0"/>
        <w:rPr>
          <w:sz w:val="20"/>
          <w:szCs w:val="20"/>
          <w:color w:val="auto"/>
        </w:rPr>
      </w:pPr>
      <w:r>
        <w:rPr>
          <w:rFonts w:ascii="Arial" w:cs="Arial" w:eastAsia="Arial" w:hAnsi="Arial"/>
          <w:sz w:val="17"/>
          <w:szCs w:val="17"/>
          <w:u w:val="single" w:color="auto"/>
          <w:color w:val="auto"/>
        </w:rPr>
        <w:t>/s/ Scot Jarvis</w:t>
      </w:r>
    </w:p>
    <w:p>
      <w:pPr>
        <w:jc w:val="center"/>
        <w:ind w:left="1940"/>
        <w:spacing w:after="0"/>
        <w:rPr>
          <w:sz w:val="20"/>
          <w:szCs w:val="20"/>
          <w:color w:val="auto"/>
        </w:rPr>
      </w:pPr>
      <w:r>
        <w:rPr>
          <w:rFonts w:ascii="Arial" w:cs="Arial" w:eastAsia="Arial" w:hAnsi="Arial"/>
          <w:sz w:val="17"/>
          <w:szCs w:val="17"/>
          <w:color w:val="auto"/>
        </w:rPr>
        <w:t>Scot Jarvis</w:t>
      </w:r>
    </w:p>
    <w:p>
      <w:pPr>
        <w:spacing w:after="0" w:line="292" w:lineRule="exact"/>
        <w:rPr>
          <w:sz w:val="20"/>
          <w:szCs w:val="20"/>
          <w:color w:val="auto"/>
        </w:rPr>
      </w:pPr>
    </w:p>
    <w:p>
      <w:pPr>
        <w:jc w:val="center"/>
        <w:ind w:left="1940"/>
        <w:spacing w:after="0"/>
        <w:rPr>
          <w:sz w:val="20"/>
          <w:szCs w:val="20"/>
          <w:color w:val="auto"/>
        </w:rPr>
      </w:pPr>
      <w:r>
        <w:rPr>
          <w:rFonts w:ascii="Arial" w:cs="Arial" w:eastAsia="Arial" w:hAnsi="Arial"/>
          <w:sz w:val="17"/>
          <w:szCs w:val="17"/>
          <w:u w:val="single" w:color="auto"/>
          <w:color w:val="auto"/>
        </w:rPr>
        <w:t>/s/ Jane E. Judd</w:t>
      </w:r>
    </w:p>
    <w:p>
      <w:pPr>
        <w:jc w:val="center"/>
        <w:ind w:left="1940"/>
        <w:spacing w:after="0"/>
        <w:rPr>
          <w:sz w:val="20"/>
          <w:szCs w:val="20"/>
          <w:color w:val="auto"/>
        </w:rPr>
      </w:pPr>
      <w:r>
        <w:rPr>
          <w:rFonts w:ascii="Arial" w:cs="Arial" w:eastAsia="Arial" w:hAnsi="Arial"/>
          <w:sz w:val="17"/>
          <w:szCs w:val="17"/>
          <w:color w:val="auto"/>
        </w:rPr>
        <w:t>Jane E. Judd</w:t>
      </w:r>
    </w:p>
    <w:p>
      <w:pPr>
        <w:spacing w:after="0" w:line="292" w:lineRule="exact"/>
        <w:rPr>
          <w:sz w:val="20"/>
          <w:szCs w:val="20"/>
          <w:color w:val="auto"/>
        </w:rPr>
      </w:pPr>
    </w:p>
    <w:p>
      <w:pPr>
        <w:jc w:val="center"/>
        <w:ind w:left="1940"/>
        <w:spacing w:after="0"/>
        <w:rPr>
          <w:sz w:val="20"/>
          <w:szCs w:val="20"/>
          <w:color w:val="auto"/>
        </w:rPr>
      </w:pPr>
      <w:r>
        <w:rPr>
          <w:rFonts w:ascii="Arial" w:cs="Arial" w:eastAsia="Arial" w:hAnsi="Arial"/>
          <w:sz w:val="17"/>
          <w:szCs w:val="17"/>
          <w:u w:val="single" w:color="auto"/>
          <w:color w:val="auto"/>
        </w:rPr>
        <w:t>/s/ Sam Liberatore</w:t>
      </w:r>
    </w:p>
    <w:p>
      <w:pPr>
        <w:jc w:val="center"/>
        <w:ind w:left="1940"/>
        <w:spacing w:after="0"/>
        <w:rPr>
          <w:sz w:val="20"/>
          <w:szCs w:val="20"/>
          <w:color w:val="auto"/>
        </w:rPr>
      </w:pPr>
      <w:r>
        <w:rPr>
          <w:rFonts w:ascii="Arial" w:cs="Arial" w:eastAsia="Arial" w:hAnsi="Arial"/>
          <w:sz w:val="17"/>
          <w:szCs w:val="17"/>
          <w:color w:val="auto"/>
        </w:rPr>
        <w:t>Sam Liberatore</w:t>
      </w:r>
    </w:p>
    <w:p>
      <w:pPr>
        <w:spacing w:after="0" w:line="279" w:lineRule="exact"/>
        <w:rPr>
          <w:sz w:val="20"/>
          <w:szCs w:val="20"/>
          <w:color w:val="auto"/>
        </w:rPr>
      </w:pPr>
    </w:p>
    <w:p>
      <w:pPr>
        <w:jc w:val="center"/>
        <w:ind w:left="1940"/>
        <w:spacing w:after="0"/>
        <w:rPr>
          <w:sz w:val="20"/>
          <w:szCs w:val="20"/>
          <w:color w:val="auto"/>
        </w:rPr>
      </w:pPr>
      <w:r>
        <w:rPr>
          <w:rFonts w:ascii="Arial" w:cs="Arial" w:eastAsia="Arial" w:hAnsi="Arial"/>
          <w:sz w:val="17"/>
          <w:szCs w:val="17"/>
          <w:u w:val="single" w:color="auto"/>
          <w:color w:val="auto"/>
        </w:rPr>
        <w:t>/s/ Amy Zegart</w:t>
      </w:r>
    </w:p>
    <w:p>
      <w:pPr>
        <w:jc w:val="center"/>
        <w:ind w:left="1940"/>
        <w:spacing w:after="0"/>
        <w:rPr>
          <w:sz w:val="20"/>
          <w:szCs w:val="20"/>
          <w:color w:val="auto"/>
        </w:rPr>
      </w:pPr>
      <w:r>
        <w:rPr>
          <w:rFonts w:ascii="Arial" w:cs="Arial" w:eastAsia="Arial" w:hAnsi="Arial"/>
          <w:sz w:val="17"/>
          <w:szCs w:val="17"/>
          <w:color w:val="auto"/>
        </w:rPr>
        <w:t>Amy Zegart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60"/>
        <w:spacing w:after="0"/>
        <w:rPr>
          <w:sz w:val="20"/>
          <w:szCs w:val="20"/>
          <w:color w:val="auto"/>
        </w:rPr>
      </w:pPr>
      <w:r>
        <w:rPr>
          <w:rFonts w:ascii="Arial" w:cs="Arial" w:eastAsia="Arial" w:hAnsi="Arial"/>
          <w:sz w:val="14"/>
          <w:szCs w:val="14"/>
          <w:color w:val="auto"/>
        </w:rPr>
        <w:t>Title</w:t>
      </w:r>
    </w:p>
    <w:p>
      <w:pPr>
        <w:spacing w:after="0" w:line="296" w:lineRule="exact"/>
        <w:rPr>
          <w:sz w:val="20"/>
          <w:szCs w:val="20"/>
          <w:color w:val="auto"/>
        </w:rPr>
      </w:pPr>
    </w:p>
    <w:p>
      <w:pPr>
        <w:ind w:right="680" w:firstLine="619"/>
        <w:spacing w:after="0" w:line="236" w:lineRule="auto"/>
        <w:rPr>
          <w:sz w:val="20"/>
          <w:szCs w:val="20"/>
          <w:color w:val="auto"/>
        </w:rPr>
      </w:pPr>
      <w:r>
        <w:rPr>
          <w:rFonts w:ascii="Arial" w:cs="Arial" w:eastAsia="Arial" w:hAnsi="Arial"/>
          <w:sz w:val="17"/>
          <w:szCs w:val="17"/>
          <w:color w:val="auto"/>
        </w:rPr>
        <w:t>President, Chief Executive Officer and Director (Principal Executive Officer)</w:t>
      </w:r>
    </w:p>
    <w:p>
      <w:pPr>
        <w:spacing w:after="0" w:line="299" w:lineRule="exact"/>
        <w:rPr>
          <w:sz w:val="20"/>
          <w:szCs w:val="20"/>
          <w:color w:val="auto"/>
        </w:rPr>
      </w:pPr>
    </w:p>
    <w:p>
      <w:pPr>
        <w:ind w:right="260" w:firstLine="619"/>
        <w:spacing w:after="0" w:line="236" w:lineRule="auto"/>
        <w:rPr>
          <w:sz w:val="20"/>
          <w:szCs w:val="20"/>
          <w:color w:val="auto"/>
        </w:rPr>
      </w:pPr>
      <w:r>
        <w:rPr>
          <w:rFonts w:ascii="Arial" w:cs="Arial" w:eastAsia="Arial" w:hAnsi="Arial"/>
          <w:sz w:val="17"/>
          <w:szCs w:val="17"/>
          <w:color w:val="auto"/>
        </w:rPr>
        <w:t>Executive Vice President, Chief Financial Officer and Director (Principal Financial Officer)</w:t>
      </w:r>
    </w:p>
    <w:p>
      <w:pPr>
        <w:spacing w:after="0" w:line="299" w:lineRule="exact"/>
        <w:rPr>
          <w:sz w:val="20"/>
          <w:szCs w:val="20"/>
          <w:color w:val="auto"/>
        </w:rPr>
      </w:pPr>
    </w:p>
    <w:p>
      <w:pPr>
        <w:ind w:right="1200" w:firstLine="619"/>
        <w:spacing w:after="0" w:line="236" w:lineRule="auto"/>
        <w:rPr>
          <w:sz w:val="20"/>
          <w:szCs w:val="20"/>
          <w:color w:val="auto"/>
        </w:rPr>
      </w:pPr>
      <w:r>
        <w:rPr>
          <w:rFonts w:ascii="Arial" w:cs="Arial" w:eastAsia="Arial" w:hAnsi="Arial"/>
          <w:sz w:val="17"/>
          <w:szCs w:val="17"/>
          <w:color w:val="auto"/>
        </w:rPr>
        <w:t>Vice President and Corporate Controller (Principal Accounting Officer)</w:t>
      </w:r>
    </w:p>
    <w:p>
      <w:pPr>
        <w:spacing w:after="0" w:line="3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Date</w:t>
      </w:r>
    </w:p>
    <w:p>
      <w:pPr>
        <w:spacing w:after="0" w:line="386" w:lineRule="exact"/>
        <w:rPr>
          <w:sz w:val="20"/>
          <w:szCs w:val="20"/>
          <w:color w:val="auto"/>
        </w:rPr>
      </w:pPr>
    </w:p>
    <w:p>
      <w:pPr>
        <w:spacing w:after="0"/>
        <w:rPr>
          <w:sz w:val="20"/>
          <w:szCs w:val="20"/>
          <w:color w:val="auto"/>
        </w:rPr>
      </w:pPr>
      <w:r>
        <w:rPr>
          <w:rFonts w:ascii="Arial" w:cs="Arial" w:eastAsia="Arial" w:hAnsi="Arial"/>
          <w:sz w:val="15"/>
          <w:szCs w:val="15"/>
          <w:color w:val="auto"/>
        </w:rPr>
        <w:t>February 22,</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February 22,</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February 22,</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February 22,</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February 22,</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February 22,</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February 22,</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February 22,</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color w:val="auto"/>
        </w:rPr>
        <w:t>February 22,</w:t>
      </w:r>
    </w:p>
    <w:p>
      <w:pPr>
        <w:spacing w:after="0" w:line="327" w:lineRule="exact"/>
        <w:rPr>
          <w:sz w:val="20"/>
          <w:szCs w:val="20"/>
          <w:color w:val="auto"/>
        </w:rPr>
      </w:pPr>
    </w:p>
    <w:p>
      <w:pPr>
        <w:sectPr>
          <w:pgSz w:w="11900" w:h="16838" w:orient="portrait"/>
          <w:cols w:equalWidth="0" w:num="3">
            <w:col w:w="4460" w:space="720"/>
            <w:col w:w="4580" w:space="720"/>
            <w:col w:w="860"/>
          </w:cols>
          <w:pgMar w:left="320" w:top="85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6" w:right="2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KRATOS DEFENSE &amp; SECURITY SOLUTIONS, INC.</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920" w:type="dxa"/>
            <w:vAlign w:val="bottom"/>
            <w:gridSpan w:val="8"/>
          </w:tcPr>
          <w:p>
            <w:pPr>
              <w:spacing w:after="0"/>
              <w:rPr>
                <w:rFonts w:ascii="Arial" w:cs="Arial" w:eastAsia="Arial" w:hAnsi="Arial"/>
                <w:sz w:val="17"/>
                <w:szCs w:val="17"/>
                <w:color w:val="0000FF"/>
              </w:rPr>
            </w:pPr>
            <w:hyperlink w:anchor="page68">
              <w:r>
                <w:rPr>
                  <w:rFonts w:ascii="Arial" w:cs="Arial" w:eastAsia="Arial" w:hAnsi="Arial"/>
                  <w:sz w:val="17"/>
                  <w:szCs w:val="17"/>
                  <w:color w:val="0000FF"/>
                </w:rPr>
                <w:t xml:space="preserve">Report of Independent Registered Public Accounting Firm </w:t>
              </w:r>
            </w:hyperlink>
            <w:r>
              <w:rPr>
                <w:rFonts w:ascii="Arial" w:cs="Arial" w:eastAsia="Arial" w:hAnsi="Arial"/>
                <w:sz w:val="17"/>
                <w:szCs w:val="17"/>
                <w:b w:val="1"/>
                <w:bCs w:val="1"/>
                <w:color w:val="000000"/>
              </w:rPr>
              <w:t>(PCAOB</w:t>
            </w:r>
            <w:r>
              <w:rPr>
                <w:rFonts w:ascii="Arial" w:cs="Arial" w:eastAsia="Arial" w:hAnsi="Arial"/>
                <w:sz w:val="17"/>
                <w:szCs w:val="17"/>
                <w:color w:val="0000FF"/>
              </w:rPr>
              <w:t xml:space="preserve"> </w:t>
            </w:r>
            <w:r>
              <w:rPr>
                <w:rFonts w:ascii="Arial" w:cs="Arial" w:eastAsia="Arial" w:hAnsi="Arial"/>
                <w:sz w:val="17"/>
                <w:szCs w:val="17"/>
                <w:b w:val="1"/>
                <w:bCs w:val="1"/>
                <w:color w:val="000000"/>
              </w:rPr>
              <w:t>ID No. 34)</w:t>
            </w:r>
          </w:p>
        </w:tc>
        <w:tc>
          <w:tcPr>
            <w:tcW w:w="240" w:type="dxa"/>
            <w:vAlign w:val="bottom"/>
          </w:tcPr>
          <w:p>
            <w:pPr>
              <w:ind w:left="20"/>
              <w:spacing w:after="0"/>
              <w:rPr>
                <w:rFonts w:ascii="Arial" w:cs="Arial" w:eastAsia="Arial" w:hAnsi="Arial"/>
                <w:sz w:val="17"/>
                <w:szCs w:val="17"/>
                <w:color w:val="0000FF"/>
                <w:w w:val="78"/>
              </w:rPr>
            </w:pPr>
            <w:r>
              <w:rPr>
                <w:rFonts w:ascii="Arial" w:cs="Arial" w:eastAsia="Arial" w:hAnsi="Arial"/>
                <w:sz w:val="17"/>
                <w:szCs w:val="17"/>
                <w:color w:val="0000FF"/>
                <w:w w:val="78"/>
              </w:rPr>
              <w:t>F-</w:t>
            </w:r>
            <w:hyperlink w:anchor="page68">
              <w:r>
                <w:rPr>
                  <w:rFonts w:ascii="Arial" w:cs="Arial" w:eastAsia="Arial" w:hAnsi="Arial"/>
                  <w:sz w:val="17"/>
                  <w:szCs w:val="17"/>
                  <w:color w:val="0000FF"/>
                  <w:w w:val="78"/>
                </w:rPr>
                <w:t>2</w:t>
              </w:r>
            </w:hyperlink>
          </w:p>
        </w:tc>
      </w:tr>
      <w:tr>
        <w:trPr>
          <w:trHeight w:val="20"/>
        </w:trPr>
        <w:tc>
          <w:tcPr>
            <w:tcW w:w="30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199"/>
        </w:trPr>
        <w:tc>
          <w:tcPr>
            <w:tcW w:w="8640" w:type="dxa"/>
            <w:vAlign w:val="bottom"/>
            <w:tcBorders>
              <w:bottom w:val="single" w:sz="8" w:color="0000FF"/>
            </w:tcBorders>
            <w:gridSpan w:val="4"/>
          </w:tcPr>
          <w:p>
            <w:pPr>
              <w:spacing w:after="0"/>
              <w:rPr>
                <w:rFonts w:ascii="Arial" w:cs="Arial" w:eastAsia="Arial" w:hAnsi="Arial"/>
                <w:sz w:val="17"/>
                <w:szCs w:val="17"/>
                <w:color w:val="0000FF"/>
              </w:rPr>
            </w:pPr>
            <w:hyperlink w:anchor="page70">
              <w:r>
                <w:rPr>
                  <w:rFonts w:ascii="Arial" w:cs="Arial" w:eastAsia="Arial" w:hAnsi="Arial"/>
                  <w:sz w:val="17"/>
                  <w:szCs w:val="17"/>
                  <w:color w:val="0000FF"/>
                </w:rPr>
                <w:t xml:space="preserve">Consolidated Balance Sheets as of December </w:t>
              </w:r>
            </w:hyperlink>
            <w:r>
              <w:rPr>
                <w:rFonts w:ascii="Arial" w:cs="Arial" w:eastAsia="Arial" w:hAnsi="Arial"/>
                <w:sz w:val="17"/>
                <w:szCs w:val="17"/>
                <w:color w:val="0000FF"/>
              </w:rPr>
              <w:t xml:space="preserve">26, </w:t>
            </w:r>
            <w:hyperlink w:anchor="page70">
              <w:r>
                <w:rPr>
                  <w:rFonts w:ascii="Arial" w:cs="Arial" w:eastAsia="Arial" w:hAnsi="Arial"/>
                  <w:sz w:val="17"/>
                  <w:szCs w:val="17"/>
                  <w:color w:val="0000FF"/>
                </w:rPr>
                <w:t xml:space="preserve">2021 and December </w:t>
              </w:r>
            </w:hyperlink>
            <w:r>
              <w:rPr>
                <w:rFonts w:ascii="Arial" w:cs="Arial" w:eastAsia="Arial" w:hAnsi="Arial"/>
                <w:sz w:val="17"/>
                <w:szCs w:val="17"/>
                <w:color w:val="0000FF"/>
              </w:rPr>
              <w:t>27, 2020</w:t>
            </w:r>
          </w:p>
        </w:tc>
        <w:tc>
          <w:tcPr>
            <w:tcW w:w="2280" w:type="dxa"/>
            <w:vAlign w:val="bottom"/>
            <w:gridSpan w:val="4"/>
          </w:tcPr>
          <w:p>
            <w:pPr>
              <w:spacing w:after="0"/>
              <w:rPr>
                <w:sz w:val="17"/>
                <w:szCs w:val="17"/>
                <w:color w:val="auto"/>
              </w:rPr>
            </w:pPr>
          </w:p>
        </w:tc>
        <w:tc>
          <w:tcPr>
            <w:tcW w:w="240" w:type="dxa"/>
            <w:vAlign w:val="bottom"/>
            <w:tcBorders>
              <w:bottom w:val="single" w:sz="8" w:color="0000FF"/>
            </w:tcBorders>
          </w:tcPr>
          <w:p>
            <w:pPr>
              <w:ind w:left="20"/>
              <w:spacing w:after="0"/>
              <w:rPr>
                <w:rFonts w:ascii="Arial" w:cs="Arial" w:eastAsia="Arial" w:hAnsi="Arial"/>
                <w:sz w:val="17"/>
                <w:szCs w:val="17"/>
                <w:color w:val="0000FF"/>
                <w:w w:val="78"/>
              </w:rPr>
            </w:pPr>
            <w:r>
              <w:rPr>
                <w:rFonts w:ascii="Arial" w:cs="Arial" w:eastAsia="Arial" w:hAnsi="Arial"/>
                <w:sz w:val="17"/>
                <w:szCs w:val="17"/>
                <w:color w:val="0000FF"/>
                <w:w w:val="78"/>
              </w:rPr>
              <w:t>F-</w:t>
            </w:r>
            <w:hyperlink w:anchor="page70">
              <w:r>
                <w:rPr>
                  <w:rFonts w:ascii="Arial" w:cs="Arial" w:eastAsia="Arial" w:hAnsi="Arial"/>
                  <w:sz w:val="17"/>
                  <w:szCs w:val="17"/>
                  <w:color w:val="0000FF"/>
                  <w:w w:val="78"/>
                </w:rPr>
                <w:t>4</w:t>
              </w:r>
            </w:hyperlink>
          </w:p>
        </w:tc>
      </w:tr>
      <w:tr>
        <w:trPr>
          <w:trHeight w:val="199"/>
        </w:trPr>
        <w:tc>
          <w:tcPr>
            <w:tcW w:w="8700" w:type="dxa"/>
            <w:vAlign w:val="bottom"/>
            <w:tcBorders>
              <w:bottom w:val="single" w:sz="8" w:color="0000FF"/>
            </w:tcBorders>
            <w:gridSpan w:val="5"/>
          </w:tcPr>
          <w:p>
            <w:pPr>
              <w:spacing w:after="0"/>
              <w:rPr>
                <w:rFonts w:ascii="Arial" w:cs="Arial" w:eastAsia="Arial" w:hAnsi="Arial"/>
                <w:sz w:val="17"/>
                <w:szCs w:val="17"/>
                <w:color w:val="0000FF"/>
                <w:w w:val="90"/>
              </w:rPr>
            </w:pPr>
            <w:hyperlink w:anchor="page71">
              <w:r>
                <w:rPr>
                  <w:rFonts w:ascii="Arial" w:cs="Arial" w:eastAsia="Arial" w:hAnsi="Arial"/>
                  <w:sz w:val="17"/>
                  <w:szCs w:val="17"/>
                  <w:color w:val="0000FF"/>
                  <w:w w:val="90"/>
                </w:rPr>
                <w:t xml:space="preserve">Consolidated Statements of Operations for the Years Ended December </w:t>
              </w:r>
            </w:hyperlink>
            <w:r>
              <w:rPr>
                <w:rFonts w:ascii="Arial" w:cs="Arial" w:eastAsia="Arial" w:hAnsi="Arial"/>
                <w:sz w:val="17"/>
                <w:szCs w:val="17"/>
                <w:color w:val="0000FF"/>
                <w:w w:val="90"/>
              </w:rPr>
              <w:t xml:space="preserve">26, 2021, </w:t>
            </w:r>
            <w:hyperlink w:anchor="page71">
              <w:r>
                <w:rPr>
                  <w:rFonts w:ascii="Arial" w:cs="Arial" w:eastAsia="Arial" w:hAnsi="Arial"/>
                  <w:sz w:val="17"/>
                  <w:szCs w:val="17"/>
                  <w:color w:val="0000FF"/>
                  <w:w w:val="90"/>
                </w:rPr>
                <w:t xml:space="preserve">December </w:t>
              </w:r>
            </w:hyperlink>
            <w:r>
              <w:rPr>
                <w:rFonts w:ascii="Arial" w:cs="Arial" w:eastAsia="Arial" w:hAnsi="Arial"/>
                <w:sz w:val="17"/>
                <w:szCs w:val="17"/>
                <w:color w:val="0000FF"/>
                <w:w w:val="90"/>
              </w:rPr>
              <w:t xml:space="preserve">27, 2020, </w:t>
            </w:r>
            <w:hyperlink w:anchor="page71">
              <w:r>
                <w:rPr>
                  <w:rFonts w:ascii="Arial" w:cs="Arial" w:eastAsia="Arial" w:hAnsi="Arial"/>
                  <w:sz w:val="17"/>
                  <w:szCs w:val="17"/>
                  <w:color w:val="0000FF"/>
                  <w:w w:val="90"/>
                </w:rPr>
                <w:t>and December 29, 2019</w:t>
              </w:r>
            </w:hyperlink>
          </w:p>
        </w:tc>
        <w:tc>
          <w:tcPr>
            <w:tcW w:w="2220" w:type="dxa"/>
            <w:vAlign w:val="bottom"/>
            <w:gridSpan w:val="3"/>
          </w:tcPr>
          <w:p>
            <w:pPr>
              <w:spacing w:after="0"/>
              <w:rPr>
                <w:sz w:val="17"/>
                <w:szCs w:val="17"/>
                <w:color w:val="auto"/>
              </w:rPr>
            </w:pPr>
          </w:p>
        </w:tc>
        <w:tc>
          <w:tcPr>
            <w:tcW w:w="240" w:type="dxa"/>
            <w:vAlign w:val="bottom"/>
            <w:tcBorders>
              <w:bottom w:val="single" w:sz="8" w:color="0000FF"/>
            </w:tcBorders>
          </w:tcPr>
          <w:p>
            <w:pPr>
              <w:ind w:left="20"/>
              <w:spacing w:after="0"/>
              <w:rPr>
                <w:rFonts w:ascii="Arial" w:cs="Arial" w:eastAsia="Arial" w:hAnsi="Arial"/>
                <w:sz w:val="17"/>
                <w:szCs w:val="17"/>
                <w:color w:val="0000FF"/>
                <w:w w:val="78"/>
              </w:rPr>
            </w:pPr>
            <w:r>
              <w:rPr>
                <w:rFonts w:ascii="Arial" w:cs="Arial" w:eastAsia="Arial" w:hAnsi="Arial"/>
                <w:sz w:val="17"/>
                <w:szCs w:val="17"/>
                <w:color w:val="0000FF"/>
                <w:w w:val="78"/>
              </w:rPr>
              <w:t>F-</w:t>
            </w:r>
            <w:hyperlink w:anchor="page71">
              <w:r>
                <w:rPr>
                  <w:rFonts w:ascii="Arial" w:cs="Arial" w:eastAsia="Arial" w:hAnsi="Arial"/>
                  <w:sz w:val="17"/>
                  <w:szCs w:val="17"/>
                  <w:color w:val="0000FF"/>
                  <w:w w:val="78"/>
                </w:rPr>
                <w:t>5</w:t>
              </w:r>
            </w:hyperlink>
          </w:p>
        </w:tc>
      </w:tr>
      <w:tr>
        <w:trPr>
          <w:trHeight w:val="199"/>
        </w:trPr>
        <w:tc>
          <w:tcPr>
            <w:tcW w:w="10020" w:type="dxa"/>
            <w:vAlign w:val="bottom"/>
            <w:tcBorders>
              <w:bottom w:val="single" w:sz="8" w:color="0000FF"/>
            </w:tcBorders>
            <w:gridSpan w:val="7"/>
          </w:tcPr>
          <w:p>
            <w:pPr>
              <w:spacing w:after="0"/>
              <w:rPr>
                <w:rFonts w:ascii="Arial" w:cs="Arial" w:eastAsia="Arial" w:hAnsi="Arial"/>
                <w:sz w:val="17"/>
                <w:szCs w:val="17"/>
                <w:color w:val="0000FF"/>
                <w:w w:val="90"/>
              </w:rPr>
            </w:pPr>
            <w:hyperlink w:anchor="page72">
              <w:r>
                <w:rPr>
                  <w:rFonts w:ascii="Arial" w:cs="Arial" w:eastAsia="Arial" w:hAnsi="Arial"/>
                  <w:sz w:val="17"/>
                  <w:szCs w:val="17"/>
                  <w:color w:val="0000FF"/>
                  <w:w w:val="90"/>
                </w:rPr>
                <w:t xml:space="preserve">Consolidated Statements of Comprehensive Income (Loss) for the Years Ended December </w:t>
              </w:r>
            </w:hyperlink>
            <w:r>
              <w:rPr>
                <w:rFonts w:ascii="Arial" w:cs="Arial" w:eastAsia="Arial" w:hAnsi="Arial"/>
                <w:sz w:val="17"/>
                <w:szCs w:val="17"/>
                <w:color w:val="0000FF"/>
                <w:w w:val="90"/>
              </w:rPr>
              <w:t xml:space="preserve">26, 2021, </w:t>
            </w:r>
            <w:hyperlink w:anchor="page72">
              <w:r>
                <w:rPr>
                  <w:rFonts w:ascii="Arial" w:cs="Arial" w:eastAsia="Arial" w:hAnsi="Arial"/>
                  <w:sz w:val="17"/>
                  <w:szCs w:val="17"/>
                  <w:color w:val="0000FF"/>
                  <w:w w:val="90"/>
                </w:rPr>
                <w:t xml:space="preserve">December </w:t>
              </w:r>
            </w:hyperlink>
            <w:r>
              <w:rPr>
                <w:rFonts w:ascii="Arial" w:cs="Arial" w:eastAsia="Arial" w:hAnsi="Arial"/>
                <w:sz w:val="17"/>
                <w:szCs w:val="17"/>
                <w:color w:val="0000FF"/>
                <w:w w:val="90"/>
              </w:rPr>
              <w:t xml:space="preserve">27, 2020, </w:t>
            </w:r>
            <w:hyperlink w:anchor="page72">
              <w:r>
                <w:rPr>
                  <w:rFonts w:ascii="Arial" w:cs="Arial" w:eastAsia="Arial" w:hAnsi="Arial"/>
                  <w:sz w:val="17"/>
                  <w:szCs w:val="17"/>
                  <w:color w:val="0000FF"/>
                  <w:w w:val="90"/>
                </w:rPr>
                <w:t>and December 29, 2019</w:t>
              </w:r>
            </w:hyperlink>
          </w:p>
        </w:tc>
        <w:tc>
          <w:tcPr>
            <w:tcW w:w="900" w:type="dxa"/>
            <w:vAlign w:val="bottom"/>
          </w:tcPr>
          <w:p>
            <w:pPr>
              <w:spacing w:after="0"/>
              <w:rPr>
                <w:sz w:val="17"/>
                <w:szCs w:val="17"/>
                <w:color w:val="auto"/>
              </w:rPr>
            </w:pPr>
          </w:p>
        </w:tc>
        <w:tc>
          <w:tcPr>
            <w:tcW w:w="240" w:type="dxa"/>
            <w:vAlign w:val="bottom"/>
            <w:tcBorders>
              <w:bottom w:val="single" w:sz="8" w:color="0000FF"/>
            </w:tcBorders>
          </w:tcPr>
          <w:p>
            <w:pPr>
              <w:ind w:left="20"/>
              <w:spacing w:after="0"/>
              <w:rPr>
                <w:rFonts w:ascii="Arial" w:cs="Arial" w:eastAsia="Arial" w:hAnsi="Arial"/>
                <w:sz w:val="17"/>
                <w:szCs w:val="17"/>
                <w:color w:val="0000FF"/>
                <w:w w:val="78"/>
              </w:rPr>
            </w:pPr>
            <w:r>
              <w:rPr>
                <w:rFonts w:ascii="Arial" w:cs="Arial" w:eastAsia="Arial" w:hAnsi="Arial"/>
                <w:sz w:val="17"/>
                <w:szCs w:val="17"/>
                <w:color w:val="0000FF"/>
                <w:w w:val="78"/>
              </w:rPr>
              <w:t>F-</w:t>
            </w:r>
            <w:hyperlink w:anchor="page72">
              <w:r>
                <w:rPr>
                  <w:rFonts w:ascii="Arial" w:cs="Arial" w:eastAsia="Arial" w:hAnsi="Arial"/>
                  <w:sz w:val="17"/>
                  <w:szCs w:val="17"/>
                  <w:color w:val="0000FF"/>
                  <w:w w:val="78"/>
                </w:rPr>
                <w:t>6</w:t>
              </w:r>
            </w:hyperlink>
          </w:p>
        </w:tc>
      </w:tr>
      <w:tr>
        <w:trPr>
          <w:trHeight w:val="199"/>
        </w:trPr>
        <w:tc>
          <w:tcPr>
            <w:tcW w:w="10920" w:type="dxa"/>
            <w:vAlign w:val="bottom"/>
            <w:gridSpan w:val="8"/>
          </w:tcPr>
          <w:p>
            <w:pPr>
              <w:spacing w:after="0"/>
              <w:rPr>
                <w:rFonts w:ascii="Arial" w:cs="Arial" w:eastAsia="Arial" w:hAnsi="Arial"/>
                <w:sz w:val="17"/>
                <w:szCs w:val="17"/>
                <w:color w:val="0000FF"/>
              </w:rPr>
            </w:pPr>
            <w:hyperlink w:anchor="page73">
              <w:r>
                <w:rPr>
                  <w:rFonts w:ascii="Arial" w:cs="Arial" w:eastAsia="Arial" w:hAnsi="Arial"/>
                  <w:sz w:val="17"/>
                  <w:szCs w:val="17"/>
                  <w:color w:val="0000FF"/>
                </w:rPr>
                <w:t xml:space="preserve">Consolidated Statements of Stockholders’ Equity for the Years Ended December </w:t>
              </w:r>
            </w:hyperlink>
            <w:r>
              <w:rPr>
                <w:rFonts w:ascii="Arial" w:cs="Arial" w:eastAsia="Arial" w:hAnsi="Arial"/>
                <w:sz w:val="17"/>
                <w:szCs w:val="17"/>
                <w:color w:val="0000FF"/>
              </w:rPr>
              <w:t xml:space="preserve">26, 2021, </w:t>
            </w:r>
            <w:hyperlink w:anchor="page73">
              <w:r>
                <w:rPr>
                  <w:rFonts w:ascii="Arial" w:cs="Arial" w:eastAsia="Arial" w:hAnsi="Arial"/>
                  <w:sz w:val="17"/>
                  <w:szCs w:val="17"/>
                  <w:color w:val="0000FF"/>
                </w:rPr>
                <w:t xml:space="preserve">December 27, </w:t>
              </w:r>
            </w:hyperlink>
            <w:r>
              <w:rPr>
                <w:rFonts w:ascii="Arial" w:cs="Arial" w:eastAsia="Arial" w:hAnsi="Arial"/>
                <w:sz w:val="17"/>
                <w:szCs w:val="17"/>
                <w:color w:val="0000FF"/>
              </w:rPr>
              <w:t xml:space="preserve">2020, </w:t>
            </w:r>
            <w:hyperlink w:anchor="page73">
              <w:r>
                <w:rPr>
                  <w:rFonts w:ascii="Arial" w:cs="Arial" w:eastAsia="Arial" w:hAnsi="Arial"/>
                  <w:sz w:val="17"/>
                  <w:szCs w:val="17"/>
                  <w:color w:val="0000FF"/>
                </w:rPr>
                <w:t>and December 29, 2019</w:t>
              </w:r>
            </w:hyperlink>
          </w:p>
        </w:tc>
        <w:tc>
          <w:tcPr>
            <w:tcW w:w="240" w:type="dxa"/>
            <w:vAlign w:val="bottom"/>
          </w:tcPr>
          <w:p>
            <w:pPr>
              <w:ind w:left="20"/>
              <w:spacing w:after="0"/>
              <w:rPr>
                <w:rFonts w:ascii="Arial" w:cs="Arial" w:eastAsia="Arial" w:hAnsi="Arial"/>
                <w:sz w:val="17"/>
                <w:szCs w:val="17"/>
                <w:color w:val="0000FF"/>
                <w:w w:val="78"/>
              </w:rPr>
            </w:pPr>
            <w:r>
              <w:rPr>
                <w:rFonts w:ascii="Arial" w:cs="Arial" w:eastAsia="Arial" w:hAnsi="Arial"/>
                <w:sz w:val="17"/>
                <w:szCs w:val="17"/>
                <w:color w:val="0000FF"/>
                <w:w w:val="78"/>
              </w:rPr>
              <w:t>F-</w:t>
            </w:r>
            <w:hyperlink w:anchor="page73">
              <w:r>
                <w:rPr>
                  <w:rFonts w:ascii="Arial" w:cs="Arial" w:eastAsia="Arial" w:hAnsi="Arial"/>
                  <w:sz w:val="17"/>
                  <w:szCs w:val="17"/>
                  <w:color w:val="0000FF"/>
                  <w:w w:val="78"/>
                </w:rPr>
                <w:t>7</w:t>
              </w:r>
            </w:hyperlink>
          </w:p>
        </w:tc>
      </w:tr>
      <w:tr>
        <w:trPr>
          <w:trHeight w:val="199"/>
        </w:trPr>
        <w:tc>
          <w:tcPr>
            <w:tcW w:w="8700" w:type="dxa"/>
            <w:vAlign w:val="bottom"/>
            <w:tcBorders>
              <w:top w:val="single" w:sz="8" w:color="0000FF"/>
              <w:bottom w:val="single" w:sz="8" w:color="0000FF"/>
            </w:tcBorders>
            <w:gridSpan w:val="5"/>
          </w:tcPr>
          <w:p>
            <w:pPr>
              <w:spacing w:after="0"/>
              <w:rPr>
                <w:rFonts w:ascii="Arial" w:cs="Arial" w:eastAsia="Arial" w:hAnsi="Arial"/>
                <w:sz w:val="17"/>
                <w:szCs w:val="17"/>
                <w:color w:val="0000FF"/>
                <w:w w:val="90"/>
              </w:rPr>
            </w:pPr>
            <w:hyperlink w:anchor="page74">
              <w:r>
                <w:rPr>
                  <w:rFonts w:ascii="Arial" w:cs="Arial" w:eastAsia="Arial" w:hAnsi="Arial"/>
                  <w:sz w:val="17"/>
                  <w:szCs w:val="17"/>
                  <w:color w:val="0000FF"/>
                  <w:w w:val="90"/>
                </w:rPr>
                <w:t xml:space="preserve">Consolidated Statements of Cash Flows for the Years Ended December </w:t>
              </w:r>
            </w:hyperlink>
            <w:r>
              <w:rPr>
                <w:rFonts w:ascii="Arial" w:cs="Arial" w:eastAsia="Arial" w:hAnsi="Arial"/>
                <w:sz w:val="17"/>
                <w:szCs w:val="17"/>
                <w:color w:val="0000FF"/>
                <w:w w:val="90"/>
              </w:rPr>
              <w:t xml:space="preserve">26, 2021, </w:t>
            </w:r>
            <w:hyperlink w:anchor="page74">
              <w:r>
                <w:rPr>
                  <w:rFonts w:ascii="Arial" w:cs="Arial" w:eastAsia="Arial" w:hAnsi="Arial"/>
                  <w:sz w:val="17"/>
                  <w:szCs w:val="17"/>
                  <w:color w:val="0000FF"/>
                  <w:w w:val="90"/>
                </w:rPr>
                <w:t xml:space="preserve">December </w:t>
              </w:r>
            </w:hyperlink>
            <w:r>
              <w:rPr>
                <w:rFonts w:ascii="Arial" w:cs="Arial" w:eastAsia="Arial" w:hAnsi="Arial"/>
                <w:sz w:val="17"/>
                <w:szCs w:val="17"/>
                <w:color w:val="0000FF"/>
                <w:w w:val="90"/>
              </w:rPr>
              <w:t xml:space="preserve">27, 2020, </w:t>
            </w:r>
            <w:hyperlink w:anchor="page74">
              <w:r>
                <w:rPr>
                  <w:rFonts w:ascii="Arial" w:cs="Arial" w:eastAsia="Arial" w:hAnsi="Arial"/>
                  <w:sz w:val="17"/>
                  <w:szCs w:val="17"/>
                  <w:color w:val="0000FF"/>
                  <w:w w:val="90"/>
                </w:rPr>
                <w:t>and December 29, 2019</w:t>
              </w:r>
            </w:hyperlink>
          </w:p>
        </w:tc>
        <w:tc>
          <w:tcPr>
            <w:tcW w:w="640" w:type="dxa"/>
            <w:vAlign w:val="bottom"/>
            <w:tcBorders>
              <w:top w:val="single" w:sz="8" w:color="0000FF"/>
            </w:tcBorders>
          </w:tcPr>
          <w:p>
            <w:pPr>
              <w:spacing w:after="0"/>
              <w:rPr>
                <w:sz w:val="17"/>
                <w:szCs w:val="17"/>
                <w:color w:val="auto"/>
              </w:rPr>
            </w:pPr>
          </w:p>
        </w:tc>
        <w:tc>
          <w:tcPr>
            <w:tcW w:w="1580" w:type="dxa"/>
            <w:vAlign w:val="bottom"/>
            <w:gridSpan w:val="2"/>
          </w:tcPr>
          <w:p>
            <w:pPr>
              <w:spacing w:after="0"/>
              <w:rPr>
                <w:sz w:val="17"/>
                <w:szCs w:val="17"/>
                <w:color w:val="auto"/>
              </w:rPr>
            </w:pPr>
          </w:p>
        </w:tc>
        <w:tc>
          <w:tcPr>
            <w:tcW w:w="240" w:type="dxa"/>
            <w:vAlign w:val="bottom"/>
            <w:tcBorders>
              <w:top w:val="single" w:sz="8" w:color="0000FF"/>
              <w:bottom w:val="single" w:sz="8" w:color="0000FF"/>
            </w:tcBorders>
          </w:tcPr>
          <w:p>
            <w:pPr>
              <w:ind w:left="20"/>
              <w:spacing w:after="0"/>
              <w:rPr>
                <w:rFonts w:ascii="Arial" w:cs="Arial" w:eastAsia="Arial" w:hAnsi="Arial"/>
                <w:sz w:val="17"/>
                <w:szCs w:val="17"/>
                <w:color w:val="0000FF"/>
                <w:w w:val="78"/>
              </w:rPr>
            </w:pPr>
            <w:r>
              <w:rPr>
                <w:rFonts w:ascii="Arial" w:cs="Arial" w:eastAsia="Arial" w:hAnsi="Arial"/>
                <w:sz w:val="17"/>
                <w:szCs w:val="17"/>
                <w:color w:val="0000FF"/>
                <w:w w:val="78"/>
              </w:rPr>
              <w:t>F-</w:t>
            </w:r>
            <w:hyperlink w:anchor="page74">
              <w:r>
                <w:rPr>
                  <w:rFonts w:ascii="Arial" w:cs="Arial" w:eastAsia="Arial" w:hAnsi="Arial"/>
                  <w:sz w:val="17"/>
                  <w:szCs w:val="17"/>
                  <w:color w:val="0000FF"/>
                  <w:w w:val="78"/>
                </w:rPr>
                <w:t>8</w:t>
              </w:r>
            </w:hyperlink>
          </w:p>
        </w:tc>
      </w:tr>
      <w:tr>
        <w:trPr>
          <w:trHeight w:val="199"/>
        </w:trPr>
        <w:tc>
          <w:tcPr>
            <w:tcW w:w="10920" w:type="dxa"/>
            <w:vAlign w:val="bottom"/>
            <w:gridSpan w:val="8"/>
          </w:tcPr>
          <w:p>
            <w:pPr>
              <w:spacing w:after="0"/>
              <w:rPr>
                <w:rFonts w:ascii="Arial" w:cs="Arial" w:eastAsia="Arial" w:hAnsi="Arial"/>
                <w:sz w:val="17"/>
                <w:szCs w:val="17"/>
                <w:color w:val="0000FF"/>
              </w:rPr>
            </w:pPr>
            <w:hyperlink w:anchor="page75">
              <w:r>
                <w:rPr>
                  <w:rFonts w:ascii="Arial" w:cs="Arial" w:eastAsia="Arial" w:hAnsi="Arial"/>
                  <w:sz w:val="17"/>
                  <w:szCs w:val="17"/>
                  <w:color w:val="0000FF"/>
                </w:rPr>
                <w:t>Notes to Consolidated Financial Statements</w:t>
              </w:r>
            </w:hyperlink>
          </w:p>
        </w:tc>
        <w:tc>
          <w:tcPr>
            <w:tcW w:w="240" w:type="dxa"/>
            <w:vAlign w:val="bottom"/>
          </w:tcPr>
          <w:p>
            <w:pPr>
              <w:ind w:left="20"/>
              <w:spacing w:after="0"/>
              <w:rPr>
                <w:rFonts w:ascii="Arial" w:cs="Arial" w:eastAsia="Arial" w:hAnsi="Arial"/>
                <w:sz w:val="17"/>
                <w:szCs w:val="17"/>
                <w:color w:val="0000FF"/>
                <w:w w:val="78"/>
              </w:rPr>
            </w:pPr>
            <w:r>
              <w:rPr>
                <w:rFonts w:ascii="Arial" w:cs="Arial" w:eastAsia="Arial" w:hAnsi="Arial"/>
                <w:sz w:val="17"/>
                <w:szCs w:val="17"/>
                <w:color w:val="0000FF"/>
                <w:w w:val="78"/>
              </w:rPr>
              <w:t>F-</w:t>
            </w:r>
            <w:hyperlink w:anchor="page75">
              <w:r>
                <w:rPr>
                  <w:rFonts w:ascii="Arial" w:cs="Arial" w:eastAsia="Arial" w:hAnsi="Arial"/>
                  <w:sz w:val="17"/>
                  <w:szCs w:val="17"/>
                  <w:color w:val="0000FF"/>
                  <w:w w:val="78"/>
                </w:rPr>
                <w:t>9</w:t>
              </w:r>
            </w:hyperlink>
          </w:p>
        </w:tc>
      </w:tr>
      <w:tr>
        <w:trPr>
          <w:trHeight w:val="20"/>
        </w:trPr>
        <w:tc>
          <w:tcPr>
            <w:tcW w:w="30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60" w:top="1088" w:right="37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Kratos Defense &amp; Security Solutions, Inc.</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Opinions on the Financial Statements and Internal Control over Financial Reporting</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 xml:space="preserve">We have audited the accompanying consolidated balance sheets of Kratos Defense &amp; Security Solutions, Inc. and subsidiaries (the "Company") as of December 26, 2021 and December 27, 2020, and the related consolidated statements of operations and comprehensive income (loss), stockholders’ equity, and cash flows, for each of the three fiscal years in the period ended December 26, 2021, and the related notes (collectively referred to as the "financial statements"). We also have audited the Company’s internal control over financial reporting as of December 26, 2021,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 (COSO).</w:t>
      </w:r>
    </w:p>
    <w:p>
      <w:pPr>
        <w:spacing w:after="0" w:line="126"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In our opinion, the financial statements referred to above present fairly, in all material respects, the financial position of the Company as of December 26, 2021 and December 27, 2020, and the results of its operations and its cash flows for each of the three fiscal years in the period ended December 26, 2021, in conformity with accounting principles generally accepted in the United States of America. Also, in our opinion, the Company maintained, in all material respects, effective internal control over financial reporting as of December 26, 2021,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COSO.</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Opinions</w:t>
      </w:r>
    </w:p>
    <w:p>
      <w:pPr>
        <w:spacing w:after="0" w:line="169"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jc w:val="both"/>
        <w:ind w:right="20"/>
        <w:spacing w:after="0" w:line="267"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20" w:lineRule="exact"/>
        <w:rPr>
          <w:sz w:val="20"/>
          <w:szCs w:val="20"/>
          <w:color w:val="auto"/>
        </w:rPr>
      </w:pPr>
    </w:p>
    <w:p>
      <w:pPr>
        <w:ind w:right="240"/>
        <w:spacing w:after="0" w:line="279" w:lineRule="auto"/>
        <w:rPr>
          <w:sz w:val="20"/>
          <w:szCs w:val="20"/>
          <w:color w:val="auto"/>
        </w:rPr>
      </w:pPr>
      <w:r>
        <w:rPr>
          <w:rFonts w:ascii="Arial" w:cs="Arial" w:eastAsia="Arial" w:hAnsi="Arial"/>
          <w:sz w:val="14"/>
          <w:szCs w:val="14"/>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and Limitations of Internal Control over Financial Reporting</w:t>
      </w:r>
    </w:p>
    <w:p>
      <w:pPr>
        <w:spacing w:after="0" w:line="169" w:lineRule="exact"/>
        <w:rPr>
          <w:sz w:val="20"/>
          <w:szCs w:val="20"/>
          <w:color w:val="auto"/>
        </w:rPr>
      </w:pPr>
    </w:p>
    <w:p>
      <w:pPr>
        <w:ind w:right="40"/>
        <w:spacing w:after="0" w:line="25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0" w:lineRule="exact"/>
        <w:rPr>
          <w:sz w:val="20"/>
          <w:szCs w:val="20"/>
          <w:color w:val="auto"/>
        </w:rPr>
      </w:pPr>
    </w:p>
    <w:p>
      <w:pPr>
        <w:ind w:right="240"/>
        <w:spacing w:after="0" w:line="267"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Audit Matters</w:t>
      </w:r>
    </w:p>
    <w:p>
      <w:pPr>
        <w:spacing w:after="0" w:line="169"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9" w:name="page70"/>
    <w:bookmarkEnd w:id="69"/>
    <w:p>
      <w:pPr>
        <w:ind w:right="4960"/>
        <w:spacing w:after="0" w:line="466" w:lineRule="auto"/>
        <w:rPr>
          <w:sz w:val="20"/>
          <w:szCs w:val="20"/>
          <w:color w:val="auto"/>
        </w:rPr>
      </w:pPr>
      <w:r>
        <w:rPr>
          <w:rFonts w:ascii="Arial" w:cs="Arial" w:eastAsia="Arial" w:hAnsi="Arial"/>
          <w:sz w:val="15"/>
          <w:szCs w:val="15"/>
          <w:b w:val="1"/>
          <w:bCs w:val="1"/>
          <w:i w:val="1"/>
          <w:iCs w:val="1"/>
          <w:color w:val="auto"/>
        </w:rPr>
        <w:t xml:space="preserve">Cost Estimates for Fixed-Price Contracts - Refer to Note 1 to the consolidated financial statements </w:t>
      </w:r>
      <w:r>
        <w:rPr>
          <w:rFonts w:ascii="Arial" w:cs="Arial" w:eastAsia="Arial" w:hAnsi="Arial"/>
          <w:sz w:val="15"/>
          <w:szCs w:val="15"/>
          <w:i w:val="1"/>
          <w:iCs w:val="1"/>
          <w:color w:val="auto"/>
        </w:rPr>
        <w:t>Critical Audit Matter Description</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The Company recognizes revenue over time using the cost-to-cost method (cost incurred relative to total estimated cost at completion) for most of its fixed-price contracts. Management must make various assumptions and estimates regarding technical, schedule and cost aspects of these contracts to develop estimates of cost at completion. A significant change in cost estimates could affect the overall profitability and timing of revenue recognition related to one or more of its fixed price contracts.</w:t>
      </w:r>
    </w:p>
    <w:p>
      <w:pPr>
        <w:spacing w:after="0" w:line="120" w:lineRule="exact"/>
        <w:rPr>
          <w:sz w:val="20"/>
          <w:szCs w:val="20"/>
          <w:color w:val="auto"/>
        </w:rPr>
      </w:pPr>
    </w:p>
    <w:p>
      <w:pPr>
        <w:ind w:right="560"/>
        <w:spacing w:after="0" w:line="283" w:lineRule="auto"/>
        <w:rPr>
          <w:sz w:val="20"/>
          <w:szCs w:val="20"/>
          <w:color w:val="auto"/>
        </w:rPr>
      </w:pPr>
      <w:r>
        <w:rPr>
          <w:rFonts w:ascii="Arial" w:cs="Arial" w:eastAsia="Arial" w:hAnsi="Arial"/>
          <w:sz w:val="15"/>
          <w:szCs w:val="15"/>
          <w:color w:val="auto"/>
        </w:rPr>
        <w:t>Given the complexity of certain of the Company’s fixed-price contracts, the limited amount of historical activity in certain instances, and significant judgment and estimates necessary to estimate future costs and margin at completion, auditing these estimates involved especially subjective judgment.</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How the Critical Audit Matter Was Addressed in the Audit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Our auditing procedures related to the cost estimates for fixed-price contracts included the following:</w:t>
      </w:r>
    </w:p>
    <w:p>
      <w:pPr>
        <w:spacing w:after="0" w:line="72" w:lineRule="exact"/>
        <w:rPr>
          <w:sz w:val="20"/>
          <w:szCs w:val="20"/>
          <w:color w:val="auto"/>
        </w:rPr>
      </w:pPr>
    </w:p>
    <w:p>
      <w:pPr>
        <w:ind w:left="280" w:right="540" w:hanging="238"/>
        <w:spacing w:after="0" w:line="253" w:lineRule="auto"/>
        <w:tabs>
          <w:tab w:leader="none" w:pos="276" w:val="left"/>
        </w:tabs>
        <w:numPr>
          <w:ilvl w:val="0"/>
          <w:numId w:val="30"/>
        </w:numPr>
        <w:rPr>
          <w:rFonts w:ascii="Arial" w:cs="Arial" w:eastAsia="Arial" w:hAnsi="Arial"/>
          <w:sz w:val="17"/>
          <w:szCs w:val="17"/>
          <w:color w:val="auto"/>
        </w:rPr>
      </w:pPr>
      <w:r>
        <w:rPr>
          <w:rFonts w:ascii="Arial" w:cs="Arial" w:eastAsia="Arial" w:hAnsi="Arial"/>
          <w:sz w:val="15"/>
          <w:szCs w:val="15"/>
          <w:color w:val="auto"/>
        </w:rPr>
        <w:t>We tested the effectiveness of internal controls over the development of cost estimates, including the underlying assumptions and key inputs into the development of the estimated cost at completion.</w:t>
      </w:r>
    </w:p>
    <w:p>
      <w:pPr>
        <w:spacing w:after="0" w:line="1" w:lineRule="exact"/>
        <w:rPr>
          <w:rFonts w:ascii="Arial" w:cs="Arial" w:eastAsia="Arial" w:hAnsi="Arial"/>
          <w:sz w:val="17"/>
          <w:szCs w:val="17"/>
          <w:color w:val="auto"/>
        </w:rPr>
      </w:pPr>
    </w:p>
    <w:p>
      <w:pPr>
        <w:ind w:left="260" w:hanging="218"/>
        <w:spacing w:after="0" w:line="237" w:lineRule="auto"/>
        <w:tabs>
          <w:tab w:leader="none" w:pos="260" w:val="left"/>
        </w:tabs>
        <w:numPr>
          <w:ilvl w:val="0"/>
          <w:numId w:val="30"/>
        </w:numPr>
        <w:rPr>
          <w:rFonts w:ascii="Arial" w:cs="Arial" w:eastAsia="Arial" w:hAnsi="Arial"/>
          <w:sz w:val="17"/>
          <w:szCs w:val="17"/>
          <w:color w:val="auto"/>
        </w:rPr>
      </w:pPr>
      <w:r>
        <w:rPr>
          <w:rFonts w:ascii="Arial" w:cs="Arial" w:eastAsia="Arial" w:hAnsi="Arial"/>
          <w:sz w:val="15"/>
          <w:szCs w:val="15"/>
          <w:color w:val="auto"/>
        </w:rPr>
        <w:t>We selected certain contracts for testing and performed the following procedures:</w:t>
      </w:r>
    </w:p>
    <w:p>
      <w:pPr>
        <w:spacing w:after="0" w:line="4" w:lineRule="exact"/>
        <w:rPr>
          <w:rFonts w:ascii="Arial" w:cs="Arial" w:eastAsia="Arial" w:hAnsi="Arial"/>
          <w:sz w:val="17"/>
          <w:szCs w:val="17"/>
          <w:color w:val="auto"/>
        </w:rPr>
      </w:pPr>
    </w:p>
    <w:p>
      <w:pPr>
        <w:ind w:left="400" w:hanging="87"/>
        <w:spacing w:after="0"/>
        <w:tabs>
          <w:tab w:leader="none" w:pos="400" w:val="left"/>
        </w:tabs>
        <w:numPr>
          <w:ilvl w:val="1"/>
          <w:numId w:val="30"/>
        </w:numPr>
        <w:rPr>
          <w:rFonts w:ascii="Arial" w:cs="Arial" w:eastAsia="Arial" w:hAnsi="Arial"/>
          <w:sz w:val="14"/>
          <w:szCs w:val="14"/>
          <w:color w:val="auto"/>
        </w:rPr>
      </w:pPr>
      <w:r>
        <w:rPr>
          <w:rFonts w:ascii="Arial" w:cs="Arial" w:eastAsia="Arial" w:hAnsi="Arial"/>
          <w:sz w:val="14"/>
          <w:szCs w:val="14"/>
          <w:color w:val="auto"/>
        </w:rPr>
        <w:t>Tested management’s identification of distinct performance obligations by evaluating whether the underlying goods and services were highly interdependent and interrelated.</w:t>
      </w:r>
    </w:p>
    <w:p>
      <w:pPr>
        <w:spacing w:after="0" w:line="25" w:lineRule="exact"/>
        <w:rPr>
          <w:rFonts w:ascii="Arial" w:cs="Arial" w:eastAsia="Arial" w:hAnsi="Arial"/>
          <w:sz w:val="14"/>
          <w:szCs w:val="14"/>
          <w:color w:val="auto"/>
        </w:rPr>
      </w:pPr>
    </w:p>
    <w:p>
      <w:pPr>
        <w:ind w:left="400" w:hanging="87"/>
        <w:spacing w:after="0"/>
        <w:tabs>
          <w:tab w:leader="none" w:pos="400" w:val="left"/>
        </w:tabs>
        <w:numPr>
          <w:ilvl w:val="1"/>
          <w:numId w:val="30"/>
        </w:numPr>
        <w:rPr>
          <w:rFonts w:ascii="Arial" w:cs="Arial" w:eastAsia="Arial" w:hAnsi="Arial"/>
          <w:sz w:val="14"/>
          <w:szCs w:val="14"/>
          <w:color w:val="auto"/>
        </w:rPr>
      </w:pPr>
      <w:r>
        <w:rPr>
          <w:rFonts w:ascii="Arial" w:cs="Arial" w:eastAsia="Arial" w:hAnsi="Arial"/>
          <w:sz w:val="14"/>
          <w:szCs w:val="14"/>
          <w:color w:val="auto"/>
        </w:rPr>
        <w:t>Evaluated the reasonableness of management’s estimates of cost at completion to actual costs and profits of similar previously completed contracts, when applicable.</w:t>
      </w:r>
    </w:p>
    <w:p>
      <w:pPr>
        <w:spacing w:after="0" w:line="19" w:lineRule="exact"/>
        <w:rPr>
          <w:rFonts w:ascii="Arial" w:cs="Arial" w:eastAsia="Arial" w:hAnsi="Arial"/>
          <w:sz w:val="14"/>
          <w:szCs w:val="14"/>
          <w:color w:val="auto"/>
        </w:rPr>
      </w:pPr>
    </w:p>
    <w:p>
      <w:pPr>
        <w:ind w:left="460" w:hanging="147"/>
        <w:spacing w:after="0" w:line="253" w:lineRule="auto"/>
        <w:tabs>
          <w:tab w:leader="none" w:pos="395" w:val="left"/>
        </w:tabs>
        <w:numPr>
          <w:ilvl w:val="1"/>
          <w:numId w:val="30"/>
        </w:numPr>
        <w:rPr>
          <w:rFonts w:ascii="Arial" w:cs="Arial" w:eastAsia="Arial" w:hAnsi="Arial"/>
          <w:sz w:val="15"/>
          <w:szCs w:val="15"/>
          <w:color w:val="auto"/>
        </w:rPr>
      </w:pPr>
      <w:r>
        <w:rPr>
          <w:rFonts w:ascii="Arial" w:cs="Arial" w:eastAsia="Arial" w:hAnsi="Arial"/>
          <w:sz w:val="15"/>
          <w:szCs w:val="15"/>
          <w:color w:val="auto"/>
        </w:rPr>
        <w:t>Performed inquiries of the Company’s project managers and others directly involved with the contracts to evaluate project status and project challenges, which may affect total estimated costs to complete.</w:t>
      </w:r>
    </w:p>
    <w:p>
      <w:pPr>
        <w:ind w:left="260" w:hanging="218"/>
        <w:spacing w:after="0"/>
        <w:tabs>
          <w:tab w:leader="none" w:pos="260" w:val="left"/>
        </w:tabs>
        <w:numPr>
          <w:ilvl w:val="0"/>
          <w:numId w:val="30"/>
        </w:numPr>
        <w:rPr>
          <w:rFonts w:ascii="Arial" w:cs="Arial" w:eastAsia="Arial" w:hAnsi="Arial"/>
          <w:sz w:val="15"/>
          <w:szCs w:val="15"/>
          <w:color w:val="auto"/>
        </w:rPr>
      </w:pPr>
      <w:r>
        <w:rPr>
          <w:rFonts w:ascii="Arial" w:cs="Arial" w:eastAsia="Arial" w:hAnsi="Arial"/>
          <w:sz w:val="14"/>
          <w:szCs w:val="14"/>
          <w:color w:val="auto"/>
        </w:rPr>
        <w:t>We performed retrospective reviews on selected contracts, comparing actual performance to estimated performance, when evaluating management’s ability to estimate costs.</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Goodwill Impairment Analysis — Refer to Note 3 to the consolidated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Critical Audit Matter Description</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The goodwill balance at December 26, 2021 was $493.9 million which is allocated among various reporting units.</w:t>
      </w:r>
    </w:p>
    <w:p>
      <w:pPr>
        <w:spacing w:after="0" w:line="227" w:lineRule="exact"/>
        <w:rPr>
          <w:sz w:val="20"/>
          <w:szCs w:val="20"/>
          <w:color w:val="auto"/>
        </w:rPr>
      </w:pPr>
    </w:p>
    <w:p>
      <w:pPr>
        <w:ind w:right="120"/>
        <w:spacing w:after="0" w:line="241" w:lineRule="auto"/>
        <w:rPr>
          <w:sz w:val="20"/>
          <w:szCs w:val="20"/>
          <w:color w:val="auto"/>
        </w:rPr>
      </w:pPr>
      <w:r>
        <w:rPr>
          <w:rFonts w:ascii="Arial" w:cs="Arial" w:eastAsia="Arial" w:hAnsi="Arial"/>
          <w:sz w:val="15"/>
          <w:szCs w:val="15"/>
          <w:color w:val="auto"/>
        </w:rPr>
        <w:t>The Company tests goodwill for impairment by first performing a qualitative assessment for each of its reporting units. If based on its qualitative assessment management determines it is not more likely than not that the fair value of a reporting unit exceeds its carrying value, a quantitative assessment is then performed. For a reporting unit where a quantitative assessment is performed, the identification and measurement of impairment involves the estimation of the fair value of the reporting unit. As part of its quantitative assessment, the Company estimates the fair value of the reporting unit based on a comparison and weighting of the income approach, specifically the discounted cash flow method, and the market approach.</w:t>
      </w:r>
    </w:p>
    <w:p>
      <w:pPr>
        <w:spacing w:after="0" w:line="204" w:lineRule="exact"/>
        <w:rPr>
          <w:sz w:val="20"/>
          <w:szCs w:val="20"/>
          <w:color w:val="auto"/>
        </w:rPr>
      </w:pPr>
    </w:p>
    <w:p>
      <w:pPr>
        <w:jc w:val="both"/>
        <w:ind w:right="80"/>
        <w:spacing w:after="0" w:line="249" w:lineRule="auto"/>
        <w:rPr>
          <w:sz w:val="20"/>
          <w:szCs w:val="20"/>
          <w:color w:val="auto"/>
        </w:rPr>
      </w:pPr>
      <w:r>
        <w:rPr>
          <w:rFonts w:ascii="Arial" w:cs="Arial" w:eastAsia="Arial" w:hAnsi="Arial"/>
          <w:sz w:val="15"/>
          <w:szCs w:val="15"/>
          <w:color w:val="auto"/>
        </w:rPr>
        <w:t>Given the significant judgments made by management to estimate the fair value of each reporting unit that requires a quantitative assessment, including management’s judgments in forecasting future revenue, performing audit procedures to evaluate the reasonableness of management’s estimates and assumptions required a high degree of auditor judgment and an increased extent of effort.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Our audit procedures related to the determination of forecasts of future revenue used by management to estimate the fair value included the following, among others:</w:t>
      </w:r>
    </w:p>
    <w:p>
      <w:pPr>
        <w:spacing w:after="0" w:line="20" w:lineRule="exact"/>
        <w:rPr>
          <w:sz w:val="20"/>
          <w:szCs w:val="20"/>
          <w:color w:val="auto"/>
        </w:rPr>
      </w:pPr>
    </w:p>
    <w:p>
      <w:pPr>
        <w:jc w:val="both"/>
        <w:ind w:left="320" w:right="260" w:hanging="317"/>
        <w:spacing w:after="0" w:line="289" w:lineRule="auto"/>
        <w:tabs>
          <w:tab w:leader="none" w:pos="309" w:val="left"/>
        </w:tabs>
        <w:numPr>
          <w:ilvl w:val="0"/>
          <w:numId w:val="31"/>
        </w:numPr>
        <w:rPr>
          <w:rFonts w:ascii="Arial" w:cs="Arial" w:eastAsia="Arial" w:hAnsi="Arial"/>
          <w:sz w:val="13"/>
          <w:szCs w:val="13"/>
          <w:color w:val="auto"/>
        </w:rPr>
      </w:pPr>
      <w:r>
        <w:rPr>
          <w:rFonts w:ascii="Arial" w:cs="Arial" w:eastAsia="Arial" w:hAnsi="Arial"/>
          <w:sz w:val="13"/>
          <w:szCs w:val="13"/>
          <w:color w:val="auto"/>
        </w:rPr>
        <w:t>We tested the effectiveness of internal controls over management’s goodwill impairment evaluation, including those over the determination of the fair value of the reporting units in situations where a quantitative assessment was performed. Such internal controls included controls over management’s determination of forecasts of future revenue.</w:t>
      </w:r>
    </w:p>
    <w:p>
      <w:pPr>
        <w:ind w:left="300" w:hanging="297"/>
        <w:spacing w:after="0"/>
        <w:tabs>
          <w:tab w:leader="none" w:pos="3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We evaluated management’s ability to accurately forecast future revenue by comparing actual results to management’s historical forecasts.</w:t>
      </w:r>
    </w:p>
    <w:p>
      <w:pPr>
        <w:spacing w:after="0" w:line="8" w:lineRule="exact"/>
        <w:rPr>
          <w:rFonts w:ascii="Arial" w:cs="Arial" w:eastAsia="Arial" w:hAnsi="Arial"/>
          <w:sz w:val="15"/>
          <w:szCs w:val="15"/>
          <w:color w:val="auto"/>
        </w:rPr>
      </w:pPr>
    </w:p>
    <w:p>
      <w:pPr>
        <w:jc w:val="both"/>
        <w:ind w:left="320" w:right="900" w:hanging="317"/>
        <w:spacing w:after="0" w:line="344" w:lineRule="auto"/>
        <w:tabs>
          <w:tab w:leader="none" w:pos="309" w:val="left"/>
        </w:tabs>
        <w:numPr>
          <w:ilvl w:val="0"/>
          <w:numId w:val="31"/>
        </w:numPr>
        <w:rPr>
          <w:rFonts w:ascii="Arial" w:cs="Arial" w:eastAsia="Arial" w:hAnsi="Arial"/>
          <w:sz w:val="13"/>
          <w:szCs w:val="13"/>
          <w:color w:val="auto"/>
        </w:rPr>
      </w:pPr>
      <w:r>
        <w:rPr>
          <w:rFonts w:ascii="Arial" w:cs="Arial" w:eastAsia="Arial" w:hAnsi="Arial"/>
          <w:sz w:val="13"/>
          <w:szCs w:val="13"/>
          <w:color w:val="auto"/>
        </w:rPr>
        <w:t>We evaluated the reasonableness of management’s revenue forecasts by comparing the forecasts to (1) the historical operating results of the Company, (2) internal communications to management and the board of directors, (3) external communications made by management to analysts and investors, and (4) industry reports.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/s/ </w:t>
      </w:r>
      <w:r>
        <w:rPr>
          <w:rFonts w:ascii="Arial" w:cs="Arial" w:eastAsia="Arial" w:hAnsi="Arial"/>
          <w:sz w:val="15"/>
          <w:szCs w:val="15"/>
          <w:color w:val="auto"/>
        </w:rPr>
        <w:t>Deloitte &amp; Touche LLP</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San Diego, California</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February 22, 2022</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15"/>
          <w:szCs w:val="15"/>
          <w:b w:val="1"/>
          <w:bCs w:val="1"/>
          <w:color w:val="auto"/>
        </w:rPr>
        <w:t>KRATOS DEFENSE &amp; SECURITY SOLUTIONS, INC.</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BALANCE SHEETS</w:t>
      </w:r>
    </w:p>
    <w:p>
      <w:pPr>
        <w:ind w:left="4280"/>
        <w:spacing w:after="0" w:line="236" w:lineRule="auto"/>
        <w:rPr>
          <w:sz w:val="20"/>
          <w:szCs w:val="20"/>
          <w:color w:val="auto"/>
        </w:rPr>
      </w:pPr>
      <w:r>
        <w:rPr>
          <w:rFonts w:ascii="Arial" w:cs="Arial" w:eastAsia="Arial" w:hAnsi="Arial"/>
          <w:sz w:val="15"/>
          <w:szCs w:val="15"/>
          <w:b w:val="1"/>
          <w:bCs w:val="1"/>
          <w:color w:val="auto"/>
        </w:rPr>
        <w:t>December 26, 2021 and December 27, 2020</w:t>
      </w:r>
    </w:p>
    <w:p>
      <w:pPr>
        <w:ind w:left="4200"/>
        <w:spacing w:after="0"/>
        <w:rPr>
          <w:sz w:val="20"/>
          <w:szCs w:val="20"/>
          <w:color w:val="auto"/>
        </w:rPr>
      </w:pPr>
      <w:r>
        <w:rPr>
          <w:rFonts w:ascii="Arial" w:cs="Arial" w:eastAsia="Arial" w:hAnsi="Arial"/>
          <w:sz w:val="13"/>
          <w:szCs w:val="13"/>
          <w:b w:val="1"/>
          <w:bCs w:val="1"/>
          <w:color w:val="auto"/>
        </w:rPr>
        <w:t>(in millions, except par value and number of shares)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7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460" w:type="dxa"/>
            <w:vAlign w:val="bottom"/>
            <w:shd w:val="clear" w:color="auto" w:fill="CCEEFF"/>
          </w:tcPr>
          <w:p>
            <w:pPr>
              <w:jc w:val="right"/>
              <w:ind w:right="13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349.4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380.8</w:t>
            </w:r>
          </w:p>
        </w:tc>
        <w:tc>
          <w:tcPr>
            <w:tcW w:w="0" w:type="dxa"/>
            <w:vAlign w:val="bottom"/>
          </w:tcPr>
          <w:p>
            <w:pPr>
              <w:spacing w:after="0"/>
              <w:rPr>
                <w:sz w:val="1"/>
                <w:szCs w:val="1"/>
                <w:color w:val="auto"/>
              </w:rPr>
            </w:pPr>
          </w:p>
        </w:tc>
      </w:tr>
      <w:tr>
        <w:trPr>
          <w:trHeight w:val="177"/>
        </w:trPr>
        <w:tc>
          <w:tcPr>
            <w:tcW w:w="676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14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680" w:type="dxa"/>
            <w:vAlign w:val="bottom"/>
          </w:tcPr>
          <w:p>
            <w:pPr>
              <w:jc w:val="right"/>
              <w:ind w:right="11"/>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1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93.9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177"/>
        </w:trPr>
        <w:tc>
          <w:tcPr>
            <w:tcW w:w="6760" w:type="dxa"/>
            <w:vAlign w:val="bottom"/>
          </w:tcPr>
          <w:p>
            <w:pPr>
              <w:ind w:left="140"/>
              <w:spacing w:after="0"/>
              <w:rPr>
                <w:sz w:val="20"/>
                <w:szCs w:val="20"/>
                <w:color w:val="auto"/>
              </w:rPr>
            </w:pPr>
            <w:r>
              <w:rPr>
                <w:rFonts w:ascii="Arial" w:cs="Arial" w:eastAsia="Arial" w:hAnsi="Arial"/>
                <w:sz w:val="14"/>
                <w:szCs w:val="14"/>
                <w:color w:val="auto"/>
              </w:rPr>
              <w:t>Unbilled receivables, net</w:t>
            </w:r>
          </w:p>
        </w:tc>
        <w:tc>
          <w:tcPr>
            <w:tcW w:w="146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190.8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1"/>
              <w:spacing w:after="0"/>
              <w:rPr>
                <w:sz w:val="20"/>
                <w:szCs w:val="20"/>
                <w:color w:val="auto"/>
              </w:rPr>
            </w:pPr>
            <w:r>
              <w:rPr>
                <w:rFonts w:ascii="Arial" w:cs="Arial" w:eastAsia="Arial" w:hAnsi="Arial"/>
                <w:sz w:val="14"/>
                <w:szCs w:val="14"/>
                <w:color w:val="auto"/>
              </w:rPr>
              <w:t>177.0</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Inventoried costs</w:t>
            </w:r>
          </w:p>
        </w:tc>
        <w:tc>
          <w:tcPr>
            <w:tcW w:w="1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91.7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177"/>
        </w:trPr>
        <w:tc>
          <w:tcPr>
            <w:tcW w:w="6760" w:type="dxa"/>
            <w:vAlign w:val="bottom"/>
          </w:tcPr>
          <w:p>
            <w:pPr>
              <w:ind w:left="140"/>
              <w:spacing w:after="0"/>
              <w:rPr>
                <w:sz w:val="20"/>
                <w:szCs w:val="20"/>
                <w:color w:val="auto"/>
              </w:rPr>
            </w:pPr>
            <w:r>
              <w:rPr>
                <w:rFonts w:ascii="Arial" w:cs="Arial" w:eastAsia="Arial" w:hAnsi="Arial"/>
                <w:sz w:val="14"/>
                <w:szCs w:val="14"/>
                <w:color w:val="auto"/>
              </w:rPr>
              <w:t>Prepaid expenses</w:t>
            </w:r>
          </w:p>
        </w:tc>
        <w:tc>
          <w:tcPr>
            <w:tcW w:w="146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1"/>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assets</w:t>
            </w:r>
          </w:p>
        </w:tc>
        <w:tc>
          <w:tcPr>
            <w:tcW w:w="14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70"/>
        </w:trPr>
        <w:tc>
          <w:tcPr>
            <w:tcW w:w="6760" w:type="dxa"/>
            <w:vAlign w:val="bottom"/>
          </w:tcPr>
          <w:p>
            <w:pPr>
              <w:ind w:left="320"/>
              <w:spacing w:after="0" w:line="155" w:lineRule="exact"/>
              <w:rPr>
                <w:sz w:val="20"/>
                <w:szCs w:val="20"/>
                <w:color w:val="auto"/>
              </w:rPr>
            </w:pPr>
            <w:r>
              <w:rPr>
                <w:rFonts w:ascii="Arial" w:cs="Arial" w:eastAsia="Arial" w:hAnsi="Arial"/>
                <w:sz w:val="14"/>
                <w:szCs w:val="14"/>
                <w:color w:val="auto"/>
              </w:rPr>
              <w:t>Total current assets</w:t>
            </w:r>
          </w:p>
        </w:tc>
        <w:tc>
          <w:tcPr>
            <w:tcW w:w="1460" w:type="dxa"/>
            <w:vAlign w:val="bottom"/>
          </w:tcPr>
          <w:p>
            <w:pPr>
              <w:spacing w:after="0"/>
              <w:rPr>
                <w:sz w:val="14"/>
                <w:szCs w:val="14"/>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758.1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jc w:val="right"/>
              <w:ind w:right="11"/>
              <w:spacing w:after="0"/>
              <w:rPr>
                <w:sz w:val="20"/>
                <w:szCs w:val="20"/>
                <w:color w:val="auto"/>
              </w:rPr>
            </w:pPr>
            <w:r>
              <w:rPr>
                <w:rFonts w:ascii="Arial" w:cs="Arial" w:eastAsia="Arial" w:hAnsi="Arial"/>
                <w:sz w:val="14"/>
                <w:szCs w:val="14"/>
                <w:color w:val="auto"/>
              </w:rPr>
              <w:t>764.8</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1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168.3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143.8</w:t>
            </w:r>
          </w:p>
        </w:tc>
        <w:tc>
          <w:tcPr>
            <w:tcW w:w="0" w:type="dxa"/>
            <w:vAlign w:val="bottom"/>
          </w:tcPr>
          <w:p>
            <w:pPr>
              <w:spacing w:after="0"/>
              <w:rPr>
                <w:sz w:val="1"/>
                <w:szCs w:val="1"/>
                <w:color w:val="auto"/>
              </w:rPr>
            </w:pPr>
          </w:p>
        </w:tc>
      </w:tr>
      <w:tr>
        <w:trPr>
          <w:trHeight w:val="177"/>
        </w:trPr>
        <w:tc>
          <w:tcPr>
            <w:tcW w:w="676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46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1"/>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493.9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483.9</w:t>
            </w:r>
          </w:p>
        </w:tc>
        <w:tc>
          <w:tcPr>
            <w:tcW w:w="0" w:type="dxa"/>
            <w:vAlign w:val="bottom"/>
          </w:tcPr>
          <w:p>
            <w:pPr>
              <w:spacing w:after="0"/>
              <w:rPr>
                <w:sz w:val="1"/>
                <w:szCs w:val="1"/>
                <w:color w:val="auto"/>
              </w:rPr>
            </w:pPr>
          </w:p>
        </w:tc>
      </w:tr>
      <w:tr>
        <w:trPr>
          <w:trHeight w:val="177"/>
        </w:trPr>
        <w:tc>
          <w:tcPr>
            <w:tcW w:w="676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146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1"/>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4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87.5</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170"/>
        </w:trPr>
        <w:tc>
          <w:tcPr>
            <w:tcW w:w="6760" w:type="dxa"/>
            <w:vAlign w:val="bottom"/>
          </w:tcPr>
          <w:p>
            <w:pPr>
              <w:ind w:left="320"/>
              <w:spacing w:after="0" w:line="155" w:lineRule="exact"/>
              <w:rPr>
                <w:sz w:val="20"/>
                <w:szCs w:val="20"/>
                <w:color w:val="auto"/>
              </w:rPr>
            </w:pPr>
            <w:r>
              <w:rPr>
                <w:rFonts w:ascii="Arial" w:cs="Arial" w:eastAsia="Arial" w:hAnsi="Arial"/>
                <w:sz w:val="14"/>
                <w:szCs w:val="14"/>
                <w:color w:val="auto"/>
              </w:rPr>
              <w:t>Total assets</w:t>
            </w:r>
          </w:p>
        </w:tc>
        <w:tc>
          <w:tcPr>
            <w:tcW w:w="1460" w:type="dxa"/>
            <w:vAlign w:val="bottom"/>
            <w:tcBorders>
              <w:bottom w:val="single" w:sz="8" w:color="auto"/>
            </w:tcBorders>
          </w:tcPr>
          <w:p>
            <w:pPr>
              <w:jc w:val="right"/>
              <w:ind w:right="131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1,589.5</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1,562.8</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60" w:type="dxa"/>
            <w:vAlign w:val="bottom"/>
            <w:tcBorders>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Liabilities and Stockholders’ Equity</w:t>
            </w:r>
          </w:p>
        </w:tc>
        <w:tc>
          <w:tcPr>
            <w:tcW w:w="14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6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67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460" w:type="dxa"/>
            <w:vAlign w:val="bottom"/>
            <w:shd w:val="clear" w:color="auto" w:fill="CCEEFF"/>
          </w:tcPr>
          <w:p>
            <w:pPr>
              <w:jc w:val="right"/>
              <w:ind w:right="13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77"/>
        </w:trPr>
        <w:tc>
          <w:tcPr>
            <w:tcW w:w="676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146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1"/>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w:t>
            </w:r>
          </w:p>
        </w:tc>
        <w:tc>
          <w:tcPr>
            <w:tcW w:w="1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47.3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77"/>
        </w:trPr>
        <w:tc>
          <w:tcPr>
            <w:tcW w:w="6760" w:type="dxa"/>
            <w:vAlign w:val="bottom"/>
          </w:tcPr>
          <w:p>
            <w:pPr>
              <w:ind w:left="140"/>
              <w:spacing w:after="0"/>
              <w:rPr>
                <w:sz w:val="20"/>
                <w:szCs w:val="20"/>
                <w:color w:val="auto"/>
              </w:rPr>
            </w:pPr>
            <w:r>
              <w:rPr>
                <w:rFonts w:ascii="Arial" w:cs="Arial" w:eastAsia="Arial" w:hAnsi="Arial"/>
                <w:sz w:val="14"/>
                <w:szCs w:val="14"/>
                <w:color w:val="auto"/>
              </w:rPr>
              <w:t>Accrued interest</w:t>
            </w:r>
          </w:p>
        </w:tc>
        <w:tc>
          <w:tcPr>
            <w:tcW w:w="146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1"/>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Billings in excess of costs and earnings on uncompleted contracts</w:t>
            </w:r>
          </w:p>
        </w:tc>
        <w:tc>
          <w:tcPr>
            <w:tcW w:w="1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58.1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77"/>
        </w:trPr>
        <w:tc>
          <w:tcPr>
            <w:tcW w:w="6760" w:type="dxa"/>
            <w:vAlign w:val="bottom"/>
          </w:tcPr>
          <w:p>
            <w:pPr>
              <w:ind w:left="140"/>
              <w:spacing w:after="0"/>
              <w:rPr>
                <w:sz w:val="20"/>
                <w:szCs w:val="20"/>
                <w:color w:val="auto"/>
              </w:rPr>
            </w:pPr>
            <w:r>
              <w:rPr>
                <w:rFonts w:ascii="Arial" w:cs="Arial" w:eastAsia="Arial" w:hAnsi="Arial"/>
                <w:sz w:val="14"/>
                <w:szCs w:val="14"/>
                <w:color w:val="auto"/>
              </w:rPr>
              <w:t>Current portion of operating lease liabilities</w:t>
            </w:r>
          </w:p>
        </w:tc>
        <w:tc>
          <w:tcPr>
            <w:tcW w:w="146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1"/>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1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77"/>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Current liabilities of discontinued operations</w:t>
            </w:r>
          </w:p>
        </w:tc>
        <w:tc>
          <w:tcPr>
            <w:tcW w:w="1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76"/>
        </w:trPr>
        <w:tc>
          <w:tcPr>
            <w:tcW w:w="6760" w:type="dxa"/>
            <w:vAlign w:val="bottom"/>
            <w:shd w:val="clear" w:color="auto" w:fill="CCEEFF"/>
          </w:tcPr>
          <w:p>
            <w:pPr>
              <w:ind w:left="320"/>
              <w:spacing w:after="0" w:line="157" w:lineRule="exact"/>
              <w:rPr>
                <w:sz w:val="20"/>
                <w:szCs w:val="20"/>
                <w:color w:val="auto"/>
              </w:rPr>
            </w:pPr>
            <w:r>
              <w:rPr>
                <w:rFonts w:ascii="Arial" w:cs="Arial" w:eastAsia="Arial" w:hAnsi="Arial"/>
                <w:sz w:val="14"/>
                <w:szCs w:val="14"/>
                <w:color w:val="auto"/>
              </w:rPr>
              <w:t>Total current liabilities</w:t>
            </w:r>
          </w:p>
        </w:tc>
        <w:tc>
          <w:tcPr>
            <w:tcW w:w="1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221.1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197.6</w:t>
            </w:r>
          </w:p>
        </w:tc>
        <w:tc>
          <w:tcPr>
            <w:tcW w:w="0" w:type="dxa"/>
            <w:vAlign w:val="bottom"/>
          </w:tcPr>
          <w:p>
            <w:pPr>
              <w:spacing w:after="0"/>
              <w:rPr>
                <w:sz w:val="1"/>
                <w:szCs w:val="1"/>
                <w:color w:val="auto"/>
              </w:rPr>
            </w:pPr>
          </w:p>
        </w:tc>
      </w:tr>
      <w:tr>
        <w:trPr>
          <w:trHeight w:val="177"/>
        </w:trPr>
        <w:tc>
          <w:tcPr>
            <w:tcW w:w="676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146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296.7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1"/>
              <w:spacing w:after="0"/>
              <w:rPr>
                <w:sz w:val="20"/>
                <w:szCs w:val="20"/>
                <w:color w:val="auto"/>
              </w:rPr>
            </w:pPr>
            <w:r>
              <w:rPr>
                <w:rFonts w:ascii="Arial" w:cs="Arial" w:eastAsia="Arial" w:hAnsi="Arial"/>
                <w:sz w:val="14"/>
                <w:szCs w:val="14"/>
                <w:color w:val="auto"/>
              </w:rPr>
              <w:t>301.0</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net of current portion</w:t>
            </w:r>
          </w:p>
        </w:tc>
        <w:tc>
          <w:tcPr>
            <w:tcW w:w="1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77"/>
        </w:trPr>
        <w:tc>
          <w:tcPr>
            <w:tcW w:w="676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146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1"/>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liabilities of discontinued operations</w:t>
            </w:r>
          </w:p>
        </w:tc>
        <w:tc>
          <w:tcPr>
            <w:tcW w:w="14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0"/>
        </w:trPr>
        <w:tc>
          <w:tcPr>
            <w:tcW w:w="676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Total liabilities</w:t>
            </w:r>
          </w:p>
        </w:tc>
        <w:tc>
          <w:tcPr>
            <w:tcW w:w="1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629.2</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622.7</w:t>
            </w: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Commitments and contingencies (Note 15)</w:t>
            </w:r>
          </w:p>
        </w:tc>
        <w:tc>
          <w:tcPr>
            <w:tcW w:w="14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760" w:type="dxa"/>
            <w:vAlign w:val="bottom"/>
          </w:tcPr>
          <w:p>
            <w:pPr>
              <w:ind w:left="20"/>
              <w:spacing w:after="0"/>
              <w:rPr>
                <w:sz w:val="20"/>
                <w:szCs w:val="20"/>
                <w:color w:val="auto"/>
              </w:rPr>
            </w:pPr>
            <w:r>
              <w:rPr>
                <w:rFonts w:ascii="Arial" w:cs="Arial" w:eastAsia="Arial" w:hAnsi="Arial"/>
                <w:sz w:val="14"/>
                <w:szCs w:val="14"/>
                <w:color w:val="auto"/>
              </w:rPr>
              <w:t>Redeemable noncontrolling interest</w:t>
            </w:r>
          </w:p>
        </w:tc>
        <w:tc>
          <w:tcPr>
            <w:tcW w:w="146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1"/>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4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760" w:type="dxa"/>
            <w:vAlign w:val="bottom"/>
          </w:tcPr>
          <w:p>
            <w:pPr>
              <w:ind w:left="140"/>
              <w:spacing w:after="0" w:line="129" w:lineRule="exact"/>
              <w:rPr>
                <w:sz w:val="20"/>
                <w:szCs w:val="20"/>
                <w:color w:val="auto"/>
              </w:rPr>
            </w:pPr>
            <w:r>
              <w:rPr>
                <w:rFonts w:ascii="Arial" w:cs="Arial" w:eastAsia="Arial" w:hAnsi="Arial"/>
                <w:sz w:val="14"/>
                <w:szCs w:val="14"/>
                <w:color w:val="auto"/>
                <w:w w:val="88"/>
              </w:rPr>
              <w:t>Preferred stock, $0.001 par value, 5,000,000 authorized, 0 shares outstanding at December 26, 2021 and December 27,</w:t>
            </w:r>
          </w:p>
        </w:tc>
        <w:tc>
          <w:tcPr>
            <w:tcW w:w="14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1"/>
                <w:szCs w:val="11"/>
                <w:color w:val="auto"/>
              </w:rPr>
            </w:pPr>
          </w:p>
        </w:tc>
        <w:tc>
          <w:tcPr>
            <w:tcW w:w="16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6760" w:type="dxa"/>
            <w:vAlign w:val="bottom"/>
          </w:tcPr>
          <w:p>
            <w:pPr>
              <w:ind w:left="140"/>
              <w:spacing w:after="0"/>
              <w:rPr>
                <w:sz w:val="20"/>
                <w:szCs w:val="20"/>
                <w:color w:val="auto"/>
              </w:rPr>
            </w:pPr>
            <w:r>
              <w:rPr>
                <w:rFonts w:ascii="Arial" w:cs="Arial" w:eastAsia="Arial" w:hAnsi="Arial"/>
                <w:sz w:val="14"/>
                <w:szCs w:val="14"/>
                <w:color w:val="auto"/>
              </w:rPr>
              <w:t>2020</w:t>
            </w:r>
          </w:p>
        </w:tc>
        <w:tc>
          <w:tcPr>
            <w:tcW w:w="14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6760" w:type="dxa"/>
            <w:vAlign w:val="bottom"/>
            <w:shd w:val="clear" w:color="auto" w:fill="CCEEFF"/>
          </w:tcPr>
          <w:p>
            <w:pPr>
              <w:ind w:left="140"/>
              <w:spacing w:after="0" w:line="132" w:lineRule="exact"/>
              <w:rPr>
                <w:sz w:val="20"/>
                <w:szCs w:val="20"/>
                <w:color w:val="auto"/>
              </w:rPr>
            </w:pPr>
            <w:r>
              <w:rPr>
                <w:rFonts w:ascii="Arial" w:cs="Arial" w:eastAsia="Arial" w:hAnsi="Arial"/>
                <w:sz w:val="14"/>
                <w:szCs w:val="14"/>
                <w:color w:val="auto"/>
                <w:w w:val="91"/>
              </w:rPr>
              <w:t>Common stock, $0.001 par value, 195,000,000 shares authorized; 123,987,424 and 123,047,147 shares issued and</w:t>
            </w:r>
          </w:p>
        </w:tc>
        <w:tc>
          <w:tcPr>
            <w:tcW w:w="14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1"/>
                <w:szCs w:val="11"/>
                <w:color w:val="auto"/>
              </w:rPr>
            </w:pPr>
          </w:p>
        </w:tc>
        <w:tc>
          <w:tcPr>
            <w:tcW w:w="16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outstanding at December 26, 2021 and December 27, 2020, respectively</w:t>
            </w:r>
          </w:p>
        </w:tc>
        <w:tc>
          <w:tcPr>
            <w:tcW w:w="146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76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146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1,578.9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1"/>
              <w:spacing w:after="0"/>
              <w:rPr>
                <w:sz w:val="20"/>
                <w:szCs w:val="20"/>
                <w:color w:val="auto"/>
              </w:rPr>
            </w:pPr>
            <w:r>
              <w:rPr>
                <w:rFonts w:ascii="Arial" w:cs="Arial" w:eastAsia="Arial" w:hAnsi="Arial"/>
                <w:sz w:val="14"/>
                <w:szCs w:val="14"/>
                <w:color w:val="auto"/>
              </w:rPr>
              <w:t>1,556.3</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1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7"/>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Accumulated deficit</w:t>
            </w:r>
          </w:p>
        </w:tc>
        <w:tc>
          <w:tcPr>
            <w:tcW w:w="1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(634.4)</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(632.4)</w:t>
            </w:r>
          </w:p>
        </w:tc>
        <w:tc>
          <w:tcPr>
            <w:tcW w:w="0" w:type="dxa"/>
            <w:vAlign w:val="bottom"/>
          </w:tcPr>
          <w:p>
            <w:pPr>
              <w:spacing w:after="0"/>
              <w:rPr>
                <w:sz w:val="1"/>
                <w:szCs w:val="1"/>
                <w:color w:val="auto"/>
              </w:rPr>
            </w:pPr>
          </w:p>
        </w:tc>
      </w:tr>
      <w:tr>
        <w:trPr>
          <w:trHeight w:val="176"/>
        </w:trPr>
        <w:tc>
          <w:tcPr>
            <w:tcW w:w="6760" w:type="dxa"/>
            <w:vAlign w:val="bottom"/>
            <w:shd w:val="clear" w:color="auto" w:fill="CCEEFF"/>
          </w:tcPr>
          <w:p>
            <w:pPr>
              <w:ind w:left="320"/>
              <w:spacing w:after="0" w:line="157" w:lineRule="exact"/>
              <w:rPr>
                <w:sz w:val="20"/>
                <w:szCs w:val="20"/>
                <w:color w:val="auto"/>
              </w:rPr>
            </w:pPr>
            <w:r>
              <w:rPr>
                <w:rFonts w:ascii="Arial" w:cs="Arial" w:eastAsia="Arial" w:hAnsi="Arial"/>
                <w:sz w:val="14"/>
                <w:szCs w:val="14"/>
                <w:color w:val="auto"/>
              </w:rPr>
              <w:t>Total stockholders’ equity</w:t>
            </w:r>
          </w:p>
        </w:tc>
        <w:tc>
          <w:tcPr>
            <w:tcW w:w="14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945.1</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925.3</w:t>
            </w:r>
          </w:p>
        </w:tc>
        <w:tc>
          <w:tcPr>
            <w:tcW w:w="0" w:type="dxa"/>
            <w:vAlign w:val="bottom"/>
          </w:tcPr>
          <w:p>
            <w:pPr>
              <w:spacing w:after="0"/>
              <w:rPr>
                <w:sz w:val="1"/>
                <w:szCs w:val="1"/>
                <w:color w:val="auto"/>
              </w:rPr>
            </w:pPr>
          </w:p>
        </w:tc>
      </w:tr>
      <w:tr>
        <w:trPr>
          <w:trHeight w:val="170"/>
        </w:trPr>
        <w:tc>
          <w:tcPr>
            <w:tcW w:w="6760" w:type="dxa"/>
            <w:vAlign w:val="bottom"/>
          </w:tcPr>
          <w:p>
            <w:pPr>
              <w:ind w:left="32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460" w:type="dxa"/>
            <w:vAlign w:val="bottom"/>
            <w:tcBorders>
              <w:bottom w:val="single" w:sz="8" w:color="auto"/>
            </w:tcBorders>
          </w:tcPr>
          <w:p>
            <w:pPr>
              <w:jc w:val="right"/>
              <w:ind w:right="131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1,589.5</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1,562.8</w:t>
            </w:r>
          </w:p>
        </w:tc>
        <w:tc>
          <w:tcPr>
            <w:tcW w:w="0" w:type="dxa"/>
            <w:vAlign w:val="bottom"/>
          </w:tcPr>
          <w:p>
            <w:pPr>
              <w:spacing w:after="0"/>
              <w:rPr>
                <w:sz w:val="1"/>
                <w:szCs w:val="1"/>
                <w:color w:val="auto"/>
              </w:rPr>
            </w:pPr>
          </w:p>
        </w:tc>
      </w:tr>
      <w:tr>
        <w:trPr>
          <w:trHeight w:val="22"/>
        </w:trPr>
        <w:tc>
          <w:tcPr>
            <w:tcW w:w="67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973" w:right="33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5"/>
          <w:szCs w:val="15"/>
          <w:b w:val="1"/>
          <w:bCs w:val="1"/>
          <w:color w:val="auto"/>
        </w:rPr>
        <w:t>KRATOS DEFENSE &amp; SECURITY SOLUTIONS,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CONSOLIDATED STATEMENTS OF OPERATIONS</w:t>
      </w:r>
    </w:p>
    <w:p>
      <w:pPr>
        <w:jc w:val="center"/>
        <w:ind w:right="-39"/>
        <w:spacing w:after="0" w:line="230" w:lineRule="auto"/>
        <w:rPr>
          <w:sz w:val="20"/>
          <w:szCs w:val="20"/>
          <w:color w:val="auto"/>
        </w:rPr>
      </w:pPr>
      <w:r>
        <w:rPr>
          <w:rFonts w:ascii="Arial" w:cs="Arial" w:eastAsia="Arial" w:hAnsi="Arial"/>
          <w:sz w:val="14"/>
          <w:szCs w:val="14"/>
          <w:b w:val="1"/>
          <w:bCs w:val="1"/>
          <w:color w:val="auto"/>
        </w:rPr>
        <w:t>Years ended December 26, 2021, December 27, 2020, and December 29, 2019</w:t>
      </w:r>
    </w:p>
    <w:p>
      <w:pPr>
        <w:jc w:val="center"/>
        <w:ind w:right="-39"/>
        <w:spacing w:after="0"/>
        <w:rPr>
          <w:sz w:val="20"/>
          <w:szCs w:val="20"/>
          <w:color w:val="auto"/>
        </w:rPr>
      </w:pPr>
      <w:r>
        <w:rPr>
          <w:rFonts w:ascii="Arial" w:cs="Arial" w:eastAsia="Arial" w:hAnsi="Arial"/>
          <w:sz w:val="14"/>
          <w:szCs w:val="14"/>
          <w:b w:val="1"/>
          <w:bCs w:val="1"/>
          <w:color w:val="auto"/>
        </w:rPr>
        <w:t>(in millions, except per share amounts)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2019</w:t>
            </w:r>
          </w:p>
        </w:tc>
      </w:tr>
      <w:tr>
        <w:trPr>
          <w:trHeight w:val="17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revenues</w:t>
            </w:r>
          </w:p>
        </w:tc>
        <w:tc>
          <w:tcPr>
            <w:tcW w:w="1360" w:type="dxa"/>
            <w:vAlign w:val="bottom"/>
            <w:shd w:val="clear" w:color="auto" w:fill="CCEEFF"/>
          </w:tcPr>
          <w:p>
            <w:pPr>
              <w:jc w:val="right"/>
              <w:ind w:right="1211"/>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272.6</w:t>
            </w:r>
          </w:p>
        </w:tc>
      </w:tr>
      <w:tr>
        <w:trPr>
          <w:trHeight w:val="177"/>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Product sales</w:t>
            </w:r>
          </w:p>
        </w:tc>
        <w:tc>
          <w:tcPr>
            <w:tcW w:w="1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444.9</w:t>
            </w:r>
          </w:p>
        </w:tc>
      </w:tr>
      <w:tr>
        <w:trPr>
          <w:trHeight w:val="176"/>
        </w:trPr>
        <w:tc>
          <w:tcPr>
            <w:tcW w:w="5080" w:type="dxa"/>
            <w:vAlign w:val="bottom"/>
            <w:shd w:val="clear" w:color="auto" w:fill="CCEEFF"/>
          </w:tcPr>
          <w:p>
            <w:pPr>
              <w:ind w:left="320"/>
              <w:spacing w:after="0" w:line="157" w:lineRule="exact"/>
              <w:rPr>
                <w:sz w:val="20"/>
                <w:szCs w:val="20"/>
                <w:color w:val="auto"/>
              </w:rPr>
            </w:pPr>
            <w:r>
              <w:rPr>
                <w:rFonts w:ascii="Arial" w:cs="Arial" w:eastAsia="Arial" w:hAnsi="Arial"/>
                <w:sz w:val="14"/>
                <w:szCs w:val="14"/>
                <w:color w:val="auto"/>
              </w:rPr>
              <w:t>Total revenues</w:t>
            </w:r>
          </w:p>
        </w:tc>
        <w:tc>
          <w:tcPr>
            <w:tcW w:w="13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811.5</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747.7</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717.5</w:t>
            </w:r>
          </w:p>
        </w:tc>
      </w:tr>
      <w:tr>
        <w:trPr>
          <w:trHeight w:val="170"/>
        </w:trPr>
        <w:tc>
          <w:tcPr>
            <w:tcW w:w="5080" w:type="dxa"/>
            <w:vAlign w:val="bottom"/>
          </w:tcPr>
          <w:p>
            <w:pPr>
              <w:ind w:left="20"/>
              <w:spacing w:after="0" w:line="155" w:lineRule="exact"/>
              <w:rPr>
                <w:sz w:val="20"/>
                <w:szCs w:val="20"/>
                <w:color w:val="auto"/>
              </w:rPr>
            </w:pPr>
            <w:r>
              <w:rPr>
                <w:rFonts w:ascii="Arial" w:cs="Arial" w:eastAsia="Arial" w:hAnsi="Arial"/>
                <w:sz w:val="14"/>
                <w:szCs w:val="14"/>
                <w:color w:val="auto"/>
              </w:rPr>
              <w:t>Cost of service revenues</w:t>
            </w:r>
          </w:p>
        </w:tc>
        <w:tc>
          <w:tcPr>
            <w:tcW w:w="1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156.2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192.0</w:t>
            </w:r>
          </w:p>
        </w:tc>
      </w:tr>
      <w:tr>
        <w:trPr>
          <w:trHeight w:val="18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product sales</w:t>
            </w:r>
          </w:p>
        </w:tc>
        <w:tc>
          <w:tcPr>
            <w:tcW w:w="13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430.2</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362.0</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335.5</w:t>
            </w:r>
          </w:p>
        </w:tc>
      </w:tr>
      <w:tr>
        <w:trPr>
          <w:trHeight w:val="170"/>
        </w:trPr>
        <w:tc>
          <w:tcPr>
            <w:tcW w:w="508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Total costs</w:t>
            </w:r>
          </w:p>
        </w:tc>
        <w:tc>
          <w:tcPr>
            <w:tcW w:w="1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586.4</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544.5</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527.5</w:t>
            </w:r>
          </w:p>
        </w:tc>
      </w:tr>
      <w:tr>
        <w:trPr>
          <w:trHeight w:val="176"/>
        </w:trPr>
        <w:tc>
          <w:tcPr>
            <w:tcW w:w="5080" w:type="dxa"/>
            <w:vAlign w:val="bottom"/>
            <w:shd w:val="clear" w:color="auto" w:fill="CCEEFF"/>
          </w:tcPr>
          <w:p>
            <w:pPr>
              <w:ind w:left="320"/>
              <w:spacing w:after="0" w:line="157" w:lineRule="exact"/>
              <w:rPr>
                <w:sz w:val="20"/>
                <w:szCs w:val="20"/>
                <w:color w:val="auto"/>
              </w:rPr>
            </w:pPr>
            <w:r>
              <w:rPr>
                <w:rFonts w:ascii="Arial" w:cs="Arial" w:eastAsia="Arial" w:hAnsi="Arial"/>
                <w:sz w:val="14"/>
                <w:szCs w:val="14"/>
                <w:color w:val="auto"/>
              </w:rPr>
              <w:t>Gross profit</w:t>
            </w:r>
          </w:p>
        </w:tc>
        <w:tc>
          <w:tcPr>
            <w:tcW w:w="13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r>
      <w:tr>
        <w:trPr>
          <w:trHeight w:val="177"/>
        </w:trPr>
        <w:tc>
          <w:tcPr>
            <w:tcW w:w="508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3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160.2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130.8</w:t>
            </w:r>
          </w:p>
        </w:tc>
      </w:tr>
      <w:tr>
        <w:trPr>
          <w:trHeight w:val="18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 and acquisition related items</w:t>
            </w:r>
          </w:p>
        </w:tc>
        <w:tc>
          <w:tcPr>
            <w:tcW w:w="13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77"/>
        </w:trPr>
        <w:tc>
          <w:tcPr>
            <w:tcW w:w="5080" w:type="dxa"/>
            <w:vAlign w:val="bottom"/>
          </w:tcPr>
          <w:p>
            <w:pPr>
              <w:ind w:left="20"/>
              <w:spacing w:after="0"/>
              <w:rPr>
                <w:sz w:val="20"/>
                <w:szCs w:val="20"/>
                <w:color w:val="auto"/>
              </w:rPr>
            </w:pPr>
            <w:r>
              <w:rPr>
                <w:rFonts w:ascii="Arial" w:cs="Arial" w:eastAsia="Arial" w:hAnsi="Arial"/>
                <w:sz w:val="14"/>
                <w:szCs w:val="14"/>
                <w:color w:val="auto"/>
              </w:rPr>
              <w:t>Research and development expenses</w:t>
            </w:r>
          </w:p>
        </w:tc>
        <w:tc>
          <w:tcPr>
            <w:tcW w:w="13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18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expenses and other</w:t>
            </w:r>
          </w:p>
        </w:tc>
        <w:tc>
          <w:tcPr>
            <w:tcW w:w="13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70"/>
        </w:trPr>
        <w:tc>
          <w:tcPr>
            <w:tcW w:w="508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Operating income</w:t>
            </w:r>
          </w:p>
        </w:tc>
        <w:tc>
          <w:tcPr>
            <w:tcW w:w="13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38.0</w:t>
            </w:r>
          </w:p>
        </w:tc>
      </w:tr>
      <w:tr>
        <w:trPr>
          <w:trHeight w:val="164"/>
        </w:trPr>
        <w:tc>
          <w:tcPr>
            <w:tcW w:w="50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Other expense:</w:t>
            </w:r>
          </w:p>
        </w:tc>
        <w:tc>
          <w:tcPr>
            <w:tcW w:w="1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77"/>
        </w:trPr>
        <w:tc>
          <w:tcPr>
            <w:tcW w:w="5080" w:type="dxa"/>
            <w:vAlign w:val="bottom"/>
          </w:tcPr>
          <w:p>
            <w:pPr>
              <w:ind w:left="140"/>
              <w:spacing w:after="0"/>
              <w:rPr>
                <w:sz w:val="20"/>
                <w:szCs w:val="20"/>
                <w:color w:val="auto"/>
              </w:rPr>
            </w:pPr>
            <w:r>
              <w:rPr>
                <w:rFonts w:ascii="Arial" w:cs="Arial" w:eastAsia="Arial" w:hAnsi="Arial"/>
                <w:sz w:val="14"/>
                <w:szCs w:val="14"/>
                <w:color w:val="auto"/>
              </w:rPr>
              <w:t>Interest expense, net</w:t>
            </w:r>
          </w:p>
        </w:tc>
        <w:tc>
          <w:tcPr>
            <w:tcW w:w="13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184"/>
        </w:trPr>
        <w:tc>
          <w:tcPr>
            <w:tcW w:w="5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(expense), net</w:t>
            </w:r>
          </w:p>
        </w:tc>
        <w:tc>
          <w:tcPr>
            <w:tcW w:w="13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70"/>
        </w:trPr>
        <w:tc>
          <w:tcPr>
            <w:tcW w:w="508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Total other expense, net</w:t>
            </w:r>
          </w:p>
        </w:tc>
        <w:tc>
          <w:tcPr>
            <w:tcW w:w="1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r>
      <w:tr>
        <w:trPr>
          <w:trHeight w:val="176"/>
        </w:trPr>
        <w:tc>
          <w:tcPr>
            <w:tcW w:w="50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Income from continuing operations before income taxes</w:t>
            </w:r>
          </w:p>
        </w:tc>
        <w:tc>
          <w:tcPr>
            <w:tcW w:w="13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177"/>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(benefit) for income taxes from continuing operations</w:t>
            </w:r>
          </w:p>
        </w:tc>
        <w:tc>
          <w:tcPr>
            <w:tcW w:w="1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r>
      <w:tr>
        <w:trPr>
          <w:trHeight w:val="176"/>
        </w:trPr>
        <w:tc>
          <w:tcPr>
            <w:tcW w:w="50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Income from continuing operations</w:t>
            </w:r>
          </w:p>
        </w:tc>
        <w:tc>
          <w:tcPr>
            <w:tcW w:w="13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57"/>
        </w:trPr>
        <w:tc>
          <w:tcPr>
            <w:tcW w:w="5080" w:type="dxa"/>
            <w:vAlign w:val="bottom"/>
          </w:tcPr>
          <w:p>
            <w:pPr>
              <w:ind w:left="20"/>
              <w:spacing w:after="0" w:line="155" w:lineRule="exact"/>
              <w:rPr>
                <w:sz w:val="20"/>
                <w:szCs w:val="20"/>
                <w:color w:val="auto"/>
              </w:rPr>
            </w:pPr>
            <w:r>
              <w:rPr>
                <w:rFonts w:ascii="Arial" w:cs="Arial" w:eastAsia="Arial" w:hAnsi="Arial"/>
                <w:sz w:val="14"/>
                <w:szCs w:val="14"/>
                <w:color w:val="auto"/>
              </w:rPr>
              <w:t>Discontinued operations</w:t>
            </w:r>
          </w:p>
        </w:tc>
        <w:tc>
          <w:tcPr>
            <w:tcW w:w="1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84"/>
        </w:trPr>
        <w:tc>
          <w:tcPr>
            <w:tcW w:w="5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 from operations of discontinued component</w:t>
            </w:r>
          </w:p>
        </w:tc>
        <w:tc>
          <w:tcPr>
            <w:tcW w:w="13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77"/>
        </w:trPr>
        <w:tc>
          <w:tcPr>
            <w:tcW w:w="5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 expense (benefit)</w:t>
            </w:r>
          </w:p>
        </w:tc>
        <w:tc>
          <w:tcPr>
            <w:tcW w:w="1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176"/>
        </w:trPr>
        <w:tc>
          <w:tcPr>
            <w:tcW w:w="50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Income (loss) from discontinued operations</w:t>
            </w:r>
          </w:p>
        </w:tc>
        <w:tc>
          <w:tcPr>
            <w:tcW w:w="13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70"/>
        </w:trPr>
        <w:tc>
          <w:tcPr>
            <w:tcW w:w="5080" w:type="dxa"/>
            <w:vAlign w:val="bottom"/>
          </w:tcPr>
          <w:p>
            <w:pPr>
              <w:ind w:left="320"/>
              <w:spacing w:after="0" w:line="155" w:lineRule="exact"/>
              <w:rPr>
                <w:sz w:val="20"/>
                <w:szCs w:val="20"/>
                <w:color w:val="auto"/>
              </w:rPr>
            </w:pPr>
            <w:r>
              <w:rPr>
                <w:rFonts w:ascii="Arial" w:cs="Arial" w:eastAsia="Arial" w:hAnsi="Arial"/>
                <w:sz w:val="14"/>
                <w:szCs w:val="14"/>
                <w:color w:val="auto"/>
              </w:rPr>
              <w:t>Net income (loss)</w:t>
            </w:r>
          </w:p>
        </w:tc>
        <w:tc>
          <w:tcPr>
            <w:tcW w:w="1360" w:type="dxa"/>
            <w:vAlign w:val="bottom"/>
          </w:tcPr>
          <w:p>
            <w:pPr>
              <w:jc w:val="right"/>
              <w:ind w:right="1211"/>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4"/>
                <w:szCs w:val="14"/>
                <w:color w:val="auto"/>
              </w:rPr>
            </w:pPr>
          </w:p>
        </w:tc>
        <w:tc>
          <w:tcPr>
            <w:tcW w:w="460" w:type="dxa"/>
            <w:vAlign w:val="bottom"/>
          </w:tcPr>
          <w:p>
            <w:pPr>
              <w:jc w:val="right"/>
              <w:ind w:right="311"/>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79.4</w:t>
            </w:r>
          </w:p>
        </w:tc>
        <w:tc>
          <w:tcPr>
            <w:tcW w:w="100" w:type="dxa"/>
            <w:vAlign w:val="bottom"/>
          </w:tcPr>
          <w:p>
            <w:pPr>
              <w:spacing w:after="0"/>
              <w:rPr>
                <w:sz w:val="14"/>
                <w:szCs w:val="14"/>
                <w:color w:val="auto"/>
              </w:rPr>
            </w:pPr>
          </w:p>
        </w:tc>
        <w:tc>
          <w:tcPr>
            <w:tcW w:w="460" w:type="dxa"/>
            <w:vAlign w:val="bottom"/>
          </w:tcPr>
          <w:p>
            <w:pPr>
              <w:jc w:val="right"/>
              <w:ind w:right="311"/>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18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13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70"/>
        </w:trPr>
        <w:tc>
          <w:tcPr>
            <w:tcW w:w="5080" w:type="dxa"/>
            <w:vAlign w:val="bottom"/>
          </w:tcPr>
          <w:p>
            <w:pPr>
              <w:ind w:left="320"/>
              <w:spacing w:after="0" w:line="155" w:lineRule="exact"/>
              <w:rPr>
                <w:sz w:val="20"/>
                <w:szCs w:val="20"/>
                <w:color w:val="auto"/>
              </w:rPr>
            </w:pPr>
            <w:r>
              <w:rPr>
                <w:rFonts w:ascii="Arial" w:cs="Arial" w:eastAsia="Arial" w:hAnsi="Arial"/>
                <w:sz w:val="14"/>
                <w:szCs w:val="14"/>
                <w:color w:val="auto"/>
              </w:rPr>
              <w:t>Net income (loss) attributable to Kratos</w:t>
            </w:r>
          </w:p>
        </w:tc>
        <w:tc>
          <w:tcPr>
            <w:tcW w:w="1360" w:type="dxa"/>
            <w:vAlign w:val="bottom"/>
            <w:tcBorders>
              <w:bottom w:val="single" w:sz="8" w:color="auto"/>
            </w:tcBorders>
          </w:tcPr>
          <w:p>
            <w:pPr>
              <w:jc w:val="right"/>
              <w:ind w:right="1211"/>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49"/>
        </w:trPr>
        <w:tc>
          <w:tcPr>
            <w:tcW w:w="5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Basic income and (loss) per common share attributable to Kratos:</w:t>
            </w:r>
          </w:p>
        </w:tc>
        <w:tc>
          <w:tcPr>
            <w:tcW w:w="1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77"/>
        </w:trPr>
        <w:tc>
          <w:tcPr>
            <w:tcW w:w="5080" w:type="dxa"/>
            <w:vAlign w:val="bottom"/>
          </w:tcPr>
          <w:p>
            <w:pPr>
              <w:ind w:left="140"/>
              <w:spacing w:after="0"/>
              <w:rPr>
                <w:sz w:val="20"/>
                <w:szCs w:val="20"/>
                <w:color w:val="auto"/>
              </w:rPr>
            </w:pPr>
            <w:r>
              <w:rPr>
                <w:rFonts w:ascii="Arial" w:cs="Arial" w:eastAsia="Arial" w:hAnsi="Arial"/>
                <w:sz w:val="14"/>
                <w:szCs w:val="14"/>
                <w:color w:val="auto"/>
              </w:rPr>
              <w:t>Income from continuing operations</w:t>
            </w:r>
          </w:p>
        </w:tc>
        <w:tc>
          <w:tcPr>
            <w:tcW w:w="1360" w:type="dxa"/>
            <w:vAlign w:val="bottom"/>
          </w:tcPr>
          <w:p>
            <w:pPr>
              <w:jc w:val="right"/>
              <w:ind w:right="1211"/>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5"/>
                <w:szCs w:val="15"/>
                <w:color w:val="auto"/>
              </w:rPr>
            </w:pPr>
          </w:p>
        </w:tc>
        <w:tc>
          <w:tcPr>
            <w:tcW w:w="460" w:type="dxa"/>
            <w:vAlign w:val="bottom"/>
          </w:tcPr>
          <w:p>
            <w:pPr>
              <w:jc w:val="right"/>
              <w:ind w:right="311"/>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15"/>
                <w:szCs w:val="15"/>
                <w:color w:val="auto"/>
              </w:rPr>
            </w:pPr>
          </w:p>
        </w:tc>
        <w:tc>
          <w:tcPr>
            <w:tcW w:w="460" w:type="dxa"/>
            <w:vAlign w:val="bottom"/>
          </w:tcPr>
          <w:p>
            <w:pPr>
              <w:jc w:val="right"/>
              <w:ind w:right="311"/>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0.10</w:t>
            </w:r>
          </w:p>
        </w:tc>
      </w:tr>
      <w:tr>
        <w:trPr>
          <w:trHeight w:val="184"/>
        </w:trPr>
        <w:tc>
          <w:tcPr>
            <w:tcW w:w="5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 from discontinued operations</w:t>
            </w:r>
          </w:p>
        </w:tc>
        <w:tc>
          <w:tcPr>
            <w:tcW w:w="13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r>
      <w:tr>
        <w:trPr>
          <w:trHeight w:val="170"/>
        </w:trPr>
        <w:tc>
          <w:tcPr>
            <w:tcW w:w="5080" w:type="dxa"/>
            <w:vAlign w:val="bottom"/>
          </w:tcPr>
          <w:p>
            <w:pPr>
              <w:ind w:left="320"/>
              <w:spacing w:after="0" w:line="155" w:lineRule="exact"/>
              <w:rPr>
                <w:sz w:val="20"/>
                <w:szCs w:val="20"/>
                <w:color w:val="auto"/>
              </w:rPr>
            </w:pPr>
            <w:r>
              <w:rPr>
                <w:rFonts w:ascii="Arial" w:cs="Arial" w:eastAsia="Arial" w:hAnsi="Arial"/>
                <w:sz w:val="14"/>
                <w:szCs w:val="14"/>
                <w:color w:val="auto"/>
              </w:rPr>
              <w:t>Net income (loss) per common share</w:t>
            </w:r>
          </w:p>
        </w:tc>
        <w:tc>
          <w:tcPr>
            <w:tcW w:w="1360" w:type="dxa"/>
            <w:vAlign w:val="bottom"/>
            <w:tcBorders>
              <w:bottom w:val="single" w:sz="8" w:color="auto"/>
            </w:tcBorders>
          </w:tcPr>
          <w:p>
            <w:pPr>
              <w:jc w:val="right"/>
              <w:ind w:right="1211"/>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0.69</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49"/>
        </w:trPr>
        <w:tc>
          <w:tcPr>
            <w:tcW w:w="5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Diluted income (loss) per common share attributable to Kratos:</w:t>
            </w:r>
          </w:p>
        </w:tc>
        <w:tc>
          <w:tcPr>
            <w:tcW w:w="1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77"/>
        </w:trPr>
        <w:tc>
          <w:tcPr>
            <w:tcW w:w="5080" w:type="dxa"/>
            <w:vAlign w:val="bottom"/>
          </w:tcPr>
          <w:p>
            <w:pPr>
              <w:ind w:left="140"/>
              <w:spacing w:after="0"/>
              <w:rPr>
                <w:sz w:val="20"/>
                <w:szCs w:val="20"/>
                <w:color w:val="auto"/>
              </w:rPr>
            </w:pPr>
            <w:r>
              <w:rPr>
                <w:rFonts w:ascii="Arial" w:cs="Arial" w:eastAsia="Arial" w:hAnsi="Arial"/>
                <w:sz w:val="14"/>
                <w:szCs w:val="14"/>
                <w:color w:val="auto"/>
              </w:rPr>
              <w:t>Income from continuing operations</w:t>
            </w:r>
          </w:p>
        </w:tc>
        <w:tc>
          <w:tcPr>
            <w:tcW w:w="1360" w:type="dxa"/>
            <w:vAlign w:val="bottom"/>
          </w:tcPr>
          <w:p>
            <w:pPr>
              <w:jc w:val="right"/>
              <w:ind w:right="1211"/>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5"/>
                <w:szCs w:val="15"/>
                <w:color w:val="auto"/>
              </w:rPr>
            </w:pPr>
          </w:p>
        </w:tc>
        <w:tc>
          <w:tcPr>
            <w:tcW w:w="460" w:type="dxa"/>
            <w:vAlign w:val="bottom"/>
          </w:tcPr>
          <w:p>
            <w:pPr>
              <w:jc w:val="right"/>
              <w:ind w:right="311"/>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Pr>
          <w:p>
            <w:pPr>
              <w:spacing w:after="0"/>
              <w:rPr>
                <w:sz w:val="15"/>
                <w:szCs w:val="15"/>
                <w:color w:val="auto"/>
              </w:rPr>
            </w:pPr>
          </w:p>
        </w:tc>
        <w:tc>
          <w:tcPr>
            <w:tcW w:w="460" w:type="dxa"/>
            <w:vAlign w:val="bottom"/>
          </w:tcPr>
          <w:p>
            <w:pPr>
              <w:jc w:val="right"/>
              <w:ind w:right="311"/>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0.10</w:t>
            </w:r>
          </w:p>
        </w:tc>
      </w:tr>
      <w:tr>
        <w:trPr>
          <w:trHeight w:val="184"/>
        </w:trPr>
        <w:tc>
          <w:tcPr>
            <w:tcW w:w="5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 from discontinued operations</w:t>
            </w:r>
          </w:p>
        </w:tc>
        <w:tc>
          <w:tcPr>
            <w:tcW w:w="13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r>
      <w:tr>
        <w:trPr>
          <w:trHeight w:val="170"/>
        </w:trPr>
        <w:tc>
          <w:tcPr>
            <w:tcW w:w="5080" w:type="dxa"/>
            <w:vAlign w:val="bottom"/>
          </w:tcPr>
          <w:p>
            <w:pPr>
              <w:ind w:left="320"/>
              <w:spacing w:after="0" w:line="155" w:lineRule="exact"/>
              <w:rPr>
                <w:sz w:val="20"/>
                <w:szCs w:val="20"/>
                <w:color w:val="auto"/>
              </w:rPr>
            </w:pPr>
            <w:r>
              <w:rPr>
                <w:rFonts w:ascii="Arial" w:cs="Arial" w:eastAsia="Arial" w:hAnsi="Arial"/>
                <w:sz w:val="14"/>
                <w:szCs w:val="14"/>
                <w:color w:val="auto"/>
              </w:rPr>
              <w:t>Net income (loss) per common share</w:t>
            </w:r>
          </w:p>
        </w:tc>
        <w:tc>
          <w:tcPr>
            <w:tcW w:w="1360" w:type="dxa"/>
            <w:vAlign w:val="bottom"/>
            <w:tcBorders>
              <w:bottom w:val="single" w:sz="8" w:color="auto"/>
            </w:tcBorders>
          </w:tcPr>
          <w:p>
            <w:pPr>
              <w:jc w:val="right"/>
              <w:ind w:right="1211"/>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0.67</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49"/>
        </w:trPr>
        <w:tc>
          <w:tcPr>
            <w:tcW w:w="5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Weighted average common shares outstanding:</w:t>
            </w:r>
          </w:p>
        </w:tc>
        <w:tc>
          <w:tcPr>
            <w:tcW w:w="1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77"/>
        </w:trPr>
        <w:tc>
          <w:tcPr>
            <w:tcW w:w="5080" w:type="dxa"/>
            <w:vAlign w:val="bottom"/>
          </w:tcPr>
          <w:p>
            <w:pPr>
              <w:ind w:left="140"/>
              <w:spacing w:after="0"/>
              <w:rPr>
                <w:sz w:val="20"/>
                <w:szCs w:val="20"/>
                <w:color w:val="auto"/>
              </w:rPr>
            </w:pPr>
            <w:r>
              <w:rPr>
                <w:rFonts w:ascii="Arial" w:cs="Arial" w:eastAsia="Arial" w:hAnsi="Arial"/>
                <w:sz w:val="14"/>
                <w:szCs w:val="14"/>
                <w:color w:val="auto"/>
              </w:rPr>
              <w:t>Basic</w:t>
            </w:r>
          </w:p>
        </w:tc>
        <w:tc>
          <w:tcPr>
            <w:tcW w:w="1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124.6</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7"/>
        </w:trPr>
        <w:tc>
          <w:tcPr>
            <w:tcW w:w="5080" w:type="dxa"/>
            <w:vAlign w:val="bottom"/>
            <w:tcBorders>
              <w:bottom w:val="single" w:sz="8" w:color="CCEEFF"/>
            </w:tcBorders>
            <w:shd w:val="clear" w:color="auto" w:fill="CCEEFF"/>
          </w:tcPr>
          <w:p>
            <w:pPr>
              <w:ind w:left="140"/>
              <w:spacing w:after="0" w:line="155" w:lineRule="exact"/>
              <w:rPr>
                <w:sz w:val="20"/>
                <w:szCs w:val="20"/>
                <w:color w:val="auto"/>
              </w:rPr>
            </w:pPr>
            <w:r>
              <w:rPr>
                <w:rFonts w:ascii="Arial" w:cs="Arial" w:eastAsia="Arial" w:hAnsi="Arial"/>
                <w:sz w:val="14"/>
                <w:szCs w:val="14"/>
                <w:color w:val="auto"/>
              </w:rPr>
              <w:t>Diluted</w:t>
            </w:r>
          </w:p>
        </w:tc>
        <w:tc>
          <w:tcPr>
            <w:tcW w:w="13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128.0</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60" w:right="379" w:bottom="1440" w:gutter="0" w:footer="0" w:header="0"/>
        </w:sectPr>
      </w:pPr>
    </w:p>
    <w:bookmarkStart w:id="72" w:name="page73"/>
    <w:bookmarkEnd w:id="72"/>
    <w:p>
      <w:pPr>
        <w:jc w:val="center"/>
        <w:spacing w:after="0"/>
        <w:rPr>
          <w:sz w:val="20"/>
          <w:szCs w:val="20"/>
          <w:color w:val="auto"/>
        </w:rPr>
      </w:pPr>
      <w:r>
        <w:rPr>
          <w:rFonts w:ascii="Arial" w:cs="Arial" w:eastAsia="Arial" w:hAnsi="Arial"/>
          <w:sz w:val="15"/>
          <w:szCs w:val="15"/>
          <w:b w:val="1"/>
          <w:bCs w:val="1"/>
          <w:color w:val="auto"/>
        </w:rPr>
        <w:t>KRATOS DEFENSE &amp; SECURITY SOLUTIONS,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COMPREHENSIVE INCOME (LOSS)</w:t>
      </w:r>
    </w:p>
    <w:p>
      <w:pPr>
        <w:jc w:val="center"/>
        <w:spacing w:after="0" w:line="230" w:lineRule="auto"/>
        <w:rPr>
          <w:sz w:val="20"/>
          <w:szCs w:val="20"/>
          <w:color w:val="auto"/>
        </w:rPr>
      </w:pPr>
      <w:r>
        <w:rPr>
          <w:rFonts w:ascii="Arial" w:cs="Arial" w:eastAsia="Arial" w:hAnsi="Arial"/>
          <w:sz w:val="14"/>
          <w:szCs w:val="14"/>
          <w:b w:val="1"/>
          <w:bCs w:val="1"/>
          <w:color w:val="auto"/>
        </w:rPr>
        <w:t>Years ended December 26, 2021, December 27, 2020, and December 29, 2019</w:t>
      </w:r>
    </w:p>
    <w:p>
      <w:pPr>
        <w:jc w:val="center"/>
        <w:spacing w:after="0"/>
        <w:rPr>
          <w:sz w:val="20"/>
          <w:szCs w:val="20"/>
          <w:color w:val="auto"/>
        </w:rPr>
      </w:pPr>
      <w:r>
        <w:rPr>
          <w:rFonts w:ascii="Arial" w:cs="Arial" w:eastAsia="Arial" w:hAnsi="Arial"/>
          <w:sz w:val="14"/>
          <w:szCs w:val="14"/>
          <w:b w:val="1"/>
          <w:bCs w:val="1"/>
          <w:color w:val="auto"/>
        </w:rPr>
        <w:t>(in millions, except per share amounts)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2019</w:t>
            </w:r>
          </w:p>
        </w:tc>
      </w:tr>
      <w:tr>
        <w:trPr>
          <w:trHeight w:val="179"/>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400" w:type="dxa"/>
            <w:vAlign w:val="bottom"/>
            <w:tcBorders>
              <w:bottom w:val="single" w:sz="8" w:color="auto"/>
            </w:tcBorders>
            <w:shd w:val="clear" w:color="auto" w:fill="CCEEFF"/>
          </w:tcPr>
          <w:p>
            <w:pPr>
              <w:jc w:val="right"/>
              <w:ind w:right="1231"/>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157"/>
        </w:trPr>
        <w:tc>
          <w:tcPr>
            <w:tcW w:w="5060" w:type="dxa"/>
            <w:vAlign w:val="bottom"/>
          </w:tcPr>
          <w:p>
            <w:pPr>
              <w:ind w:left="20"/>
              <w:spacing w:after="0" w:line="155" w:lineRule="exact"/>
              <w:rPr>
                <w:sz w:val="20"/>
                <w:szCs w:val="20"/>
                <w:color w:val="auto"/>
              </w:rPr>
            </w:pPr>
            <w:r>
              <w:rPr>
                <w:rFonts w:ascii="Arial" w:cs="Arial" w:eastAsia="Arial" w:hAnsi="Arial"/>
                <w:sz w:val="14"/>
                <w:szCs w:val="14"/>
                <w:color w:val="auto"/>
              </w:rPr>
              <w:t>Other comprehensive income (loss):</w:t>
            </w:r>
          </w:p>
        </w:tc>
        <w:tc>
          <w:tcPr>
            <w:tcW w:w="1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84"/>
        </w:trPr>
        <w:tc>
          <w:tcPr>
            <w:tcW w:w="5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in cumulative translation adjustment</w:t>
            </w:r>
          </w:p>
        </w:tc>
        <w:tc>
          <w:tcPr>
            <w:tcW w:w="14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77"/>
        </w:trPr>
        <w:tc>
          <w:tcPr>
            <w:tcW w:w="5060" w:type="dxa"/>
            <w:vAlign w:val="bottom"/>
          </w:tcPr>
          <w:p>
            <w:pPr>
              <w:ind w:left="140"/>
              <w:spacing w:after="0"/>
              <w:rPr>
                <w:sz w:val="20"/>
                <w:szCs w:val="20"/>
                <w:color w:val="auto"/>
              </w:rPr>
            </w:pPr>
            <w:r>
              <w:rPr>
                <w:rFonts w:ascii="Arial" w:cs="Arial" w:eastAsia="Arial" w:hAnsi="Arial"/>
                <w:sz w:val="14"/>
                <w:szCs w:val="14"/>
                <w:color w:val="auto"/>
              </w:rPr>
              <w:t>Postretirement benefit reserve adjustment net of tax expense (income)</w:t>
            </w:r>
          </w:p>
        </w:tc>
        <w:tc>
          <w:tcPr>
            <w:tcW w:w="14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76"/>
        </w:trPr>
        <w:tc>
          <w:tcPr>
            <w:tcW w:w="506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Other comprehensive income (loss), net of tax</w:t>
            </w:r>
          </w:p>
        </w:tc>
        <w:tc>
          <w:tcPr>
            <w:tcW w:w="140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70"/>
        </w:trPr>
        <w:tc>
          <w:tcPr>
            <w:tcW w:w="506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Comprehensive income (loss)</w:t>
            </w:r>
          </w:p>
        </w:tc>
        <w:tc>
          <w:tcPr>
            <w:tcW w:w="1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r>
      <w:tr>
        <w:trPr>
          <w:trHeight w:val="176"/>
        </w:trPr>
        <w:tc>
          <w:tcPr>
            <w:tcW w:w="50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Less: Comprehensive income (loss) attributable to noncontrolling interest</w:t>
            </w:r>
          </w:p>
        </w:tc>
        <w:tc>
          <w:tcPr>
            <w:tcW w:w="14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70"/>
        </w:trPr>
        <w:tc>
          <w:tcPr>
            <w:tcW w:w="5060" w:type="dxa"/>
            <w:vAlign w:val="bottom"/>
          </w:tcPr>
          <w:p>
            <w:pPr>
              <w:ind w:left="20"/>
              <w:spacing w:after="0" w:line="155" w:lineRule="exact"/>
              <w:rPr>
                <w:sz w:val="20"/>
                <w:szCs w:val="20"/>
                <w:color w:val="auto"/>
              </w:rPr>
            </w:pPr>
            <w:r>
              <w:rPr>
                <w:rFonts w:ascii="Arial" w:cs="Arial" w:eastAsia="Arial" w:hAnsi="Arial"/>
                <w:sz w:val="14"/>
                <w:szCs w:val="14"/>
                <w:color w:val="auto"/>
              </w:rPr>
              <w:t>Comprehensive income (loss) attributable to Kratos</w:t>
            </w:r>
          </w:p>
        </w:tc>
        <w:tc>
          <w:tcPr>
            <w:tcW w:w="1400" w:type="dxa"/>
            <w:vAlign w:val="bottom"/>
            <w:tcBorders>
              <w:bottom w:val="single" w:sz="8" w:color="auto"/>
            </w:tcBorders>
          </w:tcPr>
          <w:p>
            <w:pPr>
              <w:jc w:val="right"/>
              <w:ind w:right="1231"/>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r>
      <w:tr>
        <w:trPr>
          <w:trHeight w:val="22"/>
        </w:trPr>
        <w:tc>
          <w:tcPr>
            <w:tcW w:w="50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60" w:top="860" w:right="37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5"/>
          <w:szCs w:val="15"/>
          <w:b w:val="1"/>
          <w:bCs w:val="1"/>
          <w:color w:val="auto"/>
        </w:rPr>
        <w:t>KRATOS DEFENSE &amp; SECURITY SOLUTIONS,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STOCKHOLDERS’ EQUITY</w:t>
      </w:r>
    </w:p>
    <w:p>
      <w:pPr>
        <w:jc w:val="center"/>
        <w:ind w:right="20"/>
        <w:spacing w:after="0" w:line="230" w:lineRule="auto"/>
        <w:rPr>
          <w:sz w:val="20"/>
          <w:szCs w:val="20"/>
          <w:color w:val="auto"/>
        </w:rPr>
      </w:pPr>
      <w:r>
        <w:rPr>
          <w:rFonts w:ascii="Arial" w:cs="Arial" w:eastAsia="Arial" w:hAnsi="Arial"/>
          <w:sz w:val="14"/>
          <w:szCs w:val="14"/>
          <w:b w:val="1"/>
          <w:bCs w:val="1"/>
          <w:color w:val="auto"/>
        </w:rPr>
        <w:t>Years ended December 26, 2021, December 27, 2020, and December 29, 2019</w:t>
      </w:r>
    </w:p>
    <w:p>
      <w:pPr>
        <w:jc w:val="center"/>
        <w:ind w:right="20"/>
        <w:spacing w:after="0"/>
        <w:rPr>
          <w:sz w:val="20"/>
          <w:szCs w:val="20"/>
          <w:color w:val="auto"/>
        </w:rPr>
      </w:pPr>
      <w:r>
        <w:rPr>
          <w:rFonts w:ascii="Arial" w:cs="Arial" w:eastAsia="Arial" w:hAnsi="Arial"/>
          <w:sz w:val="14"/>
          <w:szCs w:val="14"/>
          <w:b w:val="1"/>
          <w:bCs w:val="1"/>
          <w:color w:val="auto"/>
        </w:rPr>
        <w:t>(in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Redeemable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6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400" w:type="dxa"/>
            <w:vAlign w:val="bottom"/>
          </w:tcPr>
          <w:p>
            <w:pPr>
              <w:spacing w:after="0"/>
              <w:rPr>
                <w:sz w:val="8"/>
                <w:szCs w:val="8"/>
                <w:color w:val="auto"/>
              </w:rPr>
            </w:pPr>
          </w:p>
        </w:tc>
        <w:tc>
          <w:tcPr>
            <w:tcW w:w="1040" w:type="dxa"/>
            <w:vAlign w:val="bottom"/>
            <w:gridSpan w:val="2"/>
          </w:tcPr>
          <w:p>
            <w:pPr>
              <w:jc w:val="center"/>
              <w:ind w:right="80"/>
              <w:spacing w:after="0" w:line="97" w:lineRule="exact"/>
              <w:rPr>
                <w:sz w:val="20"/>
                <w:szCs w:val="20"/>
                <w:color w:val="auto"/>
              </w:rPr>
            </w:pPr>
            <w:r>
              <w:rPr>
                <w:rFonts w:ascii="Arial" w:cs="Arial" w:eastAsia="Arial" w:hAnsi="Arial"/>
                <w:sz w:val="11"/>
                <w:szCs w:val="11"/>
                <w:b w:val="1"/>
                <w:bCs w:val="1"/>
                <w:color w:val="auto"/>
              </w:rPr>
              <w:t>Noncontrolling</w:t>
            </w:r>
          </w:p>
        </w:tc>
        <w:tc>
          <w:tcPr>
            <w:tcW w:w="16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180"/>
              <w:spacing w:after="0" w:line="97" w:lineRule="exact"/>
              <w:rPr>
                <w:sz w:val="20"/>
                <w:szCs w:val="20"/>
                <w:color w:val="auto"/>
              </w:rPr>
            </w:pPr>
            <w:r>
              <w:rPr>
                <w:rFonts w:ascii="Arial" w:cs="Arial" w:eastAsia="Arial" w:hAnsi="Arial"/>
                <w:sz w:val="11"/>
                <w:szCs w:val="11"/>
                <w:b w:val="1"/>
                <w:bCs w:val="1"/>
                <w:color w:val="auto"/>
              </w:rPr>
              <w:t>Paid-In</w:t>
            </w:r>
          </w:p>
        </w:tc>
        <w:tc>
          <w:tcPr>
            <w:tcW w:w="1100" w:type="dxa"/>
            <w:vAlign w:val="bottom"/>
            <w:gridSpan w:val="3"/>
          </w:tcPr>
          <w:p>
            <w:pPr>
              <w:jc w:val="center"/>
              <w:ind w:right="80"/>
              <w:spacing w:after="0" w:line="97" w:lineRule="exact"/>
              <w:rPr>
                <w:sz w:val="20"/>
                <w:szCs w:val="20"/>
                <w:color w:val="auto"/>
              </w:rPr>
            </w:pPr>
            <w:r>
              <w:rPr>
                <w:rFonts w:ascii="Arial" w:cs="Arial" w:eastAsia="Arial" w:hAnsi="Arial"/>
                <w:sz w:val="11"/>
                <w:szCs w:val="11"/>
                <w:b w:val="1"/>
                <w:bCs w:val="1"/>
                <w:color w:val="auto"/>
              </w:rPr>
              <w:t>Comprehensive</w:t>
            </w:r>
          </w:p>
        </w:tc>
        <w:tc>
          <w:tcPr>
            <w:tcW w:w="100" w:type="dxa"/>
            <w:vAlign w:val="bottom"/>
          </w:tcPr>
          <w:p>
            <w:pPr>
              <w:spacing w:after="0"/>
              <w:rPr>
                <w:sz w:val="8"/>
                <w:szCs w:val="8"/>
                <w:color w:val="auto"/>
              </w:rPr>
            </w:pPr>
          </w:p>
        </w:tc>
        <w:tc>
          <w:tcPr>
            <w:tcW w:w="960" w:type="dxa"/>
            <w:vAlign w:val="bottom"/>
            <w:gridSpan w:val="2"/>
          </w:tcPr>
          <w:p>
            <w:pPr>
              <w:jc w:val="center"/>
              <w:ind w:right="180"/>
              <w:spacing w:after="0" w:line="97" w:lineRule="exact"/>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8"/>
                <w:szCs w:val="8"/>
                <w:color w:val="auto"/>
              </w:rPr>
            </w:pPr>
          </w:p>
        </w:tc>
        <w:tc>
          <w:tcPr>
            <w:tcW w:w="900" w:type="dxa"/>
            <w:vAlign w:val="bottom"/>
          </w:tcPr>
          <w:p>
            <w:pPr>
              <w:jc w:val="center"/>
              <w:ind w:right="32"/>
              <w:spacing w:after="0" w:line="97"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Interest</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Amounts</w:t>
            </w:r>
          </w:p>
        </w:tc>
        <w:tc>
          <w:tcPr>
            <w:tcW w:w="8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Deficit</w:t>
            </w:r>
          </w:p>
        </w:tc>
        <w:tc>
          <w:tcPr>
            <w:tcW w:w="80" w:type="dxa"/>
            <w:vAlign w:val="bottom"/>
          </w:tcPr>
          <w:p>
            <w:pPr>
              <w:spacing w:after="0"/>
              <w:rPr>
                <w:sz w:val="16"/>
                <w:szCs w:val="16"/>
                <w:color w:val="auto"/>
              </w:rPr>
            </w:pPr>
          </w:p>
        </w:tc>
        <w:tc>
          <w:tcPr>
            <w:tcW w:w="90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4"/>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30, 2018</w:t>
            </w:r>
          </w:p>
        </w:tc>
        <w:tc>
          <w:tcPr>
            <w:tcW w:w="980" w:type="dxa"/>
            <w:vAlign w:val="bottom"/>
            <w:tcBorders>
              <w:top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1,244.5</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(724.5)</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519.3</w:t>
            </w:r>
          </w:p>
        </w:tc>
        <w:tc>
          <w:tcPr>
            <w:tcW w:w="0" w:type="dxa"/>
            <w:vAlign w:val="bottom"/>
          </w:tcPr>
          <w:p>
            <w:pPr>
              <w:spacing w:after="0"/>
              <w:rPr>
                <w:sz w:val="1"/>
                <w:szCs w:val="1"/>
                <w:color w:val="auto"/>
              </w:rPr>
            </w:pPr>
          </w:p>
        </w:tc>
      </w:tr>
      <w:tr>
        <w:trPr>
          <w:trHeight w:val="177"/>
        </w:trPr>
        <w:tc>
          <w:tcPr>
            <w:tcW w:w="44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98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32"/>
        </w:trPr>
        <w:tc>
          <w:tcPr>
            <w:tcW w:w="4400" w:type="dxa"/>
            <w:vAlign w:val="bottom"/>
            <w:shd w:val="clear" w:color="auto" w:fill="CCEEFF"/>
          </w:tcPr>
          <w:p>
            <w:pPr>
              <w:ind w:left="140"/>
              <w:spacing w:after="0" w:line="132" w:lineRule="exact"/>
              <w:rPr>
                <w:sz w:val="20"/>
                <w:szCs w:val="20"/>
                <w:color w:val="auto"/>
              </w:rPr>
            </w:pPr>
            <w:r>
              <w:rPr>
                <w:rFonts w:ascii="Arial" w:cs="Arial" w:eastAsia="Arial" w:hAnsi="Arial"/>
                <w:sz w:val="14"/>
                <w:szCs w:val="14"/>
                <w:color w:val="auto"/>
                <w:w w:val="92"/>
              </w:rPr>
              <w:t>Issuance of common stock for employee stock purchase plan, options and</w:t>
            </w:r>
          </w:p>
        </w:tc>
        <w:tc>
          <w:tcPr>
            <w:tcW w:w="98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0"/>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warrants</w:t>
            </w:r>
          </w:p>
        </w:tc>
        <w:tc>
          <w:tcPr>
            <w:tcW w:w="98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400" w:type="dxa"/>
            <w:vAlign w:val="bottom"/>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98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4"/>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common stock for acquisitions</w:t>
            </w:r>
          </w:p>
        </w:tc>
        <w:tc>
          <w:tcPr>
            <w:tcW w:w="98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77"/>
        </w:trPr>
        <w:tc>
          <w:tcPr>
            <w:tcW w:w="44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98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4"/>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7"/>
        </w:trPr>
        <w:tc>
          <w:tcPr>
            <w:tcW w:w="4400" w:type="dxa"/>
            <w:vAlign w:val="bottom"/>
          </w:tcPr>
          <w:p>
            <w:pPr>
              <w:ind w:left="300"/>
              <w:spacing w:after="0"/>
              <w:rPr>
                <w:sz w:val="20"/>
                <w:szCs w:val="20"/>
                <w:color w:val="auto"/>
              </w:rPr>
            </w:pPr>
            <w:r>
              <w:rPr>
                <w:rFonts w:ascii="Arial" w:cs="Arial" w:eastAsia="Arial" w:hAnsi="Arial"/>
                <w:sz w:val="14"/>
                <w:szCs w:val="14"/>
                <w:color w:val="auto"/>
              </w:rPr>
              <w:t>Changes in noncontrolling interest</w:t>
            </w:r>
          </w:p>
        </w:tc>
        <w:tc>
          <w:tcPr>
            <w:tcW w:w="98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color w:val="auto"/>
              </w:rPr>
              <w:t>14.9</w:t>
            </w:r>
          </w:p>
        </w:tc>
        <w:tc>
          <w:tcPr>
            <w:tcW w:w="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29, 2019</w:t>
            </w:r>
          </w:p>
        </w:tc>
        <w:tc>
          <w:tcPr>
            <w:tcW w:w="980" w:type="dxa"/>
            <w:vAlign w:val="bottom"/>
            <w:tcBorders>
              <w:top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15.0</w:t>
            </w: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1,286.5</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(712.0)</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574.1</w:t>
            </w:r>
          </w:p>
        </w:tc>
        <w:tc>
          <w:tcPr>
            <w:tcW w:w="0" w:type="dxa"/>
            <w:vAlign w:val="bottom"/>
          </w:tcPr>
          <w:p>
            <w:pPr>
              <w:spacing w:after="0"/>
              <w:rPr>
                <w:sz w:val="1"/>
                <w:szCs w:val="1"/>
                <w:color w:val="auto"/>
              </w:rPr>
            </w:pPr>
          </w:p>
        </w:tc>
      </w:tr>
      <w:tr>
        <w:trPr>
          <w:trHeight w:val="177"/>
        </w:trPr>
        <w:tc>
          <w:tcPr>
            <w:tcW w:w="44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98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32"/>
        </w:trPr>
        <w:tc>
          <w:tcPr>
            <w:tcW w:w="4400" w:type="dxa"/>
            <w:vAlign w:val="bottom"/>
            <w:shd w:val="clear" w:color="auto" w:fill="CCEEFF"/>
          </w:tcPr>
          <w:p>
            <w:pPr>
              <w:ind w:left="140"/>
              <w:spacing w:after="0" w:line="132" w:lineRule="exact"/>
              <w:rPr>
                <w:sz w:val="20"/>
                <w:szCs w:val="20"/>
                <w:color w:val="auto"/>
              </w:rPr>
            </w:pPr>
            <w:r>
              <w:rPr>
                <w:rFonts w:ascii="Arial" w:cs="Arial" w:eastAsia="Arial" w:hAnsi="Arial"/>
                <w:sz w:val="14"/>
                <w:szCs w:val="14"/>
                <w:color w:val="auto"/>
                <w:w w:val="92"/>
              </w:rPr>
              <w:t>Issuance of common stock for employee stock purchase plan, options and</w:t>
            </w:r>
          </w:p>
        </w:tc>
        <w:tc>
          <w:tcPr>
            <w:tcW w:w="98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0"/>
        </w:trPr>
        <w:tc>
          <w:tcPr>
            <w:tcW w:w="44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warrants</w:t>
            </w:r>
          </w:p>
        </w:tc>
        <w:tc>
          <w:tcPr>
            <w:tcW w:w="98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400" w:type="dxa"/>
            <w:vAlign w:val="bottom"/>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98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4"/>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common stock</w:t>
            </w:r>
          </w:p>
        </w:tc>
        <w:tc>
          <w:tcPr>
            <w:tcW w:w="98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245.4</w:t>
            </w:r>
          </w:p>
        </w:tc>
        <w:tc>
          <w:tcPr>
            <w:tcW w:w="0" w:type="dxa"/>
            <w:vAlign w:val="bottom"/>
          </w:tcPr>
          <w:p>
            <w:pPr>
              <w:spacing w:after="0"/>
              <w:rPr>
                <w:sz w:val="1"/>
                <w:szCs w:val="1"/>
                <w:color w:val="auto"/>
              </w:rPr>
            </w:pPr>
          </w:p>
        </w:tc>
      </w:tr>
      <w:tr>
        <w:trPr>
          <w:trHeight w:val="177"/>
        </w:trPr>
        <w:tc>
          <w:tcPr>
            <w:tcW w:w="440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79.6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79.6</w:t>
            </w:r>
          </w:p>
        </w:tc>
        <w:tc>
          <w:tcPr>
            <w:tcW w:w="0" w:type="dxa"/>
            <w:vAlign w:val="bottom"/>
          </w:tcPr>
          <w:p>
            <w:pPr>
              <w:spacing w:after="0"/>
              <w:rPr>
                <w:sz w:val="1"/>
                <w:szCs w:val="1"/>
                <w:color w:val="auto"/>
              </w:rPr>
            </w:pPr>
          </w:p>
        </w:tc>
      </w:tr>
      <w:tr>
        <w:trPr>
          <w:trHeight w:val="184"/>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0"/>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Balance, December 27, 2020</w:t>
            </w:r>
          </w:p>
        </w:tc>
        <w:tc>
          <w:tcPr>
            <w:tcW w:w="980" w:type="dxa"/>
            <w:vAlign w:val="bottom"/>
            <w:tcBorders>
              <w:top w:val="single" w:sz="8" w:color="auto"/>
              <w:right w:val="single" w:sz="8" w:color="auto"/>
            </w:tcBorders>
          </w:tcPr>
          <w:p>
            <w:pPr>
              <w:jc w:val="right"/>
              <w:ind w:right="12"/>
              <w:spacing w:after="0"/>
              <w:rPr>
                <w:sz w:val="20"/>
                <w:szCs w:val="20"/>
                <w:color w:val="auto"/>
              </w:rPr>
            </w:pPr>
            <w:r>
              <w:rPr>
                <w:rFonts w:ascii="Arial" w:cs="Arial" w:eastAsia="Arial" w:hAnsi="Arial"/>
                <w:sz w:val="14"/>
                <w:szCs w:val="14"/>
                <w:color w:val="auto"/>
              </w:rPr>
              <w:t>14.8</w:t>
            </w:r>
          </w:p>
        </w:tc>
        <w:tc>
          <w:tcPr>
            <w:tcW w:w="6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123.0</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1,556.3</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(632.4)</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925.3</w:t>
            </w:r>
          </w:p>
        </w:tc>
        <w:tc>
          <w:tcPr>
            <w:tcW w:w="0" w:type="dxa"/>
            <w:vAlign w:val="bottom"/>
          </w:tcPr>
          <w:p>
            <w:pPr>
              <w:spacing w:after="0"/>
              <w:rPr>
                <w:sz w:val="1"/>
                <w:szCs w:val="1"/>
                <w:color w:val="auto"/>
              </w:rPr>
            </w:pPr>
          </w:p>
        </w:tc>
      </w:tr>
      <w:tr>
        <w:trPr>
          <w:trHeight w:val="184"/>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98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29"/>
        </w:trPr>
        <w:tc>
          <w:tcPr>
            <w:tcW w:w="4400" w:type="dxa"/>
            <w:vAlign w:val="bottom"/>
          </w:tcPr>
          <w:p>
            <w:pPr>
              <w:ind w:left="140"/>
              <w:spacing w:after="0" w:line="129" w:lineRule="exact"/>
              <w:rPr>
                <w:sz w:val="20"/>
                <w:szCs w:val="20"/>
                <w:color w:val="auto"/>
              </w:rPr>
            </w:pPr>
            <w:r>
              <w:rPr>
                <w:rFonts w:ascii="Arial" w:cs="Arial" w:eastAsia="Arial" w:hAnsi="Arial"/>
                <w:sz w:val="14"/>
                <w:szCs w:val="14"/>
                <w:color w:val="auto"/>
                <w:w w:val="92"/>
              </w:rPr>
              <w:t>Issuance of common stock for employee stock purchase plan, options and</w:t>
            </w:r>
          </w:p>
        </w:tc>
        <w:tc>
          <w:tcPr>
            <w:tcW w:w="98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77"/>
        </w:trPr>
        <w:tc>
          <w:tcPr>
            <w:tcW w:w="4400" w:type="dxa"/>
            <w:vAlign w:val="bottom"/>
          </w:tcPr>
          <w:p>
            <w:pPr>
              <w:ind w:left="300"/>
              <w:spacing w:after="0"/>
              <w:rPr>
                <w:sz w:val="20"/>
                <w:szCs w:val="20"/>
                <w:color w:val="auto"/>
              </w:rPr>
            </w:pPr>
            <w:r>
              <w:rPr>
                <w:rFonts w:ascii="Arial" w:cs="Arial" w:eastAsia="Arial" w:hAnsi="Arial"/>
                <w:sz w:val="14"/>
                <w:szCs w:val="14"/>
                <w:color w:val="auto"/>
              </w:rPr>
              <w:t>warrants</w:t>
            </w:r>
          </w:p>
        </w:tc>
        <w:tc>
          <w:tcPr>
            <w:tcW w:w="9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98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77"/>
        </w:trPr>
        <w:tc>
          <w:tcPr>
            <w:tcW w:w="440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98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color w:val="auto"/>
              </w:rPr>
              <w:t>0.4</w:t>
            </w:r>
          </w:p>
        </w:tc>
        <w:tc>
          <w:tcPr>
            <w:tcW w:w="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4"/>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 net of tax</w:t>
            </w:r>
          </w:p>
        </w:tc>
        <w:tc>
          <w:tcPr>
            <w:tcW w:w="98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Balance, December 26, 2021</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15.2</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1,578.9</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0.6</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(634.4)</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945.1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60" w:right="33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7"/>
          <w:szCs w:val="17"/>
          <w:b w:val="1"/>
          <w:bCs w:val="1"/>
          <w:color w:val="auto"/>
        </w:rPr>
        <w:t>KRATOS DEFENSE &amp; SECURITY SOLUTIONS,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Years ended December 26, 2021, December 27, 2020, and December 29, 2019</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5"/>
                <w:szCs w:val="15"/>
                <w:b w:val="1"/>
                <w:bCs w:val="1"/>
                <w:color w:val="auto"/>
              </w:rPr>
              <w:t>2019</w:t>
            </w:r>
          </w:p>
        </w:tc>
      </w:tr>
      <w:tr>
        <w:trPr>
          <w:trHeight w:val="202"/>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activities: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7060" w:type="dxa"/>
            <w:vAlign w:val="bottom"/>
          </w:tcPr>
          <w:p>
            <w:pPr>
              <w:ind w:left="120"/>
              <w:spacing w:after="0"/>
              <w:rPr>
                <w:sz w:val="20"/>
                <w:szCs w:val="20"/>
                <w:color w:val="auto"/>
              </w:rPr>
            </w:pPr>
            <w:r>
              <w:rPr>
                <w:rFonts w:ascii="Arial" w:cs="Arial" w:eastAsia="Arial" w:hAnsi="Arial"/>
                <w:sz w:val="15"/>
                <w:szCs w:val="15"/>
                <w:color w:val="auto"/>
              </w:rPr>
              <w:t>Net income (loss)</w:t>
            </w:r>
          </w:p>
        </w:tc>
        <w:tc>
          <w:tcPr>
            <w:tcW w:w="860" w:type="dxa"/>
            <w:vAlign w:val="bottom"/>
          </w:tcPr>
          <w:p>
            <w:pPr>
              <w:jc w:val="right"/>
              <w:ind w:right="683"/>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79.4</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12.6</w:t>
            </w:r>
          </w:p>
        </w:tc>
      </w:tr>
      <w:tr>
        <w:trPr>
          <w:trHeight w:val="209"/>
        </w:trPr>
        <w:tc>
          <w:tcPr>
            <w:tcW w:w="7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 (loss) from discontinued operations</w:t>
            </w: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1.7</w:t>
            </w:r>
          </w:p>
        </w:tc>
      </w:tr>
      <w:tr>
        <w:trPr>
          <w:trHeight w:val="196"/>
        </w:trPr>
        <w:tc>
          <w:tcPr>
            <w:tcW w:w="7060" w:type="dxa"/>
            <w:vAlign w:val="bottom"/>
          </w:tcPr>
          <w:p>
            <w:pPr>
              <w:ind w:left="120"/>
              <w:spacing w:after="0"/>
              <w:rPr>
                <w:sz w:val="20"/>
                <w:szCs w:val="20"/>
                <w:color w:val="auto"/>
              </w:rPr>
            </w:pPr>
            <w:r>
              <w:rPr>
                <w:rFonts w:ascii="Arial" w:cs="Arial" w:eastAsia="Arial" w:hAnsi="Arial"/>
                <w:sz w:val="15"/>
                <w:szCs w:val="15"/>
                <w:color w:val="auto"/>
              </w:rPr>
              <w:t>Income from continuing operations</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80.3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10.9</w:t>
            </w:r>
          </w:p>
        </w:tc>
      </w:tr>
      <w:tr>
        <w:trPr>
          <w:trHeight w:val="162"/>
        </w:trPr>
        <w:tc>
          <w:tcPr>
            <w:tcW w:w="70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w w:val="98"/>
              </w:rPr>
              <w:t>Adjustments to reconcile income from continuing operations to net cash provided by operating activities</w:t>
            </w: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1"/>
        </w:trPr>
        <w:tc>
          <w:tcPr>
            <w:tcW w:w="7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from continuing operations: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706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24.6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23.4</w:t>
            </w:r>
          </w:p>
        </w:tc>
      </w:tr>
      <w:tr>
        <w:trPr>
          <w:trHeight w:val="209"/>
        </w:trPr>
        <w:tc>
          <w:tcPr>
            <w:tcW w:w="7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income taxes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r>
      <w:tr>
        <w:trPr>
          <w:trHeight w:val="203"/>
        </w:trPr>
        <w:tc>
          <w:tcPr>
            <w:tcW w:w="7060" w:type="dxa"/>
            <w:vAlign w:val="bottom"/>
          </w:tcPr>
          <w:p>
            <w:pPr>
              <w:ind w:left="320"/>
              <w:spacing w:after="0"/>
              <w:rPr>
                <w:sz w:val="20"/>
                <w:szCs w:val="20"/>
                <w:color w:val="auto"/>
              </w:rPr>
            </w:pPr>
            <w:r>
              <w:rPr>
                <w:rFonts w:ascii="Arial" w:cs="Arial" w:eastAsia="Arial" w:hAnsi="Arial"/>
                <w:sz w:val="15"/>
                <w:szCs w:val="15"/>
                <w:color w:val="auto"/>
              </w:rPr>
              <w:t>Amortization of lease right-of-use assets</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9.4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11.7</w:t>
            </w:r>
          </w:p>
        </w:tc>
      </w:tr>
      <w:tr>
        <w:trPr>
          <w:trHeight w:val="209"/>
        </w:trPr>
        <w:tc>
          <w:tcPr>
            <w:tcW w:w="7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Stock-based compensation</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11.0</w:t>
            </w:r>
          </w:p>
        </w:tc>
      </w:tr>
      <w:tr>
        <w:trPr>
          <w:trHeight w:val="203"/>
        </w:trPr>
        <w:tc>
          <w:tcPr>
            <w:tcW w:w="7060" w:type="dxa"/>
            <w:vAlign w:val="bottom"/>
          </w:tcPr>
          <w:p>
            <w:pPr>
              <w:ind w:left="320"/>
              <w:spacing w:after="0"/>
              <w:rPr>
                <w:sz w:val="20"/>
                <w:szCs w:val="20"/>
                <w:color w:val="auto"/>
              </w:rPr>
            </w:pPr>
            <w:r>
              <w:rPr>
                <w:rFonts w:ascii="Arial" w:cs="Arial" w:eastAsia="Arial" w:hAnsi="Arial"/>
                <w:sz w:val="15"/>
                <w:szCs w:val="15"/>
                <w:color w:val="auto"/>
              </w:rPr>
              <w:t>Amortization of deferred financing costs</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1.0</w:t>
            </w:r>
          </w:p>
        </w:tc>
      </w:tr>
      <w:tr>
        <w:trPr>
          <w:trHeight w:val="209"/>
        </w:trPr>
        <w:tc>
          <w:tcPr>
            <w:tcW w:w="7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Recovery of doubtful accounts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r>
      <w:tr>
        <w:trPr>
          <w:trHeight w:val="203"/>
        </w:trPr>
        <w:tc>
          <w:tcPr>
            <w:tcW w:w="7060" w:type="dxa"/>
            <w:vAlign w:val="bottom"/>
          </w:tcPr>
          <w:p>
            <w:pPr>
              <w:ind w:left="320"/>
              <w:spacing w:after="0"/>
              <w:rPr>
                <w:sz w:val="20"/>
                <w:szCs w:val="20"/>
                <w:color w:val="auto"/>
              </w:rPr>
            </w:pPr>
            <w:r>
              <w:rPr>
                <w:rFonts w:ascii="Arial" w:cs="Arial" w:eastAsia="Arial" w:hAnsi="Arial"/>
                <w:sz w:val="15"/>
                <w:szCs w:val="15"/>
                <w:color w:val="auto"/>
              </w:rPr>
              <w:t>Changes in assets and liabilities, net of acquisitions:</w:t>
            </w: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70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Accounts receivable</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r>
      <w:tr>
        <w:trPr>
          <w:trHeight w:val="203"/>
        </w:trPr>
        <w:tc>
          <w:tcPr>
            <w:tcW w:w="7060" w:type="dxa"/>
            <w:vAlign w:val="bottom"/>
          </w:tcPr>
          <w:p>
            <w:pPr>
              <w:ind w:left="520"/>
              <w:spacing w:after="0"/>
              <w:rPr>
                <w:sz w:val="20"/>
                <w:szCs w:val="20"/>
                <w:color w:val="auto"/>
              </w:rPr>
            </w:pPr>
            <w:r>
              <w:rPr>
                <w:rFonts w:ascii="Arial" w:cs="Arial" w:eastAsia="Arial" w:hAnsi="Arial"/>
                <w:sz w:val="15"/>
                <w:szCs w:val="15"/>
                <w:color w:val="auto"/>
              </w:rPr>
              <w:t>Unbilled receivables</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09"/>
        </w:trPr>
        <w:tc>
          <w:tcPr>
            <w:tcW w:w="70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Inventoried costs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r>
      <w:tr>
        <w:trPr>
          <w:trHeight w:val="203"/>
        </w:trPr>
        <w:tc>
          <w:tcPr>
            <w:tcW w:w="7060" w:type="dxa"/>
            <w:vAlign w:val="bottom"/>
          </w:tcPr>
          <w:p>
            <w:pPr>
              <w:ind w:left="520"/>
              <w:spacing w:after="0"/>
              <w:rPr>
                <w:sz w:val="20"/>
                <w:szCs w:val="20"/>
                <w:color w:val="auto"/>
              </w:rPr>
            </w:pPr>
            <w:r>
              <w:rPr>
                <w:rFonts w:ascii="Arial" w:cs="Arial" w:eastAsia="Arial" w:hAnsi="Arial"/>
                <w:sz w:val="15"/>
                <w:szCs w:val="15"/>
                <w:color w:val="auto"/>
              </w:rPr>
              <w:t>Prepaid expenses</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0.3</w:t>
            </w:r>
          </w:p>
        </w:tc>
      </w:tr>
      <w:tr>
        <w:trPr>
          <w:trHeight w:val="209"/>
        </w:trPr>
        <w:tc>
          <w:tcPr>
            <w:tcW w:w="70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Other assets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r>
      <w:tr>
        <w:trPr>
          <w:trHeight w:val="203"/>
        </w:trPr>
        <w:tc>
          <w:tcPr>
            <w:tcW w:w="7060" w:type="dxa"/>
            <w:vAlign w:val="bottom"/>
          </w:tcPr>
          <w:p>
            <w:pPr>
              <w:ind w:left="520"/>
              <w:spacing w:after="0"/>
              <w:rPr>
                <w:sz w:val="20"/>
                <w:szCs w:val="20"/>
                <w:color w:val="auto"/>
              </w:rPr>
            </w:pPr>
            <w:r>
              <w:rPr>
                <w:rFonts w:ascii="Arial" w:cs="Arial" w:eastAsia="Arial" w:hAnsi="Arial"/>
                <w:sz w:val="15"/>
                <w:szCs w:val="15"/>
                <w:color w:val="auto"/>
              </w:rPr>
              <w:t>Operating lease liabilities</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09"/>
        </w:trPr>
        <w:tc>
          <w:tcPr>
            <w:tcW w:w="70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Accounts payable</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4.8</w:t>
            </w:r>
          </w:p>
        </w:tc>
      </w:tr>
      <w:tr>
        <w:trPr>
          <w:trHeight w:val="203"/>
        </w:trPr>
        <w:tc>
          <w:tcPr>
            <w:tcW w:w="7060" w:type="dxa"/>
            <w:vAlign w:val="bottom"/>
          </w:tcPr>
          <w:p>
            <w:pPr>
              <w:ind w:left="520"/>
              <w:spacing w:after="0"/>
              <w:rPr>
                <w:sz w:val="20"/>
                <w:szCs w:val="20"/>
                <w:color w:val="auto"/>
              </w:rPr>
            </w:pPr>
            <w:r>
              <w:rPr>
                <w:rFonts w:ascii="Arial" w:cs="Arial" w:eastAsia="Arial" w:hAnsi="Arial"/>
                <w:sz w:val="15"/>
                <w:szCs w:val="15"/>
                <w:color w:val="auto"/>
              </w:rPr>
              <w:t>Accrued expenses</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09"/>
        </w:trPr>
        <w:tc>
          <w:tcPr>
            <w:tcW w:w="70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Accrued compensation</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1.7</w:t>
            </w:r>
          </w:p>
        </w:tc>
      </w:tr>
      <w:tr>
        <w:trPr>
          <w:trHeight w:val="203"/>
        </w:trPr>
        <w:tc>
          <w:tcPr>
            <w:tcW w:w="7060" w:type="dxa"/>
            <w:vAlign w:val="bottom"/>
          </w:tcPr>
          <w:p>
            <w:pPr>
              <w:ind w:left="520"/>
              <w:spacing w:after="0"/>
              <w:rPr>
                <w:sz w:val="20"/>
                <w:szCs w:val="20"/>
                <w:color w:val="auto"/>
              </w:rPr>
            </w:pPr>
            <w:r>
              <w:rPr>
                <w:rFonts w:ascii="Arial" w:cs="Arial" w:eastAsia="Arial" w:hAnsi="Arial"/>
                <w:sz w:val="15"/>
                <w:szCs w:val="15"/>
                <w:color w:val="auto"/>
              </w:rPr>
              <w:t>Accrued interest</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(0.1)</w:t>
            </w:r>
          </w:p>
        </w:tc>
      </w:tr>
      <w:tr>
        <w:trPr>
          <w:trHeight w:val="209"/>
        </w:trPr>
        <w:tc>
          <w:tcPr>
            <w:tcW w:w="70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Billings in excess of costs and earnings on uncompleted contracts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r>
      <w:tr>
        <w:trPr>
          <w:trHeight w:val="203"/>
        </w:trPr>
        <w:tc>
          <w:tcPr>
            <w:tcW w:w="7060" w:type="dxa"/>
            <w:vAlign w:val="bottom"/>
          </w:tcPr>
          <w:p>
            <w:pPr>
              <w:ind w:left="520"/>
              <w:spacing w:after="0"/>
              <w:rPr>
                <w:sz w:val="20"/>
                <w:szCs w:val="20"/>
                <w:color w:val="auto"/>
              </w:rPr>
            </w:pPr>
            <w:r>
              <w:rPr>
                <w:rFonts w:ascii="Arial" w:cs="Arial" w:eastAsia="Arial" w:hAnsi="Arial"/>
                <w:sz w:val="15"/>
                <w:szCs w:val="15"/>
                <w:color w:val="auto"/>
              </w:rPr>
              <w:t>Income tax receivable and payable</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1.8</w:t>
            </w:r>
          </w:p>
        </w:tc>
      </w:tr>
      <w:tr>
        <w:trPr>
          <w:trHeight w:val="209"/>
        </w:trPr>
        <w:tc>
          <w:tcPr>
            <w:tcW w:w="70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Other liabilities</w:t>
            </w: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12.1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1.3</w:t>
            </w:r>
          </w:p>
        </w:tc>
      </w:tr>
      <w:tr>
        <w:trPr>
          <w:trHeight w:val="196"/>
        </w:trPr>
        <w:tc>
          <w:tcPr>
            <w:tcW w:w="70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Net cash provided by operating activities from continuing operations</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rPr>
              <w:t>44.7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rPr>
              <w:t>28.9</w:t>
            </w:r>
          </w:p>
        </w:tc>
      </w:tr>
      <w:tr>
        <w:trPr>
          <w:trHeight w:val="202"/>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Investing activities: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7060" w:type="dxa"/>
            <w:vAlign w:val="bottom"/>
          </w:tcPr>
          <w:p>
            <w:pPr>
              <w:ind w:left="120"/>
              <w:spacing w:after="0"/>
              <w:rPr>
                <w:sz w:val="20"/>
                <w:szCs w:val="20"/>
                <w:color w:val="auto"/>
              </w:rPr>
            </w:pPr>
            <w:r>
              <w:rPr>
                <w:rFonts w:ascii="Arial" w:cs="Arial" w:eastAsia="Arial" w:hAnsi="Arial"/>
                <w:sz w:val="15"/>
                <w:szCs w:val="15"/>
                <w:color w:val="auto"/>
              </w:rPr>
              <w:t>Cash paid for acquisitions, net of cash acquired</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(17.7)</w:t>
            </w:r>
          </w:p>
        </w:tc>
      </w:tr>
      <w:tr>
        <w:trPr>
          <w:trHeight w:val="209"/>
        </w:trPr>
        <w:tc>
          <w:tcPr>
            <w:tcW w:w="7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sale of assets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0.3</w:t>
            </w:r>
          </w:p>
        </w:tc>
      </w:tr>
      <w:tr>
        <w:trPr>
          <w:trHeight w:val="218"/>
        </w:trPr>
        <w:tc>
          <w:tcPr>
            <w:tcW w:w="7060" w:type="dxa"/>
            <w:vAlign w:val="bottom"/>
          </w:tcPr>
          <w:p>
            <w:pPr>
              <w:ind w:left="120"/>
              <w:spacing w:after="0"/>
              <w:rPr>
                <w:sz w:val="20"/>
                <w:szCs w:val="20"/>
                <w:color w:val="auto"/>
              </w:rPr>
            </w:pPr>
            <w:r>
              <w:rPr>
                <w:rFonts w:ascii="Arial" w:cs="Arial" w:eastAsia="Arial" w:hAnsi="Arial"/>
                <w:sz w:val="15"/>
                <w:szCs w:val="15"/>
                <w:color w:val="auto"/>
              </w:rPr>
              <w:t>Proceeds from insurance</w:t>
            </w:r>
          </w:p>
        </w:tc>
        <w:tc>
          <w:tcPr>
            <w:tcW w:w="860" w:type="dxa"/>
            <w:vAlign w:val="bottom"/>
          </w:tcPr>
          <w:p>
            <w:pPr>
              <w:spacing w:after="0"/>
              <w:rPr>
                <w:sz w:val="18"/>
                <w:szCs w:val="18"/>
                <w:color w:val="auto"/>
              </w:rPr>
            </w:pPr>
          </w:p>
        </w:tc>
        <w:tc>
          <w:tcPr>
            <w:tcW w:w="460" w:type="dxa"/>
            <w:vAlign w:val="bottom"/>
          </w:tcPr>
          <w:p>
            <w:pPr>
              <w:jc w:val="right"/>
              <w:ind w:right="2"/>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7"/>
                <w:szCs w:val="17"/>
                <w:color w:val="auto"/>
              </w:rPr>
              <w:t>—</w:t>
            </w:r>
          </w:p>
        </w:tc>
      </w:tr>
      <w:tr>
        <w:trPr>
          <w:trHeight w:val="207"/>
        </w:trPr>
        <w:tc>
          <w:tcPr>
            <w:tcW w:w="7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Capital expenditures</w:t>
            </w: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w:t>
            </w:r>
          </w:p>
        </w:tc>
      </w:tr>
      <w:tr>
        <w:trPr>
          <w:trHeight w:val="196"/>
        </w:trPr>
        <w:tc>
          <w:tcPr>
            <w:tcW w:w="70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Net cash used in investing activities from continuing operations</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(43.7)</w:t>
            </w:r>
          </w:p>
        </w:tc>
      </w:tr>
      <w:tr>
        <w:trPr>
          <w:trHeight w:val="202"/>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Financing activities: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7060" w:type="dxa"/>
            <w:vAlign w:val="bottom"/>
          </w:tcPr>
          <w:p>
            <w:pPr>
              <w:ind w:left="120"/>
              <w:spacing w:after="0"/>
              <w:rPr>
                <w:sz w:val="20"/>
                <w:szCs w:val="20"/>
                <w:color w:val="auto"/>
              </w:rPr>
            </w:pPr>
            <w:r>
              <w:rPr>
                <w:rFonts w:ascii="Arial" w:cs="Arial" w:eastAsia="Arial" w:hAnsi="Arial"/>
                <w:sz w:val="15"/>
                <w:szCs w:val="15"/>
                <w:color w:val="auto"/>
              </w:rPr>
              <w:t>Proceeds from the issuance of long-term debt</w:t>
            </w:r>
          </w:p>
        </w:tc>
        <w:tc>
          <w:tcPr>
            <w:tcW w:w="86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w:t>
            </w:r>
          </w:p>
        </w:tc>
      </w:tr>
      <w:tr>
        <w:trPr>
          <w:trHeight w:val="209"/>
        </w:trPr>
        <w:tc>
          <w:tcPr>
            <w:tcW w:w="7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the issuance of common stock</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240.4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w:t>
            </w:r>
          </w:p>
        </w:tc>
      </w:tr>
      <w:tr>
        <w:trPr>
          <w:trHeight w:val="203"/>
        </w:trPr>
        <w:tc>
          <w:tcPr>
            <w:tcW w:w="7060" w:type="dxa"/>
            <w:vAlign w:val="bottom"/>
          </w:tcPr>
          <w:p>
            <w:pPr>
              <w:ind w:left="120"/>
              <w:spacing w:after="0"/>
              <w:rPr>
                <w:sz w:val="20"/>
                <w:szCs w:val="20"/>
                <w:color w:val="auto"/>
              </w:rPr>
            </w:pPr>
            <w:r>
              <w:rPr>
                <w:rFonts w:ascii="Arial" w:cs="Arial" w:eastAsia="Arial" w:hAnsi="Arial"/>
                <w:sz w:val="15"/>
                <w:szCs w:val="15"/>
                <w:color w:val="auto"/>
              </w:rPr>
              <w:t>Repayment under credit facility and debt</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w:t>
            </w:r>
          </w:p>
        </w:tc>
      </w:tr>
      <w:tr>
        <w:trPr>
          <w:trHeight w:val="222"/>
        </w:trPr>
        <w:tc>
          <w:tcPr>
            <w:tcW w:w="7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Payments of employee taxes withheld from share-based awards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03"/>
        </w:trPr>
        <w:tc>
          <w:tcPr>
            <w:tcW w:w="7060" w:type="dxa"/>
            <w:vAlign w:val="bottom"/>
          </w:tcPr>
          <w:p>
            <w:pPr>
              <w:ind w:left="120"/>
              <w:spacing w:after="0"/>
              <w:rPr>
                <w:sz w:val="20"/>
                <w:szCs w:val="20"/>
                <w:color w:val="auto"/>
              </w:rPr>
            </w:pPr>
            <w:r>
              <w:rPr>
                <w:rFonts w:ascii="Arial" w:cs="Arial" w:eastAsia="Arial" w:hAnsi="Arial"/>
                <w:sz w:val="15"/>
                <w:szCs w:val="15"/>
                <w:color w:val="auto"/>
              </w:rPr>
              <w:t>Payments under finance leases</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(0.5)</w:t>
            </w:r>
          </w:p>
        </w:tc>
      </w:tr>
      <w:tr>
        <w:trPr>
          <w:trHeight w:val="209"/>
        </w:trPr>
        <w:tc>
          <w:tcPr>
            <w:tcW w:w="7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shares issued under equity plans</w:t>
            </w: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4.8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4.9</w:t>
            </w:r>
          </w:p>
        </w:tc>
      </w:tr>
      <w:tr>
        <w:trPr>
          <w:trHeight w:val="196"/>
        </w:trPr>
        <w:tc>
          <w:tcPr>
            <w:tcW w:w="70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Net cash provided (used in) by financing activities from continuing operations</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rPr>
              <w:t>247.7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rPr>
              <w:t>3.5</w:t>
            </w:r>
          </w:p>
        </w:tc>
      </w:tr>
      <w:tr>
        <w:trPr>
          <w:trHeight w:val="202"/>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flows of continuing operations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205.1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w:t>
            </w:r>
          </w:p>
        </w:tc>
      </w:tr>
      <w:tr>
        <w:trPr>
          <w:trHeight w:val="203"/>
        </w:trPr>
        <w:tc>
          <w:tcPr>
            <w:tcW w:w="7060" w:type="dxa"/>
            <w:vAlign w:val="bottom"/>
          </w:tcPr>
          <w:p>
            <w:pPr>
              <w:ind w:left="20"/>
              <w:spacing w:after="0"/>
              <w:rPr>
                <w:sz w:val="20"/>
                <w:szCs w:val="20"/>
                <w:color w:val="auto"/>
              </w:rPr>
            </w:pPr>
            <w:r>
              <w:rPr>
                <w:rFonts w:ascii="Arial" w:cs="Arial" w:eastAsia="Arial" w:hAnsi="Arial"/>
                <w:sz w:val="15"/>
                <w:szCs w:val="15"/>
                <w:color w:val="auto"/>
              </w:rPr>
              <w:t>Net operating cash flows of discontinued operations</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1.1</w:t>
            </w: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1.9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w:t>
            </w:r>
          </w:p>
        </w:tc>
      </w:tr>
      <w:tr>
        <w:trPr>
          <w:trHeight w:val="196"/>
        </w:trPr>
        <w:tc>
          <w:tcPr>
            <w:tcW w:w="7060" w:type="dxa"/>
            <w:vAlign w:val="bottom"/>
          </w:tcPr>
          <w:p>
            <w:pPr>
              <w:ind w:left="2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208.9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at beginning of year</w:t>
            </w: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172.6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183.0</w:t>
            </w:r>
          </w:p>
        </w:tc>
      </w:tr>
      <w:tr>
        <w:trPr>
          <w:trHeight w:val="196"/>
        </w:trPr>
        <w:tc>
          <w:tcPr>
            <w:tcW w:w="706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at end of year</w:t>
            </w:r>
          </w:p>
        </w:tc>
        <w:tc>
          <w:tcPr>
            <w:tcW w:w="860" w:type="dxa"/>
            <w:vAlign w:val="bottom"/>
            <w:tcBorders>
              <w:bottom w:val="single" w:sz="8" w:color="auto"/>
            </w:tcBorders>
          </w:tcPr>
          <w:p>
            <w:pPr>
              <w:jc w:val="right"/>
              <w:ind w:right="683"/>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rPr>
              <w:t>381.5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rPr>
              <w:t>172.6</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5"/>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 of cash flow information:</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3"/>
        </w:trPr>
        <w:tc>
          <w:tcPr>
            <w:tcW w:w="7060" w:type="dxa"/>
            <w:vAlign w:val="bottom"/>
          </w:tcPr>
          <w:p>
            <w:pPr>
              <w:ind w:left="160"/>
              <w:spacing w:after="0"/>
              <w:rPr>
                <w:sz w:val="20"/>
                <w:szCs w:val="20"/>
                <w:color w:val="auto"/>
              </w:rPr>
            </w:pPr>
            <w:r>
              <w:rPr>
                <w:rFonts w:ascii="Arial" w:cs="Arial" w:eastAsia="Arial" w:hAnsi="Arial"/>
                <w:sz w:val="15"/>
                <w:szCs w:val="15"/>
                <w:color w:val="auto"/>
              </w:rPr>
              <w:t>Cash paid during the year for interest</w:t>
            </w:r>
          </w:p>
        </w:tc>
        <w:tc>
          <w:tcPr>
            <w:tcW w:w="860" w:type="dxa"/>
            <w:vAlign w:val="bottom"/>
          </w:tcPr>
          <w:p>
            <w:pPr>
              <w:jc w:val="right"/>
              <w:ind w:right="683"/>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
              <w:spacing w:after="0"/>
              <w:rPr>
                <w:sz w:val="20"/>
                <w:szCs w:val="20"/>
                <w:color w:val="auto"/>
              </w:rPr>
            </w:pPr>
            <w:r>
              <w:rPr>
                <w:rFonts w:ascii="Arial" w:cs="Arial" w:eastAsia="Arial" w:hAnsi="Arial"/>
                <w:sz w:val="15"/>
                <w:szCs w:val="15"/>
                <w:color w:val="auto"/>
              </w:rPr>
              <w:t>19.9</w:t>
            </w: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paid during the year for income taxes</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0.6</w:t>
            </w:r>
          </w:p>
        </w:tc>
      </w:tr>
      <w:tr>
        <w:trPr>
          <w:trHeight w:val="203"/>
        </w:trPr>
        <w:tc>
          <w:tcPr>
            <w:tcW w:w="7060" w:type="dxa"/>
            <w:vAlign w:val="bottom"/>
          </w:tcPr>
          <w:p>
            <w:pPr>
              <w:ind w:left="20"/>
              <w:spacing w:after="0"/>
              <w:rPr>
                <w:sz w:val="20"/>
                <w:szCs w:val="20"/>
                <w:color w:val="auto"/>
              </w:rPr>
            </w:pPr>
            <w:r>
              <w:rPr>
                <w:rFonts w:ascii="Arial" w:cs="Arial" w:eastAsia="Arial" w:hAnsi="Arial"/>
                <w:sz w:val="15"/>
                <w:szCs w:val="15"/>
                <w:color w:val="auto"/>
              </w:rPr>
              <w:t>Non-cash financing and investing activities:</w:t>
            </w: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7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Capital expenditures included in accounts payable and accrued expenses</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1.4</w:t>
            </w:r>
          </w:p>
        </w:tc>
      </w:tr>
    </w:tbl>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ectPr>
          <w:pgSz w:w="11900" w:h="16838" w:orient="portrait"/>
          <w:cols w:equalWidth="0" w:num="1">
            <w:col w:w="11220"/>
          </w:cols>
          <w:pgMar w:left="340" w:top="740"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81915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740" w:right="339" w:bottom="1440" w:gutter="0" w:footer="0" w:header="0"/>
          <w:type w:val="continuous"/>
        </w:sectPr>
      </w:pPr>
    </w:p>
    <w:bookmarkStart w:id="75" w:name="page76"/>
    <w:bookmarkEnd w:id="75"/>
    <w:p>
      <w:pPr>
        <w:jc w:val="center"/>
        <w:ind w:right="-19"/>
        <w:spacing w:after="0"/>
        <w:rPr>
          <w:sz w:val="20"/>
          <w:szCs w:val="20"/>
          <w:color w:val="auto"/>
        </w:rPr>
      </w:pPr>
      <w:r>
        <w:rPr>
          <w:rFonts w:ascii="Arial" w:cs="Arial" w:eastAsia="Arial" w:hAnsi="Arial"/>
          <w:sz w:val="17"/>
          <w:szCs w:val="17"/>
          <w:b w:val="1"/>
          <w:bCs w:val="1"/>
          <w:color w:val="auto"/>
        </w:rPr>
        <w:t>KRATOS DEFENSE &amp; SECURITY SOLUTIONS,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1.</w:t>
      </w:r>
      <w:r>
        <w:rPr>
          <w:sz w:val="20"/>
          <w:szCs w:val="20"/>
          <w:color w:val="auto"/>
        </w:rPr>
        <w:tab/>
      </w:r>
      <w:r>
        <w:rPr>
          <w:rFonts w:ascii="Arial" w:cs="Arial" w:eastAsia="Arial" w:hAnsi="Arial"/>
          <w:sz w:val="15"/>
          <w:szCs w:val="15"/>
          <w:b w:val="1"/>
          <w:bCs w:val="1"/>
          <w:color w:val="auto"/>
        </w:rPr>
        <w:t>Organization and Summary of Significant Accounting Policies</w:t>
      </w:r>
    </w:p>
    <w:p>
      <w:pPr>
        <w:spacing w:after="0" w:line="243"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4"/>
          <w:szCs w:val="14"/>
          <w:b w:val="1"/>
          <w:bCs w:val="1"/>
          <w:color w:val="auto"/>
        </w:rPr>
        <w:t>Description of Business</w:t>
      </w:r>
    </w:p>
    <w:p>
      <w:pPr>
        <w:spacing w:after="0" w:line="249" w:lineRule="exact"/>
        <w:rPr>
          <w:sz w:val="20"/>
          <w:szCs w:val="20"/>
          <w:color w:val="auto"/>
        </w:rPr>
      </w:pPr>
    </w:p>
    <w:p>
      <w:pPr>
        <w:ind w:right="60" w:firstLine="619"/>
        <w:spacing w:after="0" w:line="281" w:lineRule="auto"/>
        <w:rPr>
          <w:sz w:val="20"/>
          <w:szCs w:val="20"/>
          <w:color w:val="auto"/>
        </w:rPr>
      </w:pPr>
      <w:r>
        <w:rPr>
          <w:rFonts w:ascii="Arial" w:cs="Arial" w:eastAsia="Arial" w:hAnsi="Arial"/>
          <w:sz w:val="15"/>
          <w:szCs w:val="15"/>
          <w:color w:val="auto"/>
        </w:rPr>
        <w:t>Kratos is a government contractor at the forefront of the U.S. Department of Defense’s (the “DoD”) recapitalization of strategic weapon systems to address peer and near peer threats and its related Rapid Innovation Initiatives. Kratos is a leading technology, intellectual property, proprietary product and system company focused on the U.S. and its allies’ national security. Kratos is a recognized industry leader in the rapid development, demonstration and fielding of</w:t>
      </w:r>
    </w:p>
    <w:p>
      <w:pPr>
        <w:spacing w:after="0" w:line="242" w:lineRule="auto"/>
        <w:rPr>
          <w:sz w:val="20"/>
          <w:szCs w:val="20"/>
          <w:color w:val="auto"/>
        </w:rPr>
      </w:pPr>
      <w:r>
        <w:rPr>
          <w:rFonts w:ascii="Arial" w:cs="Arial" w:eastAsia="Arial" w:hAnsi="Arial"/>
          <w:sz w:val="17"/>
          <w:szCs w:val="17"/>
          <w:color w:val="auto"/>
        </w:rPr>
        <w:t>disruptive, transformative and high technology systems and products at an affordable cost. At Kratos, affordability is a technology. Kratos’ primary focus areas are unmanned systems, space and satellite communications, microwave electronics, cybersecurity/warfare, rocket, hypersonic and missile defense systems, turbine technologies, and Command, Control, Communication, Computing, Combat, Intelligence Surveillance and Reconnaissance (C5ISR) Systems and training systems. The Company believes that its technology, intellectual property, proprietary products and designed-in positions on its customers’ programs, platforms and systems, and the ability to rapidly develop, demonstrate and field affordable leading technology systems is a competitive advantage. The Company believes that its past performance qualifications and demonstrated ability to meet or exceed its customers’ demanding requirements creates a high barrier to entry to the markets in which it operates. The Company’s work force is primarily engineering and technically oriented, highly skilled with a significant number holding national security clearances. The Company’s entire organization is focused on executing its strategy of being the leading technology and intellectual property based company in its industry.</w:t>
      </w:r>
    </w:p>
    <w:p>
      <w:pPr>
        <w:spacing w:after="0" w:line="211"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The Company conducts most of its business with the U.S. Government (which includes foreign military sales) and performs work as the prime contractor, subcontractor, or preferred supplier. The Company also conducts business with local, state, and foreign governments and domestic and international commercial customers.</w:t>
      </w:r>
    </w:p>
    <w:p>
      <w:pPr>
        <w:spacing w:after="0" w:line="201" w:lineRule="exact"/>
        <w:rPr>
          <w:sz w:val="20"/>
          <w:szCs w:val="20"/>
          <w:color w:val="auto"/>
        </w:rPr>
      </w:pPr>
    </w:p>
    <w:p>
      <w:pPr>
        <w:ind w:right="100" w:firstLine="619"/>
        <w:spacing w:after="0" w:line="299" w:lineRule="auto"/>
        <w:rPr>
          <w:sz w:val="20"/>
          <w:szCs w:val="20"/>
          <w:color w:val="auto"/>
        </w:rPr>
      </w:pPr>
      <w:r>
        <w:rPr>
          <w:rFonts w:ascii="Arial" w:cs="Arial" w:eastAsia="Arial" w:hAnsi="Arial"/>
          <w:sz w:val="15"/>
          <w:szCs w:val="15"/>
          <w:color w:val="auto"/>
        </w:rPr>
        <w:t>The Company operates in two reportable segments. The Kratos Government Solutions (“KGS”) reportable segment is comprised of an aggregation of KGS operating segments, including its microwave electronic products, space, satellite, training and cybersecurity, C5ISR/modular systems, turbine technologies and defense and rocket support services operating segments. The Unmanned Systems (“US”) reportable segment consists of its unmanned aerial system and unmanned ground and seaborne system products. The Public Safety &amp; Security (“PSS”) reportable segment (which was divested in June 2018 and has been classified as discontinued operations - see Note 9 of these notes to the consolidated financial statements) previously provided independent integrated solutions for advanced homeland security, public safety, critical infrastructure, and security and surveillance systems for government and commercial applications.</w:t>
      </w:r>
    </w:p>
    <w:p>
      <w:pPr>
        <w:spacing w:after="0" w:line="180"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The Company organizes its operating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the Company’s operating segments, see Note 14 of these notes to consolidated financial statements.</w:t>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5"/>
          <w:szCs w:val="15"/>
          <w:b w:val="1"/>
          <w:bCs w:val="1"/>
          <w:color w:val="auto"/>
        </w:rPr>
        <w:t>Principles of Consolidation and Basis of Presentation</w:t>
      </w:r>
    </w:p>
    <w:p>
      <w:pPr>
        <w:spacing w:after="0" w:line="249" w:lineRule="exact"/>
        <w:rPr>
          <w:sz w:val="20"/>
          <w:szCs w:val="20"/>
          <w:color w:val="auto"/>
        </w:rPr>
      </w:pPr>
    </w:p>
    <w:p>
      <w:pPr>
        <w:ind w:right="220" w:firstLine="619"/>
        <w:spacing w:after="0" w:line="279" w:lineRule="auto"/>
        <w:rPr>
          <w:sz w:val="20"/>
          <w:szCs w:val="20"/>
          <w:color w:val="auto"/>
        </w:rPr>
      </w:pPr>
      <w:r>
        <w:rPr>
          <w:rFonts w:ascii="Arial" w:cs="Arial" w:eastAsia="Arial" w:hAnsi="Arial"/>
          <w:sz w:val="17"/>
          <w:szCs w:val="17"/>
          <w:color w:val="auto"/>
        </w:rPr>
        <w:t>The consolidated financial statements include the accounts of Kratos and its majority owned subsidiaries, for which all intercompany transactions have been eliminated in consolidation.</w:t>
      </w:r>
    </w:p>
    <w:p>
      <w:pPr>
        <w:spacing w:after="0" w:line="184"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(c)</w:t>
      </w:r>
      <w:r>
        <w:rPr>
          <w:sz w:val="20"/>
          <w:szCs w:val="20"/>
          <w:color w:val="auto"/>
        </w:rPr>
        <w:tab/>
      </w:r>
      <w:r>
        <w:rPr>
          <w:rFonts w:ascii="Arial" w:cs="Arial" w:eastAsia="Arial" w:hAnsi="Arial"/>
          <w:sz w:val="15"/>
          <w:szCs w:val="15"/>
          <w:b w:val="1"/>
          <w:bCs w:val="1"/>
          <w:color w:val="auto"/>
        </w:rPr>
        <w:t>Fiscal Year</w:t>
      </w:r>
    </w:p>
    <w:p>
      <w:pPr>
        <w:spacing w:after="0" w:line="223" w:lineRule="exact"/>
        <w:rPr>
          <w:sz w:val="20"/>
          <w:szCs w:val="20"/>
          <w:color w:val="auto"/>
        </w:rPr>
      </w:pPr>
    </w:p>
    <w:p>
      <w:pPr>
        <w:ind w:right="160" w:firstLine="619"/>
        <w:spacing w:after="0" w:line="312" w:lineRule="auto"/>
        <w:rPr>
          <w:sz w:val="20"/>
          <w:szCs w:val="20"/>
          <w:color w:val="auto"/>
        </w:rPr>
      </w:pPr>
      <w:r>
        <w:rPr>
          <w:rFonts w:ascii="Arial" w:cs="Arial" w:eastAsia="Arial" w:hAnsi="Arial"/>
          <w:sz w:val="16"/>
          <w:szCs w:val="16"/>
          <w:color w:val="auto"/>
        </w:rPr>
        <w:t>The Company has a 52/53 week fiscal year ending on the last Sunday of the calendar year, with interim fiscal periods ending on the last Sunday of each calendar quarter. There were 52 calendar weeks in the fiscal years ending on December 26, 2021 and December 27, 2020 and December 29, 2019.</w:t>
      </w:r>
    </w:p>
    <w:p>
      <w:pPr>
        <w:spacing w:after="0" w:line="16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(d)</w:t>
      </w:r>
      <w:r>
        <w:rPr>
          <w:sz w:val="20"/>
          <w:szCs w:val="20"/>
          <w:color w:val="auto"/>
        </w:rPr>
        <w:tab/>
      </w:r>
      <w:r>
        <w:rPr>
          <w:rFonts w:ascii="Arial" w:cs="Arial" w:eastAsia="Arial" w:hAnsi="Arial"/>
          <w:sz w:val="15"/>
          <w:szCs w:val="15"/>
          <w:b w:val="1"/>
          <w:bCs w:val="1"/>
          <w:color w:val="auto"/>
        </w:rPr>
        <w:t>Use of Estimates</w:t>
      </w:r>
    </w:p>
    <w:p>
      <w:pPr>
        <w:spacing w:after="0" w:line="249" w:lineRule="exact"/>
        <w:rPr>
          <w:sz w:val="20"/>
          <w:szCs w:val="20"/>
          <w:color w:val="auto"/>
        </w:rPr>
      </w:pPr>
    </w:p>
    <w:p>
      <w:pPr>
        <w:ind w:right="220" w:firstLine="619"/>
        <w:spacing w:after="0" w:line="307" w:lineRule="auto"/>
        <w:rPr>
          <w:sz w:val="20"/>
          <w:szCs w:val="20"/>
          <w:color w:val="auto"/>
        </w:rPr>
      </w:pPr>
      <w:r>
        <w:rPr>
          <w:rFonts w:ascii="Arial" w:cs="Arial" w:eastAsia="Arial" w:hAnsi="Arial"/>
          <w:sz w:val="15"/>
          <w:szCs w:val="15"/>
          <w:color w:val="auto"/>
        </w:rPr>
        <w:t>The preparation of consolidated financial statements in conformity with accounting principles generally accepted in the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Such estimates include revenue recognition, valuation of long-lived assets including identifiable intangibles and goodwill, accounting for income taxes including the related valuation</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76" w:name="page77"/>
    <w:bookmarkEnd w:id="76"/>
    <w:p>
      <w:pPr>
        <w:jc w:val="both"/>
        <w:ind w:right="140"/>
        <w:spacing w:after="0" w:line="318" w:lineRule="auto"/>
        <w:rPr>
          <w:sz w:val="20"/>
          <w:szCs w:val="20"/>
          <w:color w:val="auto"/>
        </w:rPr>
      </w:pPr>
      <w:r>
        <w:rPr>
          <w:rFonts w:ascii="Arial" w:cs="Arial" w:eastAsia="Arial" w:hAnsi="Arial"/>
          <w:sz w:val="15"/>
          <w:szCs w:val="15"/>
          <w:color w:val="auto"/>
        </w:rPr>
        <w:t>allowance on the deferred tax asset and uncertain tax positions, contingencies and litigation, contingent acquisition consideration, and stock-based compensation. In the future, the Company may realize actual results that differ from the current reported estimates and if the estimates that the Company has used change in the future, such changes could have a material impact on the Company’s consolidated financial position, results of operations and cash flows.</w:t>
      </w:r>
    </w:p>
    <w:p>
      <w:pPr>
        <w:spacing w:after="0" w:line="159"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(e)</w:t>
      </w:r>
      <w:r>
        <w:rPr>
          <w:sz w:val="20"/>
          <w:szCs w:val="20"/>
          <w:color w:val="auto"/>
        </w:rPr>
        <w:tab/>
      </w:r>
      <w:r>
        <w:rPr>
          <w:rFonts w:ascii="Arial" w:cs="Arial" w:eastAsia="Arial" w:hAnsi="Arial"/>
          <w:sz w:val="15"/>
          <w:szCs w:val="15"/>
          <w:b w:val="1"/>
          <w:bCs w:val="1"/>
          <w:color w:val="auto"/>
        </w:rPr>
        <w:t>Revenue Recognition</w:t>
      </w:r>
    </w:p>
    <w:p>
      <w:pPr>
        <w:spacing w:after="0" w:line="249" w:lineRule="exact"/>
        <w:rPr>
          <w:sz w:val="20"/>
          <w:szCs w:val="20"/>
          <w:color w:val="auto"/>
        </w:rPr>
      </w:pPr>
    </w:p>
    <w:p>
      <w:pPr>
        <w:ind w:right="480" w:firstLine="619"/>
        <w:spacing w:after="0" w:line="279" w:lineRule="auto"/>
        <w:rPr>
          <w:sz w:val="20"/>
          <w:szCs w:val="20"/>
          <w:color w:val="auto"/>
        </w:rPr>
      </w:pPr>
      <w:r>
        <w:rPr>
          <w:rFonts w:ascii="Arial" w:cs="Arial" w:eastAsia="Arial" w:hAnsi="Arial"/>
          <w:sz w:val="17"/>
          <w:szCs w:val="17"/>
          <w:color w:val="auto"/>
        </w:rPr>
        <w:t xml:space="preserve">Effective January 1, 2018, the Company adopted the Financial Accounting Standards Board (“FASB”)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and the related amendments, which are codified into Accounting Standards Codification (“ASC”) 606 (“ASC 606”).</w:t>
      </w:r>
    </w:p>
    <w:p>
      <w:pPr>
        <w:spacing w:after="0" w:line="190" w:lineRule="exact"/>
        <w:rPr>
          <w:sz w:val="20"/>
          <w:szCs w:val="20"/>
          <w:color w:val="auto"/>
        </w:rPr>
      </w:pPr>
    </w:p>
    <w:p>
      <w:pPr>
        <w:ind w:firstLine="619"/>
        <w:spacing w:after="0" w:line="299" w:lineRule="auto"/>
        <w:rPr>
          <w:sz w:val="20"/>
          <w:szCs w:val="20"/>
          <w:color w:val="auto"/>
        </w:rPr>
      </w:pPr>
      <w:r>
        <w:rPr>
          <w:rFonts w:ascii="Arial" w:cs="Arial" w:eastAsia="Arial" w:hAnsi="Arial"/>
          <w:sz w:val="15"/>
          <w:szCs w:val="15"/>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80" w:lineRule="exact"/>
        <w:rPr>
          <w:sz w:val="20"/>
          <w:szCs w:val="20"/>
          <w:color w:val="auto"/>
        </w:rPr>
      </w:pPr>
    </w:p>
    <w:p>
      <w:pPr>
        <w:ind w:right="40" w:firstLine="619"/>
        <w:spacing w:after="0" w:line="277"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under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using the best estimate of the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196" w:lineRule="exact"/>
        <w:rPr>
          <w:sz w:val="20"/>
          <w:szCs w:val="20"/>
          <w:color w:val="auto"/>
        </w:rPr>
      </w:pPr>
    </w:p>
    <w:p>
      <w:pPr>
        <w:ind w:right="40" w:firstLine="619"/>
        <w:spacing w:after="0" w:line="297" w:lineRule="auto"/>
        <w:rPr>
          <w:sz w:val="20"/>
          <w:szCs w:val="20"/>
          <w:color w:val="auto"/>
        </w:rPr>
      </w:pPr>
      <w:r>
        <w:rPr>
          <w:rFonts w:ascii="Arial" w:cs="Arial" w:eastAsia="Arial" w:hAnsi="Arial"/>
          <w:sz w:val="15"/>
          <w:szCs w:val="15"/>
          <w:color w:val="auto"/>
        </w:rPr>
        <w:t>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continuous transfer of control to the customer. For U.S. government 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243" w:lineRule="exact"/>
        <w:rPr>
          <w:sz w:val="20"/>
          <w:szCs w:val="20"/>
          <w:color w:val="auto"/>
        </w:rPr>
      </w:pPr>
    </w:p>
    <w:p>
      <w:pPr>
        <w:ind w:right="100" w:firstLine="619"/>
        <w:spacing w:after="0" w:line="290" w:lineRule="auto"/>
        <w:rPr>
          <w:sz w:val="20"/>
          <w:szCs w:val="20"/>
          <w:color w:val="auto"/>
        </w:rPr>
      </w:pPr>
      <w:r>
        <w:rPr>
          <w:rFonts w:ascii="Arial" w:cs="Arial" w:eastAsia="Arial" w:hAnsi="Arial"/>
          <w:sz w:val="16"/>
          <w:szCs w:val="16"/>
          <w:color w:val="auto"/>
        </w:rPr>
        <w:t>Revenues from remaining performance obligations are calculated as the dollar value of the remaining performance obligations on executed contracts. On December 26, 2021, the Company had approximately $953.9 million of remaining performance obligations. The Company expects to recognize approximately 51.0% of the remaining performance obligations as revenue in 2022, an additional 19.0% in 2023, and the balance thereafter.</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Contract Estimates</w:t>
      </w:r>
    </w:p>
    <w:p>
      <w:pPr>
        <w:spacing w:after="0" w:line="243" w:lineRule="exact"/>
        <w:rPr>
          <w:sz w:val="20"/>
          <w:szCs w:val="20"/>
          <w:color w:val="auto"/>
        </w:rPr>
      </w:pPr>
    </w:p>
    <w:p>
      <w:pPr>
        <w:ind w:right="40" w:firstLine="619"/>
        <w:spacing w:after="0" w:line="275" w:lineRule="auto"/>
        <w:rPr>
          <w:sz w:val="20"/>
          <w:szCs w:val="20"/>
          <w:color w:val="auto"/>
        </w:rPr>
      </w:pPr>
      <w:r>
        <w:rPr>
          <w:rFonts w:ascii="Arial" w:cs="Arial" w:eastAsia="Arial" w:hAnsi="Arial"/>
          <w:sz w:val="16"/>
          <w:szCs w:val="16"/>
          <w:color w:val="auto"/>
        </w:rPr>
        <w:t>Due to the nature of the work required to be performed on many performance obligations, the estimation of total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77" w:name="page78"/>
    <w:bookmarkEnd w:id="77"/>
    <w:p>
      <w:pPr>
        <w:ind w:right="300"/>
        <w:spacing w:after="0" w:line="279" w:lineRule="auto"/>
        <w:rPr>
          <w:sz w:val="20"/>
          <w:szCs w:val="20"/>
          <w:color w:val="auto"/>
        </w:rPr>
      </w:pPr>
      <w:r>
        <w:rPr>
          <w:rFonts w:ascii="Arial" w:cs="Arial" w:eastAsia="Arial" w:hAnsi="Arial"/>
          <w:sz w:val="17"/>
          <w:szCs w:val="17"/>
          <w:color w:val="auto"/>
        </w:rPr>
        <w:t>prices for materials and related support cost allocations), execution by subcontractors, the availability and timing of funding from customers and overhead cost rates, among other variables.</w:t>
      </w:r>
    </w:p>
    <w:p>
      <w:pPr>
        <w:spacing w:after="0" w:line="190"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11" w:lineRule="exact"/>
        <w:rPr>
          <w:sz w:val="20"/>
          <w:szCs w:val="20"/>
          <w:color w:val="auto"/>
        </w:rPr>
      </w:pPr>
    </w:p>
    <w:p>
      <w:pPr>
        <w:jc w:val="both"/>
        <w:ind w:right="40" w:firstLine="619"/>
        <w:spacing w:after="0" w:line="279" w:lineRule="auto"/>
        <w:rPr>
          <w:sz w:val="20"/>
          <w:szCs w:val="20"/>
          <w:color w:val="auto"/>
        </w:rPr>
      </w:pPr>
      <w:r>
        <w:rPr>
          <w:rFonts w:ascii="Arial" w:cs="Arial" w:eastAsia="Arial" w:hAnsi="Arial"/>
          <w:sz w:val="16"/>
          <w:szCs w:val="16"/>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 a result of the EAC process, any quarterly adjustments to revenues, cost of sales, and the related impact to operating income are recognized as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necessary in the period they become known. These adjustments may result from positive program performance, and may result in an increase in operating income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during the performance of individual performance obligations, if it is determined the Company will be successful in mitigating risks surrounding the technical,</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schedule and cost aspects of those performance obligations or realizing related opportunities. Likewise, these adjustments may result in a decrease in operating</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income if it is determined the Company will not be successful in mitigating these risks or realizing related opportunities. Changes in estimates of net sales, cost of</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sales and the related impact to operating income are recognized quarterly on a cumulative catch-up basis, which recognizes in the current period the cumulative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effect of the changes on current and prior periods. A significant change in one or more of these estimates could affect the profitability of one or more of the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Company’s contracts. When estimates of total costs to be incurred on a performance obligation exceed total estimates of revenue to be earned, a provision for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entire loss on the performance obligation is recognized in the period the loss is determined. For the year ended December 26, 2021 the Company recorded a</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$6.9 million favorable EAC adjustment on one of its long-term government contracts. No other cumulative catch-up adjustment on any one contract was material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to the Company’s consolidated financial statements for the years ended December 26, 2021, December 27, 2020 and December 29, 2019. Likewise, other than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impact of the adjustment for the one contract in the year ended December 26, 2021, total cumulative catch-up adjustments were not material for the years ended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December 26, 2021, December 27, 2020 and December 29, 2019. As of December 26, 2021 and December 27, 2020, accrued expenses included the accrual for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losses on contracts of $2.8 million and $3.6 million, respectively.</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Contract Assets and Liabilities</w:t>
      </w:r>
    </w:p>
    <w:p>
      <w:pPr>
        <w:spacing w:after="0" w:line="243" w:lineRule="exact"/>
        <w:rPr>
          <w:sz w:val="20"/>
          <w:szCs w:val="20"/>
          <w:color w:val="auto"/>
        </w:rPr>
      </w:pPr>
    </w:p>
    <w:p>
      <w:pPr>
        <w:ind w:firstLine="619"/>
        <w:spacing w:after="0" w:line="307" w:lineRule="auto"/>
        <w:rPr>
          <w:sz w:val="20"/>
          <w:szCs w:val="20"/>
          <w:color w:val="auto"/>
        </w:rPr>
      </w:pPr>
      <w:r>
        <w:rPr>
          <w:rFonts w:ascii="Arial" w:cs="Arial" w:eastAsia="Arial" w:hAnsi="Arial"/>
          <w:sz w:val="15"/>
          <w:szCs w:val="15"/>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175"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211" w:lineRule="exact"/>
        <w:rPr>
          <w:sz w:val="20"/>
          <w:szCs w:val="20"/>
          <w:color w:val="auto"/>
        </w:rPr>
      </w:pPr>
    </w:p>
    <w:p>
      <w:pPr>
        <w:ind w:right="520" w:firstLine="619"/>
        <w:spacing w:after="0" w:line="279" w:lineRule="auto"/>
        <w:rPr>
          <w:sz w:val="20"/>
          <w:szCs w:val="20"/>
          <w:color w:val="auto"/>
        </w:rPr>
      </w:pPr>
      <w:r>
        <w:rPr>
          <w:rFonts w:ascii="Arial" w:cs="Arial" w:eastAsia="Arial" w:hAnsi="Arial"/>
          <w:sz w:val="17"/>
          <w:szCs w:val="17"/>
          <w:color w:val="auto"/>
        </w:rPr>
        <w:t>Contract liabilities include advance payments and billings in excess of revenue recognized. Certain customers make advance payments prior to the satisfaction of the Company’s performance obligations on the contract. These amounts are</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78" w:name="page79"/>
    <w:bookmarkEnd w:id="78"/>
    <w:p>
      <w:pPr>
        <w:ind w:right="20"/>
        <w:spacing w:after="0" w:line="290" w:lineRule="auto"/>
        <w:rPr>
          <w:sz w:val="20"/>
          <w:szCs w:val="20"/>
          <w:color w:val="auto"/>
        </w:rPr>
      </w:pPr>
      <w:r>
        <w:rPr>
          <w:rFonts w:ascii="Arial" w:cs="Arial" w:eastAsia="Arial" w:hAnsi="Arial"/>
          <w:sz w:val="16"/>
          <w:szCs w:val="16"/>
          <w:color w:val="auto"/>
        </w:rPr>
        <w:t>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Net contract assets and liabilities are as follows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5"/>
                <w:szCs w:val="15"/>
                <w:b w:val="1"/>
                <w:bCs w:val="1"/>
                <w:color w:val="auto"/>
              </w:rPr>
              <w:t>December 26, 2021</w:t>
            </w:r>
          </w:p>
        </w:tc>
        <w:tc>
          <w:tcPr>
            <w:tcW w:w="18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27, 2020</w:t>
            </w:r>
          </w:p>
        </w:tc>
        <w:tc>
          <w:tcPr>
            <w:tcW w:w="200" w:type="dxa"/>
            <w:vAlign w:val="bottom"/>
          </w:tcPr>
          <w:p>
            <w:pPr>
              <w:spacing w:after="0"/>
              <w:rPr>
                <w:sz w:val="17"/>
                <w:szCs w:val="17"/>
                <w:color w:val="auto"/>
              </w:rPr>
            </w:pPr>
          </w:p>
        </w:tc>
        <w:tc>
          <w:tcPr>
            <w:tcW w:w="1180" w:type="dxa"/>
            <w:vAlign w:val="bottom"/>
          </w:tcPr>
          <w:p>
            <w:pPr>
              <w:ind w:left="100"/>
              <w:spacing w:after="0"/>
              <w:rPr>
                <w:sz w:val="20"/>
                <w:szCs w:val="20"/>
                <w:color w:val="auto"/>
              </w:rPr>
            </w:pPr>
            <w:r>
              <w:rPr>
                <w:rFonts w:ascii="Arial" w:cs="Arial" w:eastAsia="Arial" w:hAnsi="Arial"/>
                <w:sz w:val="15"/>
                <w:szCs w:val="15"/>
                <w:b w:val="1"/>
                <w:bCs w:val="1"/>
                <w:color w:val="auto"/>
              </w:rPr>
              <w:t>Net Change</w:t>
            </w:r>
          </w:p>
        </w:tc>
      </w:tr>
      <w:tr>
        <w:trPr>
          <w:trHeight w:val="215"/>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Contract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center"/>
              <w:ind w:left="676"/>
              <w:spacing w:after="0"/>
              <w:rPr>
                <w:sz w:val="20"/>
                <w:szCs w:val="20"/>
                <w:color w:val="auto"/>
              </w:rPr>
            </w:pPr>
            <w:r>
              <w:rPr>
                <w:rFonts w:ascii="Arial" w:cs="Arial" w:eastAsia="Arial" w:hAnsi="Arial"/>
                <w:sz w:val="17"/>
                <w:szCs w:val="17"/>
                <w:color w:val="auto"/>
                <w:w w:val="90"/>
              </w:rPr>
              <w:t>13.8</w:t>
            </w:r>
          </w:p>
        </w:tc>
      </w:tr>
      <w:tr>
        <w:trPr>
          <w:trHeight w:val="211"/>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Contract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center"/>
              <w:ind w:left="676"/>
              <w:spacing w:after="0"/>
              <w:rPr>
                <w:sz w:val="20"/>
                <w:szCs w:val="20"/>
                <w:color w:val="auto"/>
              </w:rPr>
            </w:pPr>
            <w:r>
              <w:rPr>
                <w:rFonts w:ascii="Arial" w:cs="Arial" w:eastAsia="Arial" w:hAnsi="Arial"/>
                <w:sz w:val="17"/>
                <w:szCs w:val="17"/>
                <w:color w:val="auto"/>
                <w:w w:val="90"/>
              </w:rPr>
              <w:t>24.1</w:t>
            </w:r>
          </w:p>
        </w:tc>
      </w:tr>
      <w:tr>
        <w:trPr>
          <w:trHeight w:val="23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contract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7"/>
                <w:szCs w:val="17"/>
                <w:color w:val="auto"/>
                <w:w w:val="94"/>
              </w:rPr>
              <w:t>(10.3)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The change in the balances of the Company’s contract assets and liabilities primarily results from timing differences between revenue recognition and customer billings and/or payments. Contract assets increased $13.8 million during the year ended December 26, 2021, primarily due to the recognition of revenue related to the satisfaction or partial satisfaction of performance obligations for which the Company has not yet billed the customers. There were no significant impairment losses related to any receivables or contract assets arising from the Company’s contracts with customers during the year ended December 26, 2021. Contract liabilities increased $24.1 million during the year ended December 26, 2021, primarily due to payments received in excess of revenue recognized on these performance obligations. For the years ended December 26, 2021 and December 27, 2020, the Company recognized revenue of $27.1 million and $26.2 million, respectively, that was previously included in the beginning balance of contract liabilities.</w:t>
      </w:r>
    </w:p>
    <w:p>
      <w:pPr>
        <w:spacing w:after="0" w:line="195" w:lineRule="exact"/>
        <w:rPr>
          <w:sz w:val="20"/>
          <w:szCs w:val="20"/>
          <w:color w:val="auto"/>
        </w:rPr>
      </w:pPr>
    </w:p>
    <w:p>
      <w:pPr>
        <w:ind w:right="160" w:firstLine="619"/>
        <w:spacing w:after="0" w:line="274" w:lineRule="auto"/>
        <w:rPr>
          <w:sz w:val="20"/>
          <w:szCs w:val="20"/>
          <w:color w:val="auto"/>
        </w:rPr>
      </w:pPr>
      <w:r>
        <w:rPr>
          <w:rFonts w:ascii="Arial" w:cs="Arial" w:eastAsia="Arial" w:hAnsi="Arial"/>
          <w:sz w:val="15"/>
          <w:szCs w:val="15"/>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Under a T for C, the Company would not be able to collect the total withheld amounts until the settlement terms of the T for C have been negotiated and agreed to with the customer. At December 26, 2021, approximately $8.2 million in unbilled receivables is outstanding on this project. In addition, the Company is currently in dispute with an international customer in the US segment over approximately $10.0 million in unbilled receivables outstanding as of December 26, 2021. The dispute concerns the completion of system requirements and</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contractual milestones. The Company alleges breach of contract, as well as other claims against the customer, and seeks damages and other equitable relief. The customer has asserted counterclaims seeking liquidated damages and additional relief. Management has evaluated the present facts of the matters and performed a reassessment of the contractual amounts due, as well as the claims asserted by each of the parties, and have determined that no adjustment to previously recognized revenue, or the corresponding unbilled receivables, is necessary at December 26, 2021.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79" w:name="page80"/>
    <w:bookmarkEnd w:id="79"/>
    <w:p>
      <w:pPr>
        <w:ind w:left="180"/>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243" w:lineRule="exact"/>
        <w:rPr>
          <w:sz w:val="20"/>
          <w:szCs w:val="20"/>
          <w:color w:val="auto"/>
        </w:rPr>
      </w:pPr>
    </w:p>
    <w:p>
      <w:pPr>
        <w:ind w:right="280" w:firstLine="169"/>
        <w:spacing w:after="0" w:line="279" w:lineRule="auto"/>
        <w:rPr>
          <w:sz w:val="20"/>
          <w:szCs w:val="20"/>
          <w:color w:val="auto"/>
        </w:rPr>
      </w:pPr>
      <w:r>
        <w:rPr>
          <w:rFonts w:ascii="Arial" w:cs="Arial" w:eastAsia="Arial" w:hAnsi="Arial"/>
          <w:sz w:val="17"/>
          <w:szCs w:val="17"/>
          <w:color w:val="auto"/>
        </w:rPr>
        <w:t>The following series of tables presents the Company’s revenue disaggregated by several categories. For the majority of contracts, revenue is recognized over time as work is performed on the contract. Revenue by contract type was as follows (in millions):</w:t>
      </w:r>
    </w:p>
    <w:p>
      <w:pPr>
        <w:spacing w:after="0" w:line="61" w:lineRule="exact"/>
        <w:rPr>
          <w:sz w:val="20"/>
          <w:szCs w:val="20"/>
          <w:color w:val="auto"/>
        </w:rPr>
      </w:pPr>
    </w:p>
    <w:p>
      <w:pPr>
        <w:ind w:left="8820"/>
        <w:spacing w:after="0"/>
        <w:tabs>
          <w:tab w:leader="none" w:pos="10180" w:val="left"/>
        </w:tabs>
        <w:rPr>
          <w:sz w:val="20"/>
          <w:szCs w:val="20"/>
          <w:color w:val="auto"/>
        </w:rPr>
      </w:pPr>
      <w:r>
        <w:rPr>
          <w:rFonts w:ascii="Arial" w:cs="Arial" w:eastAsia="Arial" w:hAnsi="Arial"/>
          <w:sz w:val="14"/>
          <w:szCs w:val="14"/>
          <w:b w:val="1"/>
          <w:bCs w:val="1"/>
          <w:color w:val="auto"/>
        </w:rPr>
        <w:t>Year Ended</w:t>
      </w:r>
      <w:r>
        <w:rPr>
          <w:sz w:val="20"/>
          <w:szCs w:val="20"/>
          <w:color w:val="auto"/>
        </w:rPr>
        <w:tab/>
      </w:r>
      <w:r>
        <w:rPr>
          <w:rFonts w:ascii="Arial" w:cs="Arial" w:eastAsia="Arial" w:hAnsi="Arial"/>
          <w:sz w:val="11"/>
          <w:szCs w:val="11"/>
          <w:b w:val="1"/>
          <w:bCs w:val="1"/>
          <w:color w:val="auto"/>
        </w:rPr>
        <w:t>Year Ended</w:t>
      </w:r>
    </w:p>
    <w:p>
      <w:pPr>
        <w:jc w:val="right"/>
        <w:ind w:right="120"/>
        <w:spacing w:after="0"/>
        <w:tabs>
          <w:tab w:leader="none" w:pos="1100" w:val="left"/>
        </w:tabs>
        <w:rPr>
          <w:sz w:val="20"/>
          <w:szCs w:val="20"/>
          <w:color w:val="auto"/>
        </w:rPr>
      </w:pPr>
      <w:r>
        <w:rPr>
          <w:rFonts w:ascii="Arial" w:cs="Arial" w:eastAsia="Arial" w:hAnsi="Arial"/>
          <w:sz w:val="14"/>
          <w:szCs w:val="14"/>
          <w:b w:val="1"/>
          <w:bCs w:val="1"/>
          <w:color w:val="auto"/>
        </w:rPr>
        <w:t>December 26, 2021</w:t>
      </w:r>
      <w:r>
        <w:rPr>
          <w:sz w:val="20"/>
          <w:szCs w:val="20"/>
          <w:color w:val="auto"/>
        </w:rPr>
        <w:tab/>
      </w:r>
      <w:r>
        <w:rPr>
          <w:rFonts w:ascii="Arial" w:cs="Arial" w:eastAsia="Arial" w:hAnsi="Arial"/>
          <w:sz w:val="11"/>
          <w:szCs w:val="11"/>
          <w:b w:val="1"/>
          <w:bCs w:val="1"/>
          <w:color w:val="auto"/>
        </w:rPr>
        <w:t>December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13905" cy="1390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7113905" cy="13906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Kratos Government Solutions</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Fixed price</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Cost plus fee</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Time and materials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Total Kratos Government Solutions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Unmanned Systems</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Fixed price</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Cost plus fee</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Time and materials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Total Unmanned Systems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Revenues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447.3</w:t>
            </w:r>
          </w:p>
        </w:tc>
        <w:tc>
          <w:tcPr>
            <w:tcW w:w="56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437.6</w:t>
            </w:r>
          </w:p>
        </w:tc>
      </w:tr>
      <w:tr>
        <w:trPr>
          <w:trHeight w:val="219"/>
        </w:trPr>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96.9</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89.1</w:t>
            </w:r>
          </w:p>
        </w:tc>
      </w:tr>
      <w:tr>
        <w:trPr>
          <w:trHeight w:val="220"/>
        </w:trPr>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w:t>
            </w:r>
          </w:p>
        </w:tc>
      </w:tr>
      <w:tr>
        <w:trPr>
          <w:trHeight w:val="212"/>
        </w:trPr>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579.6</w:t>
            </w: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560.7</w:t>
            </w:r>
          </w:p>
        </w:tc>
      </w:tr>
      <w:tr>
        <w:trPr>
          <w:trHeight w:val="418"/>
        </w:trPr>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151.4</w:t>
            </w:r>
          </w:p>
        </w:tc>
        <w:tc>
          <w:tcPr>
            <w:tcW w:w="5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126.9</w:t>
            </w:r>
          </w:p>
        </w:tc>
      </w:tr>
      <w:tr>
        <w:trPr>
          <w:trHeight w:val="219"/>
        </w:trPr>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78.1</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57.1</w:t>
            </w:r>
          </w:p>
        </w:tc>
      </w:tr>
      <w:tr>
        <w:trPr>
          <w:trHeight w:val="220"/>
        </w:trPr>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r>
      <w:tr>
        <w:trPr>
          <w:trHeight w:val="212"/>
        </w:trPr>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231.9</w:t>
            </w: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187.0</w:t>
            </w:r>
          </w:p>
        </w:tc>
      </w:tr>
      <w:tr>
        <w:trPr>
          <w:trHeight w:val="212"/>
        </w:trPr>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811.5</w:t>
            </w:r>
          </w:p>
        </w:tc>
        <w:tc>
          <w:tcPr>
            <w:tcW w:w="5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747.7</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-5420360</wp:posOffset>
            </wp:positionH>
            <wp:positionV relativeFrom="paragraph">
              <wp:posOffset>-1309370</wp:posOffset>
            </wp:positionV>
            <wp:extent cx="7113905" cy="1390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7113905" cy="13906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-1030605</wp:posOffset>
            </wp:positionV>
            <wp:extent cx="7113905" cy="147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7113905" cy="14732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-744220</wp:posOffset>
            </wp:positionV>
            <wp:extent cx="7113905" cy="1390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113905" cy="13906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-466090</wp:posOffset>
            </wp:positionV>
            <wp:extent cx="7113905" cy="1390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7113905" cy="13906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-179705</wp:posOffset>
            </wp:positionV>
            <wp:extent cx="7113905" cy="163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7113905"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20" w:space="720"/>
            <w:col w:w="2700"/>
          </w:cols>
          <w:pgMar w:left="320" w:top="862" w:right="3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Revenue by customer was as follows (in millions):</w:t>
      </w:r>
    </w:p>
    <w:p>
      <w:pPr>
        <w:spacing w:after="0" w:line="152" w:lineRule="exact"/>
        <w:rPr>
          <w:sz w:val="20"/>
          <w:szCs w:val="20"/>
          <w:color w:val="auto"/>
        </w:rPr>
      </w:pPr>
    </w:p>
    <w:p>
      <w:pPr>
        <w:ind w:left="8760"/>
        <w:spacing w:after="0"/>
        <w:tabs>
          <w:tab w:leader="none" w:pos="10180" w:val="left"/>
        </w:tabs>
        <w:rPr>
          <w:sz w:val="20"/>
          <w:szCs w:val="20"/>
          <w:color w:val="auto"/>
        </w:rPr>
      </w:pPr>
      <w:r>
        <w:rPr>
          <w:rFonts w:ascii="Arial" w:cs="Arial" w:eastAsia="Arial" w:hAnsi="Arial"/>
          <w:sz w:val="14"/>
          <w:szCs w:val="14"/>
          <w:b w:val="1"/>
          <w:bCs w:val="1"/>
          <w:color w:val="auto"/>
        </w:rPr>
        <w:t>Year Ended</w:t>
      </w:r>
      <w:r>
        <w:rPr>
          <w:sz w:val="20"/>
          <w:szCs w:val="20"/>
          <w:color w:val="auto"/>
        </w:rPr>
        <w:tab/>
      </w:r>
      <w:r>
        <w:rPr>
          <w:rFonts w:ascii="Arial" w:cs="Arial" w:eastAsia="Arial" w:hAnsi="Arial"/>
          <w:sz w:val="11"/>
          <w:szCs w:val="11"/>
          <w:b w:val="1"/>
          <w:bCs w:val="1"/>
          <w:color w:val="auto"/>
        </w:rPr>
        <w:t>Year Ended</w:t>
      </w:r>
    </w:p>
    <w:p>
      <w:pPr>
        <w:jc w:val="right"/>
        <w:ind w:right="140"/>
        <w:spacing w:after="0"/>
        <w:tabs>
          <w:tab w:leader="none" w:pos="1100" w:val="left"/>
        </w:tabs>
        <w:rPr>
          <w:sz w:val="20"/>
          <w:szCs w:val="20"/>
          <w:color w:val="auto"/>
        </w:rPr>
      </w:pPr>
      <w:r>
        <w:rPr>
          <w:rFonts w:ascii="Arial" w:cs="Arial" w:eastAsia="Arial" w:hAnsi="Arial"/>
          <w:sz w:val="14"/>
          <w:szCs w:val="14"/>
          <w:b w:val="1"/>
          <w:bCs w:val="1"/>
          <w:color w:val="auto"/>
        </w:rPr>
        <w:t>December 26, 2021</w:t>
      </w:r>
      <w:r>
        <w:rPr>
          <w:sz w:val="20"/>
          <w:szCs w:val="20"/>
          <w:color w:val="auto"/>
        </w:rPr>
        <w:tab/>
      </w:r>
      <w:r>
        <w:rPr>
          <w:rFonts w:ascii="Arial" w:cs="Arial" w:eastAsia="Arial" w:hAnsi="Arial"/>
          <w:sz w:val="11"/>
          <w:szCs w:val="11"/>
          <w:b w:val="1"/>
          <w:bCs w:val="1"/>
          <w:color w:val="auto"/>
        </w:rPr>
        <w:t>December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13905" cy="1390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7113905" cy="13906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Kratos Government Solutions</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U.S. Government </w:t>
      </w:r>
      <w:r>
        <w:rPr>
          <w:rFonts w:ascii="Arial" w:cs="Arial" w:eastAsia="Arial" w:hAnsi="Arial"/>
          <w:sz w:val="22"/>
          <w:szCs w:val="22"/>
          <w:color w:val="auto"/>
          <w:vertAlign w:val="superscript"/>
        </w:rPr>
        <w:t>(1)</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(2)</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5"/>
          <w:szCs w:val="15"/>
          <w:color w:val="auto"/>
        </w:rPr>
        <w:t>U.S. Commercial and other customers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Kratos Government Solutions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Unmanned Systems</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U.S. Government </w:t>
      </w:r>
      <w:r>
        <w:rPr>
          <w:rFonts w:ascii="Arial" w:cs="Arial" w:eastAsia="Arial" w:hAnsi="Arial"/>
          <w:sz w:val="22"/>
          <w:szCs w:val="22"/>
          <w:color w:val="auto"/>
          <w:vertAlign w:val="superscript"/>
        </w:rPr>
        <w:t>(1)</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(2)</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5"/>
          <w:szCs w:val="15"/>
          <w:color w:val="auto"/>
        </w:rPr>
        <w:t>U.S. Commercial and other customers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Total Unmanned Systems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Revenues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359.7</w:t>
            </w:r>
          </w:p>
        </w:tc>
        <w:tc>
          <w:tcPr>
            <w:tcW w:w="56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375.9</w:t>
            </w:r>
          </w:p>
        </w:tc>
      </w:tr>
      <w:tr>
        <w:trPr>
          <w:trHeight w:val="284"/>
        </w:trPr>
        <w:tc>
          <w:tcPr>
            <w:tcW w:w="50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151.5</w:t>
            </w:r>
          </w:p>
        </w:tc>
        <w:tc>
          <w:tcPr>
            <w:tcW w:w="5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123.8</w:t>
            </w:r>
          </w:p>
        </w:tc>
      </w:tr>
      <w:tr>
        <w:trPr>
          <w:trHeight w:val="220"/>
        </w:trPr>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68.4</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61.0</w:t>
            </w:r>
          </w:p>
        </w:tc>
      </w:tr>
      <w:tr>
        <w:trPr>
          <w:trHeight w:val="212"/>
        </w:trPr>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579.6</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560.7</w:t>
            </w:r>
          </w:p>
        </w:tc>
      </w:tr>
      <w:tr>
        <w:trPr>
          <w:trHeight w:val="482"/>
        </w:trPr>
        <w:tc>
          <w:tcPr>
            <w:tcW w:w="50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211.4</w:t>
            </w:r>
          </w:p>
        </w:tc>
        <w:tc>
          <w:tcPr>
            <w:tcW w:w="5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170.5</w:t>
            </w:r>
          </w:p>
        </w:tc>
      </w:tr>
      <w:tr>
        <w:trPr>
          <w:trHeight w:val="284"/>
        </w:trPr>
        <w:tc>
          <w:tcPr>
            <w:tcW w:w="50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18.3</w:t>
            </w:r>
          </w:p>
        </w:tc>
        <w:tc>
          <w:tcPr>
            <w:tcW w:w="5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15.7</w:t>
            </w:r>
          </w:p>
        </w:tc>
      </w:tr>
      <w:tr>
        <w:trPr>
          <w:trHeight w:val="220"/>
        </w:trPr>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2.2</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r>
      <w:tr>
        <w:trPr>
          <w:trHeight w:val="212"/>
        </w:trPr>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231.9</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187.0</w:t>
            </w:r>
          </w:p>
        </w:tc>
      </w:tr>
      <w:tr>
        <w:trPr>
          <w:trHeight w:val="212"/>
        </w:trPr>
        <w:tc>
          <w:tcPr>
            <w:tcW w:w="5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811.5</w:t>
            </w:r>
          </w:p>
        </w:tc>
        <w:tc>
          <w:tcPr>
            <w:tcW w:w="5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747.7</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-5356860</wp:posOffset>
            </wp:positionH>
            <wp:positionV relativeFrom="paragraph">
              <wp:posOffset>-1431925</wp:posOffset>
            </wp:positionV>
            <wp:extent cx="7113905" cy="180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7113905" cy="18034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-1112520</wp:posOffset>
            </wp:positionV>
            <wp:extent cx="7113905" cy="147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7113905" cy="14732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-826135</wp:posOffset>
            </wp:positionV>
            <wp:extent cx="7113905"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7113905" cy="18034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-466090</wp:posOffset>
            </wp:positionV>
            <wp:extent cx="7113905" cy="1390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7113905" cy="139065"/>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-179705</wp:posOffset>
            </wp:positionV>
            <wp:extent cx="7113905" cy="163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113905"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862" w:right="339" w:bottom="1440" w:gutter="0" w:footer="0" w:header="0"/>
          <w:type w:val="continuous"/>
        </w:sectPr>
      </w:pPr>
    </w:p>
    <w:p>
      <w:pPr>
        <w:spacing w:after="0" w:line="230" w:lineRule="exact"/>
        <w:rPr>
          <w:sz w:val="20"/>
          <w:szCs w:val="20"/>
          <w:color w:val="auto"/>
        </w:rPr>
      </w:pPr>
    </w:p>
    <w:p>
      <w:pPr>
        <w:ind w:right="360" w:firstLine="3"/>
        <w:spacing w:after="0" w:line="242" w:lineRule="auto"/>
        <w:tabs>
          <w:tab w:leader="none" w:pos="169" w:val="left"/>
        </w:tabs>
        <w:numPr>
          <w:ilvl w:val="0"/>
          <w:numId w:val="32"/>
        </w:numPr>
        <w:rPr>
          <w:rFonts w:ascii="Arial" w:cs="Arial" w:eastAsia="Arial" w:hAnsi="Arial"/>
          <w:sz w:val="20"/>
          <w:szCs w:val="20"/>
          <w:color w:val="auto"/>
          <w:vertAlign w:val="superscript"/>
        </w:rPr>
      </w:pPr>
      <w:r>
        <w:rPr>
          <w:rFonts w:ascii="Arial" w:cs="Arial" w:eastAsia="Arial" w:hAnsi="Arial"/>
          <w:sz w:val="14"/>
          <w:szCs w:val="14"/>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216" w:lineRule="exact"/>
        <w:rPr>
          <w:rFonts w:ascii="Arial" w:cs="Arial" w:eastAsia="Arial" w:hAnsi="Arial"/>
          <w:sz w:val="20"/>
          <w:szCs w:val="20"/>
          <w:color w:val="auto"/>
          <w:vertAlign w:val="superscript"/>
        </w:rPr>
      </w:pPr>
    </w:p>
    <w:p>
      <w:pPr>
        <w:ind w:right="540" w:firstLine="3"/>
        <w:spacing w:after="0" w:line="238" w:lineRule="auto"/>
        <w:tabs>
          <w:tab w:leader="none" w:pos="160"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212"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For federal contracts, the Company follows U.S. Government procurement and accounting standards in assessing the allowability and the allocability of costs to contracts. Recurring evaluations of contract cost, scheduling and technical matters are performed by management. Costs incurred and allocated to contracts with the U.S. Government are scrutinized for compliance with regulatory standards by the Company’s personnel, and are subject to audit by the Defense Contract Audit Agency (“DCAA”).</w:t>
      </w:r>
    </w:p>
    <w:p>
      <w:pPr>
        <w:spacing w:after="0" w:line="204" w:lineRule="exact"/>
        <w:rPr>
          <w:sz w:val="20"/>
          <w:szCs w:val="20"/>
          <w:color w:val="auto"/>
        </w:rPr>
      </w:pPr>
    </w:p>
    <w:p>
      <w:pPr>
        <w:ind w:right="140" w:firstLine="619"/>
        <w:spacing w:after="0" w:line="318" w:lineRule="auto"/>
        <w:rPr>
          <w:sz w:val="20"/>
          <w:szCs w:val="20"/>
          <w:color w:val="auto"/>
        </w:rPr>
      </w:pPr>
      <w:r>
        <w:rPr>
          <w:rFonts w:ascii="Arial" w:cs="Arial" w:eastAsia="Arial" w:hAnsi="Arial"/>
          <w:sz w:val="15"/>
          <w:szCs w:val="15"/>
          <w:color w:val="auto"/>
        </w:rPr>
        <w:t>From time to time, the Company may proceed with work based on customer direction prior to the completion and signing of formal contract documents. The Company has a formal review process for approving any such work. Revenue associated with such work is recognized only when the criteria to establish a contract under ASC 606 are met and the obligations under the contract are legally enforceable. As of December 26, 2021 and December 27, 2020, approximately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bookmarkStart w:id="80" w:name="page81"/>
    <w:bookmarkEnd w:id="80"/>
    <w:p>
      <w:pPr>
        <w:ind w:right="140"/>
        <w:spacing w:after="0" w:line="279" w:lineRule="auto"/>
        <w:rPr>
          <w:sz w:val="20"/>
          <w:szCs w:val="20"/>
          <w:color w:val="auto"/>
        </w:rPr>
      </w:pPr>
      <w:r>
        <w:rPr>
          <w:rFonts w:ascii="Arial" w:cs="Arial" w:eastAsia="Arial" w:hAnsi="Arial"/>
          <w:sz w:val="17"/>
          <w:szCs w:val="17"/>
          <w:color w:val="auto"/>
        </w:rPr>
        <w:t>$2.9 million and $1.2 million, respectively, of the Company’s unbilled accounts receivable balance were under an authorization to proceed or work order from its customers where a formal purchase order had not yet been received.</w:t>
      </w:r>
    </w:p>
    <w:p>
      <w:pPr>
        <w:spacing w:after="0" w:line="184"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(f)</w:t>
      </w:r>
      <w:r>
        <w:rPr>
          <w:sz w:val="20"/>
          <w:szCs w:val="20"/>
          <w:color w:val="auto"/>
        </w:rPr>
        <w:tab/>
      </w:r>
      <w:r>
        <w:rPr>
          <w:rFonts w:ascii="Arial" w:cs="Arial" w:eastAsia="Arial" w:hAnsi="Arial"/>
          <w:sz w:val="15"/>
          <w:szCs w:val="15"/>
          <w:b w:val="1"/>
          <w:bCs w:val="1"/>
          <w:color w:val="auto"/>
        </w:rPr>
        <w:t>Inventoried costs</w:t>
      </w:r>
    </w:p>
    <w:p>
      <w:pPr>
        <w:spacing w:after="0" w:line="249"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Inventoried costs are stated at the lower of cost or estimated net realizable value. Cost is determined using the average cost or first-in, first-out methods and the applicable method is applied consistently within an operating entity. The Company capitalizes labor, material, subcontractor and overhead costs as work-in-process for contracts where control has not yet passed to the customer. In addition, the Company capitalizes costs incurred to fulfill a contract in advance of contract award in inventories as work-in-process if it is determined that contract award is probable. Pursuant to contract provisions of U.S. Government contracts, such customers may have title to, or a security interest in inventories related to such contracts as a result of advances, performance-based payments, and progress payments.</w:t>
      </w:r>
    </w:p>
    <w:p>
      <w:pPr>
        <w:spacing w:after="0" w:line="209" w:lineRule="exact"/>
        <w:rPr>
          <w:sz w:val="20"/>
          <w:szCs w:val="20"/>
          <w:color w:val="auto"/>
        </w:rPr>
      </w:pPr>
    </w:p>
    <w:p>
      <w:pPr>
        <w:ind w:right="20" w:firstLine="619"/>
        <w:spacing w:after="0" w:line="279"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(g)</w:t>
      </w:r>
      <w:r>
        <w:rPr>
          <w:sz w:val="20"/>
          <w:szCs w:val="20"/>
          <w:color w:val="auto"/>
        </w:rPr>
        <w:tab/>
      </w:r>
      <w:r>
        <w:rPr>
          <w:rFonts w:ascii="Arial" w:cs="Arial" w:eastAsia="Arial" w:hAnsi="Arial"/>
          <w:sz w:val="15"/>
          <w:szCs w:val="15"/>
          <w:b w:val="1"/>
          <w:bCs w:val="1"/>
          <w:color w:val="auto"/>
        </w:rPr>
        <w:t>Research and Development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Costs incurred in research and development activities are expensed as incurred in accordance with FASB ASC Topic 730</w:t>
      </w:r>
      <w:r>
        <w:rPr>
          <w:rFonts w:ascii="Arial" w:cs="Arial" w:eastAsia="Arial" w:hAnsi="Arial"/>
          <w:sz w:val="15"/>
          <w:szCs w:val="15"/>
          <w:i w:val="1"/>
          <w:iCs w:val="1"/>
          <w:color w:val="auto"/>
        </w:rPr>
        <w:t>, Research and Development.</w:t>
      </w:r>
    </w:p>
    <w:p>
      <w:pPr>
        <w:spacing w:after="0" w:line="26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(h)</w:t>
      </w:r>
      <w:r>
        <w:rPr>
          <w:sz w:val="20"/>
          <w:szCs w:val="20"/>
          <w:color w:val="auto"/>
        </w:rPr>
        <w:tab/>
      </w:r>
      <w:r>
        <w:rPr>
          <w:rFonts w:ascii="Arial" w:cs="Arial" w:eastAsia="Arial" w:hAnsi="Arial"/>
          <w:sz w:val="15"/>
          <w:szCs w:val="15"/>
          <w:b w:val="1"/>
          <w:bCs w:val="1"/>
          <w:color w:val="auto"/>
        </w:rPr>
        <w:t>Income Taxes</w:t>
      </w:r>
    </w:p>
    <w:p>
      <w:pPr>
        <w:spacing w:after="0" w:line="249" w:lineRule="exact"/>
        <w:rPr>
          <w:sz w:val="20"/>
          <w:szCs w:val="20"/>
          <w:color w:val="auto"/>
        </w:rPr>
      </w:pPr>
    </w:p>
    <w:p>
      <w:pPr>
        <w:ind w:right="120" w:firstLine="619"/>
        <w:spacing w:after="0" w:line="283" w:lineRule="auto"/>
        <w:rPr>
          <w:sz w:val="20"/>
          <w:szCs w:val="20"/>
          <w:color w:val="auto"/>
        </w:rPr>
      </w:pPr>
      <w:r>
        <w:rPr>
          <w:rFonts w:ascii="Arial" w:cs="Arial" w:eastAsia="Arial" w:hAnsi="Arial"/>
          <w:sz w:val="16"/>
          <w:szCs w:val="16"/>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8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Company maintains a valuation allowance on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84"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 xml:space="preserve">In accordance with the recognition standards established by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the Company makes a comprehensive review of its portfolio of uncertain tax positions regularly. In this regard, an uncertain tax position represents the Company’s expected treatment of a tax position taken in a filed tax return, or planned to be taken in a future tax return or claim, which has not been reflected in measuring income tax expense for financial reporting purposes. Until these positions are sustained by the taxing authorities, the Company has not recognized the tax benefits resulting from such positions and reports the tax effects as a liability for uncertain tax positions in its consolidated balance sheets.</w:t>
      </w:r>
    </w:p>
    <w:p>
      <w:pPr>
        <w:spacing w:after="0" w:line="203"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(i)</w:t>
      </w:r>
      <w:r>
        <w:rPr>
          <w:sz w:val="20"/>
          <w:szCs w:val="20"/>
          <w:color w:val="auto"/>
        </w:rPr>
        <w:tab/>
      </w:r>
      <w:r>
        <w:rPr>
          <w:rFonts w:ascii="Arial" w:cs="Arial" w:eastAsia="Arial" w:hAnsi="Arial"/>
          <w:sz w:val="15"/>
          <w:szCs w:val="15"/>
          <w:b w:val="1"/>
          <w:bCs w:val="1"/>
          <w:color w:val="auto"/>
        </w:rPr>
        <w:t>Stock-Based Compensation</w:t>
      </w:r>
    </w:p>
    <w:p>
      <w:pPr>
        <w:spacing w:after="0" w:line="249"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The Company accounts for stock-based compensation in accordance with ASC Topic 718</w:t>
      </w:r>
      <w:r>
        <w:rPr>
          <w:rFonts w:ascii="Arial" w:cs="Arial" w:eastAsia="Arial" w:hAnsi="Arial"/>
          <w:sz w:val="17"/>
          <w:szCs w:val="17"/>
          <w:i w:val="1"/>
          <w:iCs w:val="1"/>
          <w:color w:val="auto"/>
        </w:rPr>
        <w:t>, Compensation-Stock Compensation</w:t>
      </w:r>
      <w:r>
        <w:rPr>
          <w:rFonts w:ascii="Arial" w:cs="Arial" w:eastAsia="Arial" w:hAnsi="Arial"/>
          <w:sz w:val="17"/>
          <w:szCs w:val="17"/>
          <w:color w:val="auto"/>
        </w:rPr>
        <w:t xml:space="preserve">. All of the Company’s stock-based compensation plans are considered equity plans under </w:t>
      </w:r>
      <w:r>
        <w:rPr>
          <w:rFonts w:ascii="Arial" w:cs="Arial" w:eastAsia="Arial" w:hAnsi="Arial"/>
          <w:sz w:val="17"/>
          <w:szCs w:val="17"/>
          <w:i w:val="1"/>
          <w:iCs w:val="1"/>
          <w:color w:val="auto"/>
        </w:rPr>
        <w:t>Topic 718</w:t>
      </w:r>
      <w:r>
        <w:rPr>
          <w:rFonts w:ascii="Arial" w:cs="Arial" w:eastAsia="Arial" w:hAnsi="Arial"/>
          <w:sz w:val="17"/>
          <w:szCs w:val="17"/>
          <w:color w:val="auto"/>
        </w:rPr>
        <w:t>, and compensation expense recognized is net of estimated forfeitures over the vesting period. The Company issues stock options and stock awards under its existing plans. The fair value of stock options is estimated on the date of grant using a Black-Scholes option-pricing model or a trinomial lattice options pricing model and is expensed on a straight-line basis over the remaining vesting period of the options, which is generally six or less years. The fair value of stock awards is determined based on the closing market price of the Company’s common stock on the grant date and is adjusted at each reporting date based on the amount of shares ultimately expected to vest. Compensation expense for stock awards is expensed over the vesting period, usually five to ten years. Compensation expense for stock issued under the Company’s employee stock purchase plan is estimated at the beginning date of the offering period using a Black-Scholes option-pricing model and is expensed on a straight-line basis over the period of the offering, which is generally six months.</w:t>
      </w:r>
    </w:p>
    <w:p>
      <w:pPr>
        <w:spacing w:after="0" w:line="212"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When tax deductions from stock options and awards are greater than the cumulative book compensation expense, the tax effect of the resulting difference is a windfall. For the year ended December 26, 2021, an income tax benefit of $2.4 million was recorded for windfalls generated from stock options and awards exercised in 2021. For the year ended December 27, 2020,</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81" w:name="page82"/>
    <w:bookmarkEnd w:id="81"/>
    <w:p>
      <w:pPr>
        <w:ind w:right="160"/>
        <w:spacing w:after="0" w:line="279" w:lineRule="auto"/>
        <w:rPr>
          <w:sz w:val="20"/>
          <w:szCs w:val="20"/>
          <w:color w:val="auto"/>
        </w:rPr>
      </w:pPr>
      <w:r>
        <w:rPr>
          <w:rFonts w:ascii="Arial" w:cs="Arial" w:eastAsia="Arial" w:hAnsi="Arial"/>
          <w:sz w:val="17"/>
          <w:szCs w:val="17"/>
          <w:color w:val="auto"/>
        </w:rPr>
        <w:t>an income tax benefit of $1.0 million was recorded for windfalls generated from stock options and awards exercised in 2020. For the tax year ended December 29, 2019, an income tax benefit of $2.1 million was recorded for windfalls generated from stock options and awards exercised in 2019.</w:t>
      </w:r>
    </w:p>
    <w:p>
      <w:pPr>
        <w:spacing w:after="0" w:line="190" w:lineRule="exact"/>
        <w:rPr>
          <w:sz w:val="20"/>
          <w:szCs w:val="20"/>
          <w:color w:val="auto"/>
        </w:rPr>
      </w:pPr>
    </w:p>
    <w:p>
      <w:pPr>
        <w:ind w:right="680" w:firstLine="619"/>
        <w:spacing w:after="0" w:line="279" w:lineRule="auto"/>
        <w:rPr>
          <w:sz w:val="20"/>
          <w:szCs w:val="20"/>
          <w:color w:val="auto"/>
        </w:rPr>
      </w:pPr>
      <w:r>
        <w:rPr>
          <w:rFonts w:ascii="Arial" w:cs="Arial" w:eastAsia="Arial" w:hAnsi="Arial"/>
          <w:sz w:val="17"/>
          <w:szCs w:val="17"/>
          <w:color w:val="auto"/>
        </w:rPr>
        <w:t>The following table shows the amounts recognized in the consolidated financial statements for stock-based compensation expense related to stock options, stock awards and stock offered under the Company’s employee stock purchase plan (in millions).</w:t>
      </w:r>
    </w:p>
    <w:p>
      <w:pPr>
        <w:spacing w:after="0" w:line="19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Year en</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198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December 26, 2021</w:t>
            </w:r>
          </w:p>
        </w:tc>
        <w:tc>
          <w:tcPr>
            <w:tcW w:w="198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December 27, 2020</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December 29, 201</w:t>
            </w:r>
          </w:p>
        </w:tc>
        <w:tc>
          <w:tcPr>
            <w:tcW w:w="0" w:type="dxa"/>
            <w:vAlign w:val="bottom"/>
          </w:tcPr>
          <w:p>
            <w:pPr>
              <w:spacing w:after="0"/>
              <w:rPr>
                <w:sz w:val="1"/>
                <w:szCs w:val="1"/>
                <w:color w:val="auto"/>
              </w:rPr>
            </w:pPr>
          </w:p>
        </w:tc>
      </w:tr>
      <w:tr>
        <w:trPr>
          <w:trHeight w:val="219"/>
        </w:trPr>
        <w:tc>
          <w:tcPr>
            <w:tcW w:w="53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Selling, general and administrative expenses</w:t>
            </w:r>
          </w:p>
        </w:tc>
        <w:tc>
          <w:tcPr>
            <w:tcW w:w="8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60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5360" w:type="dxa"/>
            <w:vAlign w:val="bottom"/>
          </w:tcPr>
          <w:p>
            <w:pPr>
              <w:ind w:left="640"/>
              <w:spacing w:after="0" w:line="168" w:lineRule="exact"/>
              <w:rPr>
                <w:sz w:val="20"/>
                <w:szCs w:val="20"/>
                <w:color w:val="auto"/>
              </w:rPr>
            </w:pPr>
            <w:r>
              <w:rPr>
                <w:rFonts w:ascii="Arial" w:cs="Arial" w:eastAsia="Arial" w:hAnsi="Arial"/>
                <w:sz w:val="17"/>
                <w:szCs w:val="17"/>
                <w:color w:val="auto"/>
              </w:rPr>
              <w:t>Total cost of employee stock-based compensation included in</w:t>
            </w:r>
          </w:p>
        </w:tc>
        <w:tc>
          <w:tcPr>
            <w:tcW w:w="820" w:type="dxa"/>
            <w:vAlign w:val="bottom"/>
            <w:vMerge w:val="restart"/>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14"/>
                <w:szCs w:val="14"/>
                <w:color w:val="auto"/>
              </w:rPr>
            </w:pPr>
          </w:p>
        </w:tc>
        <w:tc>
          <w:tcPr>
            <w:tcW w:w="820" w:type="dxa"/>
            <w:vAlign w:val="bottom"/>
            <w:vMerge w:val="restart"/>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4"/>
                <w:szCs w:val="14"/>
                <w:color w:val="auto"/>
              </w:rPr>
            </w:pPr>
          </w:p>
        </w:tc>
        <w:tc>
          <w:tcPr>
            <w:tcW w:w="1400" w:type="dxa"/>
            <w:vAlign w:val="bottom"/>
            <w:vMerge w:val="restart"/>
          </w:tcPr>
          <w:p>
            <w:pPr>
              <w:jc w:val="right"/>
              <w:ind w:right="60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5360" w:type="dxa"/>
            <w:vAlign w:val="bottom"/>
          </w:tcPr>
          <w:p>
            <w:pPr>
              <w:ind w:left="20"/>
              <w:spacing w:after="0"/>
              <w:rPr>
                <w:sz w:val="20"/>
                <w:szCs w:val="20"/>
                <w:color w:val="auto"/>
              </w:rPr>
            </w:pPr>
            <w:r>
              <w:rPr>
                <w:rFonts w:ascii="Arial" w:cs="Arial" w:eastAsia="Arial" w:hAnsi="Arial"/>
                <w:sz w:val="17"/>
                <w:szCs w:val="17"/>
                <w:color w:val="auto"/>
              </w:rPr>
              <w:t>operating income from continuing operations</w:t>
            </w:r>
          </w:p>
        </w:tc>
        <w:tc>
          <w:tcPr>
            <w:tcW w:w="8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(j)</w:t>
      </w:r>
      <w:r>
        <w:rPr>
          <w:sz w:val="20"/>
          <w:szCs w:val="20"/>
          <w:color w:val="auto"/>
        </w:rPr>
        <w:tab/>
      </w:r>
      <w:r>
        <w:rPr>
          <w:rFonts w:ascii="Arial" w:cs="Arial" w:eastAsia="Arial" w:hAnsi="Arial"/>
          <w:sz w:val="15"/>
          <w:szCs w:val="15"/>
          <w:b w:val="1"/>
          <w:bCs w:val="1"/>
          <w:color w:val="auto"/>
        </w:rPr>
        <w:t>Allowance for Doubtful Accounts</w:t>
      </w:r>
    </w:p>
    <w:p>
      <w:pPr>
        <w:spacing w:after="0" w:line="249" w:lineRule="exact"/>
        <w:rPr>
          <w:sz w:val="20"/>
          <w:szCs w:val="20"/>
          <w:color w:val="auto"/>
        </w:rPr>
      </w:pPr>
    </w:p>
    <w:p>
      <w:pPr>
        <w:ind w:right="140" w:firstLine="619"/>
        <w:spacing w:after="0" w:line="256" w:lineRule="auto"/>
        <w:rPr>
          <w:sz w:val="20"/>
          <w:szCs w:val="20"/>
          <w:color w:val="auto"/>
        </w:rPr>
      </w:pPr>
      <w:r>
        <w:rPr>
          <w:rFonts w:ascii="Arial" w:cs="Arial" w:eastAsia="Arial" w:hAnsi="Arial"/>
          <w:sz w:val="17"/>
          <w:szCs w:val="17"/>
          <w:color w:val="auto"/>
        </w:rPr>
        <w:t>The Company maintains an allowance for doubtful accounts for estimated losses resulting from the inability of its customers to make required payments, which results in bad debt expense. Management determines the adequacy of this allowance by periodically evaluating the comprehensive risk profiles of all individual customer receivable balances including, but not limited to, the customer’s financial condition, credit agency reports, financial statements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collectability and records allowances for doubtful accounts when deemed appropriate, based on its assessment of the associated credit risks. Changes to estimates of contract value are recorded as adjustments to revenue and not as a component of the allowance for doubtful accounts. Individual accounts receivable are written off to the allowance for doubtful accounts when the Company becomes aware of a specific customer’s inability to meet its financial obligation, and all collection efforts are exhausted.</w:t>
      </w:r>
    </w:p>
    <w:p>
      <w:pPr>
        <w:spacing w:after="0" w:line="212" w:lineRule="exact"/>
        <w:rPr>
          <w:sz w:val="20"/>
          <w:szCs w:val="20"/>
          <w:color w:val="auto"/>
        </w:rPr>
      </w:pPr>
    </w:p>
    <w:p>
      <w:pPr>
        <w:ind w:right="300" w:firstLine="619"/>
        <w:spacing w:after="0" w:line="279" w:lineRule="auto"/>
        <w:rPr>
          <w:sz w:val="20"/>
          <w:szCs w:val="20"/>
          <w:color w:val="auto"/>
        </w:rPr>
      </w:pPr>
      <w:r>
        <w:rPr>
          <w:rFonts w:ascii="Arial" w:cs="Arial" w:eastAsia="Arial" w:hAnsi="Arial"/>
          <w:sz w:val="17"/>
          <w:szCs w:val="17"/>
          <w:color w:val="auto"/>
        </w:rPr>
        <w:t>The following table outlines the balance of the Company’s allowance for doubtful accounts for 2021, 2020 and 2019. The table identifies the additional provisions each year as well as the write-offs that utilized the allowance (in millions).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3140" w:type="dxa"/>
            <w:vAlign w:val="bottom"/>
            <w:gridSpan w:val="3"/>
          </w:tcPr>
          <w:p>
            <w:pPr>
              <w:ind w:left="1760"/>
              <w:spacing w:after="0"/>
              <w:rPr>
                <w:sz w:val="20"/>
                <w:szCs w:val="20"/>
                <w:color w:val="auto"/>
              </w:rPr>
            </w:pPr>
            <w:r>
              <w:rPr>
                <w:rFonts w:ascii="Arial" w:cs="Arial" w:eastAsia="Arial" w:hAnsi="Arial"/>
                <w:sz w:val="14"/>
                <w:szCs w:val="14"/>
                <w:b w:val="1"/>
                <w:bCs w:val="1"/>
                <w:color w:val="auto"/>
                <w:w w:val="95"/>
              </w:rPr>
              <w:t>Balance at Beginning</w:t>
            </w:r>
          </w:p>
        </w:tc>
        <w:tc>
          <w:tcPr>
            <w:tcW w:w="220" w:type="dxa"/>
            <w:vAlign w:val="bottom"/>
          </w:tcPr>
          <w:p>
            <w:pPr>
              <w:spacing w:after="0"/>
              <w:rPr>
                <w:sz w:val="14"/>
                <w:szCs w:val="14"/>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Provisions</w:t>
            </w:r>
          </w:p>
        </w:tc>
        <w:tc>
          <w:tcPr>
            <w:tcW w:w="2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Write-offs/</w:t>
            </w:r>
          </w:p>
        </w:tc>
        <w:tc>
          <w:tcPr>
            <w:tcW w:w="120" w:type="dxa"/>
            <w:vAlign w:val="bottom"/>
          </w:tcPr>
          <w:p>
            <w:pPr>
              <w:spacing w:after="0"/>
              <w:rPr>
                <w:sz w:val="14"/>
                <w:szCs w:val="14"/>
                <w:color w:val="auto"/>
              </w:rPr>
            </w:pPr>
          </w:p>
        </w:tc>
        <w:tc>
          <w:tcPr>
            <w:tcW w:w="1200" w:type="dxa"/>
            <w:vAlign w:val="bottom"/>
          </w:tcPr>
          <w:p>
            <w:pPr>
              <w:jc w:val="right"/>
              <w:ind w:right="81"/>
              <w:spacing w:after="0"/>
              <w:rPr>
                <w:sz w:val="20"/>
                <w:szCs w:val="20"/>
                <w:color w:val="auto"/>
              </w:rPr>
            </w:pPr>
            <w:r>
              <w:rPr>
                <w:rFonts w:ascii="Arial" w:cs="Arial" w:eastAsia="Arial" w:hAnsi="Arial"/>
                <w:sz w:val="14"/>
                <w:szCs w:val="14"/>
                <w:b w:val="1"/>
                <w:bCs w:val="1"/>
                <w:color w:val="auto"/>
                <w:w w:val="86"/>
              </w:rPr>
              <w:t>Balance at End of</w:t>
            </w:r>
          </w:p>
        </w:tc>
        <w:tc>
          <w:tcPr>
            <w:tcW w:w="0" w:type="dxa"/>
            <w:vAlign w:val="bottom"/>
          </w:tcPr>
          <w:p>
            <w:pPr>
              <w:spacing w:after="0"/>
              <w:rPr>
                <w:sz w:val="1"/>
                <w:szCs w:val="1"/>
                <w:color w:val="auto"/>
              </w:rPr>
            </w:pPr>
          </w:p>
        </w:tc>
      </w:tr>
      <w:tr>
        <w:trPr>
          <w:trHeight w:val="179"/>
        </w:trPr>
        <w:tc>
          <w:tcPr>
            <w:tcW w:w="392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of Year</w:t>
            </w: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Recoveries</w:t>
            </w:r>
          </w:p>
        </w:tc>
        <w:tc>
          <w:tcPr>
            <w:tcW w:w="12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13"/>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Year ended December 29, 2019</w:t>
            </w:r>
          </w:p>
        </w:tc>
        <w:tc>
          <w:tcPr>
            <w:tcW w:w="200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8"/>
        </w:trPr>
        <w:tc>
          <w:tcPr>
            <w:tcW w:w="3920" w:type="dxa"/>
            <w:vAlign w:val="bottom"/>
          </w:tcPr>
          <w:p>
            <w:pPr>
              <w:ind w:left="20"/>
              <w:spacing w:after="0"/>
              <w:rPr>
                <w:sz w:val="20"/>
                <w:szCs w:val="20"/>
                <w:color w:val="auto"/>
              </w:rPr>
            </w:pPr>
            <w:r>
              <w:rPr>
                <w:rFonts w:ascii="Arial" w:cs="Arial" w:eastAsia="Arial" w:hAnsi="Arial"/>
                <w:sz w:val="17"/>
                <w:szCs w:val="17"/>
                <w:color w:val="auto"/>
              </w:rPr>
              <w:t>Year ended December 27, 2020</w:t>
            </w:r>
          </w:p>
        </w:tc>
        <w:tc>
          <w:tcPr>
            <w:tcW w:w="2000" w:type="dxa"/>
            <w:vAlign w:val="bottom"/>
          </w:tcPr>
          <w:p>
            <w:pPr>
              <w:ind w:left="174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December 26, 2021</w:t>
            </w:r>
          </w:p>
        </w:tc>
        <w:tc>
          <w:tcPr>
            <w:tcW w:w="2000" w:type="dxa"/>
            <w:vAlign w:val="bottom"/>
            <w:shd w:val="clear" w:color="auto" w:fill="CCEEFF"/>
          </w:tcPr>
          <w:p>
            <w:pPr>
              <w:ind w:left="17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(k)</w:t>
      </w:r>
      <w:r>
        <w:rPr>
          <w:sz w:val="20"/>
          <w:szCs w:val="20"/>
          <w:color w:val="auto"/>
        </w:rPr>
        <w:tab/>
      </w:r>
      <w:r>
        <w:rPr>
          <w:rFonts w:ascii="Arial" w:cs="Arial" w:eastAsia="Arial" w:hAnsi="Arial"/>
          <w:sz w:val="15"/>
          <w:szCs w:val="15"/>
          <w:b w:val="1"/>
          <w:bCs w:val="1"/>
          <w:color w:val="auto"/>
        </w:rPr>
        <w:t>Cash and Cash Equivalents</w:t>
      </w:r>
    </w:p>
    <w:p>
      <w:pPr>
        <w:spacing w:after="0" w:line="249" w:lineRule="exact"/>
        <w:rPr>
          <w:sz w:val="20"/>
          <w:szCs w:val="20"/>
          <w:color w:val="auto"/>
        </w:rPr>
      </w:pPr>
    </w:p>
    <w:p>
      <w:pPr>
        <w:ind w:right="760" w:firstLine="619"/>
        <w:spacing w:after="0" w:line="279" w:lineRule="auto"/>
        <w:rPr>
          <w:sz w:val="20"/>
          <w:szCs w:val="20"/>
          <w:color w:val="auto"/>
        </w:rPr>
      </w:pPr>
      <w:r>
        <w:rPr>
          <w:rFonts w:ascii="Arial" w:cs="Arial" w:eastAsia="Arial" w:hAnsi="Arial"/>
          <w:sz w:val="17"/>
          <w:szCs w:val="17"/>
          <w:color w:val="auto"/>
        </w:rPr>
        <w:t>The Company’s cash equivalents consist of its highly liquid investments with an original maturity of three months or less when purchased by the Company.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had restricted cash accounts of approximately $0.0 million at December 26, 2021 and $0.7 million restricted cash accounts at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December 27, 2020. As of December 27, 2020, restricted cash consisted of funds being held pending the settlement of net working capital adjustments associated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with acquisitions.</w:t>
      </w:r>
    </w:p>
    <w:p>
      <w:pPr>
        <w:spacing w:after="0" w:line="226"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(l)</w:t>
      </w:r>
      <w:r>
        <w:rPr>
          <w:sz w:val="20"/>
          <w:szCs w:val="20"/>
          <w:color w:val="auto"/>
        </w:rPr>
        <w:tab/>
      </w:r>
      <w:r>
        <w:rPr>
          <w:rFonts w:ascii="Arial" w:cs="Arial" w:eastAsia="Arial" w:hAnsi="Arial"/>
          <w:sz w:val="15"/>
          <w:szCs w:val="15"/>
          <w:b w:val="1"/>
          <w:bCs w:val="1"/>
          <w:color w:val="auto"/>
        </w:rPr>
        <w:t>Property and Equipment, Net</w:t>
      </w:r>
    </w:p>
    <w:p>
      <w:pPr>
        <w:spacing w:after="0" w:line="249"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Property and equipment, net owned by the Company is depreciated over the estimated useful lives of individual assets. Equipment acquired under capital leases are amortized over the shorter of the lease term or the estimated useful life of the asset. Improvements, which significantly improve and extend the useful life of an asset, are capitalized and depreciated over the shorter of the lease period or the estimated useful life. Expenditures for maintenance and repairs are charged to operations as incurred.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62" w:right="239" w:bottom="1440" w:gutter="0" w:footer="0" w:header="0"/>
        </w:sectPr>
      </w:pPr>
    </w:p>
    <w:bookmarkStart w:id="82" w:name="page83"/>
    <w:bookmarkEnd w:id="82"/>
    <w:p>
      <w:pPr>
        <w:ind w:left="620"/>
        <w:spacing w:after="0"/>
        <w:rPr>
          <w:sz w:val="20"/>
          <w:szCs w:val="20"/>
          <w:color w:val="auto"/>
        </w:rPr>
      </w:pPr>
      <w:r>
        <w:rPr>
          <w:rFonts w:ascii="Arial" w:cs="Arial" w:eastAsia="Arial" w:hAnsi="Arial"/>
          <w:sz w:val="17"/>
          <w:szCs w:val="17"/>
          <w:color w:val="auto"/>
        </w:rPr>
        <w:t>Assets are depreciated predominately using the straight-line method, with the following lives: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04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18"/>
        </w:trPr>
        <w:tc>
          <w:tcPr>
            <w:tcW w:w="9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 and improvements</w:t>
            </w:r>
          </w:p>
        </w:tc>
        <w:tc>
          <w:tcPr>
            <w:tcW w:w="2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15 – 39</w:t>
            </w:r>
          </w:p>
        </w:tc>
        <w:tc>
          <w:tcPr>
            <w:tcW w:w="0" w:type="dxa"/>
            <w:vAlign w:val="bottom"/>
          </w:tcPr>
          <w:p>
            <w:pPr>
              <w:spacing w:after="0"/>
              <w:rPr>
                <w:sz w:val="1"/>
                <w:szCs w:val="1"/>
                <w:color w:val="auto"/>
              </w:rPr>
            </w:pPr>
          </w:p>
        </w:tc>
      </w:tr>
      <w:tr>
        <w:trPr>
          <w:trHeight w:val="218"/>
        </w:trPr>
        <w:tc>
          <w:tcPr>
            <w:tcW w:w="9040" w:type="dxa"/>
            <w:vAlign w:val="bottom"/>
          </w:tcPr>
          <w:p>
            <w:pPr>
              <w:ind w:left="20"/>
              <w:spacing w:after="0"/>
              <w:rPr>
                <w:sz w:val="20"/>
                <w:szCs w:val="20"/>
                <w:color w:val="auto"/>
              </w:rPr>
            </w:pPr>
            <w:r>
              <w:rPr>
                <w:rFonts w:ascii="Arial" w:cs="Arial" w:eastAsia="Arial" w:hAnsi="Arial"/>
                <w:sz w:val="17"/>
                <w:szCs w:val="17"/>
                <w:color w:val="auto"/>
              </w:rPr>
              <w:t>Machinery and equipment</w:t>
            </w:r>
          </w:p>
        </w:tc>
        <w:tc>
          <w:tcPr>
            <w:tcW w:w="2180" w:type="dxa"/>
            <w:vAlign w:val="bottom"/>
          </w:tcPr>
          <w:p>
            <w:pPr>
              <w:jc w:val="center"/>
              <w:spacing w:after="0"/>
              <w:rPr>
                <w:sz w:val="20"/>
                <w:szCs w:val="20"/>
                <w:color w:val="auto"/>
              </w:rPr>
            </w:pPr>
            <w:r>
              <w:rPr>
                <w:rFonts w:ascii="Arial" w:cs="Arial" w:eastAsia="Arial" w:hAnsi="Arial"/>
                <w:sz w:val="17"/>
                <w:szCs w:val="17"/>
                <w:color w:val="auto"/>
                <w:w w:val="88"/>
              </w:rPr>
              <w:t>3 – 20</w:t>
            </w:r>
          </w:p>
        </w:tc>
        <w:tc>
          <w:tcPr>
            <w:tcW w:w="0" w:type="dxa"/>
            <w:vAlign w:val="bottom"/>
          </w:tcPr>
          <w:p>
            <w:pPr>
              <w:spacing w:after="0"/>
              <w:rPr>
                <w:sz w:val="1"/>
                <w:szCs w:val="1"/>
                <w:color w:val="auto"/>
              </w:rPr>
            </w:pPr>
          </w:p>
        </w:tc>
      </w:tr>
      <w:tr>
        <w:trPr>
          <w:trHeight w:val="220"/>
        </w:trPr>
        <w:tc>
          <w:tcPr>
            <w:tcW w:w="9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 and software</w:t>
            </w:r>
          </w:p>
        </w:tc>
        <w:tc>
          <w:tcPr>
            <w:tcW w:w="2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 – 10</w:t>
            </w:r>
          </w:p>
        </w:tc>
        <w:tc>
          <w:tcPr>
            <w:tcW w:w="0" w:type="dxa"/>
            <w:vAlign w:val="bottom"/>
          </w:tcPr>
          <w:p>
            <w:pPr>
              <w:spacing w:after="0"/>
              <w:rPr>
                <w:sz w:val="1"/>
                <w:szCs w:val="1"/>
                <w:color w:val="auto"/>
              </w:rPr>
            </w:pPr>
          </w:p>
        </w:tc>
      </w:tr>
      <w:tr>
        <w:trPr>
          <w:trHeight w:val="218"/>
        </w:trPr>
        <w:tc>
          <w:tcPr>
            <w:tcW w:w="9040" w:type="dxa"/>
            <w:vAlign w:val="bottom"/>
          </w:tcPr>
          <w:p>
            <w:pPr>
              <w:ind w:left="20"/>
              <w:spacing w:after="0"/>
              <w:rPr>
                <w:sz w:val="20"/>
                <w:szCs w:val="20"/>
                <w:color w:val="auto"/>
              </w:rPr>
            </w:pPr>
            <w:r>
              <w:rPr>
                <w:rFonts w:ascii="Arial" w:cs="Arial" w:eastAsia="Arial" w:hAnsi="Arial"/>
                <w:sz w:val="17"/>
                <w:szCs w:val="17"/>
                <w:color w:val="auto"/>
              </w:rPr>
              <w:t>Vehicles, furniture, and office equipment</w:t>
            </w:r>
          </w:p>
        </w:tc>
        <w:tc>
          <w:tcPr>
            <w:tcW w:w="2180" w:type="dxa"/>
            <w:vAlign w:val="bottom"/>
          </w:tcPr>
          <w:p>
            <w:pPr>
              <w:jc w:val="center"/>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69"/>
        </w:trPr>
        <w:tc>
          <w:tcPr>
            <w:tcW w:w="90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2180" w:type="dxa"/>
            <w:vAlign w:val="bottom"/>
            <w:shd w:val="clear" w:color="auto" w:fill="CCEEFF"/>
          </w:tcPr>
          <w:p>
            <w:pPr>
              <w:jc w:val="center"/>
              <w:spacing w:after="0" w:line="169" w:lineRule="exact"/>
              <w:rPr>
                <w:sz w:val="20"/>
                <w:szCs w:val="20"/>
                <w:color w:val="auto"/>
              </w:rPr>
            </w:pPr>
            <w:r>
              <w:rPr>
                <w:rFonts w:ascii="Arial" w:cs="Arial" w:eastAsia="Arial" w:hAnsi="Arial"/>
                <w:sz w:val="17"/>
                <w:szCs w:val="17"/>
                <w:color w:val="auto"/>
                <w:w w:val="94"/>
              </w:rPr>
              <w:t>Shorter of useful life or length</w:t>
            </w:r>
          </w:p>
        </w:tc>
        <w:tc>
          <w:tcPr>
            <w:tcW w:w="0" w:type="dxa"/>
            <w:vAlign w:val="bottom"/>
          </w:tcPr>
          <w:p>
            <w:pPr>
              <w:spacing w:after="0"/>
              <w:rPr>
                <w:sz w:val="1"/>
                <w:szCs w:val="1"/>
                <w:color w:val="auto"/>
              </w:rPr>
            </w:pPr>
          </w:p>
        </w:tc>
      </w:tr>
      <w:tr>
        <w:trPr>
          <w:trHeight w:val="219"/>
        </w:trPr>
        <w:tc>
          <w:tcPr>
            <w:tcW w:w="9040" w:type="dxa"/>
            <w:vAlign w:val="bottom"/>
            <w:vMerge w:val="continue"/>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of lease</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(m)</w:t>
      </w:r>
      <w:r>
        <w:rPr>
          <w:sz w:val="20"/>
          <w:szCs w:val="20"/>
          <w:color w:val="auto"/>
        </w:rPr>
        <w:tab/>
      </w:r>
      <w:r>
        <w:rPr>
          <w:rFonts w:ascii="Arial" w:cs="Arial" w:eastAsia="Arial" w:hAnsi="Arial"/>
          <w:sz w:val="14"/>
          <w:szCs w:val="14"/>
          <w:b w:val="1"/>
          <w:bCs w:val="1"/>
          <w:color w:val="auto"/>
        </w:rPr>
        <w:t>Leases</w:t>
      </w:r>
    </w:p>
    <w:p>
      <w:pPr>
        <w:spacing w:after="0" w:line="249" w:lineRule="exact"/>
        <w:rPr>
          <w:sz w:val="20"/>
          <w:szCs w:val="20"/>
          <w:color w:val="auto"/>
        </w:rPr>
      </w:pPr>
    </w:p>
    <w:p>
      <w:pPr>
        <w:ind w:right="20" w:firstLine="619"/>
        <w:spacing w:after="0" w:line="295" w:lineRule="auto"/>
        <w:rPr>
          <w:sz w:val="20"/>
          <w:szCs w:val="20"/>
          <w:color w:val="auto"/>
        </w:rPr>
      </w:pPr>
      <w:r>
        <w:rPr>
          <w:rFonts w:ascii="Arial" w:cs="Arial" w:eastAsia="Arial" w:hAnsi="Arial"/>
          <w:sz w:val="15"/>
          <w:szCs w:val="15"/>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component.in the calculation of the lease asset and corresponding liability.</w:t>
      </w:r>
    </w:p>
    <w:p>
      <w:pPr>
        <w:spacing w:after="0" w:line="186" w:lineRule="exact"/>
        <w:rPr>
          <w:sz w:val="20"/>
          <w:szCs w:val="20"/>
          <w:color w:val="auto"/>
        </w:rPr>
      </w:pPr>
    </w:p>
    <w:p>
      <w:pPr>
        <w:ind w:right="20" w:firstLine="619"/>
        <w:spacing w:after="0" w:line="279" w:lineRule="auto"/>
        <w:rPr>
          <w:sz w:val="20"/>
          <w:szCs w:val="20"/>
          <w:color w:val="auto"/>
        </w:rPr>
      </w:pPr>
      <w:r>
        <w:rPr>
          <w:rFonts w:ascii="Arial" w:cs="Arial" w:eastAsia="Arial" w:hAnsi="Arial"/>
          <w:sz w:val="17"/>
          <w:szCs w:val="17"/>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90"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The depreciable life of lease assets and leasehold improvements is limited by the expected lease term, unless there is a transfer of title or purchase option reasonably certain of exercise.</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Note 6 for additional disclosures related to the Company’s lease obligations.</w:t>
      </w:r>
    </w:p>
    <w:p>
      <w:pPr>
        <w:spacing w:after="0" w:line="200" w:lineRule="exact"/>
        <w:rPr>
          <w:sz w:val="20"/>
          <w:szCs w:val="20"/>
          <w:color w:val="auto"/>
        </w:rPr>
      </w:pPr>
    </w:p>
    <w:p>
      <w:pPr>
        <w:spacing w:after="0" w:line="25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(n)</w:t>
      </w:r>
      <w:r>
        <w:rPr>
          <w:sz w:val="20"/>
          <w:szCs w:val="20"/>
          <w:color w:val="auto"/>
        </w:rPr>
        <w:tab/>
      </w:r>
      <w:r>
        <w:rPr>
          <w:rFonts w:ascii="Arial" w:cs="Arial" w:eastAsia="Arial" w:hAnsi="Arial"/>
          <w:sz w:val="15"/>
          <w:szCs w:val="15"/>
          <w:b w:val="1"/>
          <w:bCs w:val="1"/>
          <w:color w:val="auto"/>
        </w:rPr>
        <w:t>Goodwill and Other Intangible Assets, Net</w:t>
      </w:r>
    </w:p>
    <w:p>
      <w:pPr>
        <w:spacing w:after="0" w:line="249"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 xml:space="preserve">In accordance with the provisions of ASC </w:t>
      </w:r>
      <w:r>
        <w:rPr>
          <w:rFonts w:ascii="Arial" w:cs="Arial" w:eastAsia="Arial" w:hAnsi="Arial"/>
          <w:sz w:val="17"/>
          <w:szCs w:val="17"/>
          <w:i w:val="1"/>
          <w:iCs w:val="1"/>
          <w:color w:val="auto"/>
        </w:rPr>
        <w:t>Topic 350, Intangibles-Goodwill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Topic 350</w:t>
      </w:r>
      <w:r>
        <w:rPr>
          <w:rFonts w:ascii="Arial" w:cs="Arial" w:eastAsia="Arial" w:hAnsi="Arial"/>
          <w:sz w:val="17"/>
          <w:szCs w:val="17"/>
          <w:color w:val="auto"/>
        </w:rPr>
        <w:t>”), the Company performs impairment tests for goodwill and indefinite lived intangibles as of the last day of its fiscal October, or when evidence of potential impairment exists. When it is determined that impairment has occurred, a charge to operations is recorded. Goodwill and other purchased intangible asset balances are included in the identifiable assets of the operating segment to which they have been assigned. Any goodwill impairment, as well as the amortization of other purchased intangible assets, is charged against the respective segments’ operating income.</w:t>
      </w:r>
    </w:p>
    <w:p>
      <w:pPr>
        <w:spacing w:after="0" w:line="209"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i w:val="1"/>
          <w:iCs w:val="1"/>
          <w:color w:val="auto"/>
        </w:rPr>
        <w:t>Topic 350</w:t>
      </w:r>
      <w:r>
        <w:rPr>
          <w:rFonts w:ascii="Arial" w:cs="Arial" w:eastAsia="Arial" w:hAnsi="Arial"/>
          <w:sz w:val="17"/>
          <w:szCs w:val="17"/>
          <w:color w:val="auto"/>
        </w:rPr>
        <w:t>, the Company classifies intangible assets into two categories: (1) intangible assets with finite lives subject to amortization and (2) intangible assets with indefinite lives not subject to amortization. Separately, the Company tests intangible assets with finite lives for impairment if conditions exist that indicate the carrying value may not be recoverable. Such conditions may include an economic downturn in a geographic market or a change in the assessment of future operations. The Company records an impairment charge when the carrying value of the finite lived intangible asset is not recoverable by the cash flows generated from the use of the asset.</w:t>
      </w:r>
    </w:p>
    <w:p>
      <w:pPr>
        <w:spacing w:after="0" w:line="209"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that could impact the useful life of the asset, and other economic factors, including competition and specific market conditions. Intangible assets that are deemed to have finite lives are amortized, generally on a straight-line basis, over their useful lives, ranging from one to 15 years.</w:t>
      </w:r>
    </w:p>
    <w:p>
      <w:pPr>
        <w:spacing w:after="0" w:line="203"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(o)</w:t>
      </w:r>
      <w:r>
        <w:rPr>
          <w:sz w:val="20"/>
          <w:szCs w:val="20"/>
          <w:color w:val="auto"/>
        </w:rPr>
        <w:tab/>
      </w:r>
      <w:r>
        <w:rPr>
          <w:rFonts w:ascii="Arial" w:cs="Arial" w:eastAsia="Arial" w:hAnsi="Arial"/>
          <w:sz w:val="15"/>
          <w:szCs w:val="15"/>
          <w:b w:val="1"/>
          <w:bCs w:val="1"/>
          <w:color w:val="auto"/>
        </w:rPr>
        <w:t>Impairment of Long-Lived Assets and Long-Lived Assets to Be Disposed Of</w:t>
      </w:r>
    </w:p>
    <w:p>
      <w:pPr>
        <w:spacing w:after="0" w:line="249" w:lineRule="exact"/>
        <w:rPr>
          <w:sz w:val="20"/>
          <w:szCs w:val="20"/>
          <w:color w:val="auto"/>
        </w:rPr>
      </w:pPr>
    </w:p>
    <w:p>
      <w:pPr>
        <w:ind w:right="20" w:firstLine="619"/>
        <w:spacing w:after="0" w:line="279" w:lineRule="auto"/>
        <w:rPr>
          <w:sz w:val="20"/>
          <w:szCs w:val="20"/>
          <w:color w:val="auto"/>
        </w:rPr>
      </w:pPr>
      <w:r>
        <w:rPr>
          <w:rFonts w:ascii="Arial" w:cs="Arial" w:eastAsia="Arial" w:hAnsi="Arial"/>
          <w:sz w:val="16"/>
          <w:szCs w:val="16"/>
          <w:color w:val="auto"/>
        </w:rPr>
        <w:t xml:space="preserve">Long-lived assets are reviewed for impairment in accordance with ASC </w:t>
      </w:r>
      <w:r>
        <w:rPr>
          <w:rFonts w:ascii="Arial" w:cs="Arial" w:eastAsia="Arial" w:hAnsi="Arial"/>
          <w:sz w:val="16"/>
          <w:szCs w:val="16"/>
          <w:i w:val="1"/>
          <w:iCs w:val="1"/>
          <w:color w:val="auto"/>
        </w:rPr>
        <w:t>Topic 360, Property, Plant, and Equipment</w:t>
      </w:r>
      <w:r>
        <w:rPr>
          <w:rFonts w:ascii="Arial" w:cs="Arial" w:eastAsia="Arial" w:hAnsi="Arial"/>
          <w:sz w:val="16"/>
          <w:szCs w:val="16"/>
          <w:color w:val="auto"/>
        </w:rPr>
        <w:t>, whenever events or changes in circumstances indicate that the carrying amount of an asset may not be recoverable. Recoverability of assets to be 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8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(p)</w:t>
      </w:r>
      <w:r>
        <w:rPr>
          <w:sz w:val="20"/>
          <w:szCs w:val="20"/>
          <w:color w:val="auto"/>
        </w:rPr>
        <w:tab/>
      </w:r>
      <w:r>
        <w:rPr>
          <w:rFonts w:ascii="Arial" w:cs="Arial" w:eastAsia="Arial" w:hAnsi="Arial"/>
          <w:sz w:val="15"/>
          <w:szCs w:val="15"/>
          <w:b w:val="1"/>
          <w:bCs w:val="1"/>
          <w:color w:val="auto"/>
        </w:rPr>
        <w:t>Fair Value of Financial Instruments</w:t>
      </w:r>
    </w:p>
    <w:p>
      <w:pPr>
        <w:spacing w:after="0" w:line="249" w:lineRule="exact"/>
        <w:rPr>
          <w:sz w:val="20"/>
          <w:szCs w:val="20"/>
          <w:color w:val="auto"/>
        </w:rPr>
      </w:pPr>
    </w:p>
    <w:p>
      <w:pPr>
        <w:ind w:firstLine="619"/>
        <w:spacing w:after="0" w:line="318" w:lineRule="auto"/>
        <w:rPr>
          <w:sz w:val="20"/>
          <w:szCs w:val="20"/>
          <w:color w:val="auto"/>
        </w:rPr>
      </w:pPr>
      <w:r>
        <w:rPr>
          <w:rFonts w:ascii="Arial" w:cs="Arial" w:eastAsia="Arial" w:hAnsi="Arial"/>
          <w:sz w:val="15"/>
          <w:szCs w:val="15"/>
          <w:color w:val="auto"/>
        </w:rPr>
        <w:t>ASC Topic 825</w:t>
      </w:r>
      <w:r>
        <w:rPr>
          <w:rFonts w:ascii="Arial" w:cs="Arial" w:eastAsia="Arial" w:hAnsi="Arial"/>
          <w:sz w:val="15"/>
          <w:szCs w:val="15"/>
          <w:i w:val="1"/>
          <w:iCs w:val="1"/>
          <w:color w:val="auto"/>
        </w:rPr>
        <w:t>, Financial Instruments,</w:t>
      </w:r>
      <w:r>
        <w:rPr>
          <w:rFonts w:ascii="Arial" w:cs="Arial" w:eastAsia="Arial" w:hAnsi="Arial"/>
          <w:sz w:val="15"/>
          <w:szCs w:val="15"/>
          <w:color w:val="auto"/>
        </w:rPr>
        <w:t xml:space="preserve"> requires that fair values be disclosed for the Company’s financial instruments. The carrying amounts of cash equivalents, accounts receivable, accounts payable, accrued expenses, billings in excess of costs and earnings on uncompleted contracts, and income taxes payable, approximate fair value due to the short-term nature of these instruments. The fair value of the Company’s long-term debt is based upon quoted market prices.</w:t>
      </w:r>
    </w:p>
    <w:p>
      <w:pPr>
        <w:spacing w:after="0" w:line="15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Concentrations and Uncertainties</w:t>
      </w:r>
    </w:p>
    <w:p>
      <w:pPr>
        <w:spacing w:after="0" w:line="249" w:lineRule="exact"/>
        <w:rPr>
          <w:sz w:val="20"/>
          <w:szCs w:val="20"/>
          <w:color w:val="auto"/>
        </w:rPr>
      </w:pPr>
    </w:p>
    <w:p>
      <w:pPr>
        <w:jc w:val="both"/>
        <w:ind w:right="120" w:firstLine="619"/>
        <w:spacing w:after="0" w:line="266" w:lineRule="auto"/>
        <w:rPr>
          <w:sz w:val="20"/>
          <w:szCs w:val="20"/>
          <w:color w:val="auto"/>
        </w:rPr>
      </w:pPr>
      <w:r>
        <w:rPr>
          <w:rFonts w:ascii="Arial" w:cs="Arial" w:eastAsia="Arial" w:hAnsi="Arial"/>
          <w:sz w:val="17"/>
          <w:szCs w:val="17"/>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201"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color w:val="auto"/>
        </w:rPr>
        <w:t>Financial instruments, which subject the Company to potential concentrations of credit risk, consist principally of the Company’s billed and unbilled accounts receivable. The Company’s accounts receivable result from sales to customers within the U.S.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13 for a discussion of the Company’s significant customers.</w:t>
      </w:r>
    </w:p>
    <w:p>
      <w:pPr>
        <w:sectPr>
          <w:pgSz w:w="11900" w:h="16838" w:orient="portrait"/>
          <w:cols w:equalWidth="0" w:num="1">
            <w:col w:w="11240"/>
          </w:cols>
          <w:pgMar w:left="320" w:top="862" w:right="339" w:bottom="0" w:gutter="0" w:footer="0" w:header="0"/>
        </w:sectPr>
      </w:pPr>
    </w:p>
    <w:bookmarkStart w:id="83" w:name="page84"/>
    <w:bookmarkEnd w:id="83"/>
    <w:p>
      <w:pPr>
        <w:spacing w:after="0"/>
        <w:tabs>
          <w:tab w:leader="none" w:pos="340" w:val="left"/>
        </w:tabs>
        <w:rPr>
          <w:sz w:val="20"/>
          <w:szCs w:val="20"/>
          <w:color w:val="auto"/>
        </w:rPr>
      </w:pPr>
      <w:r>
        <w:rPr>
          <w:rFonts w:ascii="Arial" w:cs="Arial" w:eastAsia="Arial" w:hAnsi="Arial"/>
          <w:sz w:val="17"/>
          <w:szCs w:val="17"/>
          <w:b w:val="1"/>
          <w:bCs w:val="1"/>
          <w:color w:val="auto"/>
        </w:rPr>
        <w:t>(r)</w:t>
      </w:r>
      <w:r>
        <w:rPr>
          <w:sz w:val="20"/>
          <w:szCs w:val="20"/>
          <w:color w:val="auto"/>
        </w:rPr>
        <w:tab/>
      </w:r>
      <w:r>
        <w:rPr>
          <w:rFonts w:ascii="Arial" w:cs="Arial" w:eastAsia="Arial" w:hAnsi="Arial"/>
          <w:sz w:val="15"/>
          <w:szCs w:val="15"/>
          <w:b w:val="1"/>
          <w:bCs w:val="1"/>
          <w:color w:val="auto"/>
        </w:rPr>
        <w:t>Debt Issuance Costs</w:t>
      </w:r>
    </w:p>
    <w:p>
      <w:pPr>
        <w:spacing w:after="0" w:line="249" w:lineRule="exact"/>
        <w:rPr>
          <w:sz w:val="20"/>
          <w:szCs w:val="20"/>
          <w:color w:val="auto"/>
        </w:rPr>
      </w:pPr>
    </w:p>
    <w:p>
      <w:pPr>
        <w:ind w:right="60" w:firstLine="619"/>
        <w:spacing w:after="0" w:line="307" w:lineRule="auto"/>
        <w:rPr>
          <w:sz w:val="20"/>
          <w:szCs w:val="20"/>
          <w:color w:val="auto"/>
        </w:rPr>
      </w:pPr>
      <w:r>
        <w:rPr>
          <w:rFonts w:ascii="Arial" w:cs="Arial" w:eastAsia="Arial" w:hAnsi="Arial"/>
          <w:sz w:val="15"/>
          <w:szCs w:val="15"/>
          <w:color w:val="auto"/>
        </w:rPr>
        <w:t>Fees paid to obtain debt financing and revolving credit facilities or amendments under such debt financing and revolving credit facilities are treated as debt issuance costs and are capitalized and amortized over the expected term of the related debt or revolving credit facility and are shown as a financing activity in the consolidated statements of cash flows. Issuance costs related to debt are presented in the consolidated balance sheets as a direct deduction from the carrying amount of the associated debt liability. Issuance costs related to a revolving credit facility are included in other assets in the consolidated balance sheets.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0" w:type="dxa"/>
            <w:vAlign w:val="bottom"/>
            <w:gridSpan w:val="2"/>
          </w:tcPr>
          <w:p>
            <w:pPr>
              <w:spacing w:after="0"/>
              <w:rPr>
                <w:sz w:val="20"/>
                <w:szCs w:val="20"/>
                <w:color w:val="auto"/>
              </w:rPr>
            </w:pPr>
            <w:r>
              <w:rPr>
                <w:rFonts w:ascii="Arial" w:cs="Arial" w:eastAsia="Arial" w:hAnsi="Arial"/>
                <w:sz w:val="17"/>
                <w:szCs w:val="17"/>
                <w:b w:val="1"/>
                <w:bCs w:val="1"/>
                <w:color w:val="auto"/>
              </w:rPr>
              <w:t>(s)</w:t>
            </w:r>
          </w:p>
        </w:tc>
        <w:tc>
          <w:tcPr>
            <w:tcW w:w="6820" w:type="dxa"/>
            <w:vAlign w:val="bottom"/>
          </w:tcPr>
          <w:p>
            <w:pPr>
              <w:ind w:left="100"/>
              <w:spacing w:after="0"/>
              <w:rPr>
                <w:sz w:val="20"/>
                <w:szCs w:val="20"/>
                <w:color w:val="auto"/>
              </w:rPr>
            </w:pPr>
            <w:r>
              <w:rPr>
                <w:rFonts w:ascii="Arial" w:cs="Arial" w:eastAsia="Arial" w:hAnsi="Arial"/>
                <w:sz w:val="17"/>
                <w:szCs w:val="17"/>
                <w:b w:val="1"/>
                <w:bCs w:val="1"/>
                <w:color w:val="auto"/>
              </w:rPr>
              <w:t>Interest Expense, Net</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tcPr>
          <w:p>
            <w:pPr>
              <w:ind w:left="360"/>
              <w:spacing w:after="0"/>
              <w:rPr>
                <w:sz w:val="20"/>
                <w:szCs w:val="20"/>
                <w:color w:val="auto"/>
              </w:rPr>
            </w:pPr>
            <w:r>
              <w:rPr>
                <w:rFonts w:ascii="Arial" w:cs="Arial" w:eastAsia="Arial" w:hAnsi="Arial"/>
                <w:sz w:val="17"/>
                <w:szCs w:val="17"/>
                <w:color w:val="auto"/>
              </w:rPr>
              <w:t>Interest expense, net is summarized in the following table (in millions):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24"/>
                <w:szCs w:val="24"/>
                <w:color w:val="auto"/>
              </w:rPr>
            </w:pPr>
          </w:p>
        </w:tc>
        <w:tc>
          <w:tcPr>
            <w:tcW w:w="1220" w:type="dxa"/>
            <w:vAlign w:val="bottom"/>
          </w:tcPr>
          <w:p>
            <w:pPr>
              <w:jc w:val="right"/>
              <w:ind w:right="26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26, 2021</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27, 2020</w:t>
            </w:r>
          </w:p>
        </w:tc>
        <w:tc>
          <w:tcPr>
            <w:tcW w:w="100" w:type="dxa"/>
            <w:vAlign w:val="bottom"/>
          </w:tcPr>
          <w:p>
            <w:pPr>
              <w:spacing w:after="0"/>
              <w:rPr>
                <w:sz w:val="15"/>
                <w:szCs w:val="15"/>
                <w:color w:val="auto"/>
              </w:rPr>
            </w:pPr>
          </w:p>
        </w:tc>
        <w:tc>
          <w:tcPr>
            <w:tcW w:w="1220" w:type="dxa"/>
            <w:vAlign w:val="bottom"/>
          </w:tcPr>
          <w:p>
            <w:pPr>
              <w:jc w:val="right"/>
              <w:ind w:right="41"/>
              <w:spacing w:after="0"/>
              <w:rPr>
                <w:sz w:val="20"/>
                <w:szCs w:val="20"/>
                <w:color w:val="auto"/>
              </w:rPr>
            </w:pPr>
            <w:r>
              <w:rPr>
                <w:rFonts w:ascii="Arial" w:cs="Arial" w:eastAsia="Arial" w:hAnsi="Arial"/>
                <w:sz w:val="14"/>
                <w:szCs w:val="14"/>
                <w:b w:val="1"/>
                <w:bCs w:val="1"/>
                <w:color w:val="auto"/>
                <w:w w:val="85"/>
              </w:rPr>
              <w:t>December 29, 2019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 incurred primarily on the Senior Secured Notes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Miscellaneous interest income</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w:t>
            </w:r>
          </w:p>
        </w:tc>
        <w:tc>
          <w:tcPr>
            <w:tcW w:w="6820" w:type="dxa"/>
            <w:vAlign w:val="bottom"/>
            <w:vMerge w:val="restart"/>
          </w:tcPr>
          <w:p>
            <w:pPr>
              <w:ind w:left="80"/>
              <w:spacing w:after="0"/>
              <w:rPr>
                <w:sz w:val="20"/>
                <w:szCs w:val="20"/>
                <w:color w:val="auto"/>
              </w:rPr>
            </w:pPr>
            <w:r>
              <w:rPr>
                <w:rFonts w:ascii="Arial" w:cs="Arial" w:eastAsia="Arial" w:hAnsi="Arial"/>
                <w:sz w:val="17"/>
                <w:szCs w:val="17"/>
                <w:b w:val="1"/>
                <w:bCs w:val="1"/>
                <w:color w:val="auto"/>
              </w:rPr>
              <w:t>Foreign Currency</w:t>
            </w: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260" w:type="dxa"/>
            <w:vAlign w:val="bottom"/>
            <w:gridSpan w:val="2"/>
            <w:vMerge w:val="continue"/>
          </w:tcPr>
          <w:p>
            <w:pPr>
              <w:spacing w:after="0"/>
              <w:rPr>
                <w:sz w:val="24"/>
                <w:szCs w:val="24"/>
                <w:color w:val="auto"/>
              </w:rPr>
            </w:pPr>
          </w:p>
        </w:tc>
        <w:tc>
          <w:tcPr>
            <w:tcW w:w="6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For operations outside the U.S. that prepare financial statements in currencies other than the U.S. dollar, results of operations and cash flows are translated at average exchange rates during the period, and assets and liabilities are generally translated at end-of-period exchange rates. Translation adjustments are included as a separate component of accumulated other comprehensive loss.</w:t>
      </w:r>
    </w:p>
    <w:p>
      <w:pPr>
        <w:spacing w:after="0" w:line="201" w:lineRule="exact"/>
        <w:rPr>
          <w:sz w:val="20"/>
          <w:szCs w:val="20"/>
          <w:color w:val="auto"/>
        </w:rPr>
      </w:pPr>
    </w:p>
    <w:p>
      <w:pPr>
        <w:ind w:right="220" w:firstLine="619"/>
        <w:spacing w:after="0" w:line="262" w:lineRule="auto"/>
        <w:rPr>
          <w:sz w:val="20"/>
          <w:szCs w:val="20"/>
          <w:color w:val="auto"/>
        </w:rPr>
      </w:pPr>
      <w:r>
        <w:rPr>
          <w:rFonts w:ascii="Arial" w:cs="Arial" w:eastAsia="Arial" w:hAnsi="Arial"/>
          <w:sz w:val="17"/>
          <w:szCs w:val="17"/>
          <w:color w:val="auto"/>
        </w:rPr>
        <w:t>The Company transacts with foreign customers in currencies other than the U.S. dollar. It experiences realized and unrealized foreign currency gains or losses on foreign denominated receivables. In addition, certain intercompany transactions give rise to realized and unrealized foreign currency gains or losses. Also, any other transactions between the Company or its subsidiaries and a third-party, denominated in a currency different from the functional currency, are foreign currency transactions.</w:t>
      </w:r>
    </w:p>
    <w:p>
      <w:pPr>
        <w:spacing w:after="0" w:line="204"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The aggregate foreign currency transaction gain (loss) included in determining net income (loss) for the years ended December 26, 2021, December 27, 2020, and December 29, 2019 was approximately $(0.8) million, $0.0 million, and $(1.1) million, respectively, which is included in other income (expense), net on the accompanying consolidated statements of operations and comprehensive loss.</w:t>
      </w:r>
    </w:p>
    <w:p>
      <w:pPr>
        <w:spacing w:after="0" w:line="195"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(u)</w:t>
      </w:r>
      <w:r>
        <w:rPr>
          <w:sz w:val="20"/>
          <w:szCs w:val="20"/>
          <w:color w:val="auto"/>
        </w:rPr>
        <w:tab/>
      </w:r>
      <w:r>
        <w:rPr>
          <w:rFonts w:ascii="Arial" w:cs="Arial" w:eastAsia="Arial" w:hAnsi="Arial"/>
          <w:sz w:val="15"/>
          <w:szCs w:val="15"/>
          <w:b w:val="1"/>
          <w:bCs w:val="1"/>
          <w:color w:val="auto"/>
        </w:rPr>
        <w:t>Recent Accounting Pronouncements</w:t>
      </w:r>
    </w:p>
    <w:p>
      <w:pPr>
        <w:spacing w:after="0" w:line="249" w:lineRule="exact"/>
        <w:rPr>
          <w:sz w:val="20"/>
          <w:szCs w:val="20"/>
          <w:color w:val="auto"/>
        </w:rPr>
      </w:pPr>
    </w:p>
    <w:p>
      <w:pPr>
        <w:ind w:right="40" w:firstLine="619"/>
        <w:spacing w:after="0" w:line="276" w:lineRule="auto"/>
        <w:rPr>
          <w:sz w:val="20"/>
          <w:szCs w:val="20"/>
          <w:color w:val="auto"/>
        </w:rPr>
      </w:pPr>
      <w:r>
        <w:rPr>
          <w:rFonts w:ascii="Arial" w:cs="Arial" w:eastAsia="Arial" w:hAnsi="Arial"/>
          <w:sz w:val="16"/>
          <w:szCs w:val="16"/>
          <w:color w:val="auto"/>
        </w:rPr>
        <w:t xml:space="preserve">In June 2016, the FASB issued ASU 2016-13 (“ASU 2016-13”), </w:t>
      </w:r>
      <w:r>
        <w:rPr>
          <w:rFonts w:ascii="Arial" w:cs="Arial" w:eastAsia="Arial" w:hAnsi="Arial"/>
          <w:sz w:val="16"/>
          <w:szCs w:val="16"/>
          <w:i w:val="1"/>
          <w:iCs w:val="1"/>
          <w:color w:val="auto"/>
        </w:rPr>
        <w:t>Financial Instruments-Credit Losses (Topic 326):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color w:val="auto"/>
        </w:rPr>
        <w:t>. The main objective of this update is to provide financial statement users with more decision-useful information about the expected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losses on financial instruments and other commitments to extend credit held by a reporting entity at each reporting date. To achieve this objective, the amendments in this update replace the incurred loss impairment methodology in current GAAP with a methodology that reflects expected credit losses and requires consideration of a broader range of reasonable and supportable information to inform credit loss estimates. ASU 2016-13 is effective for fiscal years beginning after December 15, 2019, including interim periods within those fiscal years. The Company has adopted ASU 2016-13 effective December 30, 2019. The implementation of this guidance did not have a material impact on the Company’s consolidated financial statements.</w:t>
      </w:r>
    </w:p>
    <w:p>
      <w:pPr>
        <w:spacing w:after="0" w:line="195" w:lineRule="exact"/>
        <w:rPr>
          <w:sz w:val="20"/>
          <w:szCs w:val="20"/>
          <w:color w:val="auto"/>
        </w:rPr>
      </w:pPr>
    </w:p>
    <w:p>
      <w:pPr>
        <w:ind w:right="80" w:firstLine="619"/>
        <w:spacing w:after="0" w:line="299" w:lineRule="auto"/>
        <w:rPr>
          <w:sz w:val="20"/>
          <w:szCs w:val="20"/>
          <w:color w:val="auto"/>
        </w:rPr>
      </w:pPr>
      <w:r>
        <w:rPr>
          <w:rFonts w:ascii="Arial" w:cs="Arial" w:eastAsia="Arial" w:hAnsi="Arial"/>
          <w:sz w:val="15"/>
          <w:szCs w:val="15"/>
          <w:color w:val="auto"/>
        </w:rPr>
        <w:t xml:space="preserve">In October 2021, the FASB issued ASU 2021-08 (“ASU 2021-08”), </w:t>
      </w:r>
      <w:r>
        <w:rPr>
          <w:rFonts w:ascii="Arial" w:cs="Arial" w:eastAsia="Arial" w:hAnsi="Arial"/>
          <w:sz w:val="15"/>
          <w:szCs w:val="15"/>
          <w:i w:val="1"/>
          <w:iCs w:val="1"/>
          <w:color w:val="auto"/>
        </w:rPr>
        <w:t>Business Combinations (Topic 805): Accounting for Contract Assets and Contract</w:t>
      </w:r>
      <w:r>
        <w:rPr>
          <w:rFonts w:ascii="Arial" w:cs="Arial" w:eastAsia="Arial" w:hAnsi="Arial"/>
          <w:sz w:val="15"/>
          <w:szCs w:val="15"/>
          <w:color w:val="auto"/>
        </w:rPr>
        <w:t xml:space="preserve"> </w:t>
      </w:r>
      <w:r>
        <w:rPr>
          <w:rFonts w:ascii="Arial" w:cs="Arial" w:eastAsia="Arial" w:hAnsi="Arial"/>
          <w:sz w:val="15"/>
          <w:szCs w:val="15"/>
          <w:i w:val="1"/>
          <w:iCs w:val="1"/>
          <w:color w:val="auto"/>
        </w:rPr>
        <w:t>Liabilities from Contracts with Customers</w:t>
      </w:r>
      <w:r>
        <w:rPr>
          <w:rFonts w:ascii="Arial" w:cs="Arial" w:eastAsia="Arial" w:hAnsi="Arial"/>
          <w:sz w:val="15"/>
          <w:szCs w:val="15"/>
          <w:color w:val="auto"/>
        </w:rPr>
        <w:t>, which requires entities to recognize and measure contract assets and contract liabilities acquired in a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combination in 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The Company has adopted the new standard effective December 26, 2021. The adoption of the new standard did not have an impact on the Company’s consolidated financial statements.</w:t>
      </w:r>
    </w:p>
    <w:p>
      <w:pPr>
        <w:spacing w:after="0" w:line="174"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5"/>
          <w:szCs w:val="15"/>
          <w:b w:val="1"/>
          <w:bCs w:val="1"/>
          <w:color w:val="auto"/>
        </w:rPr>
        <w:t>Acquisitions</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FTT Entities</w:t>
      </w:r>
    </w:p>
    <w:p>
      <w:pPr>
        <w:spacing w:after="0" w:line="217"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On February 27, 2019, the Company acquired 80.1% of the issued and outstanding shares of capital stock of Florida Turbine Technologies Inc., a Florida corporation (“FTT Inc.”), and 80.1% of the membership interests in FTT CORE, LLC, a Delaware limited liability company (“FTT Core” and, together with FTT Inc. and their respective subsidiaries, “FTT”), for an aggregate purchase price of approximately $60 million. The purchase price was $33 million in cash, with approximately $17.7 million paid at close and approximately $15.3 million to be paid over a three-year period, subject to adjustments for transaction expenses, indebtedness, cash on hand, certain amounts payable or potentially payable to employees of FTT and post-closing working capital adjustments, and 1,825,406 shares of common stock (with a value of approximately $27 million).</w:t>
      </w:r>
    </w:p>
    <w:p>
      <w:pPr>
        <w:spacing w:after="0" w:line="209" w:lineRule="exact"/>
        <w:rPr>
          <w:sz w:val="20"/>
          <w:szCs w:val="20"/>
          <w:color w:val="auto"/>
        </w:rPr>
      </w:pPr>
    </w:p>
    <w:p>
      <w:pPr>
        <w:ind w:right="280" w:firstLine="619"/>
        <w:spacing w:after="0" w:line="262" w:lineRule="auto"/>
        <w:rPr>
          <w:sz w:val="20"/>
          <w:szCs w:val="20"/>
          <w:color w:val="auto"/>
        </w:rPr>
      </w:pPr>
      <w:r>
        <w:rPr>
          <w:rFonts w:ascii="Arial" w:cs="Arial" w:eastAsia="Arial" w:hAnsi="Arial"/>
          <w:sz w:val="17"/>
          <w:szCs w:val="17"/>
          <w:color w:val="auto"/>
        </w:rPr>
        <w:t>FTT is a leading turbomachinery design and manufacturing company specializing in engineering, development, and testing of gas turbines, propulsion components, engine and other systems for military and commercial applications. FTT is now the KTT Division, which is focused on the development and production of small, affordable, high-performance jet engines for the next generation of tactical weapon systems and tactical jet UAS. The KTT Division is included in the KGS segment.</w:t>
      </w:r>
    </w:p>
    <w:p>
      <w:pPr>
        <w:spacing w:after="0" w:line="204" w:lineRule="exact"/>
        <w:rPr>
          <w:sz w:val="20"/>
          <w:szCs w:val="20"/>
          <w:color w:val="auto"/>
        </w:rPr>
      </w:pPr>
    </w:p>
    <w:p>
      <w:pPr>
        <w:ind w:right="280" w:firstLine="619"/>
        <w:spacing w:after="0" w:line="266"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goodwill represents the value the Company expects to be created by enabling it to accelerate FTT’s small engine development programs, and facilitate integration of these leading-edge engine solutions with evolving Kratos tactical systems.</w:t>
      </w:r>
    </w:p>
    <w:p>
      <w:pPr>
        <w:spacing w:after="0" w:line="201" w:lineRule="exact"/>
        <w:rPr>
          <w:sz w:val="20"/>
          <w:szCs w:val="20"/>
          <w:color w:val="auto"/>
        </w:rPr>
      </w:pPr>
    </w:p>
    <w:p>
      <w:pPr>
        <w:ind w:right="400" w:firstLine="619"/>
        <w:spacing w:after="0" w:line="259" w:lineRule="auto"/>
        <w:rPr>
          <w:sz w:val="20"/>
          <w:szCs w:val="20"/>
          <w:color w:val="auto"/>
        </w:rPr>
      </w:pPr>
      <w:r>
        <w:rPr>
          <w:rFonts w:ascii="Arial" w:cs="Arial" w:eastAsia="Arial" w:hAnsi="Arial"/>
          <w:sz w:val="17"/>
          <w:szCs w:val="17"/>
          <w:color w:val="auto"/>
        </w:rPr>
        <w:t>Simultaneously with the execution of the Purchase Agreement among the Company and the Sellers (as defined in such agreement) (the “Purchase Agreement”) and completion of the acquisition, the Company, FTT Inc., FTT Core and the Sellers entered into an exchange agreement (the “Exchange Agreement”) pursuant to which, among other things, (i) FTT Core was converted into a Delaware corporation, (ii) beginning in January 2024, the Holders (as defined in the Exchange Agreement) will have an annual right (the “Put Right”) to sell all of the minority interests in FTT Inc. and FTT Core (the “Minority Interests”) to</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1240"/>
          </w:cols>
          <w:pgMar w:left="320" w:top="121" w:right="339" w:bottom="0" w:gutter="0" w:footer="0" w:header="0"/>
          <w:type w:val="continuous"/>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29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164070" cy="29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ind w:right="40"/>
        <w:spacing w:after="0" w:line="279" w:lineRule="auto"/>
        <w:rPr>
          <w:sz w:val="20"/>
          <w:szCs w:val="20"/>
          <w:color w:val="auto"/>
        </w:rPr>
      </w:pPr>
      <w:r>
        <w:rPr>
          <w:rFonts w:ascii="Arial" w:cs="Arial" w:eastAsia="Arial" w:hAnsi="Arial"/>
          <w:sz w:val="16"/>
          <w:szCs w:val="16"/>
          <w:color w:val="auto"/>
        </w:rPr>
        <w:t>the Company at a purchase price based on a specified multiple of the trailing 12 months EBITDA of FTT Inc., FTT Core and each of their respective subsidiaries (the “Acquired Companies”) as set forth in the Exchange Agreement (the “Minority Interest Purchase Price”) (provided, however, that following certain events, including a change of control, the Put Right will be accelerated and the Minority Interest Purchase Price will be a specified increased multiple of the trailing 12 months EBITDA of the Acquired Companies as set forth in the Exchange Agreement), and (iii) beginning in January 2025, the Company will have an annual right to purchase all of the Minority Interests from the Holders at the Minority Interest Purchase Price.</w:t>
      </w:r>
    </w:p>
    <w:p>
      <w:pPr>
        <w:spacing w:after="0" w:line="194" w:lineRule="exact"/>
        <w:rPr>
          <w:sz w:val="20"/>
          <w:szCs w:val="20"/>
          <w:color w:val="auto"/>
        </w:rPr>
      </w:pPr>
    </w:p>
    <w:p>
      <w:pPr>
        <w:ind w:right="40" w:firstLine="619"/>
        <w:spacing w:after="0" w:line="283" w:lineRule="auto"/>
        <w:rPr>
          <w:sz w:val="20"/>
          <w:szCs w:val="20"/>
          <w:color w:val="auto"/>
        </w:rPr>
      </w:pPr>
      <w:r>
        <w:rPr>
          <w:rFonts w:ascii="Arial" w:cs="Arial" w:eastAsia="Arial" w:hAnsi="Arial"/>
          <w:sz w:val="16"/>
          <w:szCs w:val="16"/>
          <w:color w:val="auto"/>
        </w:rPr>
        <w:t>The transaction has been accounted for using the acquisition method of accounting, which requires, among other things, that the assets acquired, the liabilities assumed, and the noncontrolling interest be recognized at their fair values as of the acquisition date. The fair value measurements are based primarily on significant inputs not observable in the marketplace and thus represent Level 3 measurements. The following table summarizes the allocation of the purchase price over the estimated fair values of the major assets acquired, liabilities assumed, and noncontrolling interest (in millions):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18"/>
        </w:trPr>
        <w:tc>
          <w:tcPr>
            <w:tcW w:w="9280" w:type="dxa"/>
            <w:vAlign w:val="bottom"/>
          </w:tcPr>
          <w:p>
            <w:pPr>
              <w:ind w:left="20"/>
              <w:spacing w:after="0"/>
              <w:rPr>
                <w:sz w:val="20"/>
                <w:szCs w:val="20"/>
                <w:color w:val="auto"/>
              </w:rPr>
            </w:pPr>
            <w:r>
              <w:rPr>
                <w:rFonts w:ascii="Arial" w:cs="Arial" w:eastAsia="Arial" w:hAnsi="Arial"/>
                <w:sz w:val="17"/>
                <w:szCs w:val="17"/>
                <w:color w:val="auto"/>
              </w:rPr>
              <w:t>Unbilled receivables</w:t>
            </w: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0"/>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Inventoried costs</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18"/>
        </w:trPr>
        <w:tc>
          <w:tcPr>
            <w:tcW w:w="928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0"/>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18"/>
        </w:trPr>
        <w:tc>
          <w:tcPr>
            <w:tcW w:w="928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30.8</w:t>
            </w:r>
          </w:p>
        </w:tc>
      </w:tr>
      <w:tr>
        <w:trPr>
          <w:trHeight w:val="220"/>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8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w:t>
            </w:r>
          </w:p>
        </w:tc>
      </w:tr>
      <w:tr>
        <w:trPr>
          <w:trHeight w:val="211"/>
        </w:trPr>
        <w:tc>
          <w:tcPr>
            <w:tcW w:w="9280" w:type="dxa"/>
            <w:vAlign w:val="bottom"/>
          </w:tcPr>
          <w:p>
            <w:pPr>
              <w:ind w:left="100"/>
              <w:spacing w:after="0"/>
              <w:rPr>
                <w:sz w:val="20"/>
                <w:szCs w:val="20"/>
                <w:color w:val="auto"/>
              </w:rPr>
            </w:pPr>
            <w:r>
              <w:rPr>
                <w:rFonts w:ascii="Arial" w:cs="Arial" w:eastAsia="Arial" w:hAnsi="Arial"/>
                <w:sz w:val="17"/>
                <w:szCs w:val="17"/>
                <w:color w:val="auto"/>
              </w:rPr>
              <w:t>Total identifiable net assets acquired</w:t>
            </w: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82.4</w:t>
            </w:r>
          </w:p>
        </w:tc>
      </w:tr>
      <w:tr>
        <w:trPr>
          <w:trHeight w:val="220"/>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identifiable net liabilities assumed</w:t>
            </w:r>
          </w:p>
        </w:tc>
        <w:tc>
          <w:tcPr>
            <w:tcW w:w="8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11"/>
        </w:trPr>
        <w:tc>
          <w:tcPr>
            <w:tcW w:w="9280" w:type="dxa"/>
            <w:vAlign w:val="bottom"/>
          </w:tcPr>
          <w:p>
            <w:pPr>
              <w:ind w:left="100"/>
              <w:spacing w:after="0"/>
              <w:rPr>
                <w:sz w:val="20"/>
                <w:szCs w:val="20"/>
                <w:color w:val="auto"/>
              </w:rPr>
            </w:pPr>
            <w:r>
              <w:rPr>
                <w:rFonts w:ascii="Arial" w:cs="Arial" w:eastAsia="Arial" w:hAnsi="Arial"/>
                <w:sz w:val="17"/>
                <w:szCs w:val="17"/>
                <w:color w:val="auto"/>
              </w:rPr>
              <w:t>Net assets before noncontrolling interest</w:t>
            </w: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74.9</w:t>
            </w:r>
          </w:p>
        </w:tc>
      </w:tr>
      <w:tr>
        <w:trPr>
          <w:trHeight w:val="219"/>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w:t>
            </w:r>
          </w:p>
        </w:tc>
        <w:tc>
          <w:tcPr>
            <w:tcW w:w="8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13"/>
        </w:trPr>
        <w:tc>
          <w:tcPr>
            <w:tcW w:w="9280" w:type="dxa"/>
            <w:vAlign w:val="bottom"/>
          </w:tcPr>
          <w:p>
            <w:pPr>
              <w:ind w:left="100"/>
              <w:spacing w:after="0"/>
              <w:rPr>
                <w:sz w:val="20"/>
                <w:szCs w:val="20"/>
                <w:color w:val="auto"/>
              </w:rPr>
            </w:pPr>
            <w:r>
              <w:rPr>
                <w:rFonts w:ascii="Arial" w:cs="Arial" w:eastAsia="Arial" w:hAnsi="Arial"/>
                <w:sz w:val="17"/>
                <w:szCs w:val="17"/>
                <w:color w:val="auto"/>
              </w:rPr>
              <w:t>Net assets acquired, excluding cash</w:t>
            </w:r>
          </w:p>
        </w:tc>
        <w:tc>
          <w:tcPr>
            <w:tcW w:w="82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w:t>
            </w:r>
          </w:p>
        </w:tc>
      </w:tr>
      <w:tr>
        <w:trPr>
          <w:trHeight w:val="20"/>
        </w:trPr>
        <w:tc>
          <w:tcPr>
            <w:tcW w:w="9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As of February 27, 2019, net liabilities included $7.5 million of current liabilities. There was no contingent purchase consideration associated with the acquisition of an 80.1% majority interest in FTT. The identifiable intangible assets include customer relationships of $19.7 million with a useful life of 13 years, in-process research and development of $8.5 million that will commence amortization at the completion of the development project, backlog of $2.1 million with a useful life of two years, and trade name of $0.5 million with a useful life of two years. The Company also established a deferred tax liability of $7.0 million for the increase in the financial statement basis of the acquired assets of FTT and a corresponding increase in goodwill. The goodwill recorded in this transaction is not expected to be tax-deductible.</w:t>
      </w:r>
    </w:p>
    <w:p>
      <w:pPr>
        <w:spacing w:after="0" w:line="209" w:lineRule="exact"/>
        <w:rPr>
          <w:sz w:val="20"/>
          <w:szCs w:val="20"/>
          <w:color w:val="auto"/>
        </w:rPr>
      </w:pPr>
    </w:p>
    <w:p>
      <w:pPr>
        <w:ind w:right="220" w:firstLine="619"/>
        <w:spacing w:after="0" w:line="297" w:lineRule="auto"/>
        <w:rPr>
          <w:sz w:val="20"/>
          <w:szCs w:val="20"/>
          <w:color w:val="auto"/>
        </w:rPr>
      </w:pPr>
      <w:r>
        <w:rPr>
          <w:rFonts w:ascii="Arial" w:cs="Arial" w:eastAsia="Arial" w:hAnsi="Arial"/>
          <w:sz w:val="15"/>
          <w:szCs w:val="15"/>
          <w:color w:val="auto"/>
        </w:rPr>
        <w:t>The value of customer relationships was estimated using the multi-period excess earnings method (“MPEEM”),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customer relationships, which were discounted at a rate of 12.5% to determine the fair value. The value of backlog was also valued using MPEEM. The value of in-process research and development was estimated using the relief-from-royalty method, an income approach (Level 3), which estimates the cost savings that accrue to the owner of the intangible asset that would otherwise be payable as royalties or license fees on revenues earned through the use of the asset. A royalty rate was applied to the projected revenues associated with the intangible asset to determine the amount of savings, which was at a rate of 10% to determine the fair value.</w:t>
      </w:r>
    </w:p>
    <w:p>
      <w:pPr>
        <w:spacing w:after="0" w:line="18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amounts of revenue and operating loss of FTT included in the Company's consolidated statement of operations for the year ended December 29, 2019 are $52.5 million and $0.7 million, respectively. Included in the merger and acquisition expenses for the year ended December 29, 2019 are transaction expenses of $1.4 million related to the acquisition of FTT.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7"/>
        </w:trPr>
        <w:tc>
          <w:tcPr>
            <w:tcW w:w="9720" w:type="dxa"/>
            <w:vAlign w:val="bottom"/>
          </w:tcPr>
          <w:p>
            <w:pPr>
              <w:ind w:left="620"/>
              <w:spacing w:after="0"/>
              <w:rPr>
                <w:sz w:val="20"/>
                <w:szCs w:val="20"/>
                <w:color w:val="auto"/>
              </w:rPr>
            </w:pPr>
            <w:r>
              <w:rPr>
                <w:rFonts w:ascii="Arial" w:cs="Arial" w:eastAsia="Arial" w:hAnsi="Arial"/>
                <w:sz w:val="17"/>
                <w:szCs w:val="17"/>
                <w:color w:val="auto"/>
              </w:rPr>
              <w:t>A summary of the consideration paid for the acquired ownership in FTT is as follow:</w:t>
            </w: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43"/>
        </w:trPr>
        <w:tc>
          <w:tcPr>
            <w:tcW w:w="9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19"/>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w:t>
            </w: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20.7</w:t>
            </w:r>
          </w:p>
        </w:tc>
      </w:tr>
      <w:tr>
        <w:trPr>
          <w:trHeight w:val="218"/>
        </w:trPr>
        <w:tc>
          <w:tcPr>
            <w:tcW w:w="9720" w:type="dxa"/>
            <w:vAlign w:val="bottom"/>
          </w:tcPr>
          <w:p>
            <w:pPr>
              <w:ind w:left="20"/>
              <w:spacing w:after="0"/>
              <w:rPr>
                <w:sz w:val="20"/>
                <w:szCs w:val="20"/>
                <w:color w:val="auto"/>
              </w:rPr>
            </w:pPr>
            <w:r>
              <w:rPr>
                <w:rFonts w:ascii="Arial" w:cs="Arial" w:eastAsia="Arial" w:hAnsi="Arial"/>
                <w:sz w:val="17"/>
                <w:szCs w:val="17"/>
                <w:color w:val="auto"/>
              </w:rPr>
              <w:t>Deferred purchase consideration</w:t>
            </w:r>
          </w:p>
        </w:tc>
        <w:tc>
          <w:tcPr>
            <w:tcW w:w="620" w:type="dxa"/>
            <w:vAlign w:val="bottom"/>
          </w:tcPr>
          <w:p>
            <w:pPr>
              <w:spacing w:after="0"/>
              <w:rPr>
                <w:sz w:val="18"/>
                <w:szCs w:val="18"/>
                <w:color w:val="auto"/>
              </w:rPr>
            </w:pPr>
          </w:p>
        </w:tc>
        <w:tc>
          <w:tcPr>
            <w:tcW w:w="880" w:type="dxa"/>
            <w:vAlign w:val="bottom"/>
          </w:tcPr>
          <w:p>
            <w:pPr>
              <w:ind w:left="500"/>
              <w:spacing w:after="0"/>
              <w:rPr>
                <w:sz w:val="20"/>
                <w:szCs w:val="20"/>
                <w:color w:val="auto"/>
              </w:rPr>
            </w:pPr>
            <w:r>
              <w:rPr>
                <w:rFonts w:ascii="Arial" w:cs="Arial" w:eastAsia="Arial" w:hAnsi="Arial"/>
                <w:sz w:val="17"/>
                <w:szCs w:val="17"/>
                <w:color w:val="auto"/>
              </w:rPr>
              <w:t>15.3</w:t>
            </w:r>
          </w:p>
        </w:tc>
      </w:tr>
      <w:tr>
        <w:trPr>
          <w:trHeight w:val="219"/>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issued</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27.0</w:t>
            </w:r>
          </w:p>
        </w:tc>
      </w:tr>
      <w:tr>
        <w:trPr>
          <w:trHeight w:val="212"/>
        </w:trPr>
        <w:tc>
          <w:tcPr>
            <w:tcW w:w="9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ind w:left="500"/>
              <w:spacing w:after="0"/>
              <w:rPr>
                <w:sz w:val="20"/>
                <w:szCs w:val="20"/>
                <w:color w:val="auto"/>
              </w:rPr>
            </w:pPr>
            <w:r>
              <w:rPr>
                <w:rFonts w:ascii="Arial" w:cs="Arial" w:eastAsia="Arial" w:hAnsi="Arial"/>
                <w:sz w:val="17"/>
                <w:szCs w:val="17"/>
                <w:color w:val="auto"/>
              </w:rPr>
              <w:t>63.0</w:t>
            </w:r>
          </w:p>
        </w:tc>
      </w:tr>
      <w:tr>
        <w:trPr>
          <w:trHeight w:val="219"/>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Cash acquired</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w w:val="97"/>
              </w:rPr>
              <w:t>(3.0)</w:t>
            </w:r>
          </w:p>
        </w:tc>
      </w:tr>
      <w:tr>
        <w:trPr>
          <w:trHeight w:val="213"/>
        </w:trPr>
        <w:tc>
          <w:tcPr>
            <w:tcW w:w="9720" w:type="dxa"/>
            <w:vAlign w:val="bottom"/>
          </w:tcPr>
          <w:p>
            <w:pPr>
              <w:ind w:left="20"/>
              <w:spacing w:after="0"/>
              <w:rPr>
                <w:sz w:val="20"/>
                <w:szCs w:val="20"/>
                <w:color w:val="auto"/>
              </w:rPr>
            </w:pPr>
            <w:r>
              <w:rPr>
                <w:rFonts w:ascii="Arial" w:cs="Arial" w:eastAsia="Arial" w:hAnsi="Arial"/>
                <w:sz w:val="17"/>
                <w:szCs w:val="17"/>
                <w:color w:val="auto"/>
              </w:rPr>
              <w:t>Total consideration</w:t>
            </w:r>
          </w:p>
        </w:tc>
        <w:tc>
          <w:tcPr>
            <w:tcW w:w="6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60.0</w:t>
            </w:r>
          </w:p>
        </w:tc>
      </w:tr>
      <w:tr>
        <w:trPr>
          <w:trHeight w:val="20"/>
        </w:trPr>
        <w:tc>
          <w:tcPr>
            <w:tcW w:w="9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ind w:left="620"/>
        <w:spacing w:after="0"/>
        <w:rPr>
          <w:sz w:val="20"/>
          <w:szCs w:val="20"/>
          <w:color w:val="auto"/>
        </w:rPr>
      </w:pPr>
      <w:r>
        <w:rPr>
          <w:rFonts w:ascii="Arial" w:cs="Arial" w:eastAsia="Arial" w:hAnsi="Arial"/>
          <w:sz w:val="17"/>
          <w:szCs w:val="17"/>
          <w:b w:val="1"/>
          <w:bCs w:val="1"/>
          <w:u w:val="single" w:color="auto"/>
          <w:color w:val="auto"/>
        </w:rPr>
        <w:t>Pro Forma Financial Information (Unaudited)</w:t>
      </w:r>
    </w:p>
    <w:p>
      <w:pPr>
        <w:spacing w:after="0" w:line="249" w:lineRule="exact"/>
        <w:rPr>
          <w:sz w:val="20"/>
          <w:szCs w:val="20"/>
          <w:color w:val="auto"/>
        </w:rPr>
      </w:pPr>
    </w:p>
    <w:p>
      <w:pPr>
        <w:ind w:right="140" w:firstLine="619"/>
        <w:spacing w:after="0" w:line="279" w:lineRule="auto"/>
        <w:rPr>
          <w:sz w:val="20"/>
          <w:szCs w:val="20"/>
          <w:color w:val="auto"/>
        </w:rPr>
      </w:pPr>
      <w:r>
        <w:rPr>
          <w:rFonts w:ascii="Arial" w:cs="Arial" w:eastAsia="Arial" w:hAnsi="Arial"/>
          <w:sz w:val="16"/>
          <w:szCs w:val="16"/>
          <w:color w:val="auto"/>
        </w:rPr>
        <w:t>The following table summarizes the supplemental condensed consolidated statement of operations information on an unaudited pro forma basis as if the acquisition of FTT occurred on December 31, 2018 and includes adjustments that were directly attributable to the foregoing transactions. There are no material, nonrecurring pro forma adjustments directly attributable to the business combination included in the reported pro forma revenue and earnings.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40" w:type="dxa"/>
            <w:vAlign w:val="bottom"/>
          </w:tcPr>
          <w:p>
            <w:pPr>
              <w:ind w:left="620"/>
              <w:spacing w:after="0"/>
              <w:rPr>
                <w:sz w:val="20"/>
                <w:szCs w:val="20"/>
                <w:color w:val="auto"/>
              </w:rPr>
            </w:pPr>
            <w:r>
              <w:rPr>
                <w:rFonts w:ascii="Arial" w:cs="Arial" w:eastAsia="Arial" w:hAnsi="Arial"/>
                <w:sz w:val="17"/>
                <w:szCs w:val="17"/>
                <w:color w:val="auto"/>
              </w:rPr>
              <w:t>For the year ended December 29, 2019 (all amounts, except per share amounts, are in millions):</w:t>
            </w:r>
          </w:p>
        </w:tc>
        <w:tc>
          <w:tcPr>
            <w:tcW w:w="1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43"/>
        </w:trPr>
        <w:tc>
          <w:tcPr>
            <w:tcW w:w="8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9"/>
        </w:trPr>
        <w:tc>
          <w:tcPr>
            <w:tcW w:w="8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 forma revenues</w:t>
            </w:r>
          </w:p>
        </w:tc>
        <w:tc>
          <w:tcPr>
            <w:tcW w:w="18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725.6</w:t>
            </w:r>
          </w:p>
        </w:tc>
      </w:tr>
      <w:tr>
        <w:trPr>
          <w:trHeight w:val="218"/>
        </w:trPr>
        <w:tc>
          <w:tcPr>
            <w:tcW w:w="8540" w:type="dxa"/>
            <w:vAlign w:val="bottom"/>
          </w:tcPr>
          <w:p>
            <w:pPr>
              <w:ind w:left="20"/>
              <w:spacing w:after="0"/>
              <w:rPr>
                <w:sz w:val="20"/>
                <w:szCs w:val="20"/>
                <w:color w:val="auto"/>
              </w:rPr>
            </w:pPr>
            <w:r>
              <w:rPr>
                <w:rFonts w:ascii="Arial" w:cs="Arial" w:eastAsia="Arial" w:hAnsi="Arial"/>
                <w:sz w:val="17"/>
                <w:szCs w:val="17"/>
                <w:color w:val="auto"/>
              </w:rPr>
              <w:t>Pro forma net income before tax</w:t>
            </w:r>
          </w:p>
        </w:tc>
        <w:tc>
          <w:tcPr>
            <w:tcW w:w="18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220"/>
        </w:trPr>
        <w:tc>
          <w:tcPr>
            <w:tcW w:w="8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 forma net income</w:t>
            </w:r>
          </w:p>
        </w:tc>
        <w:tc>
          <w:tcPr>
            <w:tcW w:w="18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r>
      <w:tr>
        <w:trPr>
          <w:trHeight w:val="218"/>
        </w:trPr>
        <w:tc>
          <w:tcPr>
            <w:tcW w:w="8540" w:type="dxa"/>
            <w:vAlign w:val="bottom"/>
          </w:tcPr>
          <w:p>
            <w:pPr>
              <w:ind w:left="20"/>
              <w:spacing w:after="0"/>
              <w:rPr>
                <w:sz w:val="20"/>
                <w:szCs w:val="20"/>
                <w:color w:val="auto"/>
              </w:rPr>
            </w:pPr>
            <w:r>
              <w:rPr>
                <w:rFonts w:ascii="Arial" w:cs="Arial" w:eastAsia="Arial" w:hAnsi="Arial"/>
                <w:sz w:val="17"/>
                <w:szCs w:val="17"/>
                <w:color w:val="auto"/>
              </w:rPr>
              <w:t>Pro forma net income attributable to Kratos</w:t>
            </w:r>
          </w:p>
        </w:tc>
        <w:tc>
          <w:tcPr>
            <w:tcW w:w="18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59"/>
        </w:trPr>
        <w:tc>
          <w:tcPr>
            <w:tcW w:w="85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18"/>
        </w:trPr>
        <w:tc>
          <w:tcPr>
            <w:tcW w:w="8540" w:type="dxa"/>
            <w:vAlign w:val="bottom"/>
          </w:tcPr>
          <w:p>
            <w:pPr>
              <w:ind w:left="20"/>
              <w:spacing w:after="0"/>
              <w:rPr>
                <w:sz w:val="20"/>
                <w:szCs w:val="20"/>
                <w:color w:val="auto"/>
              </w:rPr>
            </w:pPr>
            <w:r>
              <w:rPr>
                <w:rFonts w:ascii="Arial" w:cs="Arial" w:eastAsia="Arial" w:hAnsi="Arial"/>
                <w:sz w:val="17"/>
                <w:szCs w:val="17"/>
                <w:color w:val="auto"/>
              </w:rPr>
              <w:t>Basic pro forma income per share attributable to Kratos</w:t>
            </w:r>
          </w:p>
        </w:tc>
        <w:tc>
          <w:tcPr>
            <w:tcW w:w="18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0.11</w:t>
            </w:r>
          </w:p>
        </w:tc>
      </w:tr>
      <w:tr>
        <w:trPr>
          <w:trHeight w:val="220"/>
        </w:trPr>
        <w:tc>
          <w:tcPr>
            <w:tcW w:w="8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pro forma income per share attributable to Kratos</w:t>
            </w:r>
          </w:p>
        </w:tc>
        <w:tc>
          <w:tcPr>
            <w:tcW w:w="18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r>
    </w:tbl>
    <w:p>
      <w:pPr>
        <w:spacing w:after="0" w:line="400"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The weighted average common shares used to calculate income per share also reflects the issuance of 1,825,406 shares of the Company’s common stock in conjunction with the acquisition.</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Technical Directions, Inc.</w:t>
      </w:r>
    </w:p>
    <w:p>
      <w:pPr>
        <w:spacing w:after="0" w:line="217" w:lineRule="exact"/>
        <w:rPr>
          <w:sz w:val="20"/>
          <w:szCs w:val="20"/>
          <w:color w:val="auto"/>
        </w:rPr>
      </w:pPr>
    </w:p>
    <w:p>
      <w:pPr>
        <w:ind w:firstLine="619"/>
        <w:spacing w:after="0" w:line="297" w:lineRule="auto"/>
        <w:rPr>
          <w:sz w:val="20"/>
          <w:szCs w:val="20"/>
          <w:color w:val="auto"/>
        </w:rPr>
      </w:pPr>
      <w:r>
        <w:rPr>
          <w:rFonts w:ascii="Arial" w:cs="Arial" w:eastAsia="Arial" w:hAnsi="Arial"/>
          <w:sz w:val="15"/>
          <w:szCs w:val="15"/>
          <w:color w:val="auto"/>
        </w:rPr>
        <w:t>On February 24, 2020, the Company acquired Technical Directions, Inc. (“TDI”), a turbine technology company focused on tactical unmanned aerial drones, missile and other systems for approximately $10.5 million in cash, subject to adjustments for transaction expenses, indebtedness, cash on hand, and post-closing working capital adjustments. Working capital adjustments of $0.3 million were settled in the third quarter of 2020. The operating results of the acquisition have been included in the Company’s results of operations from the effective acquisition date. The amount of net sales and earnings of TDI included in the condensed consolidated statement of operations for the year ended December 27, 2020 are not material. Had the acquisition occurred as of December 29, 2019, net sales, net income from consolidated operations, net income attributable to Kratos, and basic and diluted net income per share attributable to Kratos on a pro forma basis for the year ended December 27, 2020 would not have been materially different than the reported amounts. TDI is included in the Kratos US segment.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87" w:name="page88"/>
    <w:bookmarkEnd w:id="87"/>
    <w:p>
      <w:pPr>
        <w:ind w:left="620"/>
        <w:spacing w:after="0"/>
        <w:rPr>
          <w:sz w:val="20"/>
          <w:szCs w:val="20"/>
          <w:color w:val="auto"/>
        </w:rPr>
      </w:pPr>
      <w:r>
        <w:rPr>
          <w:rFonts w:ascii="Arial" w:cs="Arial" w:eastAsia="Arial" w:hAnsi="Arial"/>
          <w:sz w:val="17"/>
          <w:szCs w:val="17"/>
          <w:b w:val="1"/>
          <w:bCs w:val="1"/>
          <w:i w:val="1"/>
          <w:iCs w:val="1"/>
          <w:color w:val="auto"/>
        </w:rPr>
        <w:t>Optimized Performance Machining, Inc.</w:t>
      </w:r>
    </w:p>
    <w:p>
      <w:pPr>
        <w:spacing w:after="0" w:line="217"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On April 17, 2020, the Company acquired Optimized Performance Machining, Inc.(“OPM”), a company that primarily operates in the industrial machinery and equipment repair business industry for approximately $1.8 million in cash, subject to adjustments for transaction expenses, indebtedness, cash on hand, and post-closing working capital adjustments. Working capital adjustments of $0.03 million were settled in the third quarter of 2020. The operating results of the acquisition have been included in the Company’s results of operations from the effective acquisition date. The amount of net sales and earnings of OPM included in the condensed consolidated statement of operations for the year ended December 27, 2020 are not material. Had the acquisition occurred as of December 29, 2019, net sales, net income from consolidated operations, net income attributable to Kratos, and basic and diluted net income per share attributable to Kratos on a pro forma basis for the year ended December 27, 2020 would not have been materially different than the reported amounts. OPM is included in the Kratos US segment.</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CPI ASC Signal Division, Inc.</w:t>
      </w:r>
    </w:p>
    <w:p>
      <w:pPr>
        <w:spacing w:after="0" w:line="217" w:lineRule="exact"/>
        <w:rPr>
          <w:sz w:val="20"/>
          <w:szCs w:val="20"/>
          <w:color w:val="auto"/>
        </w:rPr>
      </w:pPr>
    </w:p>
    <w:p>
      <w:pPr>
        <w:ind w:right="300" w:firstLine="619"/>
        <w:spacing w:after="0" w:line="281" w:lineRule="auto"/>
        <w:rPr>
          <w:sz w:val="20"/>
          <w:szCs w:val="20"/>
          <w:color w:val="auto"/>
        </w:rPr>
      </w:pPr>
      <w:r>
        <w:rPr>
          <w:rFonts w:ascii="Arial" w:cs="Arial" w:eastAsia="Arial" w:hAnsi="Arial"/>
          <w:sz w:val="15"/>
          <w:szCs w:val="15"/>
          <w:color w:val="auto"/>
        </w:rPr>
        <w:t>On June 15, 2020, Kratos Integral Holdings, LLC entered into a Stock Purchase Agreement to acquire CPI ASC Signal Division, Inc. (“ASC Signal”) from Communications &amp; Power Industries LLC for approximately $35 million in cash, subject to adjustments for transaction expenses, indebtedness, cash on hand, and working capital adjustments. The adjustments for transaction expenses, indebtedness, cash on hand and working capital were settled by the parties in</w:t>
      </w:r>
    </w:p>
    <w:p>
      <w:pPr>
        <w:ind w:right="300"/>
        <w:spacing w:after="0" w:line="251" w:lineRule="auto"/>
        <w:rPr>
          <w:sz w:val="20"/>
          <w:szCs w:val="20"/>
          <w:color w:val="auto"/>
        </w:rPr>
      </w:pPr>
      <w:r>
        <w:rPr>
          <w:rFonts w:ascii="Arial" w:cs="Arial" w:eastAsia="Arial" w:hAnsi="Arial"/>
          <w:sz w:val="17"/>
          <w:szCs w:val="17"/>
          <w:color w:val="auto"/>
        </w:rPr>
        <w:t>January 2021, resulting in a net payment due to the Company of approximately $1.4 million. ASC Signal is a manufacturer of high-performance, highly engineered antenna systems for satellite communications, radar, electronic warfare, and high frequency applications. On June 30, 2020, the acquisition was completed following the satisfaction of all closing conditions, including receipt of regulatory approval from all required government authorities. ASC Signal is included in the KSTC Division of the Company’s KGS segment.</w:t>
      </w:r>
    </w:p>
    <w:p>
      <w:pPr>
        <w:spacing w:after="0" w:line="201"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ASC Signal’s existing business with Kratos’ related products and customers.</w:t>
      </w:r>
    </w:p>
    <w:p>
      <w:pPr>
        <w:spacing w:after="0" w:line="201" w:lineRule="exact"/>
        <w:rPr>
          <w:sz w:val="20"/>
          <w:szCs w:val="20"/>
          <w:color w:val="auto"/>
        </w:rPr>
      </w:pPr>
    </w:p>
    <w:p>
      <w:pPr>
        <w:ind w:right="200" w:firstLine="619"/>
        <w:spacing w:after="0" w:line="262" w:lineRule="auto"/>
        <w:rPr>
          <w:sz w:val="20"/>
          <w:szCs w:val="20"/>
          <w:color w:val="auto"/>
        </w:rPr>
      </w:pPr>
      <w:r>
        <w:rPr>
          <w:rFonts w:ascii="Arial" w:cs="Arial" w:eastAsia="Arial" w:hAnsi="Arial"/>
          <w:sz w:val="17"/>
          <w:szCs w:val="17"/>
          <w:color w:val="auto"/>
        </w:rPr>
        <w:t>The transaction has been accounted for using the acquisition method of accounting, which requires, among other things, that the assets acquired and the liabilities assumed be recognized at their fair values as of the acquisition date. The fair value measurements are based primarily on significant inputs not observable in the marketplace and thus represent Level 3 measurements. The following table summarizes the allocation of the purchase price over the estimated fair values of the major assets acquired and liabilities assumed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18"/>
        </w:trPr>
        <w:tc>
          <w:tcPr>
            <w:tcW w:w="9280" w:type="dxa"/>
            <w:vAlign w:val="bottom"/>
          </w:tcPr>
          <w:p>
            <w:pPr>
              <w:ind w:left="20"/>
              <w:spacing w:after="0"/>
              <w:rPr>
                <w:sz w:val="20"/>
                <w:szCs w:val="20"/>
                <w:color w:val="auto"/>
              </w:rPr>
            </w:pPr>
            <w:r>
              <w:rPr>
                <w:rFonts w:ascii="Arial" w:cs="Arial" w:eastAsia="Arial" w:hAnsi="Arial"/>
                <w:sz w:val="17"/>
                <w:szCs w:val="17"/>
                <w:color w:val="auto"/>
              </w:rPr>
              <w:t>Unbilled receivables</w:t>
            </w: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20"/>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Inventoried costs</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r>
      <w:tr>
        <w:trPr>
          <w:trHeight w:val="218"/>
        </w:trPr>
        <w:tc>
          <w:tcPr>
            <w:tcW w:w="928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0"/>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18"/>
        </w:trPr>
        <w:tc>
          <w:tcPr>
            <w:tcW w:w="928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20"/>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8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11"/>
        </w:trPr>
        <w:tc>
          <w:tcPr>
            <w:tcW w:w="9280" w:type="dxa"/>
            <w:vAlign w:val="bottom"/>
          </w:tcPr>
          <w:p>
            <w:pPr>
              <w:ind w:left="100"/>
              <w:spacing w:after="0"/>
              <w:rPr>
                <w:sz w:val="20"/>
                <w:szCs w:val="20"/>
                <w:color w:val="auto"/>
              </w:rPr>
            </w:pPr>
            <w:r>
              <w:rPr>
                <w:rFonts w:ascii="Arial" w:cs="Arial" w:eastAsia="Arial" w:hAnsi="Arial"/>
                <w:sz w:val="17"/>
                <w:szCs w:val="17"/>
                <w:color w:val="auto"/>
              </w:rPr>
              <w:t>Total identifiable net assets acquired</w:t>
            </w: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43.9</w:t>
            </w:r>
          </w:p>
        </w:tc>
      </w:tr>
      <w:tr>
        <w:trPr>
          <w:trHeight w:val="219"/>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identifiable net liabilities assumed</w:t>
            </w:r>
          </w:p>
        </w:tc>
        <w:tc>
          <w:tcPr>
            <w:tcW w:w="8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13"/>
        </w:trPr>
        <w:tc>
          <w:tcPr>
            <w:tcW w:w="9280" w:type="dxa"/>
            <w:vAlign w:val="bottom"/>
          </w:tcPr>
          <w:p>
            <w:pPr>
              <w:ind w:left="100"/>
              <w:spacing w:after="0"/>
              <w:rPr>
                <w:sz w:val="20"/>
                <w:szCs w:val="20"/>
                <w:color w:val="auto"/>
              </w:rPr>
            </w:pPr>
            <w:r>
              <w:rPr>
                <w:rFonts w:ascii="Arial" w:cs="Arial" w:eastAsia="Arial" w:hAnsi="Arial"/>
                <w:sz w:val="17"/>
                <w:szCs w:val="17"/>
                <w:color w:val="auto"/>
              </w:rPr>
              <w:t>Net assets acquired, excluding cash</w:t>
            </w:r>
          </w:p>
        </w:tc>
        <w:tc>
          <w:tcPr>
            <w:tcW w:w="82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r>
      <w:tr>
        <w:trPr>
          <w:trHeight w:val="20"/>
        </w:trPr>
        <w:tc>
          <w:tcPr>
            <w:tcW w:w="9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Based on the Company’s preliminary estimate of fair value, as of June 30, 2020, net liabilities included $9.1 million of current liabilities. The identifiable intangible assets include trade names of $0.1 million with a remaining useful life of 1 year, customer relationships of $2.0 million with remaining useful lives of 5 years, and developed technology of $2.2 million with a remaining useful life of 7 years. The Company also established a deferred tax liability of $1.1 million for the difference between the financial statement basis and tax basis of the acquired assets of ASC Signal and a corresponding increase in goodwill. The goodwill recorded in this transaction is not expected to be tax-deductible.</w:t>
      </w:r>
    </w:p>
    <w:p>
      <w:pPr>
        <w:spacing w:after="0" w:line="209" w:lineRule="exact"/>
        <w:rPr>
          <w:sz w:val="20"/>
          <w:szCs w:val="20"/>
          <w:color w:val="auto"/>
        </w:rPr>
      </w:pPr>
    </w:p>
    <w:p>
      <w:pPr>
        <w:ind w:right="340" w:firstLine="619"/>
        <w:spacing w:after="0" w:line="279" w:lineRule="auto"/>
        <w:rPr>
          <w:sz w:val="20"/>
          <w:szCs w:val="20"/>
          <w:color w:val="auto"/>
        </w:rPr>
      </w:pPr>
      <w:r>
        <w:rPr>
          <w:rFonts w:ascii="Arial" w:cs="Arial" w:eastAsia="Arial" w:hAnsi="Arial"/>
          <w:sz w:val="17"/>
          <w:szCs w:val="17"/>
          <w:color w:val="auto"/>
        </w:rPr>
        <w:t>The amounts of revenue and operating income of ASC Signal included in the Company's condensed consolidated statement of operations for the year ended December 27, 2020 were $21.9 million and $1.1 million, respectively. Included in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t>Merger and acquisition expenses for the year ended December 27, 2020 were transaction expenses of $1.1 million, related to the acquisition of ASC Signal.</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860" w:type="dxa"/>
            <w:vAlign w:val="bottom"/>
          </w:tcPr>
          <w:p>
            <w:pPr>
              <w:ind w:left="620"/>
              <w:spacing w:after="0"/>
              <w:rPr>
                <w:sz w:val="20"/>
                <w:szCs w:val="20"/>
                <w:color w:val="auto"/>
              </w:rPr>
            </w:pPr>
            <w:r>
              <w:rPr>
                <w:rFonts w:ascii="Arial" w:cs="Arial" w:eastAsia="Arial" w:hAnsi="Arial"/>
                <w:sz w:val="17"/>
                <w:szCs w:val="17"/>
                <w:color w:val="auto"/>
              </w:rPr>
              <w:t>A summary of the consideration paid for the acquired ownership in ASC Signal is as follows:</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7"/>
        </w:trPr>
        <w:tc>
          <w:tcPr>
            <w:tcW w:w="9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98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Cash paid</w:t>
            </w:r>
          </w:p>
        </w:tc>
        <w:tc>
          <w:tcPr>
            <w:tcW w:w="560" w:type="dxa"/>
            <w:vAlign w:val="bottom"/>
            <w:shd w:val="clear" w:color="auto" w:fill="CCEEFF"/>
          </w:tcPr>
          <w:p>
            <w:pPr>
              <w:jc w:val="right"/>
              <w:ind w:right="374"/>
              <w:spacing w:after="0" w:line="194" w:lineRule="exact"/>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34.9</w:t>
            </w:r>
          </w:p>
        </w:tc>
      </w:tr>
      <w:tr>
        <w:trPr>
          <w:trHeight w:val="193"/>
        </w:trPr>
        <w:tc>
          <w:tcPr>
            <w:tcW w:w="9860" w:type="dxa"/>
            <w:vAlign w:val="bottom"/>
            <w:tcBorders>
              <w:bottom w:val="single" w:sz="8" w:color="CCEEFF"/>
            </w:tcBorders>
          </w:tcPr>
          <w:p>
            <w:pPr>
              <w:ind w:left="20"/>
              <w:spacing w:after="0" w:line="194" w:lineRule="exact"/>
              <w:rPr>
                <w:sz w:val="20"/>
                <w:szCs w:val="20"/>
                <w:color w:val="auto"/>
              </w:rPr>
            </w:pPr>
            <w:r>
              <w:rPr>
                <w:rFonts w:ascii="Arial" w:cs="Arial" w:eastAsia="Arial" w:hAnsi="Arial"/>
                <w:sz w:val="17"/>
                <w:szCs w:val="17"/>
                <w:color w:val="auto"/>
              </w:rPr>
              <w:t>Less: Cash acquired</w:t>
            </w: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(2.0)</w:t>
            </w:r>
          </w:p>
        </w:tc>
      </w:tr>
      <w:tr>
        <w:trPr>
          <w:trHeight w:val="211"/>
        </w:trPr>
        <w:tc>
          <w:tcPr>
            <w:tcW w:w="9860" w:type="dxa"/>
            <w:vAlign w:val="bottom"/>
            <w:tcBorders>
              <w:bottom w:val="single" w:sz="8" w:color="CCEEFF"/>
            </w:tcBorders>
            <w:shd w:val="clear" w:color="auto" w:fill="CCEEFF"/>
          </w:tcPr>
          <w:p>
            <w:pPr>
              <w:ind w:left="20"/>
              <w:spacing w:after="0" w:line="186" w:lineRule="exact"/>
              <w:rPr>
                <w:sz w:val="20"/>
                <w:szCs w:val="20"/>
                <w:color w:val="auto"/>
              </w:rPr>
            </w:pPr>
            <w:r>
              <w:rPr>
                <w:rFonts w:ascii="Arial" w:cs="Arial" w:eastAsia="Arial" w:hAnsi="Arial"/>
                <w:sz w:val="17"/>
                <w:szCs w:val="17"/>
                <w:color w:val="auto"/>
              </w:rPr>
              <w:t>Total consideration</w:t>
            </w:r>
          </w:p>
        </w:tc>
        <w:tc>
          <w:tcPr>
            <w:tcW w:w="560" w:type="dxa"/>
            <w:vAlign w:val="bottom"/>
            <w:tcBorders>
              <w:bottom w:val="single" w:sz="8" w:color="auto"/>
            </w:tcBorders>
            <w:shd w:val="clear" w:color="auto" w:fill="CCEEFF"/>
          </w:tcPr>
          <w:p>
            <w:pPr>
              <w:jc w:val="right"/>
              <w:ind w:right="374"/>
              <w:spacing w:after="0" w:line="186" w:lineRule="exact"/>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32.9</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620"/>
        <w:spacing w:after="0"/>
        <w:rPr>
          <w:sz w:val="20"/>
          <w:szCs w:val="20"/>
          <w:color w:val="auto"/>
        </w:rPr>
      </w:pPr>
      <w:r>
        <w:rPr>
          <w:rFonts w:ascii="Arial" w:cs="Arial" w:eastAsia="Arial" w:hAnsi="Arial"/>
          <w:sz w:val="17"/>
          <w:szCs w:val="17"/>
          <w:b w:val="1"/>
          <w:bCs w:val="1"/>
          <w:u w:val="single" w:color="auto"/>
          <w:color w:val="auto"/>
        </w:rPr>
        <w:t>Pro Forma Financial Information (Unaudited)</w:t>
      </w:r>
    </w:p>
    <w:p>
      <w:pPr>
        <w:spacing w:after="0" w:line="223" w:lineRule="exact"/>
        <w:rPr>
          <w:sz w:val="20"/>
          <w:szCs w:val="20"/>
          <w:color w:val="auto"/>
        </w:rPr>
      </w:pPr>
    </w:p>
    <w:p>
      <w:pPr>
        <w:ind w:right="80" w:firstLine="619"/>
        <w:spacing w:after="0" w:line="279" w:lineRule="auto"/>
        <w:rPr>
          <w:sz w:val="20"/>
          <w:szCs w:val="20"/>
          <w:color w:val="auto"/>
        </w:rPr>
      </w:pPr>
      <w:r>
        <w:rPr>
          <w:rFonts w:ascii="Arial" w:cs="Arial" w:eastAsia="Arial" w:hAnsi="Arial"/>
          <w:sz w:val="16"/>
          <w:szCs w:val="16"/>
          <w:color w:val="auto"/>
        </w:rPr>
        <w:t>The following tables summarize the supplemental condensed consolidated statements of operations information on an unaudited pro forma basis as if the acquisition of ASC Signal occurred on December 30, 2019 and include adjustments that were directly attributable to the foregoing transactions. There are no material, nonrecurring pro forma adjustments directly attributable to the business combination included in the reported pro forma revenue and earnings (loss).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00" w:type="dxa"/>
            <w:vAlign w:val="bottom"/>
          </w:tcPr>
          <w:p>
            <w:pPr>
              <w:ind w:left="620"/>
              <w:spacing w:after="0"/>
              <w:rPr>
                <w:sz w:val="20"/>
                <w:szCs w:val="20"/>
                <w:color w:val="auto"/>
              </w:rPr>
            </w:pPr>
            <w:r>
              <w:rPr>
                <w:rFonts w:ascii="Arial" w:cs="Arial" w:eastAsia="Arial" w:hAnsi="Arial"/>
                <w:sz w:val="17"/>
                <w:szCs w:val="17"/>
                <w:color w:val="auto"/>
              </w:rPr>
              <w:t>For the year ended December 27, 2020 (all amounts, except per share amounts, are in millions):</w:t>
            </w:r>
          </w:p>
        </w:tc>
        <w:tc>
          <w:tcPr>
            <w:tcW w:w="18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7"/>
        </w:trPr>
        <w:tc>
          <w:tcPr>
            <w:tcW w:w="8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93"/>
        </w:trPr>
        <w:tc>
          <w:tcPr>
            <w:tcW w:w="86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Pro forma revenues</w:t>
            </w:r>
          </w:p>
        </w:tc>
        <w:tc>
          <w:tcPr>
            <w:tcW w:w="1860" w:type="dxa"/>
            <w:vAlign w:val="bottom"/>
            <w:shd w:val="clear" w:color="auto" w:fill="CCEEFF"/>
          </w:tcPr>
          <w:p>
            <w:pPr>
              <w:jc w:val="right"/>
              <w:ind w:right="274"/>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766.0</w:t>
            </w:r>
          </w:p>
        </w:tc>
      </w:tr>
      <w:tr>
        <w:trPr>
          <w:trHeight w:val="193"/>
        </w:trPr>
        <w:tc>
          <w:tcPr>
            <w:tcW w:w="8600" w:type="dxa"/>
            <w:vAlign w:val="bottom"/>
          </w:tcPr>
          <w:p>
            <w:pPr>
              <w:ind w:left="20"/>
              <w:spacing w:after="0" w:line="194" w:lineRule="exact"/>
              <w:rPr>
                <w:sz w:val="20"/>
                <w:szCs w:val="20"/>
                <w:color w:val="auto"/>
              </w:rPr>
            </w:pPr>
            <w:r>
              <w:rPr>
                <w:rFonts w:ascii="Arial" w:cs="Arial" w:eastAsia="Arial" w:hAnsi="Arial"/>
                <w:sz w:val="17"/>
                <w:szCs w:val="17"/>
                <w:color w:val="auto"/>
              </w:rPr>
              <w:t>Pro forma net income before tax</w:t>
            </w:r>
          </w:p>
        </w:tc>
        <w:tc>
          <w:tcPr>
            <w:tcW w:w="1860" w:type="dxa"/>
            <w:vAlign w:val="bottom"/>
          </w:tcPr>
          <w:p>
            <w:pPr>
              <w:jc w:val="right"/>
              <w:ind w:right="274"/>
              <w:spacing w:after="0" w:line="194"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2.6</w:t>
            </w:r>
          </w:p>
        </w:tc>
      </w:tr>
      <w:tr>
        <w:trPr>
          <w:trHeight w:val="193"/>
        </w:trPr>
        <w:tc>
          <w:tcPr>
            <w:tcW w:w="86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Pro forma net income</w:t>
            </w:r>
            <w:r>
              <w:rPr>
                <w:rFonts w:ascii="Arial" w:cs="Arial" w:eastAsia="Arial" w:hAnsi="Arial"/>
                <w:sz w:val="22"/>
                <w:szCs w:val="22"/>
                <w:color w:val="auto"/>
                <w:vertAlign w:val="superscript"/>
              </w:rPr>
              <w:t>1</w:t>
            </w:r>
          </w:p>
        </w:tc>
        <w:tc>
          <w:tcPr>
            <w:tcW w:w="1860" w:type="dxa"/>
            <w:vAlign w:val="bottom"/>
            <w:shd w:val="clear" w:color="auto" w:fill="CCEEFF"/>
          </w:tcPr>
          <w:p>
            <w:pPr>
              <w:jc w:val="right"/>
              <w:ind w:right="274"/>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74.5</w:t>
            </w:r>
          </w:p>
        </w:tc>
      </w:tr>
      <w:tr>
        <w:trPr>
          <w:trHeight w:val="258"/>
        </w:trPr>
        <w:tc>
          <w:tcPr>
            <w:tcW w:w="8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93"/>
        </w:trPr>
        <w:tc>
          <w:tcPr>
            <w:tcW w:w="86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Basic pro forma income per share</w:t>
            </w:r>
            <w:r>
              <w:rPr>
                <w:rFonts w:ascii="Arial" w:cs="Arial" w:eastAsia="Arial" w:hAnsi="Arial"/>
                <w:sz w:val="22"/>
                <w:szCs w:val="22"/>
                <w:color w:val="auto"/>
                <w:vertAlign w:val="superscript"/>
              </w:rPr>
              <w:t>1</w:t>
            </w:r>
          </w:p>
        </w:tc>
        <w:tc>
          <w:tcPr>
            <w:tcW w:w="1860" w:type="dxa"/>
            <w:vAlign w:val="bottom"/>
            <w:shd w:val="clear" w:color="auto" w:fill="CCEEFF"/>
          </w:tcPr>
          <w:p>
            <w:pPr>
              <w:jc w:val="right"/>
              <w:ind w:right="274"/>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0.65</w:t>
            </w:r>
          </w:p>
        </w:tc>
      </w:tr>
      <w:tr>
        <w:trPr>
          <w:trHeight w:val="291"/>
        </w:trPr>
        <w:tc>
          <w:tcPr>
            <w:tcW w:w="8600" w:type="dxa"/>
            <w:vAlign w:val="bottom"/>
          </w:tcPr>
          <w:p>
            <w:pPr>
              <w:ind w:left="20"/>
              <w:spacing w:after="0"/>
              <w:rPr>
                <w:sz w:val="20"/>
                <w:szCs w:val="20"/>
                <w:color w:val="auto"/>
              </w:rPr>
            </w:pPr>
            <w:r>
              <w:rPr>
                <w:rFonts w:ascii="Arial" w:cs="Arial" w:eastAsia="Arial" w:hAnsi="Arial"/>
                <w:sz w:val="17"/>
                <w:szCs w:val="17"/>
                <w:color w:val="auto"/>
              </w:rPr>
              <w:t>Diluted pro forma income per share</w:t>
            </w:r>
            <w:r>
              <w:rPr>
                <w:rFonts w:ascii="Arial" w:cs="Arial" w:eastAsia="Arial" w:hAnsi="Arial"/>
                <w:sz w:val="22"/>
                <w:szCs w:val="22"/>
                <w:color w:val="auto"/>
                <w:vertAlign w:val="superscript"/>
              </w:rPr>
              <w:t>1</w:t>
            </w:r>
          </w:p>
        </w:tc>
        <w:tc>
          <w:tcPr>
            <w:tcW w:w="186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0.63</w:t>
            </w:r>
          </w:p>
        </w:tc>
      </w:tr>
    </w:tbl>
    <w:p>
      <w:pPr>
        <w:spacing w:after="0" w:line="57" w:lineRule="exact"/>
        <w:rPr>
          <w:sz w:val="20"/>
          <w:szCs w:val="20"/>
          <w:color w:val="auto"/>
        </w:rPr>
      </w:pPr>
    </w:p>
    <w:p>
      <w:pPr>
        <w:ind w:left="100" w:hanging="97"/>
        <w:spacing w:after="0"/>
        <w:tabs>
          <w:tab w:leader="none" w:pos="10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i w:val="1"/>
          <w:iCs w:val="1"/>
          <w:color w:val="auto"/>
        </w:rPr>
        <w:t>These unaudited pro forma amounts have been corrected to reflect the release of the valuation allowance of $80.1 million from what was previously disclosed.</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5-D Systems, Inc.</w:t>
      </w:r>
    </w:p>
    <w:p>
      <w:pPr>
        <w:spacing w:after="0" w:line="217" w:lineRule="exact"/>
        <w:rPr>
          <w:sz w:val="20"/>
          <w:szCs w:val="20"/>
          <w:color w:val="auto"/>
        </w:rPr>
      </w:pPr>
    </w:p>
    <w:p>
      <w:pPr>
        <w:ind w:right="20" w:firstLine="619"/>
        <w:spacing w:after="0" w:line="275" w:lineRule="auto"/>
        <w:rPr>
          <w:sz w:val="20"/>
          <w:szCs w:val="20"/>
          <w:color w:val="auto"/>
        </w:rPr>
      </w:pPr>
      <w:r>
        <w:rPr>
          <w:rFonts w:ascii="Arial" w:cs="Arial" w:eastAsia="Arial" w:hAnsi="Arial"/>
          <w:sz w:val="16"/>
          <w:szCs w:val="16"/>
          <w:color w:val="auto"/>
        </w:rPr>
        <w:t>On November 18, 2020, the Company acquired 5-D Systems, Inc. (“5-D Systems”), a leading National Security Solutions provider and industry-leading provider of high-performance, jet-powered unmanned aerial systems for an aggregate of approximately $10.0 million. The purchase price was $5.0 million in cash, subject to adjustments for transaction expenses, indebtedness, cash on hand, and post-closing working capital adjustments, and 250,374 shares of common stock (with a value of approximately $5.0 million). The operating results of the acquisition have been included in the Company’s results of operations from the effective acquisition date. The amount of net sales and earnings of 5-D Systems included in the condensed consolidated statement of operations for the year ended December 27, 2020 are not material. Had the acquisition occurred as of December 29, 2019, net sales, net income from consolidated operations, net income attributable to Kratos, and basic and diluted net income per share attributable to Kratos on a pro forma basis for the year ended December 27, 2020 would not have been materially different than the reported amounts. 5-D Systems is included in the Kratos US segment.</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CTT Inc.</w:t>
      </w:r>
    </w:p>
    <w:p>
      <w:pPr>
        <w:spacing w:after="0" w:line="217" w:lineRule="exact"/>
        <w:rPr>
          <w:sz w:val="20"/>
          <w:szCs w:val="20"/>
          <w:color w:val="auto"/>
        </w:rPr>
      </w:pPr>
    </w:p>
    <w:p>
      <w:pPr>
        <w:ind w:right="20" w:firstLine="619"/>
        <w:spacing w:after="0" w:line="274" w:lineRule="auto"/>
        <w:rPr>
          <w:sz w:val="20"/>
          <w:szCs w:val="20"/>
          <w:color w:val="auto"/>
        </w:rPr>
      </w:pPr>
      <w:r>
        <w:rPr>
          <w:rFonts w:ascii="Arial" w:cs="Arial" w:eastAsia="Arial" w:hAnsi="Arial"/>
          <w:sz w:val="16"/>
          <w:szCs w:val="16"/>
          <w:color w:val="auto"/>
        </w:rPr>
        <w:t>On December 10, 2021 , the Company acquired CTT Inc. (“CTT”), a company that designs, develops, and manufactures microwave application components and equipment primarily for customers in the defense industry. The purchase price was $22.0 million in cash, subject to adjustments for transaction expenses, indebtedness, cash on hand, and post-closing working capital adjustments. Approximately $6.3 million of the purchase price was paid on December 10, 2021, with the remaining $15.2 million of purchase price paid on December 30, 2021. 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the acquisition have been included in the Company’s results of operations from the effective acquisition date. The amount of net sales and earnings of CTT included in the condensed consolidated statement of operations for the year ended December 26, 2021 are not material. Had the acquisition occurred as of December 28, 2020, net sales, net income from consolidated operations, net income attributable to</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89" w:name="page90"/>
    <w:bookmarkEnd w:id="89"/>
    <w:p>
      <w:pPr>
        <w:ind w:right="660"/>
        <w:spacing w:after="0" w:line="279" w:lineRule="auto"/>
        <w:rPr>
          <w:sz w:val="20"/>
          <w:szCs w:val="20"/>
          <w:color w:val="auto"/>
        </w:rPr>
      </w:pPr>
      <w:r>
        <w:rPr>
          <w:rFonts w:ascii="Arial" w:cs="Arial" w:eastAsia="Arial" w:hAnsi="Arial"/>
          <w:sz w:val="17"/>
          <w:szCs w:val="17"/>
          <w:color w:val="auto"/>
        </w:rPr>
        <w:t>Kratos, and basic and diluted net income per share attributable to Kratos on a pro forma basis for the year ended December 26, 2021 would not have been materially different than the reported amounts. CTT is included in the Kratos KGS segment.</w:t>
      </w:r>
    </w:p>
    <w:p>
      <w:pPr>
        <w:spacing w:after="0" w:line="184"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Note 3.</w:t>
      </w:r>
      <w:r>
        <w:rPr>
          <w:sz w:val="20"/>
          <w:szCs w:val="20"/>
          <w:color w:val="auto"/>
        </w:rPr>
        <w:tab/>
      </w:r>
      <w:r>
        <w:rPr>
          <w:rFonts w:ascii="Arial" w:cs="Arial" w:eastAsia="Arial" w:hAnsi="Arial"/>
          <w:sz w:val="15"/>
          <w:szCs w:val="15"/>
          <w:b w:val="1"/>
          <w:bCs w:val="1"/>
          <w:color w:val="auto"/>
        </w:rPr>
        <w:t>Goodwill and Other Intangible Assets</w:t>
      </w:r>
    </w:p>
    <w:p>
      <w:pPr>
        <w:spacing w:after="0" w:line="217" w:lineRule="exact"/>
        <w:rPr>
          <w:sz w:val="20"/>
          <w:szCs w:val="20"/>
          <w:color w:val="auto"/>
        </w:rPr>
      </w:pPr>
    </w:p>
    <w:p>
      <w:pPr>
        <w:ind w:left="380" w:hanging="377"/>
        <w:spacing w:after="0"/>
        <w:tabs>
          <w:tab w:leader="none" w:pos="38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Goodwill</w:t>
      </w:r>
    </w:p>
    <w:p>
      <w:pPr>
        <w:spacing w:after="0" w:line="223"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 xml:space="preserve">The Company performs its annual impairment test for goodwill in accordance with </w:t>
      </w:r>
      <w:r>
        <w:rPr>
          <w:rFonts w:ascii="Arial" w:cs="Arial" w:eastAsia="Arial" w:hAnsi="Arial"/>
          <w:sz w:val="17"/>
          <w:szCs w:val="17"/>
          <w:i w:val="1"/>
          <w:iCs w:val="1"/>
          <w:color w:val="auto"/>
        </w:rPr>
        <w:t>Topic 350</w:t>
      </w:r>
      <w:r>
        <w:rPr>
          <w:rFonts w:ascii="Arial" w:cs="Arial" w:eastAsia="Arial" w:hAnsi="Arial"/>
          <w:sz w:val="17"/>
          <w:szCs w:val="17"/>
          <w:color w:val="auto"/>
        </w:rPr>
        <w:t xml:space="preserve"> as of the last day of its fiscal October or when evidence of potential impairment exists.</w:t>
      </w:r>
    </w:p>
    <w:p>
      <w:pPr>
        <w:spacing w:after="0" w:line="190" w:lineRule="exact"/>
        <w:rPr>
          <w:sz w:val="20"/>
          <w:szCs w:val="20"/>
          <w:color w:val="auto"/>
        </w:rPr>
      </w:pPr>
    </w:p>
    <w:p>
      <w:pPr>
        <w:ind w:right="300" w:firstLine="619"/>
        <w:spacing w:after="0" w:line="307" w:lineRule="auto"/>
        <w:rPr>
          <w:sz w:val="20"/>
          <w:szCs w:val="20"/>
          <w:color w:val="auto"/>
        </w:rPr>
      </w:pPr>
      <w:r>
        <w:rPr>
          <w:rFonts w:ascii="Arial" w:cs="Arial" w:eastAsia="Arial" w:hAnsi="Arial"/>
          <w:sz w:val="15"/>
          <w:szCs w:val="15"/>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w:t>
      </w:r>
    </w:p>
    <w:p>
      <w:pPr>
        <w:spacing w:after="0" w:line="175" w:lineRule="exact"/>
        <w:rPr>
          <w:sz w:val="20"/>
          <w:szCs w:val="20"/>
          <w:color w:val="auto"/>
        </w:rPr>
      </w:pPr>
    </w:p>
    <w:p>
      <w:pPr>
        <w:ind w:right="20" w:firstLine="619"/>
        <w:spacing w:after="0" w:line="263" w:lineRule="auto"/>
        <w:rPr>
          <w:sz w:val="20"/>
          <w:szCs w:val="20"/>
          <w:color w:val="auto"/>
        </w:rPr>
      </w:pPr>
      <w:r>
        <w:rPr>
          <w:rFonts w:ascii="Arial" w:cs="Arial" w:eastAsia="Arial" w:hAnsi="Arial"/>
          <w:sz w:val="16"/>
          <w:szCs w:val="16"/>
          <w:color w:val="auto"/>
        </w:rPr>
        <w:t>The KGS reportable segment has five operating businesses: Defense Rocket Support Services (“DRSS”), Microwave Electronics (“ME”), Space, Training and Cybersecurity Solutions (ST&amp;C), C5ISR/Modular Systems (“MS”), and Kratos Turbine Technologies (“KTT”). All of the KGS operating segments provide technology based defense solutions, involving products and services, primarily for mission critical U.S. national security priorities, with the primary focus relating to the nation’s Command, Control, Communications, Computing, Combat Systems, Intelligence, Surveillance and Reconnaissance requirements. The US reportable segment consists of its unmanned aerial system, unmanned ground, and unmanned seaborne system products.</w:t>
      </w:r>
    </w:p>
    <w:p>
      <w:pPr>
        <w:spacing w:after="0" w:line="191" w:lineRule="exact"/>
        <w:rPr>
          <w:sz w:val="20"/>
          <w:szCs w:val="20"/>
          <w:color w:val="auto"/>
        </w:rPr>
      </w:pPr>
    </w:p>
    <w:p>
      <w:pPr>
        <w:ind w:firstLine="619"/>
        <w:spacing w:after="0" w:line="258" w:lineRule="auto"/>
        <w:rPr>
          <w:sz w:val="20"/>
          <w:szCs w:val="20"/>
          <w:color w:val="auto"/>
        </w:rPr>
      </w:pPr>
      <w:r>
        <w:rPr>
          <w:rFonts w:ascii="Arial" w:cs="Arial" w:eastAsia="Arial" w:hAnsi="Arial"/>
          <w:sz w:val="16"/>
          <w:szCs w:val="16"/>
          <w:color w:val="auto"/>
        </w:rPr>
        <w:t>The Company identified its reporting units to be the DRSS, ME, ST&amp;C, MS, KTT and US operating segments. The Company tests goodwill for impairment by first performing a qualitative assessment. If, based on its qualitative assessment management determines it is not more likely than not that the fair value of the reporting unit exceeds its carrying value, a quantitative assessment is then performed. For operations where a quantitative assessment is performed, the identification and measurement of impairment involves the estimation of the fair value of reporting units. If the fair value is determined to be less than the carrying value, a charge to operations is recorded for the amount that the carrying value exceeds fair value. As part of its quantitative assessment, the Company estimates the fair value of each of the reporting units based on a comparison and weighting of the income approach, specifically the discounted cash flow method and the market approach, which estimates the fair value of the reporting units based upon comparable market prices and recent transactions and also validates the reasonableness of the implied multiples from the income approach.</w:t>
      </w:r>
    </w:p>
    <w:p>
      <w:pPr>
        <w:spacing w:after="0" w:line="197" w:lineRule="exact"/>
        <w:rPr>
          <w:sz w:val="20"/>
          <w:szCs w:val="20"/>
          <w:color w:val="auto"/>
        </w:rPr>
      </w:pPr>
    </w:p>
    <w:p>
      <w:pPr>
        <w:ind w:right="180" w:firstLine="619"/>
        <w:spacing w:after="0" w:line="331" w:lineRule="auto"/>
        <w:rPr>
          <w:sz w:val="20"/>
          <w:szCs w:val="20"/>
          <w:color w:val="auto"/>
        </w:rPr>
      </w:pPr>
      <w:r>
        <w:rPr>
          <w:rFonts w:ascii="Arial" w:cs="Arial" w:eastAsia="Arial" w:hAnsi="Arial"/>
          <w:sz w:val="15"/>
          <w:szCs w:val="15"/>
          <w:color w:val="auto"/>
        </w:rPr>
        <w:t>In determining the fair value for the reporting units, where a quantitative assessment is performed, there are key assumptions relating to future expected cash flows, terminal growth rates, appropriate discount rates, market multiples, and the control premium a controlling shareholder could be expected to pay.</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of goodwill as of December 26, 2021 and December 27, 2020 by reportable segment are as follows (in millions):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88"/>
              </w:rPr>
              <w:t>As of December 26, 2021</w:t>
            </w: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78"/>
        </w:trPr>
        <w:tc>
          <w:tcPr>
            <w:tcW w:w="20" w:type="dxa"/>
            <w:vAlign w:val="bottom"/>
            <w:tcBorders>
              <w:bottom w:val="single" w:sz="8" w:color="CCEEFF"/>
            </w:tcBorders>
          </w:tcPr>
          <w:p>
            <w:pPr>
              <w:spacing w:after="0"/>
              <w:rPr>
                <w:sz w:val="15"/>
                <w:szCs w:val="15"/>
                <w:color w:val="auto"/>
              </w:rPr>
            </w:pPr>
          </w:p>
        </w:tc>
        <w:tc>
          <w:tcPr>
            <w:tcW w:w="3760" w:type="dxa"/>
            <w:vAlign w:val="bottom"/>
            <w:tcBorders>
              <w:bottom w:val="single" w:sz="8" w:color="CCEEFF"/>
            </w:tcBorders>
          </w:tcPr>
          <w:p>
            <w:pPr>
              <w:spacing w:after="0"/>
              <w:rPr>
                <w:sz w:val="15"/>
                <w:szCs w:val="15"/>
                <w:color w:val="auto"/>
              </w:rPr>
            </w:pPr>
          </w:p>
        </w:tc>
        <w:tc>
          <w:tcPr>
            <w:tcW w:w="32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98"/>
              </w:rPr>
              <w:t>KGS</w:t>
            </w:r>
          </w:p>
        </w:tc>
        <w:tc>
          <w:tcPr>
            <w:tcW w:w="12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r>
      <w:tr>
        <w:trPr>
          <w:trHeight w:val="21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value</w:t>
            </w:r>
          </w:p>
        </w:tc>
        <w:tc>
          <w:tcPr>
            <w:tcW w:w="4080" w:type="dxa"/>
            <w:vAlign w:val="bottom"/>
            <w:gridSpan w:val="3"/>
            <w:shd w:val="clear" w:color="auto" w:fill="CCEEFF"/>
          </w:tcPr>
          <w:p>
            <w:pPr>
              <w:jc w:val="right"/>
              <w:ind w:right="631"/>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127.9</w:t>
            </w:r>
          </w:p>
        </w:tc>
        <w:tc>
          <w:tcPr>
            <w:tcW w:w="44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747.2</w:t>
            </w:r>
          </w:p>
        </w:tc>
        <w:tc>
          <w:tcPr>
            <w:tcW w:w="60" w:type="dxa"/>
            <w:vAlign w:val="bottom"/>
          </w:tcPr>
          <w:p>
            <w:pPr>
              <w:spacing w:after="0"/>
              <w:rPr>
                <w:sz w:val="18"/>
                <w:szCs w:val="18"/>
                <w:color w:val="auto"/>
              </w:rPr>
            </w:pPr>
          </w:p>
        </w:tc>
      </w:tr>
      <w:tr>
        <w:trPr>
          <w:trHeight w:val="218"/>
        </w:trPr>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accumulated impairment</w:t>
            </w:r>
          </w:p>
        </w:tc>
        <w:tc>
          <w:tcPr>
            <w:tcW w:w="3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239.5</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253.3</w:t>
            </w:r>
          </w:p>
        </w:tc>
        <w:tc>
          <w:tcPr>
            <w:tcW w:w="60" w:type="dxa"/>
            <w:vAlign w:val="bottom"/>
          </w:tcPr>
          <w:p>
            <w:pPr>
              <w:spacing w:after="0"/>
              <w:rPr>
                <w:sz w:val="18"/>
                <w:szCs w:val="18"/>
                <w:color w:val="auto"/>
              </w:rPr>
            </w:pPr>
          </w:p>
        </w:tc>
      </w:tr>
      <w:tr>
        <w:trPr>
          <w:trHeight w:val="23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w:t>
            </w:r>
          </w:p>
        </w:tc>
        <w:tc>
          <w:tcPr>
            <w:tcW w:w="4080" w:type="dxa"/>
            <w:vAlign w:val="bottom"/>
            <w:gridSpan w:val="3"/>
            <w:shd w:val="clear" w:color="auto" w:fill="CCEEFF"/>
          </w:tcPr>
          <w:p>
            <w:pPr>
              <w:jc w:val="right"/>
              <w:ind w:right="631"/>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114.1</w:t>
            </w:r>
          </w:p>
        </w:tc>
        <w:tc>
          <w:tcPr>
            <w:tcW w:w="44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379.8</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493.9</w:t>
            </w:r>
          </w:p>
        </w:tc>
        <w:tc>
          <w:tcPr>
            <w:tcW w:w="60" w:type="dxa"/>
            <w:vAlign w:val="bottom"/>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1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8"/>
              </w:rPr>
              <w:t>As of December 27, 2020</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78"/>
        </w:trPr>
        <w:tc>
          <w:tcPr>
            <w:tcW w:w="20" w:type="dxa"/>
            <w:vAlign w:val="bottom"/>
          </w:tcPr>
          <w:p>
            <w:pPr>
              <w:spacing w:after="0"/>
              <w:rPr>
                <w:sz w:val="15"/>
                <w:szCs w:val="15"/>
                <w:color w:val="auto"/>
              </w:rPr>
            </w:pPr>
          </w:p>
        </w:tc>
        <w:tc>
          <w:tcPr>
            <w:tcW w:w="3760" w:type="dxa"/>
            <w:vAlign w:val="bottom"/>
            <w:tcBorders>
              <w:bottom w:val="single" w:sz="8" w:color="CCEEFF"/>
            </w:tcBorders>
          </w:tcPr>
          <w:p>
            <w:pPr>
              <w:spacing w:after="0"/>
              <w:rPr>
                <w:sz w:val="15"/>
                <w:szCs w:val="15"/>
                <w:color w:val="auto"/>
              </w:rPr>
            </w:pPr>
          </w:p>
        </w:tc>
        <w:tc>
          <w:tcPr>
            <w:tcW w:w="3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KGS</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value</w:t>
            </w:r>
          </w:p>
        </w:tc>
        <w:tc>
          <w:tcPr>
            <w:tcW w:w="4080" w:type="dxa"/>
            <w:vAlign w:val="bottom"/>
            <w:gridSpan w:val="3"/>
            <w:shd w:val="clear" w:color="auto" w:fill="CCEEFF"/>
          </w:tcPr>
          <w:p>
            <w:pPr>
              <w:jc w:val="right"/>
              <w:ind w:right="611"/>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127.6</w:t>
            </w:r>
          </w:p>
        </w:tc>
        <w:tc>
          <w:tcPr>
            <w:tcW w:w="44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737.2</w:t>
            </w:r>
          </w:p>
        </w:tc>
        <w:tc>
          <w:tcPr>
            <w:tcW w:w="60" w:type="dxa"/>
            <w:vAlign w:val="bottom"/>
            <w:tcBorders>
              <w:left w:val="single" w:sz="8" w:color="CCEEFF"/>
            </w:tcBorders>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impairment</w:t>
            </w:r>
          </w:p>
        </w:tc>
        <w:tc>
          <w:tcPr>
            <w:tcW w:w="3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239.5</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253.3</w:t>
            </w:r>
          </w:p>
        </w:tc>
        <w:tc>
          <w:tcPr>
            <w:tcW w:w="60" w:type="dxa"/>
            <w:vAlign w:val="bottom"/>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w:t>
            </w:r>
          </w:p>
        </w:tc>
        <w:tc>
          <w:tcPr>
            <w:tcW w:w="4080" w:type="dxa"/>
            <w:vAlign w:val="bottom"/>
            <w:gridSpan w:val="3"/>
            <w:shd w:val="clear" w:color="auto" w:fill="CCEEFF"/>
          </w:tcPr>
          <w:p>
            <w:pPr>
              <w:jc w:val="right"/>
              <w:ind w:right="611"/>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w:t>
            </w:r>
          </w:p>
        </w:tc>
        <w:tc>
          <w:tcPr>
            <w:tcW w:w="44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483.9</w:t>
            </w:r>
          </w:p>
        </w:tc>
        <w:tc>
          <w:tcPr>
            <w:tcW w:w="60" w:type="dxa"/>
            <w:vAlign w:val="bottom"/>
            <w:tcBorders>
              <w:left w:val="single" w:sz="8" w:color="CCEEFF"/>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9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80" w:type="dxa"/>
            <w:vAlign w:val="bottom"/>
            <w:gridSpan w:val="3"/>
          </w:tcPr>
          <w:p>
            <w:pPr>
              <w:jc w:val="right"/>
              <w:ind w:right="2011"/>
              <w:spacing w:after="0"/>
              <w:rPr>
                <w:sz w:val="20"/>
                <w:szCs w:val="20"/>
                <w:color w:val="auto"/>
              </w:rPr>
            </w:pPr>
            <w:r>
              <w:rPr>
                <w:rFonts w:ascii="Arial" w:cs="Arial" w:eastAsia="Arial" w:hAnsi="Arial"/>
                <w:sz w:val="17"/>
                <w:szCs w:val="17"/>
                <w:color w:val="auto"/>
              </w:rPr>
              <w:t>F-21</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90" w:name="page91"/>
    <w:bookmarkEnd w:id="90"/>
    <w:p>
      <w:pPr>
        <w:spacing w:after="0"/>
        <w:tabs>
          <w:tab w:leader="none" w:pos="36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information for acquired finite-lived and indefinite-lived intangible assets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ind w:right="114"/>
              <w:spacing w:after="0"/>
              <w:rPr>
                <w:sz w:val="20"/>
                <w:szCs w:val="20"/>
                <w:color w:val="auto"/>
              </w:rPr>
            </w:pPr>
            <w:r>
              <w:rPr>
                <w:rFonts w:ascii="Arial" w:cs="Arial" w:eastAsia="Arial" w:hAnsi="Arial"/>
                <w:sz w:val="14"/>
                <w:szCs w:val="14"/>
                <w:b w:val="1"/>
                <w:bCs w:val="1"/>
                <w:color w:val="auto"/>
                <w:w w:val="87"/>
              </w:rPr>
              <w:t>As of December 26, 2021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right="94"/>
              <w:spacing w:after="0"/>
              <w:rPr>
                <w:sz w:val="20"/>
                <w:szCs w:val="20"/>
                <w:color w:val="auto"/>
              </w:rPr>
            </w:pPr>
            <w:r>
              <w:rPr>
                <w:rFonts w:ascii="Arial" w:cs="Arial" w:eastAsia="Arial" w:hAnsi="Arial"/>
                <w:sz w:val="14"/>
                <w:szCs w:val="14"/>
                <w:b w:val="1"/>
                <w:bCs w:val="1"/>
                <w:color w:val="auto"/>
                <w:w w:val="87"/>
              </w:rPr>
              <w:t>As of December 27, 2020</w:t>
            </w:r>
          </w:p>
        </w:tc>
        <w:tc>
          <w:tcPr>
            <w:tcW w:w="880" w:type="dxa"/>
            <w:vAlign w:val="bottom"/>
            <w:tcBorders>
              <w:bottom w:val="single" w:sz="8" w:color="auto"/>
            </w:tcBorders>
          </w:tcPr>
          <w:p>
            <w:pPr>
              <w:spacing w:after="0"/>
              <w:rPr>
                <w:sz w:val="16"/>
                <w:szCs w:val="16"/>
                <w:color w:val="auto"/>
              </w:rPr>
            </w:pPr>
          </w:p>
        </w:tc>
      </w:tr>
      <w:tr>
        <w:trPr>
          <w:trHeight w:val="128"/>
        </w:trPr>
        <w:tc>
          <w:tcPr>
            <w:tcW w:w="3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258"/>
              <w:spacing w:after="0" w:line="128"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28" w:lineRule="exact"/>
              <w:rPr>
                <w:sz w:val="20"/>
                <w:szCs w:val="20"/>
                <w:color w:val="auto"/>
              </w:rPr>
            </w:pPr>
            <w:r>
              <w:rPr>
                <w:rFonts w:ascii="Arial" w:cs="Arial" w:eastAsia="Arial" w:hAnsi="Arial"/>
                <w:sz w:val="14"/>
                <w:szCs w:val="14"/>
                <w:b w:val="1"/>
                <w:bCs w:val="1"/>
                <w:color w:val="auto"/>
                <w:w w:val="88"/>
              </w:rPr>
              <w:t>Accumulated</w:t>
            </w:r>
          </w:p>
        </w:tc>
        <w:tc>
          <w:tcPr>
            <w:tcW w:w="240" w:type="dxa"/>
            <w:vAlign w:val="bottom"/>
          </w:tcPr>
          <w:p>
            <w:pPr>
              <w:spacing w:after="0"/>
              <w:rPr>
                <w:sz w:val="11"/>
                <w:szCs w:val="11"/>
                <w:color w:val="auto"/>
              </w:rPr>
            </w:pPr>
          </w:p>
        </w:tc>
        <w:tc>
          <w:tcPr>
            <w:tcW w:w="880" w:type="dxa"/>
            <w:vAlign w:val="bottom"/>
          </w:tcPr>
          <w:p>
            <w:pPr>
              <w:jc w:val="center"/>
              <w:ind w:right="158"/>
              <w:spacing w:after="0" w:line="128"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238"/>
              <w:spacing w:after="0" w:line="128"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28" w:lineRule="exact"/>
              <w:rPr>
                <w:sz w:val="20"/>
                <w:szCs w:val="20"/>
                <w:color w:val="auto"/>
              </w:rPr>
            </w:pPr>
            <w:r>
              <w:rPr>
                <w:rFonts w:ascii="Arial" w:cs="Arial" w:eastAsia="Arial" w:hAnsi="Arial"/>
                <w:sz w:val="14"/>
                <w:szCs w:val="14"/>
                <w:b w:val="1"/>
                <w:bCs w:val="1"/>
                <w:color w:val="auto"/>
                <w:w w:val="88"/>
              </w:rPr>
              <w:t>Accumulated</w:t>
            </w:r>
          </w:p>
        </w:tc>
        <w:tc>
          <w:tcPr>
            <w:tcW w:w="240" w:type="dxa"/>
            <w:vAlign w:val="bottom"/>
          </w:tcPr>
          <w:p>
            <w:pPr>
              <w:spacing w:after="0"/>
              <w:rPr>
                <w:sz w:val="11"/>
                <w:szCs w:val="11"/>
                <w:color w:val="auto"/>
              </w:rPr>
            </w:pPr>
          </w:p>
        </w:tc>
        <w:tc>
          <w:tcPr>
            <w:tcW w:w="880" w:type="dxa"/>
            <w:vAlign w:val="bottom"/>
          </w:tcPr>
          <w:p>
            <w:pPr>
              <w:jc w:val="right"/>
              <w:ind w:right="378"/>
              <w:spacing w:after="0" w:line="128" w:lineRule="exact"/>
              <w:rPr>
                <w:sz w:val="20"/>
                <w:szCs w:val="20"/>
                <w:color w:val="auto"/>
              </w:rPr>
            </w:pPr>
            <w:r>
              <w:rPr>
                <w:rFonts w:ascii="Arial" w:cs="Arial" w:eastAsia="Arial" w:hAnsi="Arial"/>
                <w:sz w:val="14"/>
                <w:szCs w:val="14"/>
                <w:b w:val="1"/>
                <w:bCs w:val="1"/>
                <w:color w:val="auto"/>
              </w:rPr>
              <w:t>Net</w:t>
            </w:r>
          </w:p>
        </w:tc>
      </w:tr>
      <w:tr>
        <w:trPr>
          <w:trHeight w:val="179"/>
        </w:trPr>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58"/>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Amortization</w:t>
            </w:r>
          </w:p>
        </w:tc>
        <w:tc>
          <w:tcPr>
            <w:tcW w:w="24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5"/>
                <w:szCs w:val="15"/>
                <w:color w:val="auto"/>
              </w:rPr>
            </w:pPr>
          </w:p>
        </w:tc>
        <w:tc>
          <w:tcPr>
            <w:tcW w:w="820" w:type="dxa"/>
            <w:vAlign w:val="bottom"/>
          </w:tcPr>
          <w:p>
            <w:pPr>
              <w:jc w:val="right"/>
              <w:ind w:right="238"/>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Amortization</w:t>
            </w:r>
          </w:p>
        </w:tc>
        <w:tc>
          <w:tcPr>
            <w:tcW w:w="240" w:type="dxa"/>
            <w:vAlign w:val="bottom"/>
          </w:tcPr>
          <w:p>
            <w:pPr>
              <w:spacing w:after="0"/>
              <w:rPr>
                <w:sz w:val="15"/>
                <w:szCs w:val="15"/>
                <w:color w:val="auto"/>
              </w:rPr>
            </w:pPr>
          </w:p>
        </w:tc>
        <w:tc>
          <w:tcPr>
            <w:tcW w:w="880" w:type="dxa"/>
            <w:vAlign w:val="bottom"/>
          </w:tcPr>
          <w:p>
            <w:pPr>
              <w:jc w:val="right"/>
              <w:ind w:right="318"/>
              <w:spacing w:after="0"/>
              <w:rPr>
                <w:sz w:val="20"/>
                <w:szCs w:val="20"/>
                <w:color w:val="auto"/>
              </w:rPr>
            </w:pPr>
            <w:r>
              <w:rPr>
                <w:rFonts w:ascii="Arial" w:cs="Arial" w:eastAsia="Arial" w:hAnsi="Arial"/>
                <w:sz w:val="14"/>
                <w:szCs w:val="14"/>
                <w:b w:val="1"/>
                <w:bCs w:val="1"/>
                <w:color w:val="auto"/>
              </w:rPr>
              <w:t>Value</w:t>
            </w:r>
          </w:p>
        </w:tc>
      </w:tr>
      <w:tr>
        <w:trPr>
          <w:trHeight w:val="200"/>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Acquired finite-lived intangible assets:</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8"/>
        </w:trPr>
        <w:tc>
          <w:tcPr>
            <w:tcW w:w="3880" w:type="dxa"/>
            <w:vAlign w:val="bottom"/>
          </w:tcPr>
          <w:p>
            <w:pPr>
              <w:ind w:left="140"/>
              <w:spacing w:after="0"/>
              <w:rPr>
                <w:sz w:val="20"/>
                <w:szCs w:val="20"/>
                <w:color w:val="auto"/>
              </w:rPr>
            </w:pPr>
            <w:r>
              <w:rPr>
                <w:rFonts w:ascii="Arial" w:cs="Arial" w:eastAsia="Arial" w:hAnsi="Arial"/>
                <w:sz w:val="17"/>
                <w:szCs w:val="17"/>
                <w:color w:val="auto"/>
              </w:rPr>
              <w:t>Customer relationships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76.5</w:t>
            </w:r>
          </w:p>
        </w:tc>
        <w:tc>
          <w:tcPr>
            <w:tcW w:w="30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(57.6)</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75.3</w:t>
            </w:r>
          </w:p>
        </w:tc>
        <w:tc>
          <w:tcPr>
            <w:tcW w:w="3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(55.7)</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19.6</w:t>
            </w:r>
          </w:p>
        </w:tc>
      </w:tr>
      <w:tr>
        <w:trPr>
          <w:trHeight w:val="220"/>
        </w:trPr>
        <w:tc>
          <w:tcPr>
            <w:tcW w:w="3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Contracts and backlog</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18"/>
        </w:trPr>
        <w:tc>
          <w:tcPr>
            <w:tcW w:w="3880" w:type="dxa"/>
            <w:vAlign w:val="bottom"/>
          </w:tcPr>
          <w:p>
            <w:pPr>
              <w:ind w:left="140"/>
              <w:spacing w:after="0"/>
              <w:rPr>
                <w:sz w:val="20"/>
                <w:szCs w:val="20"/>
                <w:color w:val="auto"/>
              </w:rPr>
            </w:pPr>
            <w:r>
              <w:rPr>
                <w:rFonts w:ascii="Arial" w:cs="Arial" w:eastAsia="Arial" w:hAnsi="Arial"/>
                <w:sz w:val="17"/>
                <w:szCs w:val="17"/>
                <w:color w:val="auto"/>
              </w:rPr>
              <w:t>Developed technology and technical know-how</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0"/>
        </w:trPr>
        <w:tc>
          <w:tcPr>
            <w:tcW w:w="3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Trade names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8"/>
        </w:trPr>
        <w:tc>
          <w:tcPr>
            <w:tcW w:w="3880" w:type="dxa"/>
            <w:vAlign w:val="bottom"/>
          </w:tcPr>
          <w:p>
            <w:pPr>
              <w:ind w:left="140"/>
              <w:spacing w:after="0"/>
              <w:rPr>
                <w:sz w:val="20"/>
                <w:szCs w:val="20"/>
                <w:color w:val="auto"/>
              </w:rPr>
            </w:pPr>
            <w:r>
              <w:rPr>
                <w:rFonts w:ascii="Arial" w:cs="Arial" w:eastAsia="Arial" w:hAnsi="Arial"/>
                <w:sz w:val="17"/>
                <w:szCs w:val="17"/>
                <w:color w:val="auto"/>
              </w:rPr>
              <w:t>In-process research and development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1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finite-lived intangible assets</w:t>
            </w: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w:t>
            </w:r>
          </w:p>
        </w:tc>
      </w:tr>
      <w:tr>
        <w:trPr>
          <w:trHeight w:val="218"/>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Indefinite-lived trade names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r>
      <w:tr>
        <w:trPr>
          <w:trHeight w:val="233"/>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intangible assets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both"/>
        <w:ind w:right="180" w:firstLine="619"/>
        <w:spacing w:after="0" w:line="349" w:lineRule="auto"/>
        <w:rPr>
          <w:sz w:val="20"/>
          <w:szCs w:val="20"/>
          <w:color w:val="auto"/>
        </w:rPr>
      </w:pPr>
      <w:r>
        <w:rPr>
          <w:rFonts w:ascii="Arial" w:cs="Arial" w:eastAsia="Arial" w:hAnsi="Arial"/>
          <w:sz w:val="15"/>
          <w:szCs w:val="15"/>
          <w:color w:val="auto"/>
        </w:rPr>
        <w:t>The aggregate amortization expense for finite-lived intangible assets was $4.7 million, $6.8 million and $7.4 million, for the years ended December 26, 2021, December 27, 2020, and December 29, 2019, respectively. The Company records all amortization expense in selling, general and administrative expenses.</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estimated future amortization expense of acquired intangible assets with finite lives as of December 26, 2021 is as follows (in millions):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Amount</w:t>
            </w:r>
          </w:p>
        </w:tc>
      </w:tr>
      <w:tr>
        <w:trPr>
          <w:trHeight w:val="218"/>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8"/>
        </w:trPr>
        <w:tc>
          <w:tcPr>
            <w:tcW w:w="9660" w:type="dxa"/>
            <w:vAlign w:val="bottom"/>
          </w:tcPr>
          <w:p>
            <w:pPr>
              <w:ind w:left="20"/>
              <w:spacing w:after="0"/>
              <w:rPr>
                <w:sz w:val="20"/>
                <w:szCs w:val="20"/>
                <w:color w:val="auto"/>
              </w:rPr>
            </w:pPr>
            <w:r>
              <w:rPr>
                <w:rFonts w:ascii="Arial" w:cs="Arial" w:eastAsia="Arial" w:hAnsi="Arial"/>
                <w:sz w:val="17"/>
                <w:szCs w:val="17"/>
                <w:color w:val="auto"/>
              </w:rPr>
              <w:t>2023</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20"/>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18"/>
        </w:trPr>
        <w:tc>
          <w:tcPr>
            <w:tcW w:w="9660" w:type="dxa"/>
            <w:vAlign w:val="bottom"/>
          </w:tcPr>
          <w:p>
            <w:pPr>
              <w:ind w:left="20"/>
              <w:spacing w:after="0"/>
              <w:rPr>
                <w:sz w:val="20"/>
                <w:szCs w:val="20"/>
                <w:color w:val="auto"/>
              </w:rPr>
            </w:pPr>
            <w:r>
              <w:rPr>
                <w:rFonts w:ascii="Arial" w:cs="Arial" w:eastAsia="Arial" w:hAnsi="Arial"/>
                <w:sz w:val="17"/>
                <w:szCs w:val="17"/>
                <w:color w:val="auto"/>
              </w:rPr>
              <w:t>2025</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0"/>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8"/>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w:t>
            </w:r>
          </w:p>
        </w:tc>
      </w:tr>
      <w:tr>
        <w:trPr>
          <w:trHeight w:val="238"/>
        </w:trPr>
        <w:tc>
          <w:tcPr>
            <w:tcW w:w="9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4.</w:t>
      </w:r>
      <w:r>
        <w:rPr>
          <w:sz w:val="20"/>
          <w:szCs w:val="20"/>
          <w:color w:val="auto"/>
        </w:rPr>
        <w:tab/>
      </w:r>
      <w:r>
        <w:rPr>
          <w:rFonts w:ascii="Arial" w:cs="Arial" w:eastAsia="Arial" w:hAnsi="Arial"/>
          <w:sz w:val="15"/>
          <w:szCs w:val="15"/>
          <w:b w:val="1"/>
          <w:bCs w:val="1"/>
          <w:color w:val="auto"/>
        </w:rPr>
        <w:t>Balance Sheet Details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detail of certain assets in the consolidated balance sheets consists of the following:</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243"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The Company’s cash equivalents consist of overnight cash sweep accounts that are invested on a daily basis. Cash and cash equivalents at December 26, 2021 and December 27, 2020 were $349.4 million and $380.8 million, respectively, and approximated their fair value.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91" w:name="page92"/>
    <w:bookmarkEnd w:id="91"/>
    <w:p>
      <w:pPr>
        <w:spacing w:after="0"/>
        <w:rPr>
          <w:sz w:val="20"/>
          <w:szCs w:val="20"/>
          <w:color w:val="auto"/>
        </w:rPr>
      </w:pPr>
      <w:r>
        <w:rPr>
          <w:rFonts w:ascii="Arial" w:cs="Arial" w:eastAsia="Arial" w:hAnsi="Arial"/>
          <w:sz w:val="17"/>
          <w:szCs w:val="17"/>
          <w:i w:val="1"/>
          <w:iCs w:val="1"/>
          <w:color w:val="auto"/>
        </w:rPr>
        <w:t>Accounts receivable, net and Unbilled receivables, net</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Receivables including amounts due under long-term contracts are summarized as follows </w:t>
      </w:r>
      <w:r>
        <w:rPr>
          <w:rFonts w:ascii="Arial" w:cs="Arial" w:eastAsia="Arial" w:hAnsi="Arial"/>
          <w:sz w:val="17"/>
          <w:szCs w:val="17"/>
          <w:i w:val="1"/>
          <w:iCs w:val="1"/>
          <w:color w:val="auto"/>
        </w:rPr>
        <w:t>(in millions)</w:t>
      </w:r>
      <w:r>
        <w:rPr>
          <w:rFonts w:ascii="Arial" w:cs="Arial" w:eastAsia="Arial" w:hAnsi="Arial"/>
          <w:sz w:val="17"/>
          <w:szCs w:val="17"/>
          <w:color w:val="auto"/>
        </w:rPr>
        <w:t>:</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December 26, 2021</w:t>
            </w:r>
          </w:p>
        </w:tc>
        <w:tc>
          <w:tcPr>
            <w:tcW w:w="100" w:type="dxa"/>
            <w:vAlign w:val="bottom"/>
          </w:tcPr>
          <w:p>
            <w:pPr>
              <w:spacing w:after="0"/>
              <w:rPr>
                <w:sz w:val="16"/>
                <w:szCs w:val="16"/>
                <w:color w:val="auto"/>
              </w:rPr>
            </w:pPr>
          </w:p>
        </w:tc>
        <w:tc>
          <w:tcPr>
            <w:tcW w:w="1220" w:type="dxa"/>
            <w:vAlign w:val="bottom"/>
          </w:tcPr>
          <w:p>
            <w:pPr>
              <w:jc w:val="right"/>
              <w:ind w:right="37"/>
              <w:spacing w:after="0"/>
              <w:rPr>
                <w:sz w:val="20"/>
                <w:szCs w:val="20"/>
                <w:color w:val="auto"/>
              </w:rPr>
            </w:pPr>
            <w:r>
              <w:rPr>
                <w:rFonts w:ascii="Arial" w:cs="Arial" w:eastAsia="Arial" w:hAnsi="Arial"/>
                <w:sz w:val="14"/>
                <w:szCs w:val="14"/>
                <w:b w:val="1"/>
                <w:bCs w:val="1"/>
                <w:color w:val="auto"/>
                <w:w w:val="85"/>
              </w:rPr>
              <w:t>December 27, 2020</w:t>
            </w:r>
          </w:p>
        </w:tc>
      </w:tr>
      <w:tr>
        <w:trPr>
          <w:trHeight w:val="218"/>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Billed, current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97.0</w:t>
            </w:r>
          </w:p>
        </w:tc>
      </w:tr>
      <w:tr>
        <w:trPr>
          <w:trHeight w:val="218"/>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Unbilled, current</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177.1</w:t>
            </w: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accounts receivable</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274.1</w:t>
            </w:r>
          </w:p>
        </w:tc>
      </w:tr>
      <w:tr>
        <w:trPr>
          <w:trHeight w:val="218"/>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Allowance for doubtful accounts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r>
        <w:trPr>
          <w:trHeight w:val="23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accounts receivable and unbilled receivables,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0" w:firstLine="619"/>
        <w:spacing w:after="0" w:line="349" w:lineRule="auto"/>
        <w:rPr>
          <w:sz w:val="20"/>
          <w:szCs w:val="20"/>
          <w:color w:val="auto"/>
        </w:rPr>
      </w:pPr>
      <w:r>
        <w:rPr>
          <w:rFonts w:ascii="Arial" w:cs="Arial" w:eastAsia="Arial" w:hAnsi="Arial"/>
          <w:sz w:val="15"/>
          <w:szCs w:val="15"/>
          <w:color w:val="auto"/>
        </w:rPr>
        <w:t>Substantially all accounts receivable at December 26, 2021, are expected to be collected in 2022. The Company does not believe it has significant exposure to credit risk, as accounts receivable and the related unbilled amounts are primarily from contracts associated with the U.S. Government.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Government contract receivables where the Company is the prime contractor included in accounts receivable, net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Borders>
              <w:bottom w:val="single" w:sz="8" w:color="CCEEFF"/>
            </w:tcBorders>
          </w:tcPr>
          <w:p>
            <w:pPr>
              <w:spacing w:after="0"/>
              <w:rPr>
                <w:sz w:val="16"/>
                <w:szCs w:val="16"/>
                <w:color w:val="auto"/>
              </w:rPr>
            </w:pPr>
          </w:p>
        </w:tc>
        <w:tc>
          <w:tcPr>
            <w:tcW w:w="8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8"/>
              </w:rPr>
              <w:t>December 26, 2021</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December 27, 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Billed</w:t>
            </w:r>
          </w:p>
        </w:tc>
        <w:tc>
          <w:tcPr>
            <w:tcW w:w="4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Unbilled</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93.6</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U.S. Government contract receivables</w:t>
            </w:r>
          </w:p>
        </w:tc>
        <w:tc>
          <w:tcPr>
            <w:tcW w:w="4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104.9</w:t>
            </w:r>
          </w:p>
        </w:tc>
        <w:tc>
          <w:tcPr>
            <w:tcW w:w="4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w:t>
            </w:r>
          </w:p>
        </w:tc>
        <w:tc>
          <w:tcPr>
            <w:tcW w:w="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i w:val="1"/>
                <w:iCs w:val="1"/>
                <w:color w:val="auto"/>
              </w:rPr>
              <w:t>Inventoried costs (in millions):</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December 26,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center"/>
              <w:ind w:right="116"/>
              <w:spacing w:after="0"/>
              <w:rPr>
                <w:sz w:val="20"/>
                <w:szCs w:val="20"/>
                <w:color w:val="auto"/>
              </w:rPr>
            </w:pPr>
            <w:r>
              <w:rPr>
                <w:rFonts w:ascii="Arial" w:cs="Arial" w:eastAsia="Arial" w:hAnsi="Arial"/>
                <w:sz w:val="14"/>
                <w:szCs w:val="14"/>
                <w:b w:val="1"/>
                <w:bCs w:val="1"/>
                <w:color w:val="auto"/>
                <w:w w:val="87"/>
              </w:rPr>
              <w:t>December 27,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84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83"/>
              </w:rPr>
              <w:t>2021</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3"/>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18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1"/>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80" w:type="dxa"/>
            <w:vAlign w:val="bottom"/>
            <w:gridSpan w:val="2"/>
          </w:tcPr>
          <w:p>
            <w:pPr>
              <w:ind w:left="20"/>
              <w:spacing w:after="0"/>
              <w:rPr>
                <w:sz w:val="20"/>
                <w:szCs w:val="20"/>
                <w:color w:val="auto"/>
              </w:rPr>
            </w:pPr>
            <w:r>
              <w:rPr>
                <w:rFonts w:ascii="Arial" w:cs="Arial" w:eastAsia="Arial" w:hAnsi="Arial"/>
                <w:sz w:val="17"/>
                <w:szCs w:val="17"/>
                <w:color w:val="auto"/>
              </w:rPr>
              <w:t>Work in 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gridSpan w:val="2"/>
          </w:tcPr>
          <w:p>
            <w:pPr>
              <w:ind w:left="20"/>
              <w:spacing w:after="0"/>
              <w:rPr>
                <w:sz w:val="20"/>
                <w:szCs w:val="20"/>
                <w:color w:val="auto"/>
              </w:rPr>
            </w:pPr>
            <w:r>
              <w:rPr>
                <w:rFonts w:ascii="Arial" w:cs="Arial" w:eastAsia="Arial" w:hAnsi="Arial"/>
                <w:sz w:val="17"/>
                <w:szCs w:val="17"/>
                <w:color w:val="auto"/>
              </w:rPr>
              <w:t>Total inventoried costs</w:t>
            </w:r>
          </w:p>
        </w:tc>
        <w:tc>
          <w:tcPr>
            <w:tcW w:w="180" w:type="dxa"/>
            <w:vAlign w:val="bottom"/>
            <w:gridSpan w:val="2"/>
          </w:tcPr>
          <w:p>
            <w:pPr>
              <w:jc w:val="right"/>
              <w:ind w:right="11"/>
              <w:spacing w:after="0"/>
              <w:rPr>
                <w:sz w:val="20"/>
                <w:szCs w:val="20"/>
                <w:color w:val="auto"/>
              </w:rPr>
            </w:pPr>
            <w:r>
              <w:rPr>
                <w:rFonts w:ascii="Arial" w:cs="Arial" w:eastAsia="Arial" w:hAnsi="Arial"/>
                <w:sz w:val="17"/>
                <w:szCs w:val="17"/>
                <w:color w:val="auto"/>
                <w:w w:val="84"/>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91.7</w:t>
            </w:r>
          </w:p>
        </w:tc>
        <w:tc>
          <w:tcPr>
            <w:tcW w:w="40" w:type="dxa"/>
            <w:vAlign w:val="bottom"/>
          </w:tcPr>
          <w:p>
            <w:pPr>
              <w:spacing w:after="0"/>
              <w:rPr>
                <w:sz w:val="18"/>
                <w:szCs w:val="18"/>
                <w:color w:val="auto"/>
              </w:rPr>
            </w:pPr>
          </w:p>
        </w:tc>
        <w:tc>
          <w:tcPr>
            <w:tcW w:w="260" w:type="dxa"/>
            <w:vAlign w:val="bottom"/>
            <w:gridSpan w:val="3"/>
          </w:tcPr>
          <w:p>
            <w:pPr>
              <w:jc w:val="right"/>
              <w:ind w:right="11"/>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Property, plant and equipment, net (in millions)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8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26, 2021</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December 27, 2020</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right of use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tcPr>
          <w:p>
            <w:pPr>
              <w:ind w:left="20"/>
              <w:spacing w:after="0"/>
              <w:rPr>
                <w:sz w:val="20"/>
                <w:szCs w:val="20"/>
                <w:color w:val="auto"/>
              </w:rPr>
            </w:pPr>
            <w:r>
              <w:rPr>
                <w:rFonts w:ascii="Arial" w:cs="Arial" w:eastAsia="Arial" w:hAnsi="Arial"/>
                <w:sz w:val="17"/>
                <w:szCs w:val="17"/>
                <w:color w:val="auto"/>
              </w:rPr>
              <w:t>Land and buildings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 and software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tcPr>
          <w:p>
            <w:pPr>
              <w:ind w:left="20"/>
              <w:spacing w:after="0"/>
              <w:rPr>
                <w:sz w:val="20"/>
                <w:szCs w:val="20"/>
                <w:color w:val="auto"/>
              </w:rPr>
            </w:pPr>
            <w:r>
              <w:rPr>
                <w:rFonts w:ascii="Arial" w:cs="Arial" w:eastAsia="Arial" w:hAnsi="Arial"/>
                <w:sz w:val="17"/>
                <w:szCs w:val="17"/>
                <w:color w:val="auto"/>
              </w:rPr>
              <w:t>Machinery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109.1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office equipment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40" w:type="dxa"/>
            <w:vAlign w:val="bottom"/>
            <w:tcBorders>
              <w:left w:val="single" w:sz="8" w:color="CCEEFF"/>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6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285.1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 and amortization</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(99.3)</w:t>
            </w:r>
          </w:p>
        </w:tc>
        <w:tc>
          <w:tcPr>
            <w:tcW w:w="40" w:type="dxa"/>
            <w:vAlign w:val="bottom"/>
            <w:tcBorders>
              <w:left w:val="single" w:sz="8" w:color="CCEEFF"/>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tcPr>
          <w:p>
            <w:pPr>
              <w:ind w:left="20"/>
              <w:spacing w:after="0"/>
              <w:rPr>
                <w:sz w:val="20"/>
                <w:szCs w:val="20"/>
                <w:color w:val="auto"/>
              </w:rPr>
            </w:pPr>
            <w:r>
              <w:rPr>
                <w:rFonts w:ascii="Arial" w:cs="Arial" w:eastAsia="Arial" w:hAnsi="Arial"/>
                <w:sz w:val="17"/>
                <w:szCs w:val="17"/>
                <w:color w:val="auto"/>
              </w:rPr>
              <w:t>Total property and equipment, net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168.3</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Depreciation expense was $21.0 million, $17.8 million and $16.0 million for the years ended December 26, 2021, December 27, 2020, and December 29, 2019, respectively.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92" w:name="page93"/>
    <w:bookmarkEnd w:id="92"/>
    <w:p>
      <w:pPr>
        <w:spacing w:after="0"/>
        <w:tabs>
          <w:tab w:leader="none" w:pos="680" w:val="left"/>
        </w:tabs>
        <w:rPr>
          <w:sz w:val="20"/>
          <w:szCs w:val="20"/>
          <w:color w:val="auto"/>
        </w:rPr>
      </w:pPr>
      <w:r>
        <w:rPr>
          <w:rFonts w:ascii="Arial" w:cs="Arial" w:eastAsia="Arial" w:hAnsi="Arial"/>
          <w:sz w:val="17"/>
          <w:szCs w:val="17"/>
          <w:b w:val="1"/>
          <w:bCs w:val="1"/>
          <w:color w:val="auto"/>
        </w:rPr>
        <w:t>Note 5.</w:t>
      </w:r>
      <w:r>
        <w:rPr>
          <w:sz w:val="20"/>
          <w:szCs w:val="20"/>
          <w:color w:val="auto"/>
        </w:rPr>
        <w:tab/>
      </w:r>
      <w:r>
        <w:rPr>
          <w:rFonts w:ascii="Arial" w:cs="Arial" w:eastAsia="Arial" w:hAnsi="Arial"/>
          <w:sz w:val="15"/>
          <w:szCs w:val="15"/>
          <w:b w:val="1"/>
          <w:bCs w:val="1"/>
          <w:color w:val="auto"/>
        </w:rPr>
        <w:t>Debt</w:t>
      </w:r>
    </w:p>
    <w:p>
      <w:pPr>
        <w:spacing w:after="0" w:line="217" w:lineRule="exact"/>
        <w:rPr>
          <w:sz w:val="20"/>
          <w:szCs w:val="20"/>
          <w:color w:val="auto"/>
        </w:rPr>
      </w:pPr>
    </w:p>
    <w:p>
      <w:pPr>
        <w:ind w:left="380" w:hanging="377"/>
        <w:spacing w:after="0"/>
        <w:tabs>
          <w:tab w:leader="none" w:pos="38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Issuance of 6.5% Senior Secured Notes due 2025</w:t>
      </w:r>
    </w:p>
    <w:p>
      <w:pPr>
        <w:spacing w:after="0" w:line="2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November 2017, the Company issued and sold $300 million aggregate principal amount of 6.5% Senior Secured Notes due 2025 (the “6.5% Notes”) in a private placement conducted pursuant to Rule 144A and Regulation S under the Securities Act of 1933, as amended (the “Act”). The Company incurred debt issuance costs of $6.6 million associated with the 6.5% Notes. The Company utilized the net proceeds from the sale of the 6.5% Notes, as well as cash from an equity offering to extinguish the previously outstanding 7.00% Senior Secured Notes due 2019 (the “7% Notes”). The total reacquisition price of the 7% Notes was $385.2 million, including a $12.0 million call premium, and $0.3 million of accrued interest.</w:t>
      </w:r>
    </w:p>
    <w:p>
      <w:pPr>
        <w:spacing w:after="0" w:line="20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6.5% Notes are governed by the Indenture, dated as of November 20, 2017 (the “Indenture”), among the Company, the Company’s existing and future domestic subsidiaries parties thereto (the “Subsidiary Guarantors”) and Wilmington Trust, National Association, as trustee and collateral agent (in such capacity, the “2017 Trustee and Collateral Agent”). A Subsidiary Guarantor can be released from its guarantee if (a) all of the capital stock issued by such Subsidiary Guarantor or all or substantially all of the assets of such Subsidiary Guarantor are sold or otherwise disposed of; (b) the Company designates such Subsidiary Guarantor as an Unrestricted Subsidiary; (c) the Company exercises its legal defeasance option or its covenant defeasance option; or (d) upon satisfaction and discharge of the Indenture or payment in full in cash of the principal of, premium, if any, and accrued and unpaid interest on the 6.5% Notes.</w:t>
      </w:r>
    </w:p>
    <w:p>
      <w:pPr>
        <w:spacing w:after="0" w:line="19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201"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6.5% Notes and the guarantees (as set forth in the Indenture, the “Guarantees”) are the Company’s senior secured obligations and are equal in right of payment with all other senior obligations of the Subsidiary Guarantors’ existing and future secured debt to the extent of the assets securing that secured debt. The Company’s obligations under the 6.5% Notes are secured by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the Company’s obligations under the Credit Agreement.</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6.5% Notes are redeemable, in whole or in part, at the respective redemption prices specified in the Indenture. The Company may also be required to make an offer to purchase the 6.5% Notes upon a change of control and certain sales of its assets.</w:t>
      </w:r>
    </w:p>
    <w:p>
      <w:pPr>
        <w:spacing w:after="0" w:line="19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Indenture contains covenants limiting, among other things, the Company’s ability and the Subsidiary Guarantors’ ability to: (a) pay dividends on or make distributions or repurchase or redeem the Company’s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the Company’s assets; (i) enter into transactions with affiliates; and (j) enter into agreements restricting the Company’s ability and certain of its subsidiaries’ ability to pay dividends. These covenants are subject to a number of exceptions. As of December 26, 2021, the Company was in compliance with the covenants contained in the Indenture governing the 6.5% Notes.</w:t>
      </w:r>
    </w:p>
    <w:p>
      <w:pPr>
        <w:spacing w:after="0" w:line="196"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(iii) a combination of (i), (ii) and (iii). To the extent there are any remaining net proceeds from the asset disposition after application of (i), (ii) and (iii), such amounts are required to be utilized to repurchase 6.5% Notes at par.</w:t>
      </w:r>
    </w:p>
    <w:p>
      <w:pPr>
        <w:spacing w:after="0" w:line="18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Indenture also provides for events of default which, if any of them occurs, would permit or require the principal, premium, if any, interest, if any, and any other monetary obligations on all the then-outstanding 6.5% Notes to become or to be declared due and payable immediately.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3" w:name="page94"/>
    <w:bookmarkEnd w:id="93"/>
    <w:p>
      <w:pPr>
        <w:spacing w:after="0"/>
        <w:tabs>
          <w:tab w:leader="none" w:pos="36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5"/>
          <w:szCs w:val="15"/>
          <w:b w:val="1"/>
          <w:bCs w:val="1"/>
          <w:color w:val="auto"/>
        </w:rPr>
        <w:t>Other Indebtedness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Credit and Security Agreement</w:t>
      </w:r>
    </w:p>
    <w:p>
      <w:pPr>
        <w:spacing w:after="0" w:line="243" w:lineRule="exact"/>
        <w:rPr>
          <w:sz w:val="20"/>
          <w:szCs w:val="20"/>
          <w:color w:val="auto"/>
        </w:rPr>
      </w:pPr>
    </w:p>
    <w:p>
      <w:pPr>
        <w:ind w:right="60" w:firstLine="619"/>
        <w:spacing w:after="0" w:line="302" w:lineRule="auto"/>
        <w:rPr>
          <w:sz w:val="20"/>
          <w:szCs w:val="20"/>
          <w:color w:val="auto"/>
        </w:rPr>
      </w:pPr>
      <w:r>
        <w:rPr>
          <w:rFonts w:ascii="Arial" w:cs="Arial" w:eastAsia="Arial" w:hAnsi="Arial"/>
          <w:sz w:val="15"/>
          <w:szCs w:val="15"/>
          <w:color w:val="auto"/>
        </w:rPr>
        <w:t>On November 20, 2017, the Company entered into an Amended and Restated Credit and Security Agreement (as amended, the “Credit Agreement”) with the lenders named therein, SunTrust Bank, as Agent (the “Agent”), and SunTrust Robinson Humphrey, Inc., as Lead Arranger and Sole Book Runner. The Credit Agreement establishes a five year senior secured revolving credit facility in the aggregate principal amount of $90.0 million (subject to a potential increase of the aggregate principal amount to $115.0 million, subject to SunTrust’s and applicable lenders’ approval), consisting of a subline for letters of credit in an amount not to exceed $50.0 million, as well as a swingline loan in an aggregate principal amount at any time outstanding not to exceed $10.0 million.</w:t>
      </w:r>
    </w:p>
    <w:p>
      <w:pPr>
        <w:spacing w:after="0" w:line="178"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LIBOR Rate (as defined in the Credit Agreement) determined at such time for an interest period of one month, plus 1.00% per annum. Eurodollar revolving loans will bear interest a rate per annum equal to the sum of the Applicable Margin from time to time in effect plus the Adjusted LIBOR Rate. The Applicable Margin varies between 1.00%-1.50% for base rate revolving loans and swingline loans and 2.00%-2.50%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 held eligible raw materials inventory, work-in-process inventory, and applicable reserves</w:t>
      </w:r>
      <w:r>
        <w:rPr>
          <w:rFonts w:ascii="Arial" w:cs="Arial" w:eastAsia="Arial" w:hAnsi="Arial"/>
          <w:sz w:val="16"/>
          <w:szCs w:val="16"/>
          <w:b w:val="1"/>
          <w:bCs w:val="1"/>
          <w:i w:val="1"/>
          <w:iCs w:val="1"/>
          <w:color w:val="auto"/>
        </w:rPr>
        <w:t>.</w:t>
      </w:r>
    </w:p>
    <w:p>
      <w:pPr>
        <w:spacing w:after="0" w:line="198"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The measurement of a minimum fixed charge coverage ratio is required to be measured if Excess Availability, as defined in the Credit Agreement, is less than fifty percent of the lesser of the Borrowing Base or the Total Commitment Amount, each as defined in the Credit Agreement.</w:t>
      </w:r>
    </w:p>
    <w:p>
      <w:pPr>
        <w:spacing w:after="0" w:line="190"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As of December 26, 2021 and December 27, 2020, there were no borrowings outstanding on the Credit Agreement; there was $6.5 million outstanding on letters of credit, resulting in net borrowing base availability of $66.6 million as of December 26, 2021. The Company was in compliance with the financial covenants of the Credit Agreement as of December 26, 2021.</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Israel Debt</w:t>
      </w:r>
    </w:p>
    <w:p>
      <w:pPr>
        <w:spacing w:after="0" w:line="217"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During August 2020, the Company entered into two 5-year term loans with two banks in Israel representing an aggregate principal amount of approximately $5.1 million. These loans were subsidized by the State of Israel as part of a COVID-19 relief package with interest at Israeli NIS prime interest, plus a margin of 1.5%. The first year of interest is paid by the State of Israel with subsequent interest and principal payments due monthly commencing in August 2021. The Company repaid the outstanding balances of these loans in August 2021.</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5-D Systems Loan</w:t>
      </w:r>
    </w:p>
    <w:p>
      <w:pPr>
        <w:spacing w:after="0" w:line="243"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In connection with the acquisition of 5-D Systems, the Company assumed a loan in the amount of approximately $0.5 million with an interest rate of 1.0% that had been obtained under the Small Business Administration Paycheck Protection Program as part of a COVID-19 relief package. Payment of interest and principal was due monthly with the balance due in April 2022. The sellers of 5-D Systems applied for forgiveness of this loan and the application was accepted and the loan was forgiven in July 2021.</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4" w:name="page95"/>
    <w:bookmarkEnd w:id="94"/>
    <w:p>
      <w:pPr>
        <w:ind w:left="620"/>
        <w:spacing w:after="0"/>
        <w:rPr>
          <w:sz w:val="20"/>
          <w:szCs w:val="20"/>
          <w:color w:val="auto"/>
        </w:rPr>
      </w:pPr>
      <w:r>
        <w:rPr>
          <w:rFonts w:ascii="Arial" w:cs="Arial" w:eastAsia="Arial" w:hAnsi="Arial"/>
          <w:sz w:val="17"/>
          <w:szCs w:val="17"/>
          <w:i w:val="1"/>
          <w:iCs w:val="1"/>
          <w:color w:val="auto"/>
        </w:rPr>
        <w:t>Fair Value of Long-term Debt</w:t>
      </w:r>
    </w:p>
    <w:p>
      <w:pPr>
        <w:spacing w:after="0" w:line="217" w:lineRule="exact"/>
        <w:rPr>
          <w:sz w:val="20"/>
          <w:szCs w:val="20"/>
          <w:color w:val="auto"/>
        </w:rPr>
      </w:pPr>
    </w:p>
    <w:p>
      <w:pPr>
        <w:ind w:right="220" w:firstLine="619"/>
        <w:spacing w:after="0" w:line="279" w:lineRule="auto"/>
        <w:rPr>
          <w:sz w:val="20"/>
          <w:szCs w:val="20"/>
          <w:color w:val="auto"/>
        </w:rPr>
      </w:pPr>
      <w:r>
        <w:rPr>
          <w:rFonts w:ascii="Arial" w:cs="Arial" w:eastAsia="Arial" w:hAnsi="Arial"/>
          <w:sz w:val="17"/>
          <w:szCs w:val="17"/>
          <w:color w:val="auto"/>
        </w:rPr>
        <w:t>Carrying amounts and the related estimated fair values of the Company’s long-term debt financial instruments not measured at fair value on a recurring basis at December 26, 2021 and December 27, 2020 are presented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ind w:right="54"/>
              <w:spacing w:after="0"/>
              <w:rPr>
                <w:sz w:val="20"/>
                <w:szCs w:val="20"/>
                <w:color w:val="auto"/>
              </w:rPr>
            </w:pPr>
            <w:r>
              <w:rPr>
                <w:rFonts w:ascii="Arial" w:cs="Arial" w:eastAsia="Arial" w:hAnsi="Arial"/>
                <w:sz w:val="14"/>
                <w:szCs w:val="14"/>
                <w:b w:val="1"/>
                <w:bCs w:val="1"/>
                <w:color w:val="auto"/>
                <w:w w:val="87"/>
              </w:rPr>
              <w:t>As of December 26, 2021</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right="54"/>
              <w:spacing w:after="0"/>
              <w:rPr>
                <w:sz w:val="20"/>
                <w:szCs w:val="20"/>
                <w:color w:val="auto"/>
              </w:rPr>
            </w:pPr>
            <w:r>
              <w:rPr>
                <w:rFonts w:ascii="Arial" w:cs="Arial" w:eastAsia="Arial" w:hAnsi="Arial"/>
                <w:sz w:val="14"/>
                <w:szCs w:val="14"/>
                <w:b w:val="1"/>
                <w:bCs w:val="1"/>
                <w:color w:val="auto"/>
                <w:w w:val="87"/>
              </w:rPr>
              <w:t>As of December 27, 2020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200" w:type="dxa"/>
            <w:vAlign w:val="bottom"/>
          </w:tcPr>
          <w:p>
            <w:pPr>
              <w:spacing w:after="0"/>
              <w:rPr>
                <w:sz w:val="11"/>
                <w:szCs w:val="11"/>
                <w:color w:val="auto"/>
              </w:rPr>
            </w:pPr>
          </w:p>
        </w:tc>
        <w:tc>
          <w:tcPr>
            <w:tcW w:w="94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320"/>
              <w:spacing w:after="0" w:line="128" w:lineRule="exact"/>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1"/>
                <w:szCs w:val="11"/>
                <w:color w:val="auto"/>
              </w:rPr>
            </w:pPr>
          </w:p>
        </w:tc>
        <w:tc>
          <w:tcPr>
            <w:tcW w:w="100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20"/>
              <w:spacing w:after="0" w:line="128" w:lineRule="exact"/>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1"/>
                <w:szCs w:val="11"/>
                <w:color w:val="auto"/>
              </w:rPr>
            </w:pPr>
          </w:p>
        </w:tc>
        <w:tc>
          <w:tcPr>
            <w:tcW w:w="100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9"/>
        </w:trPr>
        <w:tc>
          <w:tcPr>
            <w:tcW w:w="34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305.6</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301.5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319.6</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fair value of the Company’s long-term debt was based upon actual trading activity (Level 1, Observable inputs —quoted prices in active markets).</w:t>
      </w:r>
    </w:p>
    <w:p>
      <w:pPr>
        <w:spacing w:after="0" w:line="229" w:lineRule="exact"/>
        <w:rPr>
          <w:sz w:val="20"/>
          <w:szCs w:val="20"/>
          <w:color w:val="auto"/>
        </w:rPr>
      </w:pPr>
    </w:p>
    <w:p>
      <w:pPr>
        <w:ind w:right="300" w:firstLine="619"/>
        <w:spacing w:after="0" w:line="262" w:lineRule="auto"/>
        <w:rPr>
          <w:sz w:val="20"/>
          <w:szCs w:val="20"/>
          <w:color w:val="auto"/>
        </w:rPr>
      </w:pPr>
      <w:r>
        <w:rPr>
          <w:rFonts w:ascii="Arial" w:cs="Arial" w:eastAsia="Arial" w:hAnsi="Arial"/>
          <w:sz w:val="17"/>
          <w:szCs w:val="17"/>
          <w:color w:val="auto"/>
        </w:rPr>
        <w:t>As of December 26, 2021, the difference between the carrying amount of $296.7 million and the principal amount of $300.0 million presented in the previous table, is the unamortized debt issuance costs of $3.3 million, which are being accreted to interest expense over the term of the related debt. As of December 27, 2020, the difference between the carrying amount of $301.5 million and the principal amount of $305.6 million presented in the above table also related to the same unamortized debt issuance costs of $4.1 million.</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Future maturity of long-term debt is $300.0 million in 2025.</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4"/>
          <w:szCs w:val="14"/>
          <w:b w:val="1"/>
          <w:bCs w:val="1"/>
          <w:color w:val="auto"/>
        </w:rPr>
        <w:t>Leases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expense for the years ended December 26, 2021, and December 27, 2020 were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26, 2021</w:t>
            </w:r>
          </w:p>
        </w:tc>
        <w:tc>
          <w:tcPr>
            <w:tcW w:w="160" w:type="dxa"/>
            <w:vAlign w:val="bottom"/>
          </w:tcPr>
          <w:p>
            <w:pPr>
              <w:spacing w:after="0"/>
              <w:rPr>
                <w:sz w:val="16"/>
                <w:szCs w:val="16"/>
                <w:color w:val="auto"/>
              </w:rPr>
            </w:pPr>
          </w:p>
        </w:tc>
        <w:tc>
          <w:tcPr>
            <w:tcW w:w="1360" w:type="dxa"/>
            <w:vAlign w:val="bottom"/>
          </w:tcPr>
          <w:p>
            <w:pPr>
              <w:jc w:val="right"/>
              <w:ind w:right="116"/>
              <w:spacing w:after="0"/>
              <w:rPr>
                <w:sz w:val="20"/>
                <w:szCs w:val="20"/>
                <w:color w:val="auto"/>
              </w:rPr>
            </w:pPr>
            <w:r>
              <w:rPr>
                <w:rFonts w:ascii="Arial" w:cs="Arial" w:eastAsia="Arial" w:hAnsi="Arial"/>
                <w:sz w:val="14"/>
                <w:szCs w:val="14"/>
                <w:b w:val="1"/>
                <w:bCs w:val="1"/>
                <w:color w:val="auto"/>
                <w:w w:val="90"/>
              </w:rPr>
              <w:t>December 27, 2020</w:t>
            </w:r>
          </w:p>
        </w:tc>
        <w:tc>
          <w:tcPr>
            <w:tcW w:w="0" w:type="dxa"/>
            <w:vAlign w:val="bottom"/>
          </w:tcPr>
          <w:p>
            <w:pPr>
              <w:spacing w:after="0"/>
              <w:rPr>
                <w:sz w:val="1"/>
                <w:szCs w:val="1"/>
                <w:color w:val="auto"/>
              </w:rPr>
            </w:pPr>
          </w:p>
        </w:tc>
      </w:tr>
      <w:tr>
        <w:trPr>
          <w:trHeight w:val="218"/>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right of use assets - finance leases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8"/>
        </w:trPr>
        <w:tc>
          <w:tcPr>
            <w:tcW w:w="8100" w:type="dxa"/>
            <w:vAlign w:val="bottom"/>
          </w:tcPr>
          <w:p>
            <w:pPr>
              <w:ind w:left="20"/>
              <w:spacing w:after="0"/>
              <w:rPr>
                <w:sz w:val="20"/>
                <w:szCs w:val="20"/>
                <w:color w:val="auto"/>
              </w:rPr>
            </w:pPr>
            <w:r>
              <w:rPr>
                <w:rFonts w:ascii="Arial" w:cs="Arial" w:eastAsia="Arial" w:hAnsi="Arial"/>
                <w:sz w:val="17"/>
                <w:szCs w:val="17"/>
                <w:color w:val="auto"/>
              </w:rPr>
              <w:t>Interest expense on lease liabilities - finance leases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 (expense resulting from amortization of total lease payments)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8"/>
        </w:trPr>
        <w:tc>
          <w:tcPr>
            <w:tcW w:w="8100" w:type="dxa"/>
            <w:vAlign w:val="bottom"/>
          </w:tcPr>
          <w:p>
            <w:pPr>
              <w:ind w:left="20"/>
              <w:spacing w:after="0"/>
              <w:rPr>
                <w:sz w:val="20"/>
                <w:szCs w:val="20"/>
                <w:color w:val="auto"/>
              </w:rPr>
            </w:pPr>
            <w:r>
              <w:rPr>
                <w:rFonts w:ascii="Arial" w:cs="Arial" w:eastAsia="Arial" w:hAnsi="Arial"/>
                <w:sz w:val="17"/>
                <w:szCs w:val="17"/>
                <w:color w:val="auto"/>
              </w:rPr>
              <w:t>Short-term lease cost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cost (cost excluded from lease payments)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8"/>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Sublease income</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7"/>
                <w:szCs w:val="17"/>
                <w:color w:val="auto"/>
              </w:rPr>
              <w:t>The components of leases on the balance sheet were as follows (in millions):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8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26, 2021</w:t>
            </w:r>
          </w:p>
        </w:tc>
        <w:tc>
          <w:tcPr>
            <w:tcW w:w="160" w:type="dxa"/>
            <w:vAlign w:val="bottom"/>
          </w:tcPr>
          <w:p>
            <w:pPr>
              <w:spacing w:after="0"/>
              <w:rPr>
                <w:sz w:val="24"/>
                <w:szCs w:val="24"/>
                <w:color w:val="auto"/>
              </w:rPr>
            </w:pPr>
          </w:p>
        </w:tc>
        <w:tc>
          <w:tcPr>
            <w:tcW w:w="1360" w:type="dxa"/>
            <w:vAlign w:val="bottom"/>
          </w:tcPr>
          <w:p>
            <w:pPr>
              <w:jc w:val="right"/>
              <w:ind w:right="116"/>
              <w:spacing w:after="0"/>
              <w:rPr>
                <w:sz w:val="20"/>
                <w:szCs w:val="20"/>
                <w:color w:val="auto"/>
              </w:rPr>
            </w:pPr>
            <w:r>
              <w:rPr>
                <w:rFonts w:ascii="Arial" w:cs="Arial" w:eastAsia="Arial" w:hAnsi="Arial"/>
                <w:sz w:val="14"/>
                <w:szCs w:val="14"/>
                <w:b w:val="1"/>
                <w:bCs w:val="1"/>
                <w:color w:val="auto"/>
                <w:w w:val="90"/>
              </w:rPr>
              <w:t>December 27, 2020</w:t>
            </w:r>
          </w:p>
        </w:tc>
        <w:tc>
          <w:tcPr>
            <w:tcW w:w="0" w:type="dxa"/>
            <w:vAlign w:val="bottom"/>
          </w:tcPr>
          <w:p>
            <w:pPr>
              <w:spacing w:after="0"/>
              <w:rPr>
                <w:sz w:val="1"/>
                <w:szCs w:val="1"/>
                <w:color w:val="auto"/>
              </w:rPr>
            </w:pPr>
          </w:p>
        </w:tc>
      </w:tr>
      <w:tr>
        <w:trPr>
          <w:trHeight w:val="205"/>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100" w:type="dxa"/>
            <w:vAlign w:val="bottom"/>
          </w:tcPr>
          <w:p>
            <w:pPr>
              <w:ind w:left="480"/>
              <w:spacing w:after="0"/>
              <w:rPr>
                <w:sz w:val="20"/>
                <w:szCs w:val="20"/>
                <w:color w:val="auto"/>
              </w:rPr>
            </w:pPr>
            <w:r>
              <w:rPr>
                <w:rFonts w:ascii="Arial" w:cs="Arial" w:eastAsia="Arial" w:hAnsi="Arial"/>
                <w:sz w:val="17"/>
                <w:szCs w:val="17"/>
                <w:color w:val="auto"/>
              </w:rPr>
              <w:t>Operating lease right-of-use assets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38.5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Current portion of operating lease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18"/>
        </w:trPr>
        <w:tc>
          <w:tcPr>
            <w:tcW w:w="8100" w:type="dxa"/>
            <w:vAlign w:val="bottom"/>
          </w:tcPr>
          <w:p>
            <w:pPr>
              <w:ind w:left="480"/>
              <w:spacing w:after="0"/>
              <w:rPr>
                <w:sz w:val="20"/>
                <w:szCs w:val="20"/>
                <w:color w:val="auto"/>
              </w:rPr>
            </w:pPr>
            <w:r>
              <w:rPr>
                <w:rFonts w:ascii="Arial" w:cs="Arial" w:eastAsia="Arial" w:hAnsi="Arial"/>
                <w:sz w:val="17"/>
                <w:szCs w:val="17"/>
                <w:color w:val="auto"/>
              </w:rPr>
              <w:t>Operating lease liabilities, net of current portion</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00" w:type="dxa"/>
            <w:vAlign w:val="bottom"/>
          </w:tcPr>
          <w:p>
            <w:pPr>
              <w:ind w:left="480"/>
              <w:spacing w:after="0"/>
              <w:rPr>
                <w:sz w:val="20"/>
                <w:szCs w:val="20"/>
                <w:color w:val="auto"/>
              </w:rPr>
            </w:pPr>
            <w:r>
              <w:rPr>
                <w:rFonts w:ascii="Arial" w:cs="Arial" w:eastAsia="Arial" w:hAnsi="Arial"/>
                <w:sz w:val="17"/>
                <w:szCs w:val="17"/>
                <w:color w:val="auto"/>
              </w:rPr>
              <w:t>Property, plant and equipment, net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Other current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8"/>
        </w:trPr>
        <w:tc>
          <w:tcPr>
            <w:tcW w:w="8100" w:type="dxa"/>
            <w:vAlign w:val="bottom"/>
          </w:tcPr>
          <w:p>
            <w:pPr>
              <w:ind w:left="480"/>
              <w:spacing w:after="0"/>
              <w:rPr>
                <w:sz w:val="20"/>
                <w:szCs w:val="20"/>
                <w:color w:val="auto"/>
              </w:rPr>
            </w:pPr>
            <w:r>
              <w:rPr>
                <w:rFonts w:ascii="Arial" w:cs="Arial" w:eastAsia="Arial" w:hAnsi="Arial"/>
                <w:sz w:val="17"/>
                <w:szCs w:val="17"/>
                <w:color w:val="auto"/>
              </w:rPr>
              <w:t>Other long-term liabilities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43.2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825"/>
        </w:trPr>
        <w:tc>
          <w:tcPr>
            <w:tcW w:w="8100" w:type="dxa"/>
            <w:vAlign w:val="bottom"/>
          </w:tcPr>
          <w:p>
            <w:pPr>
              <w:ind w:left="5460"/>
              <w:spacing w:after="0"/>
              <w:rPr>
                <w:sz w:val="20"/>
                <w:szCs w:val="20"/>
                <w:color w:val="auto"/>
              </w:rPr>
            </w:pPr>
            <w:r>
              <w:rPr>
                <w:rFonts w:ascii="Arial" w:cs="Arial" w:eastAsia="Arial" w:hAnsi="Arial"/>
                <w:sz w:val="17"/>
                <w:szCs w:val="17"/>
                <w:color w:val="auto"/>
              </w:rPr>
              <w:t>F-26</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95" w:name="page96"/>
    <w:bookmarkEnd w:id="95"/>
    <w:p>
      <w:pPr>
        <w:ind w:right="200" w:firstLine="619"/>
        <w:spacing w:after="0" w:line="279" w:lineRule="auto"/>
        <w:rPr>
          <w:sz w:val="20"/>
          <w:szCs w:val="20"/>
          <w:color w:val="auto"/>
        </w:rPr>
      </w:pPr>
      <w:r>
        <w:rPr>
          <w:rFonts w:ascii="Arial" w:cs="Arial" w:eastAsia="Arial" w:hAnsi="Arial"/>
          <w:sz w:val="17"/>
          <w:szCs w:val="17"/>
          <w:color w:val="auto"/>
        </w:rPr>
        <w:t>Cash paid for amounts included in the measurement of lease liabilities for the years ended December 26, 2021, and December 27, 2020 were as follows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26, 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1"/>
              </w:rPr>
              <w:t>December 27, 2020</w:t>
            </w:r>
          </w:p>
        </w:tc>
      </w:tr>
      <w:tr>
        <w:trPr>
          <w:trHeight w:val="218"/>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 cash paid for interest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2.6</w:t>
            </w:r>
          </w:p>
        </w:tc>
      </w:tr>
      <w:tr>
        <w:trPr>
          <w:trHeight w:val="218"/>
        </w:trPr>
        <w:tc>
          <w:tcPr>
            <w:tcW w:w="7900" w:type="dxa"/>
            <w:vAlign w:val="bottom"/>
          </w:tcPr>
          <w:p>
            <w:pPr>
              <w:ind w:left="20"/>
              <w:spacing w:after="0"/>
              <w:rPr>
                <w:sz w:val="20"/>
                <w:szCs w:val="20"/>
                <w:color w:val="auto"/>
              </w:rPr>
            </w:pPr>
            <w:r>
              <w:rPr>
                <w:rFonts w:ascii="Arial" w:cs="Arial" w:eastAsia="Arial" w:hAnsi="Arial"/>
                <w:sz w:val="17"/>
                <w:szCs w:val="17"/>
                <w:color w:val="auto"/>
              </w:rPr>
              <w:t>Finance lease - financing cash flows</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4"/>
          </w:tcPr>
          <w:p>
            <w:pPr>
              <w:jc w:val="right"/>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380" w:type="dxa"/>
            <w:vAlign w:val="bottom"/>
            <w:gridSpan w:val="3"/>
          </w:tcPr>
          <w:p>
            <w:pPr>
              <w:jc w:val="right"/>
              <w:ind w:right="60"/>
              <w:spacing w:after="0"/>
              <w:rPr>
                <w:sz w:val="20"/>
                <w:szCs w:val="20"/>
                <w:color w:val="auto"/>
              </w:rPr>
            </w:pPr>
            <w:r>
              <w:rPr>
                <w:rFonts w:ascii="Arial" w:cs="Arial" w:eastAsia="Arial" w:hAnsi="Arial"/>
                <w:sz w:val="17"/>
                <w:szCs w:val="17"/>
                <w:color w:val="auto"/>
              </w:rPr>
              <w:t>0.6</w:t>
            </w:r>
          </w:p>
        </w:tc>
      </w:tr>
      <w:tr>
        <w:trPr>
          <w:trHeight w:val="220"/>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 operating cash flows (fixed payments)</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12.7</w:t>
            </w:r>
          </w:p>
        </w:tc>
      </w:tr>
      <w:tr>
        <w:trPr>
          <w:trHeight w:val="527"/>
        </w:trPr>
        <w:tc>
          <w:tcPr>
            <w:tcW w:w="7900" w:type="dxa"/>
            <w:vAlign w:val="bottom"/>
          </w:tcPr>
          <w:p>
            <w:pPr>
              <w:ind w:left="620"/>
              <w:spacing w:after="0"/>
              <w:rPr>
                <w:sz w:val="20"/>
                <w:szCs w:val="20"/>
                <w:color w:val="auto"/>
              </w:rPr>
            </w:pPr>
            <w:r>
              <w:rPr>
                <w:rFonts w:ascii="Arial" w:cs="Arial" w:eastAsia="Arial" w:hAnsi="Arial"/>
                <w:sz w:val="17"/>
                <w:szCs w:val="17"/>
                <w:color w:val="auto"/>
              </w:rPr>
              <w:t>Other supplemental noncash information (in millions):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18"/>
        </w:trPr>
        <w:tc>
          <w:tcPr>
            <w:tcW w:w="7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6"/>
          </w:tcPr>
          <w:p>
            <w:pPr>
              <w:ind w:left="60"/>
              <w:spacing w:after="0"/>
              <w:rPr>
                <w:sz w:val="20"/>
                <w:szCs w:val="20"/>
                <w:color w:val="auto"/>
              </w:rPr>
            </w:pPr>
            <w:r>
              <w:rPr>
                <w:rFonts w:ascii="Arial" w:cs="Arial" w:eastAsia="Arial" w:hAnsi="Arial"/>
                <w:sz w:val="14"/>
                <w:szCs w:val="14"/>
                <w:b w:val="1"/>
                <w:bCs w:val="1"/>
                <w:color w:val="auto"/>
              </w:rPr>
              <w:t>December 26, 2021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7"/>
              </w:rPr>
              <w:t>December 27, 2020</w:t>
            </w:r>
          </w:p>
        </w:tc>
      </w:tr>
      <w:tr>
        <w:trPr>
          <w:trHeight w:val="218"/>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liabilities arising from obtaining right-of-use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10.2</w:t>
            </w:r>
          </w:p>
        </w:tc>
      </w:tr>
      <w:tr>
        <w:trPr>
          <w:trHeight w:val="218"/>
        </w:trPr>
        <w:tc>
          <w:tcPr>
            <w:tcW w:w="7900" w:type="dxa"/>
            <w:vAlign w:val="bottom"/>
          </w:tcPr>
          <w:p>
            <w:pPr>
              <w:ind w:left="20"/>
              <w:spacing w:after="0"/>
              <w:rPr>
                <w:sz w:val="20"/>
                <w:szCs w:val="20"/>
                <w:color w:val="auto"/>
              </w:rPr>
            </w:pPr>
            <w:r>
              <w:rPr>
                <w:rFonts w:ascii="Arial" w:cs="Arial" w:eastAsia="Arial" w:hAnsi="Arial"/>
                <w:sz w:val="17"/>
                <w:szCs w:val="17"/>
                <w:color w:val="auto"/>
              </w:rPr>
              <w:t>Finance lease liabilities arising from obtaining right-of-use assets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5.8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1.1</w:t>
            </w:r>
          </w:p>
        </w:tc>
      </w:tr>
      <w:tr>
        <w:trPr>
          <w:trHeight w:val="155"/>
        </w:trPr>
        <w:tc>
          <w:tcPr>
            <w:tcW w:w="7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r>
      <w:tr>
        <w:trPr>
          <w:trHeight w:val="218"/>
        </w:trPr>
        <w:tc>
          <w:tcPr>
            <w:tcW w:w="7900" w:type="dxa"/>
            <w:vAlign w:val="bottom"/>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0"/>
        </w:trPr>
        <w:tc>
          <w:tcPr>
            <w:tcW w:w="79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Operating leases</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5.46</w:t>
            </w:r>
          </w:p>
        </w:tc>
      </w:tr>
      <w:tr>
        <w:trPr>
          <w:trHeight w:val="218"/>
        </w:trPr>
        <w:tc>
          <w:tcPr>
            <w:tcW w:w="7900" w:type="dxa"/>
            <w:vAlign w:val="bottom"/>
          </w:tcPr>
          <w:p>
            <w:pPr>
              <w:ind w:left="640"/>
              <w:spacing w:after="0"/>
              <w:rPr>
                <w:sz w:val="20"/>
                <w:szCs w:val="20"/>
                <w:color w:val="auto"/>
              </w:rPr>
            </w:pPr>
            <w:r>
              <w:rPr>
                <w:rFonts w:ascii="Arial" w:cs="Arial" w:eastAsia="Arial" w:hAnsi="Arial"/>
                <w:sz w:val="17"/>
                <w:szCs w:val="17"/>
                <w:color w:val="auto"/>
              </w:rPr>
              <w:t>Finance leases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7"/>
                <w:szCs w:val="17"/>
                <w:color w:val="auto"/>
              </w:rPr>
              <w:t>16.14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7"/>
                <w:szCs w:val="17"/>
                <w:color w:val="auto"/>
              </w:rPr>
              <w:t>17.68</w:t>
            </w:r>
          </w:p>
        </w:tc>
      </w:tr>
      <w:tr>
        <w:trPr>
          <w:trHeight w:val="155"/>
        </w:trPr>
        <w:tc>
          <w:tcPr>
            <w:tcW w:w="7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r>
      <w:tr>
        <w:trPr>
          <w:trHeight w:val="218"/>
        </w:trPr>
        <w:tc>
          <w:tcPr>
            <w:tcW w:w="790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0"/>
        </w:trPr>
        <w:tc>
          <w:tcPr>
            <w:tcW w:w="79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Operating leases</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6.50 %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6.50 %</w:t>
            </w:r>
          </w:p>
        </w:tc>
      </w:tr>
      <w:tr>
        <w:trPr>
          <w:trHeight w:val="218"/>
        </w:trPr>
        <w:tc>
          <w:tcPr>
            <w:tcW w:w="7900" w:type="dxa"/>
            <w:vAlign w:val="bottom"/>
          </w:tcPr>
          <w:p>
            <w:pPr>
              <w:ind w:left="640"/>
              <w:spacing w:after="0"/>
              <w:rPr>
                <w:sz w:val="20"/>
                <w:szCs w:val="20"/>
                <w:color w:val="auto"/>
              </w:rPr>
            </w:pPr>
            <w:r>
              <w:rPr>
                <w:rFonts w:ascii="Arial" w:cs="Arial" w:eastAsia="Arial" w:hAnsi="Arial"/>
                <w:sz w:val="17"/>
                <w:szCs w:val="17"/>
                <w:color w:val="auto"/>
              </w:rPr>
              <w:t>Finance leases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7"/>
                <w:szCs w:val="17"/>
                <w:color w:val="auto"/>
              </w:rPr>
              <w:t>6.51 %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7"/>
                <w:szCs w:val="17"/>
                <w:color w:val="auto"/>
              </w:rPr>
              <w:t>6.52 %</w:t>
            </w:r>
          </w:p>
        </w:tc>
      </w:tr>
      <w:tr>
        <w:trPr>
          <w:trHeight w:val="529"/>
        </w:trPr>
        <w:tc>
          <w:tcPr>
            <w:tcW w:w="7900" w:type="dxa"/>
            <w:vAlign w:val="bottom"/>
          </w:tcPr>
          <w:p>
            <w:pPr>
              <w:ind w:left="620"/>
              <w:spacing w:after="0"/>
              <w:rPr>
                <w:sz w:val="20"/>
                <w:szCs w:val="20"/>
                <w:color w:val="auto"/>
              </w:rPr>
            </w:pPr>
            <w:r>
              <w:rPr>
                <w:rFonts w:ascii="Arial" w:cs="Arial" w:eastAsia="Arial" w:hAnsi="Arial"/>
                <w:sz w:val="17"/>
                <w:szCs w:val="17"/>
                <w:color w:val="auto"/>
              </w:rPr>
              <w:t>The maturity of lease liabilities is (in millions):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85"/>
        </w:trPr>
        <w:tc>
          <w:tcPr>
            <w:tcW w:w="7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9"/>
              </w:rPr>
              <w:t>Finance Leases</w:t>
            </w:r>
          </w:p>
        </w:tc>
      </w:tr>
      <w:tr>
        <w:trPr>
          <w:trHeight w:val="29"/>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28"/>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340" w:type="dxa"/>
            <w:vAlign w:val="bottom"/>
            <w:gridSpan w:val="3"/>
            <w:shd w:val="clear" w:color="auto" w:fill="CCEEFF"/>
          </w:tcPr>
          <w:p>
            <w:pPr>
              <w:jc w:val="right"/>
              <w:ind w:right="11"/>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4.1</w:t>
            </w:r>
          </w:p>
        </w:tc>
      </w:tr>
      <w:tr>
        <w:trPr>
          <w:trHeight w:val="218"/>
        </w:trPr>
        <w:tc>
          <w:tcPr>
            <w:tcW w:w="7900" w:type="dxa"/>
            <w:vAlign w:val="bottom"/>
          </w:tcPr>
          <w:p>
            <w:pPr>
              <w:ind w:left="20"/>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7"/>
                <w:szCs w:val="17"/>
                <w:color w:val="auto"/>
              </w:rPr>
              <w:t>11.7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7"/>
                <w:szCs w:val="17"/>
                <w:color w:val="auto"/>
              </w:rPr>
              <w:t>4.1</w:t>
            </w:r>
          </w:p>
        </w:tc>
      </w:tr>
      <w:tr>
        <w:trPr>
          <w:trHeight w:val="220"/>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4.2</w:t>
            </w:r>
          </w:p>
        </w:tc>
      </w:tr>
      <w:tr>
        <w:trPr>
          <w:trHeight w:val="218"/>
        </w:trPr>
        <w:tc>
          <w:tcPr>
            <w:tcW w:w="7900" w:type="dxa"/>
            <w:vAlign w:val="bottom"/>
          </w:tcPr>
          <w:p>
            <w:pPr>
              <w:ind w:left="20"/>
              <w:spacing w:after="0"/>
              <w:rPr>
                <w:sz w:val="20"/>
                <w:szCs w:val="20"/>
                <w:color w:val="auto"/>
              </w:rPr>
            </w:pPr>
            <w:r>
              <w:rPr>
                <w:rFonts w:ascii="Arial" w:cs="Arial" w:eastAsia="Arial" w:hAnsi="Arial"/>
                <w:sz w:val="17"/>
                <w:szCs w:val="17"/>
                <w:color w:val="auto"/>
              </w:rPr>
              <w:t>2025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7"/>
                <w:szCs w:val="17"/>
                <w:color w:val="auto"/>
              </w:rPr>
              <w:t>7.3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7"/>
                <w:szCs w:val="17"/>
                <w:color w:val="auto"/>
              </w:rPr>
              <w:t>4.2</w:t>
            </w:r>
          </w:p>
        </w:tc>
      </w:tr>
      <w:tr>
        <w:trPr>
          <w:trHeight w:val="220"/>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4.3</w:t>
            </w:r>
          </w:p>
        </w:tc>
      </w:tr>
      <w:tr>
        <w:trPr>
          <w:trHeight w:val="218"/>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4.8</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52.7</w:t>
            </w:r>
          </w:p>
        </w:tc>
      </w:tr>
      <w:tr>
        <w:trPr>
          <w:trHeight w:val="213"/>
        </w:trPr>
        <w:tc>
          <w:tcPr>
            <w:tcW w:w="790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Total lease payments</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49.5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73.6</w:t>
            </w:r>
          </w:p>
        </w:tc>
      </w:tr>
      <w:tr>
        <w:trPr>
          <w:trHeight w:val="218"/>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7"/>
                <w:szCs w:val="17"/>
                <w:color w:val="auto"/>
              </w:rPr>
              <w:t>(6.7)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(29.2)</w:t>
            </w:r>
          </w:p>
        </w:tc>
      </w:tr>
      <w:tr>
        <w:trPr>
          <w:trHeight w:val="233"/>
        </w:trPr>
        <w:tc>
          <w:tcPr>
            <w:tcW w:w="790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Total present value of lease liabilities</w:t>
            </w:r>
          </w:p>
        </w:tc>
        <w:tc>
          <w:tcPr>
            <w:tcW w:w="340" w:type="dxa"/>
            <w:vAlign w:val="bottom"/>
            <w:gridSpan w:val="3"/>
            <w:shd w:val="clear" w:color="auto" w:fill="CCEEFF"/>
          </w:tcPr>
          <w:p>
            <w:pPr>
              <w:jc w:val="right"/>
              <w:ind w:right="11"/>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42.8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44.4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5"/>
          <w:szCs w:val="15"/>
          <w:b w:val="1"/>
          <w:bCs w:val="1"/>
          <w:color w:val="auto"/>
        </w:rPr>
        <w:t>Net Income (Loss) Per Common Share</w:t>
      </w:r>
    </w:p>
    <w:p>
      <w:pPr>
        <w:spacing w:after="0" w:line="223"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6"/>
          <w:szCs w:val="16"/>
          <w:color w:val="auto"/>
        </w:rPr>
        <w:t xml:space="preserve">The Company calculates net income (loss) per common share in accordance with FASB ASC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(“Topic 260”). Under Topic 260,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84"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The following shares were excluded from the calculation of diluted income (loss) per common share because their inclusion would have been anti-dilutive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Year Ended</w:t>
            </w:r>
          </w:p>
        </w:tc>
        <w:tc>
          <w:tcPr>
            <w:tcW w:w="1320" w:type="dxa"/>
            <w:vAlign w:val="bottom"/>
            <w:tcBorders>
              <w:bottom w:val="single" w:sz="8" w:color="auto"/>
            </w:tcBorders>
          </w:tcPr>
          <w:p>
            <w:pPr>
              <w:spacing w:after="0"/>
              <w:rPr>
                <w:sz w:val="17"/>
                <w:szCs w:val="17"/>
                <w:color w:val="auto"/>
              </w:rPr>
            </w:pPr>
          </w:p>
        </w:tc>
      </w:tr>
      <w:tr>
        <w:trPr>
          <w:trHeight w:val="179"/>
        </w:trPr>
        <w:tc>
          <w:tcPr>
            <w:tcW w:w="6660" w:type="dxa"/>
            <w:vAlign w:val="bottom"/>
          </w:tcPr>
          <w:p>
            <w:pPr>
              <w:spacing w:after="0"/>
              <w:rPr>
                <w:sz w:val="15"/>
                <w:szCs w:val="15"/>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26, 2021</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December 27, 2020</w:t>
            </w:r>
          </w:p>
        </w:tc>
        <w:tc>
          <w:tcPr>
            <w:tcW w:w="1320" w:type="dxa"/>
            <w:vAlign w:val="bottom"/>
          </w:tcPr>
          <w:p>
            <w:pPr>
              <w:ind w:left="100"/>
              <w:spacing w:after="0"/>
              <w:rPr>
                <w:sz w:val="20"/>
                <w:szCs w:val="20"/>
                <w:color w:val="auto"/>
              </w:rPr>
            </w:pPr>
            <w:r>
              <w:rPr>
                <w:rFonts w:ascii="Arial" w:cs="Arial" w:eastAsia="Arial" w:hAnsi="Arial"/>
                <w:sz w:val="14"/>
                <w:szCs w:val="14"/>
                <w:b w:val="1"/>
                <w:bCs w:val="1"/>
                <w:color w:val="auto"/>
                <w:w w:val="95"/>
              </w:rPr>
              <w:t>December 29, 2019</w:t>
            </w:r>
          </w:p>
        </w:tc>
      </w:tr>
      <w:tr>
        <w:trPr>
          <w:trHeight w:val="213"/>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Shares from stock options and awards</w:t>
            </w:r>
          </w:p>
        </w:tc>
        <w:tc>
          <w:tcPr>
            <w:tcW w:w="13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0.1</w:t>
            </w:r>
          </w:p>
        </w:tc>
        <w:tc>
          <w:tcPr>
            <w:tcW w:w="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96" w:name="page97"/>
    <w:bookmarkEnd w:id="96"/>
    <w:p>
      <w:pPr>
        <w:spacing w:after="0"/>
        <w:tabs>
          <w:tab w:leader="none" w:pos="68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5"/>
          <w:szCs w:val="15"/>
          <w:b w:val="1"/>
          <w:bCs w:val="1"/>
          <w:color w:val="auto"/>
        </w:rPr>
        <w:t>Income Taxes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income (loss) from continuing operations before income taxes are comprised of the following (in millions):</w:t>
      </w:r>
    </w:p>
    <w:p>
      <w:pPr>
        <w:spacing w:after="0" w:line="29"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5380" w:type="dxa"/>
            <w:vAlign w:val="bottom"/>
          </w:tcPr>
          <w:p>
            <w:pPr>
              <w:spacing w:after="0"/>
              <w:rPr>
                <w:sz w:val="17"/>
                <w:szCs w:val="17"/>
                <w:color w:val="auto"/>
              </w:rPr>
            </w:pPr>
          </w:p>
        </w:tc>
        <w:tc>
          <w:tcPr>
            <w:tcW w:w="1980" w:type="dxa"/>
            <w:vAlign w:val="bottom"/>
            <w:tcBorders>
              <w:top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December 26, 2021</w:t>
            </w:r>
          </w:p>
        </w:tc>
        <w:tc>
          <w:tcPr>
            <w:tcW w:w="196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December 27, 2020</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December 2</w:t>
            </w:r>
          </w:p>
        </w:tc>
      </w:tr>
      <w:tr>
        <w:trPr>
          <w:trHeight w:val="213"/>
        </w:trPr>
        <w:tc>
          <w:tcPr>
            <w:tcW w:w="53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Domestic</w:t>
            </w:r>
          </w:p>
        </w:tc>
        <w:tc>
          <w:tcPr>
            <w:tcW w:w="112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r>
      <w:tr>
        <w:trPr>
          <w:trHeight w:val="218"/>
        </w:trPr>
        <w:tc>
          <w:tcPr>
            <w:tcW w:w="538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Foreign</w:t>
            </w:r>
          </w:p>
        </w:tc>
        <w:tc>
          <w:tcPr>
            <w:tcW w:w="1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38"/>
        </w:trPr>
        <w:tc>
          <w:tcPr>
            <w:tcW w:w="5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w:t>
            </w:r>
          </w:p>
        </w:tc>
        <w:tc>
          <w:tcPr>
            <w:tcW w:w="112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provision (benefit) for income taxes from continuing operations are comprised of the following (in millions):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Year Ended</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78"/>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December 26, 2021</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27, 2020</w:t>
            </w:r>
          </w:p>
        </w:tc>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4"/>
                <w:szCs w:val="14"/>
                <w:b w:val="1"/>
                <w:bCs w:val="1"/>
                <w:color w:val="auto"/>
                <w:w w:val="95"/>
              </w:rPr>
              <w:t>December 29, 2019</w:t>
            </w:r>
          </w:p>
        </w:tc>
      </w:tr>
      <w:tr>
        <w:trPr>
          <w:trHeight w:val="200"/>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Federal income taxes:</w:t>
            </w: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18"/>
        </w:trPr>
        <w:tc>
          <w:tcPr>
            <w:tcW w:w="7060" w:type="dxa"/>
            <w:vAlign w:val="bottom"/>
          </w:tcPr>
          <w:p>
            <w:pPr>
              <w:ind w:left="180"/>
              <w:spacing w:after="0"/>
              <w:rPr>
                <w:sz w:val="20"/>
                <w:szCs w:val="20"/>
                <w:color w:val="auto"/>
              </w:rPr>
            </w:pPr>
            <w:r>
              <w:rPr>
                <w:rFonts w:ascii="Arial" w:cs="Arial" w:eastAsia="Arial" w:hAnsi="Arial"/>
                <w:sz w:val="17"/>
                <w:szCs w:val="17"/>
                <w:color w:val="auto"/>
              </w:rPr>
              <w:t>Current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center"/>
              <w:ind w:left="736"/>
              <w:spacing w:after="0"/>
              <w:rPr>
                <w:sz w:val="20"/>
                <w:szCs w:val="20"/>
                <w:color w:val="auto"/>
              </w:rPr>
            </w:pPr>
            <w:r>
              <w:rPr>
                <w:rFonts w:ascii="Arial" w:cs="Arial" w:eastAsia="Arial" w:hAnsi="Arial"/>
                <w:sz w:val="17"/>
                <w:szCs w:val="17"/>
                <w:color w:val="auto"/>
                <w:w w:val="91"/>
              </w:rPr>
              <w:t>(0.2)</w:t>
            </w:r>
          </w:p>
        </w:tc>
      </w:tr>
      <w:tr>
        <w:trPr>
          <w:trHeight w:val="220"/>
        </w:trPr>
        <w:tc>
          <w:tcPr>
            <w:tcW w:w="7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36"/>
              <w:spacing w:after="0"/>
              <w:rPr>
                <w:sz w:val="20"/>
                <w:szCs w:val="20"/>
                <w:color w:val="auto"/>
              </w:rPr>
            </w:pPr>
            <w:r>
              <w:rPr>
                <w:rFonts w:ascii="Arial" w:cs="Arial" w:eastAsia="Arial" w:hAnsi="Arial"/>
                <w:sz w:val="17"/>
                <w:szCs w:val="17"/>
                <w:color w:val="auto"/>
                <w:w w:val="91"/>
              </w:rPr>
              <w:t>(3.9)</w:t>
            </w:r>
          </w:p>
        </w:tc>
      </w:tr>
      <w:tr>
        <w:trPr>
          <w:trHeight w:val="211"/>
        </w:trPr>
        <w:tc>
          <w:tcPr>
            <w:tcW w:w="70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Federal</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736"/>
              <w:spacing w:after="0"/>
              <w:rPr>
                <w:sz w:val="20"/>
                <w:szCs w:val="20"/>
                <w:color w:val="auto"/>
              </w:rPr>
            </w:pPr>
            <w:r>
              <w:rPr>
                <w:rFonts w:ascii="Arial" w:cs="Arial" w:eastAsia="Arial" w:hAnsi="Arial"/>
                <w:sz w:val="17"/>
                <w:szCs w:val="17"/>
                <w:color w:val="auto"/>
                <w:w w:val="91"/>
              </w:rPr>
              <w:t>(4.1)</w:t>
            </w:r>
          </w:p>
        </w:tc>
      </w:tr>
      <w:tr>
        <w:trPr>
          <w:trHeight w:val="200"/>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and local income taxes: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8"/>
        </w:trPr>
        <w:tc>
          <w:tcPr>
            <w:tcW w:w="7060" w:type="dxa"/>
            <w:vAlign w:val="bottom"/>
          </w:tcPr>
          <w:p>
            <w:pPr>
              <w:ind w:left="180"/>
              <w:spacing w:after="0"/>
              <w:rPr>
                <w:sz w:val="20"/>
                <w:szCs w:val="20"/>
                <w:color w:val="auto"/>
              </w:rPr>
            </w:pPr>
            <w:r>
              <w:rPr>
                <w:rFonts w:ascii="Arial" w:cs="Arial" w:eastAsia="Arial" w:hAnsi="Arial"/>
                <w:sz w:val="17"/>
                <w:szCs w:val="17"/>
                <w:color w:val="auto"/>
              </w:rPr>
              <w:t>Current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left="756"/>
              <w:spacing w:after="0"/>
              <w:rPr>
                <w:sz w:val="20"/>
                <w:szCs w:val="20"/>
                <w:color w:val="auto"/>
              </w:rPr>
            </w:pPr>
            <w:r>
              <w:rPr>
                <w:rFonts w:ascii="Arial" w:cs="Arial" w:eastAsia="Arial" w:hAnsi="Arial"/>
                <w:sz w:val="17"/>
                <w:szCs w:val="17"/>
                <w:color w:val="auto"/>
                <w:w w:val="92"/>
              </w:rPr>
              <w:t>1.0</w:t>
            </w:r>
          </w:p>
        </w:tc>
      </w:tr>
      <w:tr>
        <w:trPr>
          <w:trHeight w:val="220"/>
        </w:trPr>
        <w:tc>
          <w:tcPr>
            <w:tcW w:w="7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36"/>
              <w:spacing w:after="0"/>
              <w:rPr>
                <w:sz w:val="20"/>
                <w:szCs w:val="20"/>
                <w:color w:val="auto"/>
              </w:rPr>
            </w:pPr>
            <w:r>
              <w:rPr>
                <w:rFonts w:ascii="Arial" w:cs="Arial" w:eastAsia="Arial" w:hAnsi="Arial"/>
                <w:sz w:val="17"/>
                <w:szCs w:val="17"/>
                <w:color w:val="auto"/>
                <w:w w:val="91"/>
              </w:rPr>
              <w:t>(0.9)</w:t>
            </w:r>
          </w:p>
        </w:tc>
      </w:tr>
      <w:tr>
        <w:trPr>
          <w:trHeight w:val="211"/>
        </w:trPr>
        <w:tc>
          <w:tcPr>
            <w:tcW w:w="70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State and local</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756"/>
              <w:spacing w:after="0"/>
              <w:rPr>
                <w:sz w:val="20"/>
                <w:szCs w:val="20"/>
                <w:color w:val="auto"/>
              </w:rPr>
            </w:pPr>
            <w:r>
              <w:rPr>
                <w:rFonts w:ascii="Arial" w:cs="Arial" w:eastAsia="Arial" w:hAnsi="Arial"/>
                <w:sz w:val="17"/>
                <w:szCs w:val="17"/>
                <w:color w:val="auto"/>
                <w:w w:val="92"/>
              </w:rPr>
              <w:t>0.1</w:t>
            </w:r>
          </w:p>
        </w:tc>
      </w:tr>
      <w:tr>
        <w:trPr>
          <w:trHeight w:val="200"/>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income taxes: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8"/>
        </w:trPr>
        <w:tc>
          <w:tcPr>
            <w:tcW w:w="7060" w:type="dxa"/>
            <w:vAlign w:val="bottom"/>
          </w:tcPr>
          <w:p>
            <w:pPr>
              <w:ind w:left="180"/>
              <w:spacing w:after="0"/>
              <w:rPr>
                <w:sz w:val="20"/>
                <w:szCs w:val="20"/>
                <w:color w:val="auto"/>
              </w:rPr>
            </w:pPr>
            <w:r>
              <w:rPr>
                <w:rFonts w:ascii="Arial" w:cs="Arial" w:eastAsia="Arial" w:hAnsi="Arial"/>
                <w:sz w:val="17"/>
                <w:szCs w:val="17"/>
                <w:color w:val="auto"/>
              </w:rPr>
              <w:t>Current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left="756"/>
              <w:spacing w:after="0"/>
              <w:rPr>
                <w:sz w:val="20"/>
                <w:szCs w:val="20"/>
                <w:color w:val="auto"/>
              </w:rPr>
            </w:pPr>
            <w:r>
              <w:rPr>
                <w:rFonts w:ascii="Arial" w:cs="Arial" w:eastAsia="Arial" w:hAnsi="Arial"/>
                <w:sz w:val="17"/>
                <w:szCs w:val="17"/>
                <w:color w:val="auto"/>
                <w:w w:val="92"/>
              </w:rPr>
              <w:t>9.0</w:t>
            </w:r>
          </w:p>
        </w:tc>
      </w:tr>
      <w:tr>
        <w:trPr>
          <w:trHeight w:val="220"/>
        </w:trPr>
        <w:tc>
          <w:tcPr>
            <w:tcW w:w="7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36"/>
              <w:spacing w:after="0"/>
              <w:rPr>
                <w:sz w:val="20"/>
                <w:szCs w:val="20"/>
                <w:color w:val="auto"/>
              </w:rPr>
            </w:pPr>
            <w:r>
              <w:rPr>
                <w:rFonts w:ascii="Arial" w:cs="Arial" w:eastAsia="Arial" w:hAnsi="Arial"/>
                <w:sz w:val="17"/>
                <w:szCs w:val="17"/>
                <w:color w:val="auto"/>
                <w:w w:val="91"/>
              </w:rPr>
              <w:t>(0.2)</w:t>
            </w:r>
          </w:p>
        </w:tc>
      </w:tr>
      <w:tr>
        <w:trPr>
          <w:trHeight w:val="211"/>
        </w:trPr>
        <w:tc>
          <w:tcPr>
            <w:tcW w:w="70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Foreign</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756"/>
              <w:spacing w:after="0"/>
              <w:rPr>
                <w:sz w:val="20"/>
                <w:szCs w:val="20"/>
                <w:color w:val="auto"/>
              </w:rPr>
            </w:pPr>
            <w:r>
              <w:rPr>
                <w:rFonts w:ascii="Arial" w:cs="Arial" w:eastAsia="Arial" w:hAnsi="Arial"/>
                <w:sz w:val="17"/>
                <w:szCs w:val="17"/>
                <w:color w:val="auto"/>
                <w:w w:val="92"/>
              </w:rPr>
              <w:t>8.8</w:t>
            </w:r>
          </w:p>
        </w:tc>
      </w:tr>
      <w:tr>
        <w:trPr>
          <w:trHeight w:val="23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center"/>
              <w:ind w:left="756"/>
              <w:spacing w:after="0"/>
              <w:rPr>
                <w:sz w:val="20"/>
                <w:szCs w:val="20"/>
                <w:color w:val="auto"/>
              </w:rPr>
            </w:pPr>
            <w:r>
              <w:rPr>
                <w:rFonts w:ascii="Arial" w:cs="Arial" w:eastAsia="Arial" w:hAnsi="Arial"/>
                <w:sz w:val="17"/>
                <w:szCs w:val="17"/>
                <w:color w:val="auto"/>
                <w:w w:val="92"/>
              </w:rPr>
              <w:t>4.8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80" w:firstLine="619"/>
        <w:spacing w:after="0" w:line="266" w:lineRule="auto"/>
        <w:rPr>
          <w:sz w:val="20"/>
          <w:szCs w:val="20"/>
          <w:color w:val="auto"/>
        </w:rPr>
      </w:pPr>
      <w:r>
        <w:rPr>
          <w:rFonts w:ascii="Arial" w:cs="Arial" w:eastAsia="Arial" w:hAnsi="Arial"/>
          <w:sz w:val="17"/>
          <w:szCs w:val="17"/>
          <w:color w:val="auto"/>
        </w:rPr>
        <w:t>A reconciliation of the total income tax provision (benefit) to the amount computed by applying the statutory federal income tax rate of 21% to the income from continuing operations before income taxes for the years ended December 26, 2021, December 27, 2020 and December 29, 2019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Year Ended</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8"/>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December 26, 2021</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27, 2020</w:t>
            </w:r>
          </w:p>
        </w:tc>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4"/>
                <w:szCs w:val="14"/>
                <w:b w:val="1"/>
                <w:bCs w:val="1"/>
                <w:color w:val="auto"/>
                <w:w w:val="93"/>
              </w:rPr>
              <w:t>December 29, 2019</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at federal statutory rate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center"/>
              <w:ind w:left="776"/>
              <w:spacing w:after="0"/>
              <w:rPr>
                <w:sz w:val="20"/>
                <w:szCs w:val="20"/>
                <w:color w:val="auto"/>
              </w:rPr>
            </w:pPr>
            <w:r>
              <w:rPr>
                <w:rFonts w:ascii="Arial" w:cs="Arial" w:eastAsia="Arial" w:hAnsi="Arial"/>
                <w:sz w:val="17"/>
                <w:szCs w:val="17"/>
                <w:color w:val="auto"/>
                <w:w w:val="92"/>
              </w:rPr>
              <w:t>3.3</w:t>
            </w:r>
          </w:p>
        </w:tc>
      </w:tr>
      <w:tr>
        <w:trPr>
          <w:trHeight w:val="218"/>
        </w:trPr>
        <w:tc>
          <w:tcPr>
            <w:tcW w:w="7060" w:type="dxa"/>
            <w:vAlign w:val="bottom"/>
          </w:tcPr>
          <w:p>
            <w:pPr>
              <w:ind w:left="20"/>
              <w:spacing w:after="0"/>
              <w:rPr>
                <w:sz w:val="20"/>
                <w:szCs w:val="20"/>
                <w:color w:val="auto"/>
              </w:rPr>
            </w:pPr>
            <w:r>
              <w:rPr>
                <w:rFonts w:ascii="Arial" w:cs="Arial" w:eastAsia="Arial" w:hAnsi="Arial"/>
                <w:sz w:val="17"/>
                <w:szCs w:val="17"/>
                <w:color w:val="auto"/>
              </w:rPr>
              <w:t>State taxes, net of federal tax benefit and valuation allowance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left="776"/>
              <w:spacing w:after="0"/>
              <w:rPr>
                <w:sz w:val="20"/>
                <w:szCs w:val="20"/>
                <w:color w:val="auto"/>
              </w:rPr>
            </w:pPr>
            <w:r>
              <w:rPr>
                <w:rFonts w:ascii="Arial" w:cs="Arial" w:eastAsia="Arial" w:hAnsi="Arial"/>
                <w:sz w:val="17"/>
                <w:szCs w:val="17"/>
                <w:color w:val="auto"/>
                <w:w w:val="92"/>
              </w:rPr>
              <w:t>0.6</w:t>
            </w:r>
          </w:p>
        </w:tc>
      </w:tr>
      <w:tr>
        <w:trPr>
          <w:trHeight w:val="220"/>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Difference in tax rates between U.S. and foreign</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76"/>
              <w:spacing w:after="0"/>
              <w:rPr>
                <w:sz w:val="20"/>
                <w:szCs w:val="20"/>
                <w:color w:val="auto"/>
              </w:rPr>
            </w:pPr>
            <w:r>
              <w:rPr>
                <w:rFonts w:ascii="Arial" w:cs="Arial" w:eastAsia="Arial" w:hAnsi="Arial"/>
                <w:sz w:val="17"/>
                <w:szCs w:val="17"/>
                <w:color w:val="auto"/>
                <w:w w:val="92"/>
              </w:rPr>
              <w:t>1.9</w:t>
            </w:r>
          </w:p>
        </w:tc>
      </w:tr>
      <w:tr>
        <w:trPr>
          <w:trHeight w:val="218"/>
        </w:trPr>
        <w:tc>
          <w:tcPr>
            <w:tcW w:w="7060" w:type="dxa"/>
            <w:vAlign w:val="bottom"/>
          </w:tcPr>
          <w:p>
            <w:pPr>
              <w:ind w:left="20"/>
              <w:spacing w:after="0"/>
              <w:rPr>
                <w:sz w:val="20"/>
                <w:szCs w:val="20"/>
                <w:color w:val="auto"/>
              </w:rPr>
            </w:pPr>
            <w:r>
              <w:rPr>
                <w:rFonts w:ascii="Arial" w:cs="Arial" w:eastAsia="Arial" w:hAnsi="Arial"/>
                <w:sz w:val="17"/>
                <w:szCs w:val="17"/>
                <w:color w:val="auto"/>
              </w:rPr>
              <w:t>Increase (decrease) in valuation allowance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left="756"/>
              <w:spacing w:after="0"/>
              <w:rPr>
                <w:sz w:val="20"/>
                <w:szCs w:val="20"/>
                <w:color w:val="auto"/>
              </w:rPr>
            </w:pPr>
            <w:r>
              <w:rPr>
                <w:rFonts w:ascii="Arial" w:cs="Arial" w:eastAsia="Arial" w:hAnsi="Arial"/>
                <w:sz w:val="17"/>
                <w:szCs w:val="17"/>
                <w:color w:val="auto"/>
                <w:w w:val="91"/>
              </w:rPr>
              <w:t>(3.3)</w:t>
            </w:r>
          </w:p>
        </w:tc>
      </w:tr>
      <w:tr>
        <w:trPr>
          <w:trHeight w:val="220"/>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Nondeductible expense</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76"/>
              <w:spacing w:after="0"/>
              <w:rPr>
                <w:sz w:val="20"/>
                <w:szCs w:val="20"/>
                <w:color w:val="auto"/>
              </w:rPr>
            </w:pPr>
            <w:r>
              <w:rPr>
                <w:rFonts w:ascii="Arial" w:cs="Arial" w:eastAsia="Arial" w:hAnsi="Arial"/>
                <w:sz w:val="17"/>
                <w:szCs w:val="17"/>
                <w:color w:val="auto"/>
                <w:w w:val="92"/>
              </w:rPr>
              <w:t>0.5</w:t>
            </w:r>
          </w:p>
        </w:tc>
      </w:tr>
      <w:tr>
        <w:trPr>
          <w:trHeight w:val="218"/>
        </w:trPr>
        <w:tc>
          <w:tcPr>
            <w:tcW w:w="7060" w:type="dxa"/>
            <w:vAlign w:val="bottom"/>
          </w:tcPr>
          <w:p>
            <w:pPr>
              <w:ind w:left="20"/>
              <w:spacing w:after="0"/>
              <w:rPr>
                <w:sz w:val="20"/>
                <w:szCs w:val="20"/>
                <w:color w:val="auto"/>
              </w:rPr>
            </w:pPr>
            <w:r>
              <w:rPr>
                <w:rFonts w:ascii="Arial" w:cs="Arial" w:eastAsia="Arial" w:hAnsi="Arial"/>
                <w:sz w:val="17"/>
                <w:szCs w:val="17"/>
                <w:color w:val="auto"/>
              </w:rPr>
              <w:t>Increase in reserve for uncertain tax positions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left="776"/>
              <w:spacing w:after="0"/>
              <w:rPr>
                <w:sz w:val="20"/>
                <w:szCs w:val="20"/>
                <w:color w:val="auto"/>
              </w:rPr>
            </w:pPr>
            <w:r>
              <w:rPr>
                <w:rFonts w:ascii="Arial" w:cs="Arial" w:eastAsia="Arial" w:hAnsi="Arial"/>
                <w:sz w:val="17"/>
                <w:szCs w:val="17"/>
                <w:color w:val="auto"/>
                <w:w w:val="92"/>
              </w:rPr>
              <w:t>7.7</w:t>
            </w:r>
          </w:p>
        </w:tc>
      </w:tr>
      <w:tr>
        <w:trPr>
          <w:trHeight w:val="220"/>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76"/>
              <w:spacing w:after="0"/>
              <w:rPr>
                <w:sz w:val="20"/>
                <w:szCs w:val="20"/>
                <w:color w:val="auto"/>
              </w:rPr>
            </w:pPr>
            <w:r>
              <w:rPr>
                <w:rFonts w:ascii="Arial" w:cs="Arial" w:eastAsia="Arial" w:hAnsi="Arial"/>
                <w:sz w:val="17"/>
                <w:szCs w:val="17"/>
                <w:color w:val="auto"/>
                <w:w w:val="92"/>
              </w:rPr>
              <w:t>0.4</w:t>
            </w:r>
          </w:p>
        </w:tc>
      </w:tr>
      <w:tr>
        <w:trPr>
          <w:trHeight w:val="218"/>
        </w:trPr>
        <w:tc>
          <w:tcPr>
            <w:tcW w:w="7060" w:type="dxa"/>
            <w:vAlign w:val="bottom"/>
          </w:tcPr>
          <w:p>
            <w:pPr>
              <w:ind w:left="20"/>
              <w:spacing w:after="0"/>
              <w:rPr>
                <w:sz w:val="20"/>
                <w:szCs w:val="20"/>
                <w:color w:val="auto"/>
              </w:rPr>
            </w:pPr>
            <w:r>
              <w:rPr>
                <w:rFonts w:ascii="Arial" w:cs="Arial" w:eastAsia="Arial" w:hAnsi="Arial"/>
                <w:sz w:val="17"/>
                <w:szCs w:val="17"/>
                <w:color w:val="auto"/>
              </w:rPr>
              <w:t>Officer’s compensation 162(m) limitation</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left="776"/>
              <w:spacing w:after="0"/>
              <w:rPr>
                <w:sz w:val="20"/>
                <w:szCs w:val="20"/>
                <w:color w:val="auto"/>
              </w:rPr>
            </w:pPr>
            <w:r>
              <w:rPr>
                <w:rFonts w:ascii="Arial" w:cs="Arial" w:eastAsia="Arial" w:hAnsi="Arial"/>
                <w:sz w:val="17"/>
                <w:szCs w:val="17"/>
                <w:color w:val="auto"/>
                <w:w w:val="92"/>
              </w:rPr>
              <w:t>0.5</w:t>
            </w:r>
          </w:p>
        </w:tc>
      </w:tr>
      <w:tr>
        <w:trPr>
          <w:trHeight w:val="220"/>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Release of valuation allowance due to acquisitions</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56"/>
              <w:spacing w:after="0"/>
              <w:rPr>
                <w:sz w:val="20"/>
                <w:szCs w:val="20"/>
                <w:color w:val="auto"/>
              </w:rPr>
            </w:pPr>
            <w:r>
              <w:rPr>
                <w:rFonts w:ascii="Arial" w:cs="Arial" w:eastAsia="Arial" w:hAnsi="Arial"/>
                <w:sz w:val="17"/>
                <w:szCs w:val="17"/>
                <w:color w:val="auto"/>
                <w:w w:val="91"/>
              </w:rPr>
              <w:t>(5.2)</w:t>
            </w:r>
          </w:p>
        </w:tc>
      </w:tr>
      <w:tr>
        <w:trPr>
          <w:trHeight w:val="218"/>
        </w:trPr>
        <w:tc>
          <w:tcPr>
            <w:tcW w:w="706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left="756"/>
              <w:spacing w:after="0"/>
              <w:rPr>
                <w:sz w:val="20"/>
                <w:szCs w:val="20"/>
                <w:color w:val="auto"/>
              </w:rPr>
            </w:pPr>
            <w:r>
              <w:rPr>
                <w:rFonts w:ascii="Arial" w:cs="Arial" w:eastAsia="Arial" w:hAnsi="Arial"/>
                <w:sz w:val="17"/>
                <w:szCs w:val="17"/>
                <w:color w:val="auto"/>
                <w:w w:val="91"/>
              </w:rPr>
              <w:t>(1.6)</w:t>
            </w:r>
          </w:p>
        </w:tc>
      </w:tr>
      <w:tr>
        <w:trPr>
          <w:trHeight w:val="238"/>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center"/>
              <w:ind w:left="776"/>
              <w:spacing w:after="0"/>
              <w:rPr>
                <w:sz w:val="20"/>
                <w:szCs w:val="20"/>
                <w:color w:val="auto"/>
              </w:rPr>
            </w:pPr>
            <w:r>
              <w:rPr>
                <w:rFonts w:ascii="Arial" w:cs="Arial" w:eastAsia="Arial" w:hAnsi="Arial"/>
                <w:sz w:val="17"/>
                <w:szCs w:val="17"/>
                <w:color w:val="auto"/>
                <w:w w:val="92"/>
              </w:rPr>
              <w:t>4.8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140" w:firstLine="619"/>
        <w:spacing w:after="0" w:line="262" w:lineRule="auto"/>
        <w:rPr>
          <w:sz w:val="20"/>
          <w:szCs w:val="20"/>
          <w:color w:val="auto"/>
        </w:rPr>
      </w:pPr>
      <w:r>
        <w:rPr>
          <w:rFonts w:ascii="Arial" w:cs="Arial" w:eastAsia="Arial" w:hAnsi="Arial"/>
          <w:sz w:val="17"/>
          <w:szCs w:val="17"/>
          <w:color w:val="auto"/>
        </w:rPr>
        <w:t>Effective January 1, 2018, the Tax Cuts and Jobs Act (“TCJA”) required the acceleration of certain types of revenue for tax purposes. The new rules prohibit the Company from deferring revenue on unbilled accounts receivable later than when the amounts are recognized as revenue for book purposes. This change impacted several accounting methods previously used by the Company and resulted in an acceleration of taxability of such revenue as compared with prior U.S. tax laws. The</w:t>
      </w: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6" w:right="239" w:bottom="1440" w:gutter="0" w:footer="0" w:header="0"/>
        </w:sectPr>
      </w:pPr>
    </w:p>
    <w:bookmarkStart w:id="97" w:name="page98"/>
    <w:bookmarkEnd w:id="97"/>
    <w:p>
      <w:pPr>
        <w:ind w:right="260"/>
        <w:spacing w:after="0" w:line="279" w:lineRule="auto"/>
        <w:rPr>
          <w:sz w:val="20"/>
          <w:szCs w:val="20"/>
          <w:color w:val="auto"/>
        </w:rPr>
      </w:pPr>
      <w:r>
        <w:rPr>
          <w:rFonts w:ascii="Arial" w:cs="Arial" w:eastAsia="Arial" w:hAnsi="Arial"/>
          <w:sz w:val="17"/>
          <w:szCs w:val="17"/>
          <w:color w:val="auto"/>
        </w:rPr>
        <w:t>additional revenue will be recognized over four years beginning in 2018. Additionally, interest deductions of the Company will be limited to 50% of tax adjusted EBITDA in 2020 and 30% in future years.</w:t>
      </w:r>
    </w:p>
    <w:p>
      <w:pPr>
        <w:spacing w:after="0" w:line="190" w:lineRule="exact"/>
        <w:rPr>
          <w:sz w:val="20"/>
          <w:szCs w:val="20"/>
          <w:color w:val="auto"/>
        </w:rPr>
      </w:pPr>
    </w:p>
    <w:p>
      <w:pPr>
        <w:ind w:right="160" w:firstLine="619"/>
        <w:spacing w:after="0" w:line="262" w:lineRule="auto"/>
        <w:rPr>
          <w:sz w:val="20"/>
          <w:szCs w:val="20"/>
          <w:color w:val="auto"/>
        </w:rPr>
      </w:pPr>
      <w:r>
        <w:rPr>
          <w:rFonts w:ascii="Arial" w:cs="Arial" w:eastAsia="Arial" w:hAnsi="Arial"/>
          <w:sz w:val="17"/>
          <w:szCs w:val="17"/>
          <w:color w:val="auto"/>
        </w:rPr>
        <w:t>Additionally, effective January 1, 2018, the TCJA imposes a U.S. tax on global intangible low taxed income (“GILTI”) that is earned by certain foreign affiliates owned by a U.S. shareholder each year. The computation of GILTI is generally intended to impose tax on the earnings of a foreign corporation that are deemed to exceed a certain threshold return relative to the underlying business investment. The Company has made a policy election to treat future taxes related to GILTI as a current period expense in the reporting period in which the tax is incurred.</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tax effects of temporary differences that give rise to deferred tax assets and deferred tax liabilities are as follows (in millions):</w:t>
      </w:r>
    </w:p>
    <w:p>
      <w:pPr>
        <w:spacing w:after="0" w:line="29"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0"/>
              </w:rPr>
              <w:t>December 26, 2021</w:t>
            </w:r>
          </w:p>
        </w:tc>
        <w:tc>
          <w:tcPr>
            <w:tcW w:w="140" w:type="dxa"/>
            <w:vAlign w:val="bottom"/>
            <w:tcBorders>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27,</w:t>
            </w:r>
          </w:p>
        </w:tc>
      </w:tr>
      <w:tr>
        <w:trPr>
          <w:trHeight w:val="200"/>
        </w:trPr>
        <w:tc>
          <w:tcPr>
            <w:tcW w:w="67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Deferred tax assets:</w:t>
            </w:r>
          </w:p>
        </w:tc>
        <w:tc>
          <w:tcPr>
            <w:tcW w:w="7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8"/>
        </w:trPr>
        <w:tc>
          <w:tcPr>
            <w:tcW w:w="6740" w:type="dxa"/>
            <w:vAlign w:val="bottom"/>
          </w:tcPr>
          <w:p>
            <w:pPr>
              <w:ind w:left="640"/>
              <w:spacing w:after="0"/>
              <w:rPr>
                <w:sz w:val="20"/>
                <w:szCs w:val="20"/>
                <w:color w:val="auto"/>
              </w:rPr>
            </w:pPr>
            <w:r>
              <w:rPr>
                <w:rFonts w:ascii="Arial" w:cs="Arial" w:eastAsia="Arial" w:hAnsi="Arial"/>
                <w:sz w:val="17"/>
                <w:szCs w:val="17"/>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9.7</w:t>
            </w:r>
          </w:p>
        </w:tc>
        <w:tc>
          <w:tcPr>
            <w:tcW w:w="140" w:type="dxa"/>
            <w:vAlign w:val="bottom"/>
          </w:tcPr>
          <w:p>
            <w:pPr>
              <w:spacing w:after="0"/>
              <w:rPr>
                <w:sz w:val="18"/>
                <w:szCs w:val="18"/>
                <w:color w:val="auto"/>
              </w:rPr>
            </w:pPr>
          </w:p>
        </w:tc>
        <w:tc>
          <w:tcPr>
            <w:tcW w:w="1680" w:type="dxa"/>
            <w:vAlign w:val="bottom"/>
          </w:tcPr>
          <w:p>
            <w:pPr>
              <w:jc w:val="right"/>
              <w:ind w:right="880"/>
              <w:spacing w:after="0"/>
              <w:rPr>
                <w:sz w:val="20"/>
                <w:szCs w:val="20"/>
                <w:color w:val="auto"/>
              </w:rPr>
            </w:pPr>
            <w:r>
              <w:rPr>
                <w:rFonts w:ascii="Arial" w:cs="Arial" w:eastAsia="Arial" w:hAnsi="Arial"/>
                <w:sz w:val="17"/>
                <w:szCs w:val="17"/>
                <w:color w:val="auto"/>
              </w:rPr>
              <w:t>$</w:t>
            </w:r>
          </w:p>
        </w:tc>
      </w:tr>
      <w:tr>
        <w:trPr>
          <w:trHeight w:val="220"/>
        </w:trPr>
        <w:tc>
          <w:tcPr>
            <w:tcW w:w="67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Payroll related accruals</w:t>
            </w:r>
          </w:p>
        </w:tc>
        <w:tc>
          <w:tcPr>
            <w:tcW w:w="7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8"/>
        </w:trPr>
        <w:tc>
          <w:tcPr>
            <w:tcW w:w="6740" w:type="dxa"/>
            <w:vAlign w:val="bottom"/>
          </w:tcPr>
          <w:p>
            <w:pPr>
              <w:ind w:left="640"/>
              <w:spacing w:after="0"/>
              <w:rPr>
                <w:sz w:val="20"/>
                <w:szCs w:val="20"/>
                <w:color w:val="auto"/>
              </w:rPr>
            </w:pPr>
            <w:r>
              <w:rPr>
                <w:rFonts w:ascii="Arial" w:cs="Arial" w:eastAsia="Arial" w:hAnsi="Arial"/>
                <w:sz w:val="17"/>
                <w:szCs w:val="17"/>
                <w:color w:val="auto"/>
              </w:rPr>
              <w:t>Lease accruals</w:t>
            </w:r>
          </w:p>
        </w:tc>
        <w:tc>
          <w:tcPr>
            <w:tcW w:w="7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21.8</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0"/>
        </w:trPr>
        <w:tc>
          <w:tcPr>
            <w:tcW w:w="67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Net operating loss carryforwards</w:t>
            </w:r>
          </w:p>
        </w:tc>
        <w:tc>
          <w:tcPr>
            <w:tcW w:w="7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8"/>
        </w:trPr>
        <w:tc>
          <w:tcPr>
            <w:tcW w:w="6740" w:type="dxa"/>
            <w:vAlign w:val="bottom"/>
          </w:tcPr>
          <w:p>
            <w:pPr>
              <w:ind w:left="640"/>
              <w:spacing w:after="0"/>
              <w:rPr>
                <w:sz w:val="20"/>
                <w:szCs w:val="20"/>
                <w:color w:val="auto"/>
              </w:rPr>
            </w:pPr>
            <w:r>
              <w:rPr>
                <w:rFonts w:ascii="Arial" w:cs="Arial" w:eastAsia="Arial" w:hAnsi="Arial"/>
                <w:sz w:val="17"/>
                <w:szCs w:val="17"/>
                <w:color w:val="auto"/>
              </w:rPr>
              <w:t>Tax credit carryforwards</w:t>
            </w:r>
          </w:p>
        </w:tc>
        <w:tc>
          <w:tcPr>
            <w:tcW w:w="7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13.1</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0"/>
        </w:trPr>
        <w:tc>
          <w:tcPr>
            <w:tcW w:w="67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Deferred expenses</w:t>
            </w:r>
          </w:p>
        </w:tc>
        <w:tc>
          <w:tcPr>
            <w:tcW w:w="7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8"/>
        </w:trPr>
        <w:tc>
          <w:tcPr>
            <w:tcW w:w="674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Other</w:t>
            </w:r>
          </w:p>
        </w:tc>
        <w:tc>
          <w:tcPr>
            <w:tcW w:w="7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w:t>
            </w:r>
          </w:p>
        </w:tc>
        <w:tc>
          <w:tcPr>
            <w:tcW w:w="14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13"/>
        </w:trPr>
        <w:tc>
          <w:tcPr>
            <w:tcW w:w="6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8"/>
        </w:trPr>
        <w:tc>
          <w:tcPr>
            <w:tcW w:w="674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Valuation allowance</w:t>
            </w:r>
          </w:p>
        </w:tc>
        <w:tc>
          <w:tcPr>
            <w:tcW w:w="7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14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13"/>
        </w:trPr>
        <w:tc>
          <w:tcPr>
            <w:tcW w:w="67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deferred tax assets, net of valuation allowance</w:t>
            </w:r>
          </w:p>
        </w:tc>
        <w:tc>
          <w:tcPr>
            <w:tcW w:w="7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130.2</w:t>
            </w:r>
          </w:p>
        </w:tc>
        <w:tc>
          <w:tcPr>
            <w:tcW w:w="14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r>
      <w:tr>
        <w:trPr>
          <w:trHeight w:val="198"/>
        </w:trPr>
        <w:tc>
          <w:tcPr>
            <w:tcW w:w="6740" w:type="dxa"/>
            <w:vAlign w:val="bottom"/>
          </w:tcPr>
          <w:p>
            <w:pPr>
              <w:ind w:left="640"/>
              <w:spacing w:after="0"/>
              <w:rPr>
                <w:sz w:val="20"/>
                <w:szCs w:val="20"/>
                <w:color w:val="auto"/>
              </w:rPr>
            </w:pPr>
            <w:r>
              <w:rPr>
                <w:rFonts w:ascii="Arial" w:cs="Arial" w:eastAsia="Arial" w:hAnsi="Arial"/>
                <w:sz w:val="17"/>
                <w:szCs w:val="17"/>
                <w:color w:val="auto"/>
              </w:rPr>
              <w:t>Deferred tax liabilities:</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0"/>
        </w:trPr>
        <w:tc>
          <w:tcPr>
            <w:tcW w:w="67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Unearned revenue</w:t>
            </w:r>
          </w:p>
        </w:tc>
        <w:tc>
          <w:tcPr>
            <w:tcW w:w="7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8"/>
        </w:trPr>
        <w:tc>
          <w:tcPr>
            <w:tcW w:w="6740" w:type="dxa"/>
            <w:vAlign w:val="bottom"/>
          </w:tcPr>
          <w:p>
            <w:pPr>
              <w:ind w:left="640"/>
              <w:spacing w:after="0"/>
              <w:rPr>
                <w:sz w:val="20"/>
                <w:szCs w:val="20"/>
                <w:color w:val="auto"/>
              </w:rPr>
            </w:pPr>
            <w:r>
              <w:rPr>
                <w:rFonts w:ascii="Arial" w:cs="Arial" w:eastAsia="Arial" w:hAnsi="Arial"/>
                <w:sz w:val="17"/>
                <w:szCs w:val="17"/>
                <w:color w:val="auto"/>
              </w:rPr>
              <w:t>Operating lease right-of-use assets</w:t>
            </w:r>
          </w:p>
        </w:tc>
        <w:tc>
          <w:tcPr>
            <w:tcW w:w="7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(19.6)</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0"/>
        </w:trPr>
        <w:tc>
          <w:tcPr>
            <w:tcW w:w="67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Other intangibles</w:t>
            </w:r>
          </w:p>
        </w:tc>
        <w:tc>
          <w:tcPr>
            <w:tcW w:w="7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8"/>
        </w:trPr>
        <w:tc>
          <w:tcPr>
            <w:tcW w:w="6740" w:type="dxa"/>
            <w:vAlign w:val="bottom"/>
          </w:tcPr>
          <w:p>
            <w:pPr>
              <w:ind w:left="640"/>
              <w:spacing w:after="0"/>
              <w:rPr>
                <w:sz w:val="20"/>
                <w:szCs w:val="20"/>
                <w:color w:val="auto"/>
              </w:rPr>
            </w:pPr>
            <w:r>
              <w:rPr>
                <w:rFonts w:ascii="Arial" w:cs="Arial" w:eastAsia="Arial" w:hAnsi="Arial"/>
                <w:sz w:val="17"/>
                <w:szCs w:val="17"/>
                <w:color w:val="auto"/>
              </w:rPr>
              <w:t>Property and equipment, principally due to differences in depreciation</w:t>
            </w:r>
          </w:p>
        </w:tc>
        <w:tc>
          <w:tcPr>
            <w:tcW w:w="7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(7.1)</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0"/>
        </w:trPr>
        <w:tc>
          <w:tcPr>
            <w:tcW w:w="67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Other</w:t>
            </w:r>
          </w:p>
        </w:tc>
        <w:tc>
          <w:tcPr>
            <w:tcW w:w="7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r>
      <w:tr>
        <w:trPr>
          <w:trHeight w:val="211"/>
        </w:trPr>
        <w:tc>
          <w:tcPr>
            <w:tcW w:w="674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deferred tax liabilities</w:t>
            </w:r>
          </w:p>
        </w:tc>
        <w:tc>
          <w:tcPr>
            <w:tcW w:w="7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w:t>
            </w:r>
          </w:p>
        </w:tc>
        <w:tc>
          <w:tcPr>
            <w:tcW w:w="14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38"/>
        </w:trPr>
        <w:tc>
          <w:tcPr>
            <w:tcW w:w="67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Net deferred tax asset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880"/>
              <w:spacing w:after="0"/>
              <w:rPr>
                <w:sz w:val="20"/>
                <w:szCs w:val="20"/>
                <w:color w:val="auto"/>
              </w:rPr>
            </w:pPr>
            <w:r>
              <w:rPr>
                <w:rFonts w:ascii="Arial" w:cs="Arial" w:eastAsia="Arial" w:hAnsi="Arial"/>
                <w:sz w:val="17"/>
                <w:szCs w:val="17"/>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firstLine="619"/>
        <w:spacing w:after="0" w:line="276" w:lineRule="auto"/>
        <w:rPr>
          <w:sz w:val="20"/>
          <w:szCs w:val="20"/>
          <w:color w:val="auto"/>
        </w:rPr>
      </w:pPr>
      <w:r>
        <w:rPr>
          <w:rFonts w:ascii="Arial" w:cs="Arial" w:eastAsia="Arial" w:hAnsi="Arial"/>
          <w:sz w:val="16"/>
          <w:szCs w:val="16"/>
          <w:color w:val="auto"/>
        </w:rPr>
        <w:t>During the fourth quarter of 2021, the Company evaluated all available evidence, both positive and negative, to determine whether based on the weight of that evidence, a valuation allowance for deferred tax assets was needed. Evidence evaluated by the Company included but was not limited to, its three-year cumulative income position, the results and trend of pretax book income from core operations and its forecast of taxable income. As a result, the Company determined that the majority of the Company’s U.S. deferred tax assets were more likely than not to be realized and that a valuation allowance with respect to a majority of the Company’s deferred tax assets was not required. The remaining valuation allowance on the Company’s U.S. deferred tax assets as of December 26, 2021 relates primarily to state net operating loss and capital loss carryforwards the Company estimates it may not be able to utilize in future periods. During fiscal 2021, the Company recorded a net increase in its valuation allowance of $1.6 million.</w:t>
      </w:r>
    </w:p>
    <w:p>
      <w:pPr>
        <w:spacing w:after="0" w:line="169" w:lineRule="exact"/>
        <w:rPr>
          <w:sz w:val="20"/>
          <w:szCs w:val="20"/>
          <w:color w:val="auto"/>
        </w:rPr>
      </w:pPr>
    </w:p>
    <w:p>
      <w:pPr>
        <w:ind w:right="160" w:firstLine="619"/>
        <w:spacing w:after="0" w:line="266" w:lineRule="auto"/>
        <w:rPr>
          <w:sz w:val="20"/>
          <w:szCs w:val="20"/>
          <w:color w:val="auto"/>
        </w:rPr>
      </w:pPr>
      <w:r>
        <w:rPr>
          <w:rFonts w:ascii="Arial" w:cs="Arial" w:eastAsia="Arial" w:hAnsi="Arial"/>
          <w:sz w:val="17"/>
          <w:szCs w:val="17"/>
          <w:color w:val="auto"/>
        </w:rPr>
        <w:t>At December 26, 2021, the Company had federal tax loss carryforwards of $235.9 million and various state tax loss carryforwards of $245.9 million. The federal tax loss carryforwards will begin to expire in 2031 and state tax loss carryforwards will begin to expire in 2022 in certain states. Additionally, the state capital loss carryforward generated in 2018 will begin to expire in 2023.</w:t>
      </w:r>
    </w:p>
    <w:p>
      <w:pPr>
        <w:spacing w:after="0" w:line="175" w:lineRule="exact"/>
        <w:rPr>
          <w:sz w:val="20"/>
          <w:szCs w:val="20"/>
          <w:color w:val="auto"/>
        </w:rPr>
      </w:pPr>
    </w:p>
    <w:p>
      <w:pPr>
        <w:ind w:right="180" w:firstLine="619"/>
        <w:spacing w:after="0" w:line="279" w:lineRule="auto"/>
        <w:rPr>
          <w:sz w:val="20"/>
          <w:szCs w:val="20"/>
          <w:color w:val="auto"/>
        </w:rPr>
      </w:pPr>
      <w:r>
        <w:rPr>
          <w:rFonts w:ascii="Arial" w:cs="Arial" w:eastAsia="Arial" w:hAnsi="Arial"/>
          <w:sz w:val="17"/>
          <w:szCs w:val="17"/>
          <w:color w:val="auto"/>
        </w:rPr>
        <w:t>At December 26, 2021, the Company had federal tax credit carryforwards of $12.4 million and various state tax credit carryforwards of $0.8 million. The federal tax credit carryforwards will begin to expire in 2033 and the state tax credit carryforwards do not have an expiration.</w:t>
      </w:r>
    </w:p>
    <w:p>
      <w:pPr>
        <w:spacing w:after="0" w:line="164"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Federal and state income tax laws impose restrictions on the utilization of net operating losses (“NOLs”) and tax credit carryforwards in the event that an “ownership change” occurs for tax purposes, as defined by Section 382 of the Internal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62" w:right="239" w:bottom="1440" w:gutter="0" w:footer="0" w:header="0"/>
        </w:sectPr>
      </w:pPr>
    </w:p>
    <w:bookmarkStart w:id="98" w:name="page99"/>
    <w:bookmarkEnd w:id="98"/>
    <w:p>
      <w:pPr>
        <w:ind w:right="40"/>
        <w:spacing w:after="0" w:line="279" w:lineRule="auto"/>
        <w:rPr>
          <w:sz w:val="20"/>
          <w:szCs w:val="20"/>
          <w:color w:val="auto"/>
        </w:rPr>
      </w:pPr>
      <w:r>
        <w:rPr>
          <w:rFonts w:ascii="Arial" w:cs="Arial" w:eastAsia="Arial" w:hAnsi="Arial"/>
          <w:sz w:val="16"/>
          <w:szCs w:val="16"/>
          <w:color w:val="auto"/>
        </w:rPr>
        <w:t>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3-year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 year period after the ownership change.</w:t>
      </w:r>
    </w:p>
    <w:p>
      <w:pPr>
        <w:spacing w:after="0" w:line="168"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In tax years 2010 and 2011 the Company experienced a Section 382 “ownership change” that will limit the utilization of NOL carryforwards. Additionally, in prior years the Company acquired corporations with NOL carryforwards at the date of acquisition (“Acquired NOLs”). The Acquired NOLs are subject to separate limitations that may further restrict the use of Acquired NOLs. For the year ended December 26, 2021, there was no impact of such Section 382 limitations on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83" w:lineRule="exact"/>
        <w:rPr>
          <w:sz w:val="20"/>
          <w:szCs w:val="20"/>
          <w:color w:val="auto"/>
        </w:rPr>
      </w:pPr>
    </w:p>
    <w:p>
      <w:pPr>
        <w:ind w:right="120" w:firstLine="619"/>
        <w:spacing w:after="0" w:line="259" w:lineRule="auto"/>
        <w:rPr>
          <w:sz w:val="20"/>
          <w:szCs w:val="20"/>
          <w:color w:val="auto"/>
        </w:rPr>
      </w:pPr>
      <w:r>
        <w:rPr>
          <w:rFonts w:ascii="Arial" w:cs="Arial" w:eastAsia="Arial" w:hAnsi="Arial"/>
          <w:sz w:val="17"/>
          <w:szCs w:val="17"/>
          <w:color w:val="auto"/>
        </w:rPr>
        <w:t>As of December 31, 2017, all accumulated undistributed earnings of our foreign subsidiaries were subject to the one-time transition tax on foreign earnings required by the 2017 Tax Cuts and Jobs Act. It is the Company’s intention to permanently reinvest undistributed earnings of its foreign subsidiaries. As such, the Company has not provided deferred U.S. income taxes or foreign withholding taxes of approximately $11.9 million on temporary differences relating to the outside basis in its investment in foreign subsidiaries. As of December 26, 2021, the Company has $29.4 million of cash and cash equivalents available for distribution.</w:t>
      </w:r>
    </w:p>
    <w:p>
      <w:pPr>
        <w:spacing w:after="0" w:line="209"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The Company is subject to taxation in the U.S., various state tax jurisdictions and various foreign tax jurisdictions. The Company’s tax years for 2001 and later are subject to examination by the U.S. and state tax authorities due to the existence of NOL carryforwards. Generally, the Company’s tax years for 2016 and later are subject to examination by various foreign tax authorities as well.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920" w:type="dxa"/>
            <w:vAlign w:val="bottom"/>
            <w:gridSpan w:val="2"/>
          </w:tcPr>
          <w:p>
            <w:pPr>
              <w:spacing w:after="0"/>
              <w:rPr>
                <w:sz w:val="20"/>
                <w:szCs w:val="20"/>
                <w:color w:val="auto"/>
              </w:rPr>
            </w:pPr>
            <w:r>
              <w:rPr>
                <w:rFonts w:ascii="Arial" w:cs="Arial" w:eastAsia="Arial" w:hAnsi="Arial"/>
                <w:sz w:val="17"/>
                <w:szCs w:val="17"/>
                <w:color w:val="auto"/>
              </w:rPr>
              <w:t>The following table summarizes the activity related to the Company’s unrecognized tax benefits (in millions):</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9"/>
        </w:trPr>
        <w:tc>
          <w:tcPr>
            <w:tcW w:w="20" w:type="dxa"/>
            <w:vAlign w:val="bottom"/>
          </w:tcPr>
          <w:p>
            <w:pPr>
              <w:spacing w:after="0"/>
              <w:rPr>
                <w:sz w:val="22"/>
                <w:szCs w:val="22"/>
                <w:color w:val="auto"/>
              </w:rPr>
            </w:pPr>
          </w:p>
        </w:tc>
        <w:tc>
          <w:tcPr>
            <w:tcW w:w="9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19"/>
        </w:trPr>
        <w:tc>
          <w:tcPr>
            <w:tcW w:w="20" w:type="dxa"/>
            <w:vAlign w:val="bottom"/>
          </w:tcPr>
          <w:p>
            <w:pPr>
              <w:spacing w:after="0"/>
              <w:rPr>
                <w:sz w:val="19"/>
                <w:szCs w:val="19"/>
                <w:color w:val="auto"/>
              </w:rPr>
            </w:pPr>
          </w:p>
        </w:tc>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30, 2018</w:t>
            </w: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r>
      <w:tr>
        <w:trPr>
          <w:trHeight w:val="218"/>
        </w:trPr>
        <w:tc>
          <w:tcPr>
            <w:tcW w:w="20" w:type="dxa"/>
            <w:vAlign w:val="bottom"/>
          </w:tcPr>
          <w:p>
            <w:pPr>
              <w:spacing w:after="0"/>
              <w:rPr>
                <w:sz w:val="18"/>
                <w:szCs w:val="18"/>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Increases related to prior periods</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20"/>
        </w:trPr>
        <w:tc>
          <w:tcPr>
            <w:tcW w:w="20" w:type="dxa"/>
            <w:vAlign w:val="bottom"/>
          </w:tcPr>
          <w:p>
            <w:pPr>
              <w:spacing w:after="0"/>
              <w:rPr>
                <w:sz w:val="19"/>
                <w:szCs w:val="19"/>
                <w:color w:val="auto"/>
              </w:rPr>
            </w:pPr>
          </w:p>
        </w:tc>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Increases related to current year tax positions</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18"/>
        </w:trPr>
        <w:tc>
          <w:tcPr>
            <w:tcW w:w="20" w:type="dxa"/>
            <w:vAlign w:val="bottom"/>
          </w:tcPr>
          <w:p>
            <w:pPr>
              <w:spacing w:after="0"/>
              <w:rPr>
                <w:sz w:val="18"/>
                <w:szCs w:val="18"/>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Expiration of applicable statutes of limitations</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20"/>
        </w:trPr>
        <w:tc>
          <w:tcPr>
            <w:tcW w:w="20" w:type="dxa"/>
            <w:vAlign w:val="bottom"/>
          </w:tcPr>
          <w:p>
            <w:pPr>
              <w:spacing w:after="0"/>
              <w:rPr>
                <w:sz w:val="19"/>
                <w:szCs w:val="19"/>
                <w:color w:val="auto"/>
              </w:rPr>
            </w:pPr>
          </w:p>
        </w:tc>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Decreases related to settlement with tax authorities</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8"/>
        </w:trPr>
        <w:tc>
          <w:tcPr>
            <w:tcW w:w="20" w:type="dxa"/>
            <w:vAlign w:val="bottom"/>
          </w:tcPr>
          <w:p>
            <w:pPr>
              <w:spacing w:after="0"/>
              <w:rPr>
                <w:sz w:val="18"/>
                <w:szCs w:val="18"/>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Balance as of December 29, 2019</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24.0</w:t>
            </w:r>
          </w:p>
        </w:tc>
      </w:tr>
      <w:tr>
        <w:trPr>
          <w:trHeight w:val="220"/>
        </w:trPr>
        <w:tc>
          <w:tcPr>
            <w:tcW w:w="20" w:type="dxa"/>
            <w:vAlign w:val="bottom"/>
          </w:tcPr>
          <w:p>
            <w:pPr>
              <w:spacing w:after="0"/>
              <w:rPr>
                <w:sz w:val="19"/>
                <w:szCs w:val="19"/>
                <w:color w:val="auto"/>
              </w:rPr>
            </w:pPr>
          </w:p>
        </w:tc>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Increases related to prior periods</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8"/>
        </w:trPr>
        <w:tc>
          <w:tcPr>
            <w:tcW w:w="20" w:type="dxa"/>
            <w:vAlign w:val="bottom"/>
          </w:tcPr>
          <w:p>
            <w:pPr>
              <w:spacing w:after="0"/>
              <w:rPr>
                <w:sz w:val="18"/>
                <w:szCs w:val="18"/>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Increases related to current year tax positions</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0"/>
        </w:trPr>
        <w:tc>
          <w:tcPr>
            <w:tcW w:w="20" w:type="dxa"/>
            <w:vAlign w:val="bottom"/>
          </w:tcPr>
          <w:p>
            <w:pPr>
              <w:spacing w:after="0"/>
              <w:rPr>
                <w:sz w:val="19"/>
                <w:szCs w:val="19"/>
                <w:color w:val="auto"/>
              </w:rPr>
            </w:pPr>
          </w:p>
        </w:tc>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Expiration of applicable statutes of limitations</w:t>
            </w: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11"/>
        </w:trPr>
        <w:tc>
          <w:tcPr>
            <w:tcW w:w="20" w:type="dxa"/>
            <w:vAlign w:val="bottom"/>
          </w:tcPr>
          <w:p>
            <w:pPr>
              <w:spacing w:after="0"/>
              <w:rPr>
                <w:sz w:val="18"/>
                <w:szCs w:val="18"/>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Balance as of December 27, 2020</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25.4</w:t>
            </w:r>
          </w:p>
        </w:tc>
      </w:tr>
      <w:tr>
        <w:trPr>
          <w:trHeight w:val="220"/>
        </w:trPr>
        <w:tc>
          <w:tcPr>
            <w:tcW w:w="20" w:type="dxa"/>
            <w:vAlign w:val="bottom"/>
          </w:tcPr>
          <w:p>
            <w:pPr>
              <w:spacing w:after="0"/>
              <w:rPr>
                <w:sz w:val="19"/>
                <w:szCs w:val="19"/>
                <w:color w:val="auto"/>
              </w:rPr>
            </w:pPr>
          </w:p>
        </w:tc>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Increases related to prior periods</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8"/>
        </w:trPr>
        <w:tc>
          <w:tcPr>
            <w:tcW w:w="20" w:type="dxa"/>
            <w:vAlign w:val="bottom"/>
          </w:tcPr>
          <w:p>
            <w:pPr>
              <w:spacing w:after="0"/>
              <w:rPr>
                <w:sz w:val="18"/>
                <w:szCs w:val="18"/>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Increases related to current year tax positions</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20"/>
        </w:trPr>
        <w:tc>
          <w:tcPr>
            <w:tcW w:w="20" w:type="dxa"/>
            <w:vAlign w:val="bottom"/>
          </w:tcPr>
          <w:p>
            <w:pPr>
              <w:spacing w:after="0"/>
              <w:rPr>
                <w:sz w:val="19"/>
                <w:szCs w:val="19"/>
                <w:color w:val="auto"/>
              </w:rPr>
            </w:pPr>
          </w:p>
        </w:tc>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Expiration of applicable statutes of limitations</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8"/>
        </w:trPr>
        <w:tc>
          <w:tcPr>
            <w:tcW w:w="20" w:type="dxa"/>
            <w:vAlign w:val="bottom"/>
          </w:tcPr>
          <w:p>
            <w:pPr>
              <w:spacing w:after="0"/>
              <w:rPr>
                <w:sz w:val="18"/>
                <w:szCs w:val="18"/>
                <w:color w:val="auto"/>
              </w:rPr>
            </w:pPr>
          </w:p>
        </w:tc>
        <w:tc>
          <w:tcPr>
            <w:tcW w:w="9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Increases related to acquisitions</w:t>
            </w: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r>
      <w:tr>
        <w:trPr>
          <w:trHeight w:val="238"/>
        </w:trPr>
        <w:tc>
          <w:tcPr>
            <w:tcW w:w="20" w:type="dxa"/>
            <w:vAlign w:val="bottom"/>
          </w:tcPr>
          <w:p>
            <w:pPr>
              <w:spacing w:after="0"/>
              <w:rPr>
                <w:sz w:val="20"/>
                <w:szCs w:val="20"/>
                <w:color w:val="auto"/>
              </w:rPr>
            </w:pPr>
          </w:p>
        </w:tc>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December 26, 2021</w:t>
            </w: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w:t>
            </w:r>
          </w:p>
        </w:tc>
      </w:tr>
      <w:tr>
        <w:trPr>
          <w:trHeight w:val="20"/>
        </w:trPr>
        <w:tc>
          <w:tcPr>
            <w:tcW w:w="20" w:type="dxa"/>
            <w:vAlign w:val="bottom"/>
          </w:tcPr>
          <w:p>
            <w:pPr>
              <w:spacing w:after="0" w:line="20" w:lineRule="exact"/>
              <w:rPr>
                <w:sz w:val="1"/>
                <w:szCs w:val="1"/>
                <w:color w:val="auto"/>
              </w:rPr>
            </w:pPr>
          </w:p>
        </w:tc>
        <w:tc>
          <w:tcPr>
            <w:tcW w:w="9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Included in the balance of unrecognized tax benefits at December 26, 2021, are $25.9 million of tax benefits that, if recognized, would affect the effective tax rate. Included in this amount is $11.7 million that would become a deferred tax asset if the tax benefit were recognized. As such, this benefit may be impacted by a corresponding valuation allowance depending upon the Company’s assessment of the realizability of the deferred tax asset at the time the benefits are recognized.</w:t>
      </w:r>
    </w:p>
    <w:p>
      <w:pPr>
        <w:spacing w:after="0" w:line="178" w:lineRule="exact"/>
        <w:rPr>
          <w:sz w:val="20"/>
          <w:szCs w:val="20"/>
          <w:color w:val="auto"/>
        </w:rPr>
      </w:pPr>
    </w:p>
    <w:p>
      <w:pPr>
        <w:ind w:right="160" w:firstLine="619"/>
        <w:spacing w:after="0" w:line="262" w:lineRule="auto"/>
        <w:rPr>
          <w:sz w:val="20"/>
          <w:szCs w:val="20"/>
          <w:color w:val="auto"/>
        </w:rPr>
      </w:pPr>
      <w:r>
        <w:rPr>
          <w:rFonts w:ascii="Arial" w:cs="Arial" w:eastAsia="Arial" w:hAnsi="Arial"/>
          <w:sz w:val="17"/>
          <w:szCs w:val="17"/>
          <w:color w:val="auto"/>
        </w:rPr>
        <w:t>The Company recognizes interest and penalties related to unrecognized tax benefits in its provision for income taxes. For the years ended December 26, 2021, December 27, 2020 and December 29, 2019, the Company recorded $0.6 million, $1.9 million, and $1.3 million, respectively, in interest or penalty expenses. These amounts are netted by a benefit for interest and penalties related to the reversal of prior positions and the disposition of PSS in 2018 of $0.1 million, $0.2 million, and $0.1</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99" w:name="page100"/>
    <w:bookmarkEnd w:id="99"/>
    <w:p>
      <w:pPr>
        <w:ind w:right="300"/>
        <w:spacing w:after="0" w:line="312" w:lineRule="auto"/>
        <w:rPr>
          <w:sz w:val="20"/>
          <w:szCs w:val="20"/>
          <w:color w:val="auto"/>
        </w:rPr>
      </w:pPr>
      <w:r>
        <w:rPr>
          <w:rFonts w:ascii="Arial" w:cs="Arial" w:eastAsia="Arial" w:hAnsi="Arial"/>
          <w:sz w:val="16"/>
          <w:szCs w:val="16"/>
          <w:color w:val="auto"/>
        </w:rPr>
        <w:t>million for the years ended December 26, 2021, December 27, 2020, and December 29, 2019, respectively. As of December 26, 2021, December 27, 2020, and December 29, 2019, the Company had accrued total interest and penalties of $5.0 million, $4.5 million and $2.8 million, respectively.</w:t>
      </w:r>
    </w:p>
    <w:p>
      <w:pPr>
        <w:spacing w:after="0" w:line="166"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The Company believes that it is reasonably possible that as much as $0.5 million of the liabilities for uncertain tax positions will expire within 12 months of December 26, 2021 due to the expiration of various applicable statues of limitations.</w:t>
      </w:r>
    </w:p>
    <w:p>
      <w:pPr>
        <w:spacing w:after="0" w:line="184"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5"/>
          <w:szCs w:val="15"/>
          <w:b w:val="1"/>
          <w:bCs w:val="1"/>
          <w:color w:val="auto"/>
        </w:rPr>
        <w:t>Discontinued Operations</w:t>
      </w:r>
    </w:p>
    <w:p>
      <w:pPr>
        <w:spacing w:after="0" w:line="210" w:lineRule="exact"/>
        <w:rPr>
          <w:sz w:val="20"/>
          <w:szCs w:val="20"/>
          <w:color w:val="auto"/>
        </w:rPr>
      </w:pPr>
    </w:p>
    <w:p>
      <w:pPr>
        <w:ind w:firstLine="619"/>
        <w:spacing w:after="0" w:line="260" w:lineRule="auto"/>
        <w:rPr>
          <w:sz w:val="20"/>
          <w:szCs w:val="20"/>
          <w:color w:val="auto"/>
        </w:rPr>
      </w:pPr>
      <w:r>
        <w:rPr>
          <w:rFonts w:ascii="Arial" w:cs="Arial" w:eastAsia="Arial" w:hAnsi="Arial"/>
          <w:sz w:val="15"/>
          <w:szCs w:val="15"/>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To date,the Company has received approximately $68.9 million of aggregate net cash proceeds from the Transaction, after taking into account amounts that were paid by the Company pursuant to a negotiated transaction services agreement between the Company and the Buyer, receipt of approximately $7.3 million in net working capital retained by the Company, and associated transaction fees and expenses and including the impact of the final settlement and determination of the closing net working capital adjustment which was settled with the Buyer in the fourth quarter of 2021. Included in the year ended December 26, 2021 is approximately $1.1 million of loss from discontinued operations related to the final working capital settlement.</w:t>
      </w:r>
    </w:p>
    <w:p>
      <w:pPr>
        <w:spacing w:after="0" w:line="194" w:lineRule="exact"/>
        <w:rPr>
          <w:sz w:val="20"/>
          <w:szCs w:val="20"/>
          <w:color w:val="auto"/>
        </w:rPr>
      </w:pPr>
    </w:p>
    <w:p>
      <w:pPr>
        <w:ind w:right="260" w:firstLine="619"/>
        <w:spacing w:after="0" w:line="349" w:lineRule="auto"/>
        <w:rPr>
          <w:sz w:val="20"/>
          <w:szCs w:val="20"/>
          <w:color w:val="auto"/>
        </w:rPr>
      </w:pPr>
      <w:r>
        <w:rPr>
          <w:rFonts w:ascii="Arial" w:cs="Arial" w:eastAsia="Arial" w:hAnsi="Arial"/>
          <w:sz w:val="15"/>
          <w:szCs w:val="15"/>
          <w:color w:val="auto"/>
        </w:rPr>
        <w:t xml:space="preserve">In accordance with ASC 360-10-45-9, </w:t>
      </w:r>
      <w:r>
        <w:rPr>
          <w:rFonts w:ascii="Arial" w:cs="Arial" w:eastAsia="Arial" w:hAnsi="Arial"/>
          <w:sz w:val="15"/>
          <w:szCs w:val="15"/>
          <w:i w:val="1"/>
          <w:iCs w:val="1"/>
          <w:color w:val="auto"/>
        </w:rPr>
        <w:t>Property, Plant, and Equipment</w:t>
      </w:r>
      <w:r>
        <w:rPr>
          <w:rFonts w:ascii="Arial" w:cs="Arial" w:eastAsia="Arial" w:hAnsi="Arial"/>
          <w:sz w:val="15"/>
          <w:szCs w:val="15"/>
          <w:color w:val="auto"/>
        </w:rPr>
        <w:t xml:space="preserve"> (Topic 360) and ASC 205-20-45-3 </w:t>
      </w:r>
      <w:r>
        <w:rPr>
          <w:rFonts w:ascii="Arial" w:cs="Arial" w:eastAsia="Arial" w:hAnsi="Arial"/>
          <w:sz w:val="15"/>
          <w:szCs w:val="15"/>
          <w:i w:val="1"/>
          <w:iCs w:val="1"/>
          <w:color w:val="auto"/>
        </w:rPr>
        <w:t>Presentation of Financial Statements</w:t>
      </w:r>
      <w:r>
        <w:rPr>
          <w:rFonts w:ascii="Arial" w:cs="Arial" w:eastAsia="Arial" w:hAnsi="Arial"/>
          <w:sz w:val="15"/>
          <w:szCs w:val="15"/>
          <w:color w:val="auto"/>
        </w:rPr>
        <w:t xml:space="preserve"> (Topic 205), PSS and its subsidiaries have been reported in discontinued operations in the accompanying consolidated financial statements for all periods presented.</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results of discontinued operations (in millions):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20" w:type="dxa"/>
            <w:vAlign w:val="bottom"/>
          </w:tcPr>
          <w:p>
            <w:pPr>
              <w:jc w:val="right"/>
              <w:ind w:right="257"/>
              <w:spacing w:after="0"/>
              <w:rPr>
                <w:sz w:val="20"/>
                <w:szCs w:val="20"/>
                <w:color w:val="auto"/>
              </w:rPr>
            </w:pPr>
            <w:r>
              <w:rPr>
                <w:rFonts w:ascii="Arial" w:cs="Arial" w:eastAsia="Arial" w:hAnsi="Arial"/>
                <w:sz w:val="14"/>
                <w:szCs w:val="14"/>
                <w:b w:val="1"/>
                <w:bCs w:val="1"/>
                <w:color w:val="auto"/>
              </w:rPr>
              <w:t>Year ended</w:t>
            </w:r>
          </w:p>
        </w:tc>
      </w:tr>
      <w:tr>
        <w:trPr>
          <w:trHeight w:val="179"/>
        </w:trPr>
        <w:tc>
          <w:tcPr>
            <w:tcW w:w="70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5"/>
              </w:rPr>
              <w:t>December 26, 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5"/>
              </w:rPr>
              <w:t>December 27, 2020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5"/>
              </w:rPr>
              <w:t>December 29, 2019</w:t>
            </w:r>
          </w:p>
        </w:tc>
      </w:tr>
      <w:tr>
        <w:trPr>
          <w:trHeight w:val="213"/>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18"/>
        </w:trPr>
        <w:tc>
          <w:tcPr>
            <w:tcW w:w="7060" w:type="dxa"/>
            <w:vAlign w:val="bottom"/>
          </w:tcPr>
          <w:p>
            <w:pPr>
              <w:ind w:left="20"/>
              <w:spacing w:after="0"/>
              <w:rPr>
                <w:sz w:val="20"/>
                <w:szCs w:val="20"/>
                <w:color w:val="auto"/>
              </w:rPr>
            </w:pPr>
            <w:r>
              <w:rPr>
                <w:rFonts w:ascii="Arial" w:cs="Arial" w:eastAsia="Arial" w:hAnsi="Arial"/>
                <w:sz w:val="17"/>
                <w:szCs w:val="17"/>
                <w:color w:val="auto"/>
              </w:rPr>
              <w:t>Cost of sales</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20"/>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8"/>
        </w:trPr>
        <w:tc>
          <w:tcPr>
            <w:tcW w:w="7060" w:type="dxa"/>
            <w:vAlign w:val="bottom"/>
          </w:tcPr>
          <w:p>
            <w:pPr>
              <w:ind w:left="20"/>
              <w:spacing w:after="0"/>
              <w:rPr>
                <w:sz w:val="20"/>
                <w:szCs w:val="20"/>
                <w:color w:val="auto"/>
              </w:rPr>
            </w:pPr>
            <w:r>
              <w:rPr>
                <w:rFonts w:ascii="Arial" w:cs="Arial" w:eastAsia="Arial" w:hAnsi="Arial"/>
                <w:sz w:val="17"/>
                <w:szCs w:val="17"/>
                <w:color w:val="auto"/>
              </w:rPr>
              <w:t>Other loss</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from discontinued operations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8"/>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Gain on disposal of discontinued operations before income taxes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gain (loss) of discontinued operations before income taxes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8"/>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(benefit) expense</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r>
      <w:tr>
        <w:trPr>
          <w:trHeight w:val="23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from discontinued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180" w:firstLine="619"/>
        <w:spacing w:after="0" w:line="229" w:lineRule="auto"/>
        <w:rPr>
          <w:sz w:val="20"/>
          <w:szCs w:val="20"/>
          <w:color w:val="auto"/>
        </w:rPr>
      </w:pPr>
      <w:r>
        <w:rPr>
          <w:rFonts w:ascii="Arial" w:cs="Arial" w:eastAsia="Arial" w:hAnsi="Arial"/>
          <w:sz w:val="17"/>
          <w:szCs w:val="17"/>
          <w:color w:val="auto"/>
        </w:rPr>
        <w:t>Revenue and operating results for the year ended December 26, 2021 reflect the final settlement of the working capital dispute with the Buyer which resulted in expenses of approximately $1.1 million, and related legal fees as well as performance on the contracts and working capital retained by the Company. Included in the year ended December 29, 2019, is a $3.6 million gain recorded as a result of the release of an indemnification liability following the lapse of the statute of limitations associated with a potential tax liability that was recorded in 2015 as part of the previous sale of our Electronic Products Division. Depreciation expense included in Selling, general and administrative expenses was $0.0 million, $0.0 million and $0.0 million for the years ended December 26, 2021, December 27, 2020, and December 29, 2019 respectively.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00" w:name="page101"/>
    <w:bookmarkEnd w:id="100"/>
    <w:p>
      <w:pPr>
        <w:jc w:val="center"/>
        <w:ind w:right="-59"/>
        <w:spacing w:after="0"/>
        <w:rPr>
          <w:sz w:val="20"/>
          <w:szCs w:val="20"/>
          <w:color w:val="auto"/>
        </w:rPr>
      </w:pPr>
      <w:r>
        <w:rPr>
          <w:rFonts w:ascii="Arial" w:cs="Arial" w:eastAsia="Arial" w:hAnsi="Arial"/>
          <w:sz w:val="17"/>
          <w:szCs w:val="17"/>
          <w:color w:val="auto"/>
        </w:rPr>
        <w:t>The following is a summary of the assets and liabilities of discontinued operations as of December 26, 2021 and December 27, 2020 (in millions):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1"/>
              </w:rPr>
              <w:t>December 26, 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3"/>
              </w:rPr>
              <w:t>December 27, 2020</w:t>
            </w:r>
          </w:p>
        </w:tc>
      </w:tr>
      <w:tr>
        <w:trPr>
          <w:trHeight w:val="218"/>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8"/>
        </w:trPr>
        <w:tc>
          <w:tcPr>
            <w:tcW w:w="7860" w:type="dxa"/>
            <w:vAlign w:val="bottom"/>
          </w:tcPr>
          <w:p>
            <w:pPr>
              <w:ind w:left="20"/>
              <w:spacing w:after="0"/>
              <w:rPr>
                <w:sz w:val="20"/>
                <w:szCs w:val="20"/>
                <w:color w:val="auto"/>
              </w:rPr>
            </w:pPr>
            <w:r>
              <w:rPr>
                <w:rFonts w:ascii="Arial" w:cs="Arial" w:eastAsia="Arial" w:hAnsi="Arial"/>
                <w:sz w:val="17"/>
                <w:szCs w:val="17"/>
                <w:color w:val="auto"/>
              </w:rPr>
              <w:t>Accrued expenses</w:t>
            </w:r>
          </w:p>
        </w:tc>
        <w:tc>
          <w:tcPr>
            <w:tcW w:w="1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3"/>
        </w:trPr>
        <w:tc>
          <w:tcPr>
            <w:tcW w:w="7860" w:type="dxa"/>
            <w:vAlign w:val="bottom"/>
          </w:tcPr>
          <w:p>
            <w:pPr>
              <w:ind w:left="20"/>
              <w:spacing w:after="0"/>
              <w:rPr>
                <w:sz w:val="20"/>
                <w:szCs w:val="20"/>
                <w:color w:val="auto"/>
              </w:rPr>
            </w:pPr>
            <w:r>
              <w:rPr>
                <w:rFonts w:ascii="Arial" w:cs="Arial" w:eastAsia="Arial" w:hAnsi="Arial"/>
                <w:sz w:val="17"/>
                <w:szCs w:val="17"/>
                <w:color w:val="auto"/>
              </w:rPr>
              <w:t>Current liabilities of discontinued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liabilities of 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5"/>
          <w:szCs w:val="15"/>
          <w:b w:val="1"/>
          <w:bCs w:val="1"/>
          <w:color w:val="auto"/>
        </w:rPr>
        <w:t>Fair Value Measurement</w:t>
      </w:r>
    </w:p>
    <w:p>
      <w:pPr>
        <w:spacing w:after="0" w:line="223"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ASC Topic 820</w:t>
      </w:r>
      <w:r>
        <w:rPr>
          <w:rFonts w:ascii="Arial" w:cs="Arial" w:eastAsia="Arial" w:hAnsi="Arial"/>
          <w:sz w:val="17"/>
          <w:szCs w:val="17"/>
          <w:i w:val="1"/>
          <w:iCs w:val="1"/>
          <w:color w:val="auto"/>
        </w:rPr>
        <w:t>, Fair Value Measurement,</w:t>
      </w:r>
      <w:r>
        <w:rPr>
          <w:rFonts w:ascii="Arial" w:cs="Arial" w:eastAsia="Arial" w:hAnsi="Arial"/>
          <w:sz w:val="17"/>
          <w:szCs w:val="17"/>
          <w:color w:val="auto"/>
        </w:rPr>
        <w:t xml:space="preserve"> establishes a valuation hierarchy for disclosure of the inputs to valuation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20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Note 11.</w:t>
      </w:r>
      <w:r>
        <w:rPr>
          <w:sz w:val="20"/>
          <w:szCs w:val="20"/>
          <w:color w:val="auto"/>
        </w:rPr>
        <w:tab/>
      </w:r>
      <w:r>
        <w:rPr>
          <w:rFonts w:ascii="Arial" w:cs="Arial" w:eastAsia="Arial" w:hAnsi="Arial"/>
          <w:sz w:val="15"/>
          <w:szCs w:val="15"/>
          <w:b w:val="1"/>
          <w:bCs w:val="1"/>
          <w:color w:val="auto"/>
        </w:rPr>
        <w:t>Stockholders’ Equity</w:t>
      </w:r>
    </w:p>
    <w:p>
      <w:pPr>
        <w:spacing w:after="0" w:line="217" w:lineRule="exact"/>
        <w:rPr>
          <w:sz w:val="20"/>
          <w:szCs w:val="20"/>
          <w:color w:val="auto"/>
        </w:rPr>
      </w:pPr>
    </w:p>
    <w:p>
      <w:pPr>
        <w:ind w:left="380" w:hanging="377"/>
        <w:spacing w:after="0"/>
        <w:tabs>
          <w:tab w:leader="none" w:pos="38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Common Stock</w:t>
      </w:r>
    </w:p>
    <w:p>
      <w:pPr>
        <w:spacing w:after="0" w:line="262" w:lineRule="exact"/>
        <w:rPr>
          <w:sz w:val="20"/>
          <w:szCs w:val="20"/>
          <w:color w:val="auto"/>
        </w:rPr>
      </w:pPr>
    </w:p>
    <w:p>
      <w:pPr>
        <w:ind w:right="20" w:firstLine="189"/>
        <w:spacing w:after="0" w:line="307" w:lineRule="auto"/>
        <w:rPr>
          <w:sz w:val="20"/>
          <w:szCs w:val="20"/>
          <w:color w:val="auto"/>
        </w:rPr>
      </w:pPr>
      <w:r>
        <w:rPr>
          <w:rFonts w:ascii="Arial" w:cs="Arial" w:eastAsia="Arial" w:hAnsi="Arial"/>
          <w:sz w:val="15"/>
          <w:szCs w:val="15"/>
          <w:color w:val="auto"/>
        </w:rPr>
        <w:t>On June 23, 2020, the Company sold 15,525,000 shares of common stock at a purchase price of $16.25 per share in an underwritten public offering. The Company received gross proceeds of approximately $252.3 million. After deducting underwriting fees and other offering expenses, the Company received approximately $240.4 million in net proceeds. The Company expects to use the net proceeds for general corporate purposes, including for potential strategic “tuck-in” acquisitions, to further position the Company for projected growth from new and anticipated increased production and to facilitate its long-term strategy.</w:t>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5"/>
          <w:szCs w:val="15"/>
          <w:b w:val="1"/>
          <w:bCs w:val="1"/>
          <w:color w:val="auto"/>
        </w:rPr>
        <w:t>Stock Option Plans and Restricted Stock Unit Plans</w:t>
      </w:r>
    </w:p>
    <w:p>
      <w:pPr>
        <w:spacing w:after="0" w:line="249" w:lineRule="exact"/>
        <w:rPr>
          <w:sz w:val="20"/>
          <w:szCs w:val="20"/>
          <w:color w:val="auto"/>
        </w:rPr>
      </w:pPr>
    </w:p>
    <w:p>
      <w:pPr>
        <w:ind w:right="40" w:firstLine="619"/>
        <w:spacing w:after="0" w:line="276" w:lineRule="auto"/>
        <w:rPr>
          <w:sz w:val="20"/>
          <w:szCs w:val="20"/>
          <w:color w:val="auto"/>
        </w:rPr>
      </w:pPr>
      <w:r>
        <w:rPr>
          <w:rFonts w:ascii="Arial" w:cs="Arial" w:eastAsia="Arial" w:hAnsi="Arial"/>
          <w:sz w:val="16"/>
          <w:szCs w:val="16"/>
          <w:color w:val="auto"/>
        </w:rPr>
        <w:t>In March 2014 the Company’s board of directors (the “Board”) approved the 2014 Equity Incentive Plan (the “2014 Plan”). The 2014 Plan is the successor to the Kratos Defense &amp; Security Solutions, Inc. 2011 Equity Incentive Plan, the Kratos Defense &amp; Security Solutions, Inc. Amended and Restated 2005 Equity Incentive Plan, the Kratos Defense &amp; Security Solutions, Inc. 2000 Nonstatutory Stock Option Plan, the Kratos Defense &amp; Security Solutions, Inc. 1999 Equity Incentive Plan, the Amended and Restated Integral Systems, Inc. 2008 Stock Incentive Plan, the Amended and Restated Herley Industries, Inc. 2010 Stock Plan, the Herley Industries, Inc. 2003 Stock Option Plan, the Henry Bros. Electronics, Inc. 2007 Stock Option Plan, the Henry Bros. Electronics, Inc. 2006 Stock Option Plan, the Amended and Restated 2005 Digital Fusion, Inc. Equity Incentive Plan, the 2000 Digital Fusion, Inc. Stock Option Plan, the 1999 Digital Fusion, Inc. Stock Option Plan, and the 1998 Digital Fusion, Inc. Stock Option Plan (collectively, the “Prior Plans”).</w:t>
      </w:r>
    </w:p>
    <w:p>
      <w:pPr>
        <w:spacing w:after="0" w:line="195" w:lineRule="exact"/>
        <w:rPr>
          <w:sz w:val="20"/>
          <w:szCs w:val="20"/>
          <w:color w:val="auto"/>
        </w:rPr>
      </w:pPr>
    </w:p>
    <w:p>
      <w:pPr>
        <w:ind w:firstLine="619"/>
        <w:spacing w:after="0" w:line="297" w:lineRule="auto"/>
        <w:rPr>
          <w:sz w:val="20"/>
          <w:szCs w:val="20"/>
          <w:color w:val="auto"/>
        </w:rPr>
      </w:pPr>
      <w:r>
        <w:rPr>
          <w:rFonts w:ascii="Arial" w:cs="Arial" w:eastAsia="Arial" w:hAnsi="Arial"/>
          <w:sz w:val="15"/>
          <w:szCs w:val="15"/>
          <w:color w:val="auto"/>
        </w:rPr>
        <w:t>The 2014 Plan became effective May 14, 2014 and no additional stock awards will be granted under the Prior Plans as of April 1, 2014. All outstanding stock awards granted subject to the terms of the Prior Plans will continue to be subject to the terms and conditions as set forth in the agreements evidencing such stock awards and the terms of the respective Prior Plans. Any shares subject to outstanding stock awards granted under the Prior Plans or granted outside of a Prior Plan that, at any time after March 27, 2014, (i) expire or terminate for any reason prior to exercise or settlement; (ii) are forfeited, canceled or otherwise returned to the Company because of the failure to meet a contingency or condition required to vest such shares; or (iii) are reacquired, withheld (or not issued) to satisfy a tax withholding obligation in connection with an award or to satisfy the purchase price or exercise price of a stock award (collectively, the “Returning Shares”) will immediately be added to the share reserve of the 2014 Plan and become available for issuance pursuant to stock awards granted under the 2014 Plan.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01" w:name="page102"/>
    <w:bookmarkEnd w:id="101"/>
    <w:p>
      <w:pPr>
        <w:ind w:right="100" w:firstLine="619"/>
        <w:spacing w:after="0" w:line="257" w:lineRule="auto"/>
        <w:rPr>
          <w:sz w:val="20"/>
          <w:szCs w:val="20"/>
          <w:color w:val="auto"/>
        </w:rPr>
      </w:pPr>
      <w:r>
        <w:rPr>
          <w:rFonts w:ascii="Arial" w:cs="Arial" w:eastAsia="Arial" w:hAnsi="Arial"/>
          <w:sz w:val="17"/>
          <w:szCs w:val="17"/>
          <w:color w:val="auto"/>
        </w:rPr>
        <w:t>As of March 27, 2014, there were 2,306,256 shares remaining available for issuance under the Prior Plans. The total number of awards outstanding under all of the Prior Plans and outside of any Prior Plan was 5,511,322 as of March 27, 2014. The 2014 Plan decreased the number of shares remaining available for issuance under its equity compensation plans from 2,306,256 to 1,550,000, although, per the 2014 Plan, up to 5,511,322 shares subject to outstanding awards under the Prior Plans and non-plan grants could potentially become Returning Shares available for issuance under the 2014 Plan. In May 2017, the Company’s shareholders approved an amendment to the 2014 Plan to increase the aggregate number of shares that may be issued under the plan by 2,500,000 shares. In June 2020, the Company’s shareholders approved an amendment to the 2014 Plan to increase the aggregate number of shares that may be issued under the plan by 4,700,000 shares.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Board may grant equity-based awards to selected employees, directors and consultants of the Company pursuant to its 2014 Plan. As of</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December 26, 2021, there were 4,154,368 shares reserved for issuance for future grant under the 2014 Plan. The Board may amend or terminate the 2014 Plan at</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any time. Certain amendments, including an increase in the share reserve, require stockholder approval. Generally, options and restricted stock units outstanding</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vest over periods not exceeding ten years. When the Company grants stock options, they are granted with a per share exercise price not less than the fair market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value of the Company’s common stock on the date of grant, and generally would be exercisable for up to ten years from the grant date.</w:t>
      </w:r>
    </w:p>
    <w:p>
      <w:pPr>
        <w:spacing w:after="0" w:line="232" w:lineRule="exact"/>
        <w:rPr>
          <w:sz w:val="20"/>
          <w:szCs w:val="20"/>
          <w:color w:val="auto"/>
        </w:rPr>
      </w:pPr>
    </w:p>
    <w:p>
      <w:pPr>
        <w:ind w:right="220" w:firstLine="619"/>
        <w:spacing w:after="0" w:line="262" w:lineRule="auto"/>
        <w:rPr>
          <w:sz w:val="20"/>
          <w:szCs w:val="20"/>
          <w:color w:val="auto"/>
        </w:rPr>
      </w:pPr>
      <w:r>
        <w:rPr>
          <w:rFonts w:ascii="Arial" w:cs="Arial" w:eastAsia="Arial" w:hAnsi="Arial"/>
          <w:sz w:val="17"/>
          <w:szCs w:val="17"/>
          <w:color w:val="auto"/>
        </w:rPr>
        <w:t>The Company records compensation expense for employee stock options based on the estimated fair value of the options on the date of grant using the Black-Scholes option-pricing model or a trinomial lattice options pricing model with the weighted average assumptions (annualized percentages) included in the following table. Awards with graded vesting are recognized using the straight-line method with the following assumptions (there were no stock options granted in 2020 or 2021):</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9800" w:type="dxa"/>
            <w:vAlign w:val="bottom"/>
            <w:gridSpan w:val="3"/>
          </w:tcPr>
          <w:p>
            <w:pPr>
              <w:ind w:left="640"/>
              <w:spacing w:after="0"/>
              <w:rPr>
                <w:sz w:val="20"/>
                <w:szCs w:val="20"/>
                <w:color w:val="auto"/>
              </w:rPr>
            </w:pPr>
            <w:r>
              <w:rPr>
                <w:rFonts w:ascii="Arial" w:cs="Arial" w:eastAsia="Arial" w:hAnsi="Arial"/>
                <w:sz w:val="17"/>
                <w:szCs w:val="17"/>
                <w:b w:val="1"/>
                <w:bCs w:val="1"/>
                <w:color w:val="auto"/>
              </w:rPr>
              <w:t>Stock Options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8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rPr>
              <w:t>Expected life</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9800" w:type="dxa"/>
            <w:vAlign w:val="bottom"/>
            <w:gridSpan w:val="3"/>
            <w:vMerge w:val="restart"/>
          </w:tcPr>
          <w:p>
            <w:pPr>
              <w:ind w:left="640"/>
              <w:spacing w:after="0"/>
              <w:rPr>
                <w:sz w:val="20"/>
                <w:szCs w:val="20"/>
                <w:color w:val="auto"/>
              </w:rPr>
            </w:pPr>
            <w:r>
              <w:rPr>
                <w:rFonts w:ascii="Arial" w:cs="Arial" w:eastAsia="Arial" w:hAnsi="Arial"/>
                <w:sz w:val="17"/>
                <w:szCs w:val="17"/>
                <w:color w:val="auto"/>
              </w:rPr>
              <w:t>Risk-free interest rate(1)</w:t>
            </w:r>
          </w:p>
        </w:tc>
        <w:tc>
          <w:tcPr>
            <w:tcW w:w="920" w:type="dxa"/>
            <w:vAlign w:val="bottom"/>
          </w:tcPr>
          <w:p>
            <w:pPr>
              <w:jc w:val="right"/>
              <w:spacing w:after="0" w:line="168"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8"/>
        </w:trPr>
        <w:tc>
          <w:tcPr>
            <w:tcW w:w="9800" w:type="dxa"/>
            <w:vAlign w:val="bottom"/>
            <w:gridSpan w:val="3"/>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169"/>
        </w:trPr>
        <w:tc>
          <w:tcPr>
            <w:tcW w:w="9800" w:type="dxa"/>
            <w:vAlign w:val="bottom"/>
            <w:gridSpan w:val="3"/>
            <w:vMerge w:val="restart"/>
            <w:shd w:val="clear" w:color="auto" w:fill="CCEEFF"/>
          </w:tcPr>
          <w:p>
            <w:pPr>
              <w:ind w:left="640"/>
              <w:spacing w:after="0"/>
              <w:rPr>
                <w:sz w:val="20"/>
                <w:szCs w:val="20"/>
                <w:color w:val="auto"/>
              </w:rPr>
            </w:pPr>
            <w:r>
              <w:rPr>
                <w:rFonts w:ascii="Arial" w:cs="Arial" w:eastAsia="Arial" w:hAnsi="Arial"/>
                <w:sz w:val="17"/>
                <w:szCs w:val="17"/>
                <w:color w:val="auto"/>
              </w:rPr>
              <w:t>Volatility(2)</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9"/>
        </w:trPr>
        <w:tc>
          <w:tcPr>
            <w:tcW w:w="9800" w:type="dxa"/>
            <w:vAlign w:val="bottom"/>
            <w:gridSpan w:val="3"/>
            <w:vMerge w:val="continue"/>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218"/>
        </w:trPr>
        <w:tc>
          <w:tcPr>
            <w:tcW w:w="9800" w:type="dxa"/>
            <w:vAlign w:val="bottom"/>
            <w:gridSpan w:val="3"/>
          </w:tcPr>
          <w:p>
            <w:pPr>
              <w:ind w:left="640"/>
              <w:spacing w:after="0"/>
              <w:rPr>
                <w:sz w:val="20"/>
                <w:szCs w:val="20"/>
                <w:color w:val="auto"/>
              </w:rPr>
            </w:pPr>
            <w:r>
              <w:rPr>
                <w:rFonts w:ascii="Arial" w:cs="Arial" w:eastAsia="Arial" w:hAnsi="Arial"/>
                <w:sz w:val="17"/>
                <w:szCs w:val="17"/>
                <w:color w:val="auto"/>
              </w:rPr>
              <w:t>Forfeiture rate(3)</w:t>
            </w:r>
          </w:p>
        </w:tc>
        <w:tc>
          <w:tcPr>
            <w:tcW w:w="92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0"/>
        </w:trPr>
        <w:tc>
          <w:tcPr>
            <w:tcW w:w="980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rPr>
              <w:t>Dividend yield(4)</w:t>
            </w: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180" w:hanging="249"/>
        <w:spacing w:after="0"/>
        <w:tabs>
          <w:tab w:leader="none" w:pos="1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risk-free interest rate is based on U.S. Treasury yields in effect at the time of grant with a term equal to the expected term of the options.</w:t>
      </w:r>
    </w:p>
    <w:p>
      <w:pPr>
        <w:spacing w:after="0" w:line="33" w:lineRule="exact"/>
        <w:rPr>
          <w:rFonts w:ascii="Arial" w:cs="Arial" w:eastAsia="Arial" w:hAnsi="Arial"/>
          <w:sz w:val="16"/>
          <w:szCs w:val="16"/>
          <w:color w:val="auto"/>
        </w:rPr>
      </w:pPr>
    </w:p>
    <w:p>
      <w:pPr>
        <w:ind w:left="1180" w:hanging="249"/>
        <w:spacing w:after="0"/>
        <w:tabs>
          <w:tab w:leader="none" w:pos="1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estimated implied volatility based upon trailing volatility.</w:t>
      </w:r>
    </w:p>
    <w:p>
      <w:pPr>
        <w:spacing w:after="0" w:line="10" w:lineRule="exact"/>
        <w:rPr>
          <w:rFonts w:ascii="Arial" w:cs="Arial" w:eastAsia="Arial" w:hAnsi="Arial"/>
          <w:sz w:val="17"/>
          <w:szCs w:val="17"/>
          <w:color w:val="auto"/>
        </w:rPr>
      </w:pPr>
    </w:p>
    <w:p>
      <w:pPr>
        <w:ind w:left="1560" w:right="240" w:hanging="629"/>
        <w:spacing w:after="0" w:line="253" w:lineRule="auto"/>
        <w:tabs>
          <w:tab w:leader="none" w:pos="1184"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Forfeitures are estimated at the time of grant based upon historical information. Forfeitures will be revised, if necessary, in subsequent periods if actual forfeitures differ from estimates.</w:t>
      </w:r>
    </w:p>
    <w:p>
      <w:pPr>
        <w:ind w:left="1180" w:hanging="249"/>
        <w:spacing w:after="0"/>
        <w:tabs>
          <w:tab w:leader="none" w:pos="1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has no history or expectation of paying dividends on its common stock.</w:t>
      </w:r>
    </w:p>
    <w:p>
      <w:pPr>
        <w:spacing w:after="0" w:line="232" w:lineRule="exact"/>
        <w:rPr>
          <w:sz w:val="20"/>
          <w:szCs w:val="20"/>
          <w:color w:val="auto"/>
        </w:rPr>
      </w:pPr>
    </w:p>
    <w:p>
      <w:pPr>
        <w:ind w:right="420" w:firstLine="619"/>
        <w:spacing w:after="0" w:line="279" w:lineRule="auto"/>
        <w:rPr>
          <w:sz w:val="20"/>
          <w:szCs w:val="20"/>
          <w:color w:val="auto"/>
        </w:rPr>
      </w:pPr>
      <w:r>
        <w:rPr>
          <w:rFonts w:ascii="Arial" w:cs="Arial" w:eastAsia="Arial" w:hAnsi="Arial"/>
          <w:sz w:val="17"/>
          <w:szCs w:val="17"/>
          <w:color w:val="auto"/>
        </w:rPr>
        <w:t>A summary of the status of the Company’s stock option plan as of December 26, 2021, and changes in options outstanding under the plan for the year ended December 26, 2021, is as follows:</w:t>
      </w:r>
    </w:p>
    <w:p>
      <w:pPr>
        <w:spacing w:after="0" w:line="19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Weighted-</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6"/>
              </w:rPr>
              <w:t>Average</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Weighted-</w:t>
            </w:r>
          </w:p>
        </w:tc>
        <w:tc>
          <w:tcPr>
            <w:tcW w:w="136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Remaining</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11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3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Contractual</w:t>
            </w:r>
          </w:p>
        </w:tc>
        <w:tc>
          <w:tcPr>
            <w:tcW w:w="1340" w:type="dxa"/>
            <w:vAlign w:val="bottom"/>
            <w:vMerge w:val="restart"/>
          </w:tcPr>
          <w:p>
            <w:pPr>
              <w:ind w:left="660"/>
              <w:spacing w:after="0"/>
              <w:rPr>
                <w:sz w:val="20"/>
                <w:szCs w:val="20"/>
                <w:color w:val="auto"/>
              </w:rPr>
            </w:pPr>
            <w:r>
              <w:rPr>
                <w:rFonts w:ascii="Arial" w:cs="Arial" w:eastAsia="Arial" w:hAnsi="Arial"/>
                <w:sz w:val="14"/>
                <w:szCs w:val="14"/>
                <w:b w:val="1"/>
                <w:bCs w:val="1"/>
                <w:color w:val="auto"/>
                <w:w w:val="85"/>
              </w:rPr>
              <w:t>Aggregate I</w:t>
            </w: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11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Shares Under</w:t>
            </w:r>
          </w:p>
        </w:tc>
        <w:tc>
          <w:tcPr>
            <w:tcW w:w="100" w:type="dxa"/>
            <w:vAlign w:val="bottom"/>
          </w:tcPr>
          <w:p>
            <w:pPr>
              <w:spacing w:after="0"/>
              <w:rPr>
                <w:sz w:val="11"/>
                <w:szCs w:val="11"/>
                <w:color w:val="auto"/>
              </w:rPr>
            </w:pPr>
          </w:p>
        </w:tc>
        <w:tc>
          <w:tcPr>
            <w:tcW w:w="182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w w:val="95"/>
              </w:rPr>
              <w:t>Average Exercise Price per</w:t>
            </w:r>
          </w:p>
        </w:tc>
        <w:tc>
          <w:tcPr>
            <w:tcW w:w="136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3"/>
              </w:rPr>
              <w:t>Term</w:t>
            </w: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49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5"/>
                <w:szCs w:val="15"/>
                <w:color w:val="auto"/>
              </w:rPr>
            </w:pPr>
          </w:p>
        </w:tc>
        <w:tc>
          <w:tcPr>
            <w:tcW w:w="1180" w:type="dxa"/>
            <w:vAlign w:val="bottom"/>
          </w:tcPr>
          <w:p>
            <w:pPr>
              <w:jc w:val="right"/>
              <w:ind w:right="71"/>
              <w:spacing w:after="0"/>
              <w:rPr>
                <w:sz w:val="20"/>
                <w:szCs w:val="20"/>
                <w:color w:val="auto"/>
              </w:rPr>
            </w:pPr>
            <w:r>
              <w:rPr>
                <w:rFonts w:ascii="Arial" w:cs="Arial" w:eastAsia="Arial" w:hAnsi="Arial"/>
                <w:sz w:val="14"/>
                <w:szCs w:val="14"/>
                <w:b w:val="1"/>
                <w:bCs w:val="1"/>
                <w:color w:val="auto"/>
              </w:rPr>
              <w:t>Share</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(in years)</w:t>
            </w:r>
          </w:p>
        </w:tc>
        <w:tc>
          <w:tcPr>
            <w:tcW w:w="1340" w:type="dxa"/>
            <w:vAlign w:val="bottom"/>
          </w:tcPr>
          <w:p>
            <w:pPr>
              <w:ind w:left="7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4"/>
        </w:trPr>
        <w:tc>
          <w:tcPr>
            <w:tcW w:w="49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4"/>
                <w:szCs w:val="14"/>
                <w:b w:val="1"/>
                <w:bCs w:val="1"/>
                <w:color w:val="auto"/>
              </w:rPr>
              <w:t>(000’s)</w:t>
            </w: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4"/>
                <w:szCs w:val="14"/>
                <w:b w:val="1"/>
                <w:bCs w:val="1"/>
                <w:color w:val="auto"/>
                <w:w w:val="93"/>
              </w:rPr>
              <w:t>(000’</w:t>
            </w:r>
          </w:p>
        </w:tc>
        <w:tc>
          <w:tcPr>
            <w:tcW w:w="0" w:type="dxa"/>
            <w:vAlign w:val="bottom"/>
          </w:tcPr>
          <w:p>
            <w:pPr>
              <w:spacing w:after="0"/>
              <w:rPr>
                <w:sz w:val="1"/>
                <w:szCs w:val="1"/>
                <w:color w:val="auto"/>
              </w:rPr>
            </w:pPr>
          </w:p>
        </w:tc>
      </w:tr>
      <w:tr>
        <w:trPr>
          <w:trHeight w:val="218"/>
        </w:trPr>
        <w:tc>
          <w:tcPr>
            <w:tcW w:w="4920" w:type="dxa"/>
            <w:vAlign w:val="bottom"/>
          </w:tcPr>
          <w:p>
            <w:pPr>
              <w:ind w:left="640"/>
              <w:spacing w:after="0"/>
              <w:rPr>
                <w:sz w:val="20"/>
                <w:szCs w:val="20"/>
                <w:color w:val="auto"/>
              </w:rPr>
            </w:pPr>
            <w:r>
              <w:rPr>
                <w:rFonts w:ascii="Arial" w:cs="Arial" w:eastAsia="Arial" w:hAnsi="Arial"/>
                <w:sz w:val="17"/>
                <w:szCs w:val="17"/>
                <w:color w:val="auto"/>
              </w:rPr>
              <w:t>Options outstanding at December 27, 2020</w:t>
            </w:r>
          </w:p>
        </w:tc>
        <w:tc>
          <w:tcPr>
            <w:tcW w:w="1180" w:type="dxa"/>
            <w:vAlign w:val="bottom"/>
          </w:tcPr>
          <w:p>
            <w:pPr>
              <w:jc w:val="right"/>
              <w:spacing w:after="0"/>
              <w:rPr>
                <w:sz w:val="20"/>
                <w:szCs w:val="20"/>
                <w:color w:val="auto"/>
              </w:rPr>
            </w:pPr>
            <w:r>
              <w:rPr>
                <w:rFonts w:ascii="Arial" w:cs="Arial" w:eastAsia="Arial" w:hAnsi="Arial"/>
                <w:sz w:val="17"/>
                <w:szCs w:val="17"/>
                <w:color w:val="auto"/>
              </w:rPr>
              <w:t>42</w:t>
            </w:r>
          </w:p>
        </w:tc>
        <w:tc>
          <w:tcPr>
            <w:tcW w:w="1280" w:type="dxa"/>
            <w:vAlign w:val="bottom"/>
            <w:gridSpan w:val="2"/>
          </w:tcPr>
          <w:p>
            <w:pPr>
              <w:jc w:val="right"/>
              <w:ind w:right="391"/>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4.98</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1340" w:type="dxa"/>
            <w:vAlign w:val="bottom"/>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Granted</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391"/>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20" w:type="dxa"/>
            <w:vAlign w:val="bottom"/>
          </w:tcPr>
          <w:p>
            <w:pPr>
              <w:ind w:left="640"/>
              <w:spacing w:after="0"/>
              <w:rPr>
                <w:sz w:val="20"/>
                <w:szCs w:val="20"/>
                <w:color w:val="auto"/>
              </w:rPr>
            </w:pPr>
            <w:r>
              <w:rPr>
                <w:rFonts w:ascii="Arial" w:cs="Arial" w:eastAsia="Arial" w:hAnsi="Arial"/>
                <w:sz w:val="17"/>
                <w:szCs w:val="17"/>
                <w:color w:val="auto"/>
              </w:rPr>
              <w:t>Exercised</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91"/>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Forfeited or expired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391"/>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640"/>
              <w:spacing w:after="0"/>
              <w:rPr>
                <w:sz w:val="20"/>
                <w:szCs w:val="20"/>
                <w:color w:val="auto"/>
              </w:rPr>
            </w:pPr>
            <w:r>
              <w:rPr>
                <w:rFonts w:ascii="Arial" w:cs="Arial" w:eastAsia="Arial" w:hAnsi="Arial"/>
                <w:sz w:val="17"/>
                <w:szCs w:val="17"/>
                <w:color w:val="auto"/>
              </w:rPr>
              <w:t>Options outstanding at December 26,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280" w:type="dxa"/>
            <w:vAlign w:val="bottom"/>
            <w:gridSpan w:val="2"/>
          </w:tcPr>
          <w:p>
            <w:pPr>
              <w:jc w:val="right"/>
              <w:ind w:right="391"/>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4.98</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340" w:type="dxa"/>
            <w:vAlign w:val="bottom"/>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Options exercisable at December 26, 2021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80" w:type="dxa"/>
            <w:vAlign w:val="bottom"/>
            <w:tcBorders>
              <w:bottom w:val="single" w:sz="8" w:color="CCEEFF"/>
            </w:tcBorders>
            <w:gridSpan w:val="2"/>
            <w:shd w:val="clear" w:color="auto" w:fill="CCEEFF"/>
          </w:tcPr>
          <w:p>
            <w:pPr>
              <w:jc w:val="right"/>
              <w:ind w:right="391"/>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Upon exercise of an option, the Company issues new shares of common stock.</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62" w:right="239" w:bottom="1440" w:gutter="0" w:footer="0" w:header="0"/>
        </w:sectPr>
      </w:pPr>
    </w:p>
    <w:bookmarkStart w:id="102" w:name="page103"/>
    <w:bookmarkEnd w:id="102"/>
    <w:p>
      <w:pPr>
        <w:ind w:left="620"/>
        <w:spacing w:after="0"/>
        <w:rPr>
          <w:sz w:val="20"/>
          <w:szCs w:val="20"/>
          <w:color w:val="auto"/>
        </w:rPr>
      </w:pPr>
      <w:r>
        <w:rPr>
          <w:rFonts w:ascii="Arial" w:cs="Arial" w:eastAsia="Arial" w:hAnsi="Arial"/>
          <w:sz w:val="15"/>
          <w:szCs w:val="15"/>
          <w:color w:val="auto"/>
        </w:rPr>
        <w:t>During the years ended December 26, 2021, December 27, 2020, and December 29, 2019, the following values relate to the grants and exercises under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Company’s option plans:</w:t>
      </w:r>
    </w:p>
    <w:p>
      <w:pPr>
        <w:spacing w:after="0" w:line="261"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53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8"/>
        </w:trPr>
        <w:tc>
          <w:tcPr>
            <w:tcW w:w="56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Weighted average grant date fair value of options granted</w:t>
            </w:r>
          </w:p>
        </w:tc>
        <w:tc>
          <w:tcPr>
            <w:tcW w:w="5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80" w:type="dxa"/>
            <w:vAlign w:val="bottom"/>
            <w:gridSpan w:val="2"/>
          </w:tcPr>
          <w:p>
            <w:pPr>
              <w:ind w:left="640"/>
              <w:spacing w:after="0"/>
              <w:rPr>
                <w:sz w:val="20"/>
                <w:szCs w:val="20"/>
                <w:color w:val="auto"/>
              </w:rPr>
            </w:pPr>
            <w:r>
              <w:rPr>
                <w:rFonts w:ascii="Arial" w:cs="Arial" w:eastAsia="Arial" w:hAnsi="Arial"/>
                <w:sz w:val="17"/>
                <w:szCs w:val="17"/>
                <w:color w:val="auto"/>
              </w:rPr>
              <w:t>Total intrinsic value of options exercised (in thousands)</w:t>
            </w:r>
          </w:p>
        </w:tc>
        <w:tc>
          <w:tcPr>
            <w:tcW w:w="52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1,446.4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529"/>
        </w:trPr>
        <w:tc>
          <w:tcPr>
            <w:tcW w:w="5680" w:type="dxa"/>
            <w:vAlign w:val="bottom"/>
            <w:gridSpan w:val="2"/>
          </w:tcPr>
          <w:p>
            <w:pPr>
              <w:spacing w:after="0"/>
              <w:rPr>
                <w:sz w:val="20"/>
                <w:szCs w:val="20"/>
                <w:color w:val="auto"/>
              </w:rPr>
            </w:pPr>
            <w:r>
              <w:rPr>
                <w:rFonts w:ascii="Arial" w:cs="Arial" w:eastAsia="Arial" w:hAnsi="Arial"/>
                <w:sz w:val="17"/>
                <w:szCs w:val="17"/>
                <w:color w:val="auto"/>
                <w:w w:val="97"/>
              </w:rPr>
              <w:t>The following table summarizes the Company’s Restricted Stock Unit activity:</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Restricted</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29"/>
        </w:trPr>
        <w:tc>
          <w:tcPr>
            <w:tcW w:w="5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rPr>
              <w:t>Stock Units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53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(000’s)</w:t>
            </w: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Grant Date Fair V</w:t>
            </w:r>
          </w:p>
        </w:tc>
        <w:tc>
          <w:tcPr>
            <w:tcW w:w="0" w:type="dxa"/>
            <w:vAlign w:val="bottom"/>
          </w:tcPr>
          <w:p>
            <w:pPr>
              <w:spacing w:after="0"/>
              <w:rPr>
                <w:sz w:val="1"/>
                <w:szCs w:val="1"/>
                <w:color w:val="auto"/>
              </w:rPr>
            </w:pPr>
          </w:p>
        </w:tc>
      </w:tr>
      <w:tr>
        <w:trPr>
          <w:trHeight w:val="213"/>
        </w:trPr>
        <w:tc>
          <w:tcPr>
            <w:tcW w:w="56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Nonvested balance at December 27, 2020</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4,942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9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680" w:type="dxa"/>
            <w:vAlign w:val="bottom"/>
            <w:gridSpan w:val="2"/>
          </w:tcPr>
          <w:p>
            <w:pPr>
              <w:ind w:left="640"/>
              <w:spacing w:after="0"/>
              <w:rPr>
                <w:sz w:val="20"/>
                <w:szCs w:val="20"/>
                <w:color w:val="auto"/>
              </w:rPr>
            </w:pPr>
            <w:r>
              <w:rPr>
                <w:rFonts w:ascii="Arial" w:cs="Arial" w:eastAsia="Arial" w:hAnsi="Arial"/>
                <w:sz w:val="17"/>
                <w:szCs w:val="17"/>
                <w:color w:val="auto"/>
              </w:rPr>
              <w:t>Granted</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1,452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right"/>
              <w:ind w:right="49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Vested</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(953)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680" w:type="dxa"/>
            <w:vAlign w:val="bottom"/>
            <w:gridSpan w:val="2"/>
          </w:tcPr>
          <w:p>
            <w:pPr>
              <w:ind w:left="640"/>
              <w:spacing w:after="0"/>
              <w:rPr>
                <w:sz w:val="20"/>
                <w:szCs w:val="20"/>
                <w:color w:val="auto"/>
              </w:rPr>
            </w:pPr>
            <w:r>
              <w:rPr>
                <w:rFonts w:ascii="Arial" w:cs="Arial" w:eastAsia="Arial" w:hAnsi="Arial"/>
                <w:sz w:val="17"/>
                <w:szCs w:val="17"/>
                <w:color w:val="auto"/>
              </w:rPr>
              <w:t>Forfeitured or expired</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right"/>
              <w:ind w:right="49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Vested but not released</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(558)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680" w:type="dxa"/>
            <w:vAlign w:val="bottom"/>
            <w:gridSpan w:val="2"/>
          </w:tcPr>
          <w:p>
            <w:pPr>
              <w:ind w:left="640"/>
              <w:spacing w:after="0"/>
              <w:rPr>
                <w:sz w:val="20"/>
                <w:szCs w:val="20"/>
                <w:color w:val="auto"/>
              </w:rPr>
            </w:pPr>
            <w:r>
              <w:rPr>
                <w:rFonts w:ascii="Arial" w:cs="Arial" w:eastAsia="Arial" w:hAnsi="Arial"/>
                <w:sz w:val="17"/>
                <w:szCs w:val="17"/>
                <w:color w:val="auto"/>
              </w:rPr>
              <w:t>Nonvested balance at December 26, 2021</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4,878</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right"/>
              <w:ind w:right="49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right="400" w:firstLine="619"/>
        <w:spacing w:after="0" w:line="266" w:lineRule="auto"/>
        <w:rPr>
          <w:sz w:val="20"/>
          <w:szCs w:val="20"/>
          <w:color w:val="auto"/>
        </w:rPr>
      </w:pPr>
      <w:r>
        <w:rPr>
          <w:rFonts w:ascii="Arial" w:cs="Arial" w:eastAsia="Arial" w:hAnsi="Arial"/>
          <w:sz w:val="17"/>
          <w:szCs w:val="17"/>
          <w:color w:val="auto"/>
        </w:rPr>
        <w:t>As of December 26, 2021, there was $33.6 million of total unrecognized stock-based compensation expense related to nonvested restricted stock units which is expected to be recognized over a remaining weighted-average vesting period of 1.7 years. The fair value of restricted stock unit awards that vested in 2021, 2020, and 2019 was $24.7 million, $4.6 million, and $3.5 million, respectively.</w:t>
      </w:r>
    </w:p>
    <w:p>
      <w:pPr>
        <w:spacing w:after="0" w:line="195"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(c)</w:t>
      </w:r>
      <w:r>
        <w:rPr>
          <w:sz w:val="20"/>
          <w:szCs w:val="20"/>
          <w:color w:val="auto"/>
        </w:rPr>
        <w:tab/>
      </w:r>
      <w:r>
        <w:rPr>
          <w:rFonts w:ascii="Arial" w:cs="Arial" w:eastAsia="Arial" w:hAnsi="Arial"/>
          <w:sz w:val="15"/>
          <w:szCs w:val="15"/>
          <w:b w:val="1"/>
          <w:bCs w:val="1"/>
          <w:color w:val="auto"/>
        </w:rPr>
        <w:t>Amended and Restated Employee Stock Purchase Plan</w:t>
      </w:r>
    </w:p>
    <w:p>
      <w:pPr>
        <w:spacing w:after="0" w:line="249" w:lineRule="exact"/>
        <w:rPr>
          <w:sz w:val="20"/>
          <w:szCs w:val="20"/>
          <w:color w:val="auto"/>
        </w:rPr>
      </w:pPr>
    </w:p>
    <w:p>
      <w:pPr>
        <w:ind w:right="240" w:firstLine="619"/>
        <w:spacing w:after="0" w:line="276" w:lineRule="auto"/>
        <w:rPr>
          <w:sz w:val="20"/>
          <w:szCs w:val="20"/>
          <w:color w:val="auto"/>
        </w:rPr>
      </w:pPr>
      <w:r>
        <w:rPr>
          <w:rFonts w:ascii="Arial" w:cs="Arial" w:eastAsia="Arial" w:hAnsi="Arial"/>
          <w:sz w:val="16"/>
          <w:szCs w:val="16"/>
          <w:color w:val="auto"/>
        </w:rPr>
        <w:t>In August 1999, the Board approved the 1999 Employee Stock Purchase Plan (as amended from time to time, the “Purchase Plan”). A total of 5,200,000 shares of common stock had been previously approved for reservation of the Company’s common stock for purchase by employees under the Purchase Plan. In May 2017, the Company’s shareholders approved an amendment to the Purchase Plan to increase the maximum number of shares of common stock that may be issued under the Purchase Plan by 3,000,000 shares. The Purchase Plan qualifies as an employee stock purchase plan within the meaning of Section 423 of the Internal Revenue Service Code. Unless otherwise determined by the Compensation Committee of the Board, all employees are eligible to participate in the Purchase Plan, so long as they are employed by the Company (or a subsidiary designated by the Board) for at least 20 hours per week and were customarily employed by the Company (or a subsidiary designated by the Board) for at least 5 months per calendar year.</w:t>
      </w:r>
    </w:p>
    <w:p>
      <w:pPr>
        <w:spacing w:after="0" w:line="195" w:lineRule="exact"/>
        <w:rPr>
          <w:sz w:val="20"/>
          <w:szCs w:val="20"/>
          <w:color w:val="auto"/>
        </w:rPr>
      </w:pPr>
    </w:p>
    <w:p>
      <w:pPr>
        <w:ind w:right="100" w:firstLine="619"/>
        <w:spacing w:after="0" w:line="297" w:lineRule="auto"/>
        <w:rPr>
          <w:sz w:val="20"/>
          <w:szCs w:val="20"/>
          <w:color w:val="auto"/>
        </w:rPr>
      </w:pPr>
      <w:r>
        <w:rPr>
          <w:rFonts w:ascii="Arial" w:cs="Arial" w:eastAsia="Arial" w:hAnsi="Arial"/>
          <w:sz w:val="15"/>
          <w:szCs w:val="15"/>
          <w:color w:val="auto"/>
        </w:rPr>
        <w:t>Employees who actively participate in the Purchase Plan are eligible to have up to 15% of their earnings for each purchase period withheld pursuant to the Purchase Plan. The amount that is withheld is used at various purchase dates within the offering period to purchase shares of common stock. The price paid for common stock at each such purchase date is equal to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From the Purchase Plan’s inception through December 26, 2021, the cumulative number of shares of common stock that have been issued under the Purchase Plan is 6.2 million and approximately 2.0 million shares are available for future issuance. During fiscal 2021, approximately 340,000 shares were issued under the plan at an average price of $17.37.</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62" w:right="239" w:bottom="1440" w:gutter="0" w:footer="0" w:header="0"/>
        </w:sectPr>
      </w:pPr>
    </w:p>
    <w:bookmarkStart w:id="103" w:name="page104"/>
    <w:bookmarkEnd w:id="103"/>
    <w:p>
      <w:pPr>
        <w:ind w:right="240" w:firstLine="619"/>
        <w:spacing w:after="0" w:line="279" w:lineRule="auto"/>
        <w:rPr>
          <w:sz w:val="20"/>
          <w:szCs w:val="20"/>
          <w:color w:val="auto"/>
        </w:rPr>
      </w:pPr>
      <w:r>
        <w:rPr>
          <w:rFonts w:ascii="Arial" w:cs="Arial" w:eastAsia="Arial" w:hAnsi="Arial"/>
          <w:sz w:val="17"/>
          <w:szCs w:val="17"/>
          <w:color w:val="auto"/>
        </w:rPr>
        <w:t>The fair value of Kratos’ Purchase Plan shares for 2021 was estimated using the Black-Scholes option pricing model. The assumptions and resulting fair values of options granted for 2021, 2020 and 2019 were as follows:</w:t>
      </w:r>
    </w:p>
    <w:p>
      <w:pPr>
        <w:spacing w:after="0" w:line="19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760" w:type="dxa"/>
            <w:vAlign w:val="bottom"/>
            <w:gridSpan w:val="2"/>
          </w:tcPr>
          <w:p>
            <w:pPr>
              <w:ind w:left="880"/>
              <w:spacing w:after="0"/>
              <w:rPr>
                <w:sz w:val="20"/>
                <w:szCs w:val="20"/>
                <w:color w:val="auto"/>
              </w:rPr>
            </w:pPr>
            <w:r>
              <w:rPr>
                <w:rFonts w:ascii="Arial" w:cs="Arial" w:eastAsia="Arial" w:hAnsi="Arial"/>
                <w:sz w:val="14"/>
                <w:szCs w:val="14"/>
                <w:b w:val="1"/>
                <w:bCs w:val="1"/>
                <w:color w:val="auto"/>
              </w:rPr>
              <w:t>Offering</w:t>
            </w:r>
          </w:p>
        </w:tc>
        <w:tc>
          <w:tcPr>
            <w:tcW w:w="1760" w:type="dxa"/>
            <w:vAlign w:val="bottom"/>
            <w:gridSpan w:val="2"/>
          </w:tcPr>
          <w:p>
            <w:pPr>
              <w:ind w:left="900"/>
              <w:spacing w:after="0"/>
              <w:rPr>
                <w:sz w:val="20"/>
                <w:szCs w:val="20"/>
                <w:color w:val="auto"/>
              </w:rPr>
            </w:pPr>
            <w:r>
              <w:rPr>
                <w:rFonts w:ascii="Arial" w:cs="Arial" w:eastAsia="Arial" w:hAnsi="Arial"/>
                <w:sz w:val="14"/>
                <w:szCs w:val="14"/>
                <w:b w:val="1"/>
                <w:bCs w:val="1"/>
                <w:color w:val="auto"/>
              </w:rPr>
              <w:t>Offering</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Offer</w:t>
            </w:r>
          </w:p>
        </w:tc>
        <w:tc>
          <w:tcPr>
            <w:tcW w:w="0" w:type="dxa"/>
            <w:vAlign w:val="bottom"/>
          </w:tcPr>
          <w:p>
            <w:pPr>
              <w:spacing w:after="0"/>
              <w:rPr>
                <w:sz w:val="1"/>
                <w:szCs w:val="1"/>
                <w:color w:val="auto"/>
              </w:rPr>
            </w:pPr>
          </w:p>
        </w:tc>
      </w:tr>
      <w:tr>
        <w:trPr>
          <w:trHeight w:val="129"/>
        </w:trPr>
        <w:tc>
          <w:tcPr>
            <w:tcW w:w="6000" w:type="dxa"/>
            <w:vAlign w:val="bottom"/>
          </w:tcPr>
          <w:p>
            <w:pPr>
              <w:spacing w:after="0"/>
              <w:rPr>
                <w:sz w:val="11"/>
                <w:szCs w:val="11"/>
                <w:color w:val="auto"/>
              </w:rPr>
            </w:pPr>
          </w:p>
        </w:tc>
        <w:tc>
          <w:tcPr>
            <w:tcW w:w="176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Periods</w:t>
            </w:r>
          </w:p>
        </w:tc>
        <w:tc>
          <w:tcPr>
            <w:tcW w:w="176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Periods</w:t>
            </w:r>
          </w:p>
        </w:tc>
        <w:tc>
          <w:tcPr>
            <w:tcW w:w="1200" w:type="dxa"/>
            <w:vAlign w:val="bottom"/>
          </w:tcPr>
          <w:p>
            <w:pPr>
              <w:jc w:val="right"/>
              <w:ind w:right="61"/>
              <w:spacing w:after="0" w:line="129" w:lineRule="exact"/>
              <w:rPr>
                <w:sz w:val="20"/>
                <w:szCs w:val="20"/>
                <w:color w:val="auto"/>
              </w:rPr>
            </w:pPr>
            <w:r>
              <w:rPr>
                <w:rFonts w:ascii="Arial" w:cs="Arial" w:eastAsia="Arial" w:hAnsi="Arial"/>
                <w:sz w:val="14"/>
                <w:szCs w:val="14"/>
                <w:b w:val="1"/>
                <w:bCs w:val="1"/>
                <w:color w:val="auto"/>
              </w:rPr>
              <w:t>Periods</w:t>
            </w:r>
          </w:p>
        </w:tc>
        <w:tc>
          <w:tcPr>
            <w:tcW w:w="0" w:type="dxa"/>
            <w:vAlign w:val="bottom"/>
          </w:tcPr>
          <w:p>
            <w:pPr>
              <w:spacing w:after="0"/>
              <w:rPr>
                <w:sz w:val="1"/>
                <w:szCs w:val="1"/>
                <w:color w:val="auto"/>
              </w:rPr>
            </w:pPr>
          </w:p>
        </w:tc>
      </w:tr>
      <w:tr>
        <w:trPr>
          <w:trHeight w:val="129"/>
        </w:trPr>
        <w:tc>
          <w:tcPr>
            <w:tcW w:w="6000" w:type="dxa"/>
            <w:vAlign w:val="bottom"/>
          </w:tcPr>
          <w:p>
            <w:pPr>
              <w:spacing w:after="0"/>
              <w:rPr>
                <w:sz w:val="11"/>
                <w:szCs w:val="11"/>
                <w:color w:val="auto"/>
              </w:rPr>
            </w:pPr>
          </w:p>
        </w:tc>
        <w:tc>
          <w:tcPr>
            <w:tcW w:w="17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January 1 to</w:t>
            </w:r>
          </w:p>
        </w:tc>
        <w:tc>
          <w:tcPr>
            <w:tcW w:w="17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January 1 to</w:t>
            </w:r>
          </w:p>
        </w:tc>
        <w:tc>
          <w:tcPr>
            <w:tcW w:w="12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January 1 to</w:t>
            </w:r>
          </w:p>
        </w:tc>
        <w:tc>
          <w:tcPr>
            <w:tcW w:w="0" w:type="dxa"/>
            <w:vAlign w:val="bottom"/>
          </w:tcPr>
          <w:p>
            <w:pPr>
              <w:spacing w:after="0"/>
              <w:rPr>
                <w:sz w:val="1"/>
                <w:szCs w:val="1"/>
                <w:color w:val="auto"/>
              </w:rPr>
            </w:pPr>
          </w:p>
        </w:tc>
      </w:tr>
      <w:tr>
        <w:trPr>
          <w:trHeight w:val="129"/>
        </w:trPr>
        <w:tc>
          <w:tcPr>
            <w:tcW w:w="6000" w:type="dxa"/>
            <w:vAlign w:val="bottom"/>
          </w:tcPr>
          <w:p>
            <w:pPr>
              <w:spacing w:after="0"/>
              <w:rPr>
                <w:sz w:val="11"/>
                <w:szCs w:val="11"/>
                <w:color w:val="auto"/>
              </w:rPr>
            </w:pPr>
          </w:p>
        </w:tc>
        <w:tc>
          <w:tcPr>
            <w:tcW w:w="17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December 31</w:t>
            </w:r>
          </w:p>
        </w:tc>
        <w:tc>
          <w:tcPr>
            <w:tcW w:w="176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2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9"/>
        </w:trPr>
        <w:tc>
          <w:tcPr>
            <w:tcW w:w="600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ind w:left="401"/>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3"/>
        </w:trPr>
        <w:tc>
          <w:tcPr>
            <w:tcW w:w="60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Expected term (in years)(1)</w:t>
            </w:r>
          </w:p>
        </w:tc>
        <w:tc>
          <w:tcPr>
            <w:tcW w:w="1660" w:type="dxa"/>
            <w:vAlign w:val="bottom"/>
            <w:shd w:val="clear" w:color="auto" w:fill="CCEEFF"/>
          </w:tcPr>
          <w:p>
            <w:pPr>
              <w:jc w:val="center"/>
              <w:ind w:left="541"/>
              <w:spacing w:after="0"/>
              <w:rPr>
                <w:sz w:val="20"/>
                <w:szCs w:val="20"/>
                <w:color w:val="auto"/>
              </w:rPr>
            </w:pPr>
            <w:r>
              <w:rPr>
                <w:rFonts w:ascii="Arial" w:cs="Arial" w:eastAsia="Arial" w:hAnsi="Arial"/>
                <w:sz w:val="17"/>
                <w:szCs w:val="17"/>
                <w:color w:val="auto"/>
                <w:w w:val="84"/>
              </w:rPr>
              <w:t>0.5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ind w:left="561"/>
              <w:spacing w:after="0"/>
              <w:rPr>
                <w:sz w:val="20"/>
                <w:szCs w:val="20"/>
                <w:color w:val="auto"/>
              </w:rPr>
            </w:pPr>
            <w:r>
              <w:rPr>
                <w:rFonts w:ascii="Arial" w:cs="Arial" w:eastAsia="Arial" w:hAnsi="Arial"/>
                <w:sz w:val="17"/>
                <w:szCs w:val="17"/>
                <w:color w:val="auto"/>
                <w:w w:val="92"/>
              </w:rPr>
              <w:t>0.5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68"/>
        </w:trPr>
        <w:tc>
          <w:tcPr>
            <w:tcW w:w="6000" w:type="dxa"/>
            <w:vAlign w:val="bottom"/>
            <w:vMerge w:val="restart"/>
          </w:tcPr>
          <w:p>
            <w:pPr>
              <w:ind w:left="640"/>
              <w:spacing w:after="0"/>
              <w:rPr>
                <w:sz w:val="20"/>
                <w:szCs w:val="20"/>
                <w:color w:val="auto"/>
              </w:rPr>
            </w:pPr>
            <w:r>
              <w:rPr>
                <w:rFonts w:ascii="Arial" w:cs="Arial" w:eastAsia="Arial" w:hAnsi="Arial"/>
                <w:sz w:val="17"/>
                <w:szCs w:val="17"/>
                <w:color w:val="auto"/>
              </w:rPr>
              <w:t>Risk-free interest rate(2)</w:t>
            </w:r>
          </w:p>
        </w:tc>
        <w:tc>
          <w:tcPr>
            <w:tcW w:w="1660" w:type="dxa"/>
            <w:vAlign w:val="bottom"/>
          </w:tcPr>
          <w:p>
            <w:pPr>
              <w:jc w:val="center"/>
              <w:ind w:left="521"/>
              <w:spacing w:after="0" w:line="168" w:lineRule="exact"/>
              <w:rPr>
                <w:sz w:val="20"/>
                <w:szCs w:val="20"/>
                <w:color w:val="auto"/>
              </w:rPr>
            </w:pPr>
            <w:r>
              <w:rPr>
                <w:rFonts w:ascii="Arial" w:cs="Arial" w:eastAsia="Arial" w:hAnsi="Arial"/>
                <w:sz w:val="17"/>
                <w:szCs w:val="17"/>
                <w:color w:val="auto"/>
                <w:w w:val="92"/>
              </w:rPr>
              <w:t>0.06% -</w:t>
            </w:r>
          </w:p>
        </w:tc>
        <w:tc>
          <w:tcPr>
            <w:tcW w:w="100" w:type="dxa"/>
            <w:vAlign w:val="bottom"/>
          </w:tcPr>
          <w:p>
            <w:pPr>
              <w:spacing w:after="0"/>
              <w:rPr>
                <w:sz w:val="14"/>
                <w:szCs w:val="14"/>
                <w:color w:val="auto"/>
              </w:rPr>
            </w:pPr>
          </w:p>
        </w:tc>
        <w:tc>
          <w:tcPr>
            <w:tcW w:w="1660" w:type="dxa"/>
            <w:vAlign w:val="bottom"/>
          </w:tcPr>
          <w:p>
            <w:pPr>
              <w:jc w:val="center"/>
              <w:ind w:left="561"/>
              <w:spacing w:after="0" w:line="168" w:lineRule="exact"/>
              <w:rPr>
                <w:sz w:val="20"/>
                <w:szCs w:val="20"/>
                <w:color w:val="auto"/>
              </w:rPr>
            </w:pPr>
            <w:r>
              <w:rPr>
                <w:rFonts w:ascii="Arial" w:cs="Arial" w:eastAsia="Arial" w:hAnsi="Arial"/>
                <w:sz w:val="17"/>
                <w:szCs w:val="17"/>
                <w:color w:val="auto"/>
                <w:w w:val="92"/>
              </w:rPr>
              <w:t>0.18% -</w:t>
            </w:r>
          </w:p>
        </w:tc>
        <w:tc>
          <w:tcPr>
            <w:tcW w:w="10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18"/>
        </w:trPr>
        <w:tc>
          <w:tcPr>
            <w:tcW w:w="600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5"/>
              </w:rPr>
              <w:t>0.09%</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1"/>
              </w:rPr>
              <w:t>1.60%</w:t>
            </w:r>
          </w:p>
        </w:tc>
        <w:tc>
          <w:tcPr>
            <w:tcW w:w="100" w:type="dxa"/>
            <w:vAlign w:val="bottom"/>
          </w:tcPr>
          <w:p>
            <w:pPr>
              <w:spacing w:after="0"/>
              <w:rPr>
                <w:sz w:val="18"/>
                <w:szCs w:val="18"/>
                <w:color w:val="auto"/>
              </w:rPr>
            </w:pPr>
          </w:p>
        </w:tc>
        <w:tc>
          <w:tcPr>
            <w:tcW w:w="1200" w:type="dxa"/>
            <w:vAlign w:val="bottom"/>
          </w:tcPr>
          <w:p>
            <w:pPr>
              <w:jc w:val="center"/>
              <w:ind w:left="401"/>
              <w:spacing w:after="0"/>
              <w:rPr>
                <w:sz w:val="20"/>
                <w:szCs w:val="20"/>
                <w:color w:val="auto"/>
              </w:rPr>
            </w:pPr>
            <w:r>
              <w:rPr>
                <w:rFonts w:ascii="Arial" w:cs="Arial" w:eastAsia="Arial" w:hAnsi="Arial"/>
                <w:sz w:val="17"/>
                <w:szCs w:val="17"/>
                <w:color w:val="auto"/>
                <w:w w:val="91"/>
              </w:rPr>
              <w:t>2.56%</w:t>
            </w:r>
          </w:p>
        </w:tc>
        <w:tc>
          <w:tcPr>
            <w:tcW w:w="0" w:type="dxa"/>
            <w:vAlign w:val="bottom"/>
          </w:tcPr>
          <w:p>
            <w:pPr>
              <w:spacing w:after="0"/>
              <w:rPr>
                <w:sz w:val="1"/>
                <w:szCs w:val="1"/>
                <w:color w:val="auto"/>
              </w:rPr>
            </w:pPr>
          </w:p>
        </w:tc>
      </w:tr>
      <w:tr>
        <w:trPr>
          <w:trHeight w:val="169"/>
        </w:trPr>
        <w:tc>
          <w:tcPr>
            <w:tcW w:w="6000" w:type="dxa"/>
            <w:vAlign w:val="bottom"/>
            <w:vMerge w:val="restart"/>
            <w:shd w:val="clear" w:color="auto" w:fill="CCEEFF"/>
          </w:tcPr>
          <w:p>
            <w:pPr>
              <w:ind w:left="640"/>
              <w:spacing w:after="0"/>
              <w:rPr>
                <w:sz w:val="20"/>
                <w:szCs w:val="20"/>
                <w:color w:val="auto"/>
              </w:rPr>
            </w:pPr>
            <w:r>
              <w:rPr>
                <w:rFonts w:ascii="Arial" w:cs="Arial" w:eastAsia="Arial" w:hAnsi="Arial"/>
                <w:sz w:val="17"/>
                <w:szCs w:val="17"/>
                <w:color w:val="auto"/>
              </w:rPr>
              <w:t>Expected volatility(3)</w:t>
            </w:r>
          </w:p>
        </w:tc>
        <w:tc>
          <w:tcPr>
            <w:tcW w:w="1660" w:type="dxa"/>
            <w:vAlign w:val="bottom"/>
            <w:shd w:val="clear" w:color="auto" w:fill="CCEEFF"/>
          </w:tcPr>
          <w:p>
            <w:pPr>
              <w:jc w:val="center"/>
              <w:ind w:left="541"/>
              <w:spacing w:after="0" w:line="169" w:lineRule="exact"/>
              <w:rPr>
                <w:sz w:val="20"/>
                <w:szCs w:val="20"/>
                <w:color w:val="auto"/>
              </w:rPr>
            </w:pPr>
            <w:r>
              <w:rPr>
                <w:rFonts w:ascii="Arial" w:cs="Arial" w:eastAsia="Arial" w:hAnsi="Arial"/>
                <w:sz w:val="17"/>
                <w:szCs w:val="17"/>
                <w:color w:val="auto"/>
                <w:w w:val="93"/>
              </w:rPr>
              <w:t>41.40% -</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jc w:val="center"/>
              <w:ind w:left="541"/>
              <w:spacing w:after="0" w:line="169" w:lineRule="exact"/>
              <w:rPr>
                <w:sz w:val="20"/>
                <w:szCs w:val="20"/>
                <w:color w:val="auto"/>
              </w:rPr>
            </w:pPr>
            <w:r>
              <w:rPr>
                <w:rFonts w:ascii="Arial" w:cs="Arial" w:eastAsia="Arial" w:hAnsi="Arial"/>
                <w:sz w:val="17"/>
                <w:szCs w:val="17"/>
                <w:color w:val="auto"/>
                <w:w w:val="93"/>
              </w:rPr>
              <w:t>44.14% -</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37.22</w:t>
            </w:r>
          </w:p>
        </w:tc>
        <w:tc>
          <w:tcPr>
            <w:tcW w:w="0" w:type="dxa"/>
            <w:vAlign w:val="bottom"/>
          </w:tcPr>
          <w:p>
            <w:pPr>
              <w:spacing w:after="0"/>
              <w:rPr>
                <w:sz w:val="1"/>
                <w:szCs w:val="1"/>
                <w:color w:val="auto"/>
              </w:rPr>
            </w:pPr>
          </w:p>
        </w:tc>
      </w:tr>
      <w:tr>
        <w:trPr>
          <w:trHeight w:val="219"/>
        </w:trPr>
        <w:tc>
          <w:tcPr>
            <w:tcW w:w="6000" w:type="dxa"/>
            <w:vAlign w:val="bottom"/>
            <w:vMerge w:val="continue"/>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45.93%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82.75%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01"/>
              <w:spacing w:after="0"/>
              <w:rPr>
                <w:sz w:val="20"/>
                <w:szCs w:val="20"/>
                <w:color w:val="auto"/>
              </w:rPr>
            </w:pPr>
            <w:r>
              <w:rPr>
                <w:rFonts w:ascii="Arial" w:cs="Arial" w:eastAsia="Arial" w:hAnsi="Arial"/>
                <w:sz w:val="17"/>
                <w:szCs w:val="17"/>
                <w:color w:val="auto"/>
                <w:w w:val="90"/>
              </w:rPr>
              <w:t>43.70%</w:t>
            </w:r>
          </w:p>
        </w:tc>
        <w:tc>
          <w:tcPr>
            <w:tcW w:w="0" w:type="dxa"/>
            <w:vAlign w:val="bottom"/>
          </w:tcPr>
          <w:p>
            <w:pPr>
              <w:spacing w:after="0"/>
              <w:rPr>
                <w:sz w:val="1"/>
                <w:szCs w:val="1"/>
                <w:color w:val="auto"/>
              </w:rPr>
            </w:pPr>
          </w:p>
        </w:tc>
      </w:tr>
      <w:tr>
        <w:trPr>
          <w:trHeight w:val="218"/>
        </w:trPr>
        <w:tc>
          <w:tcPr>
            <w:tcW w:w="6000" w:type="dxa"/>
            <w:vAlign w:val="bottom"/>
          </w:tcPr>
          <w:p>
            <w:pPr>
              <w:ind w:left="640"/>
              <w:spacing w:after="0"/>
              <w:rPr>
                <w:sz w:val="20"/>
                <w:szCs w:val="20"/>
                <w:color w:val="auto"/>
              </w:rPr>
            </w:pPr>
            <w:r>
              <w:rPr>
                <w:rFonts w:ascii="Arial" w:cs="Arial" w:eastAsia="Arial" w:hAnsi="Arial"/>
                <w:sz w:val="17"/>
                <w:szCs w:val="17"/>
                <w:color w:val="auto"/>
              </w:rPr>
              <w:t>Expected dividend yield(4)</w:t>
            </w:r>
          </w:p>
        </w:tc>
        <w:tc>
          <w:tcPr>
            <w:tcW w:w="1760" w:type="dxa"/>
            <w:vAlign w:val="bottom"/>
            <w:gridSpan w:val="2"/>
          </w:tcPr>
          <w:p>
            <w:pPr>
              <w:jc w:val="center"/>
              <w:ind w:left="441"/>
              <w:spacing w:after="0"/>
              <w:rPr>
                <w:sz w:val="20"/>
                <w:szCs w:val="20"/>
                <w:color w:val="auto"/>
              </w:rPr>
            </w:pPr>
            <w:r>
              <w:rPr>
                <w:rFonts w:ascii="Arial" w:cs="Arial" w:eastAsia="Arial" w:hAnsi="Arial"/>
                <w:sz w:val="17"/>
                <w:szCs w:val="17"/>
                <w:color w:val="auto"/>
                <w:w w:val="99"/>
              </w:rPr>
              <w:t>—%</w:t>
            </w:r>
          </w:p>
        </w:tc>
        <w:tc>
          <w:tcPr>
            <w:tcW w:w="1760" w:type="dxa"/>
            <w:vAlign w:val="bottom"/>
            <w:gridSpan w:val="2"/>
          </w:tcPr>
          <w:p>
            <w:pPr>
              <w:jc w:val="center"/>
              <w:ind w:left="441"/>
              <w:spacing w:after="0"/>
              <w:rPr>
                <w:sz w:val="20"/>
                <w:szCs w:val="20"/>
                <w:color w:val="auto"/>
              </w:rPr>
            </w:pPr>
            <w:r>
              <w:rPr>
                <w:rFonts w:ascii="Arial" w:cs="Arial" w:eastAsia="Arial" w:hAnsi="Arial"/>
                <w:sz w:val="17"/>
                <w:szCs w:val="17"/>
                <w:color w:val="auto"/>
                <w:w w:val="99"/>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0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Weighted average grant-date fair value per share</w:t>
            </w:r>
          </w:p>
        </w:tc>
        <w:tc>
          <w:tcPr>
            <w:tcW w:w="1660" w:type="dxa"/>
            <w:vAlign w:val="bottom"/>
            <w:shd w:val="clear" w:color="auto" w:fill="CCEEFF"/>
          </w:tcPr>
          <w:p>
            <w:pPr>
              <w:jc w:val="center"/>
              <w:ind w:left="541"/>
              <w:spacing w:after="0"/>
              <w:rPr>
                <w:sz w:val="20"/>
                <w:szCs w:val="20"/>
                <w:color w:val="auto"/>
              </w:rPr>
            </w:pPr>
            <w:r>
              <w:rPr>
                <w:rFonts w:ascii="Arial" w:cs="Arial" w:eastAsia="Arial" w:hAnsi="Arial"/>
                <w:sz w:val="17"/>
                <w:szCs w:val="17"/>
                <w:color w:val="auto"/>
                <w:w w:val="93"/>
              </w:rPr>
              <w:t>$7.60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561"/>
              <w:spacing w:after="0"/>
              <w:rPr>
                <w:sz w:val="20"/>
                <w:szCs w:val="20"/>
                <w:color w:val="auto"/>
              </w:rPr>
            </w:pPr>
            <w:r>
              <w:rPr>
                <w:rFonts w:ascii="Arial" w:cs="Arial" w:eastAsia="Arial" w:hAnsi="Arial"/>
                <w:sz w:val="17"/>
                <w:szCs w:val="17"/>
                <w:color w:val="auto"/>
                <w:w w:val="89"/>
              </w:rPr>
              <w:t>$5.43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300" w:hanging="369"/>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expected term is equivalent to the offering period.</w:t>
      </w:r>
    </w:p>
    <w:p>
      <w:pPr>
        <w:spacing w:after="0" w:line="21" w:lineRule="exact"/>
        <w:rPr>
          <w:rFonts w:ascii="Arial" w:cs="Arial" w:eastAsia="Arial" w:hAnsi="Arial"/>
          <w:sz w:val="17"/>
          <w:szCs w:val="17"/>
          <w:color w:val="auto"/>
        </w:rPr>
      </w:pPr>
    </w:p>
    <w:p>
      <w:pPr>
        <w:ind w:left="1300" w:hanging="369"/>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risk-free interest rate is based on U.S. Treasury yields in effect at the time of grant with a term equal to the expected term.</w:t>
      </w:r>
    </w:p>
    <w:p>
      <w:pPr>
        <w:spacing w:after="0" w:line="10" w:lineRule="exact"/>
        <w:rPr>
          <w:rFonts w:ascii="Arial" w:cs="Arial" w:eastAsia="Arial" w:hAnsi="Arial"/>
          <w:sz w:val="17"/>
          <w:szCs w:val="17"/>
          <w:color w:val="auto"/>
        </w:rPr>
      </w:pPr>
    </w:p>
    <w:p>
      <w:pPr>
        <w:ind w:left="1300" w:hanging="369"/>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 estimated implied volatility based upon trailing volatility.</w:t>
      </w:r>
    </w:p>
    <w:p>
      <w:pPr>
        <w:spacing w:after="0" w:line="10" w:lineRule="exact"/>
        <w:rPr>
          <w:rFonts w:ascii="Arial" w:cs="Arial" w:eastAsia="Arial" w:hAnsi="Arial"/>
          <w:sz w:val="17"/>
          <w:szCs w:val="17"/>
          <w:color w:val="auto"/>
        </w:rPr>
      </w:pPr>
    </w:p>
    <w:p>
      <w:pPr>
        <w:ind w:left="1300" w:hanging="369"/>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 has no history or expectation of paying dividends on its common stock.</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26, 2021, there was no material unrecognized compensation expense related to the Purchase Plan.</w:t>
      </w:r>
    </w:p>
    <w:p>
      <w:pPr>
        <w:spacing w:after="0" w:line="237"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Note 12.</w:t>
      </w:r>
      <w:r>
        <w:rPr>
          <w:sz w:val="20"/>
          <w:szCs w:val="20"/>
          <w:color w:val="auto"/>
        </w:rPr>
        <w:tab/>
      </w:r>
      <w:r>
        <w:rPr>
          <w:rFonts w:ascii="Arial" w:cs="Arial" w:eastAsia="Arial" w:hAnsi="Arial"/>
          <w:sz w:val="15"/>
          <w:szCs w:val="15"/>
          <w:b w:val="1"/>
          <w:bCs w:val="1"/>
          <w:color w:val="auto"/>
        </w:rPr>
        <w:t>Retirement Plans</w:t>
      </w:r>
    </w:p>
    <w:p>
      <w:pPr>
        <w:spacing w:after="0" w:line="249" w:lineRule="exact"/>
        <w:rPr>
          <w:sz w:val="20"/>
          <w:szCs w:val="20"/>
          <w:color w:val="auto"/>
        </w:rPr>
      </w:pPr>
    </w:p>
    <w:p>
      <w:pPr>
        <w:ind w:right="120" w:firstLine="619"/>
        <w:spacing w:after="0" w:line="283" w:lineRule="auto"/>
        <w:rPr>
          <w:sz w:val="20"/>
          <w:szCs w:val="20"/>
          <w:color w:val="auto"/>
        </w:rPr>
      </w:pPr>
      <w:r>
        <w:rPr>
          <w:rFonts w:ascii="Arial" w:cs="Arial" w:eastAsia="Arial" w:hAnsi="Arial"/>
          <w:sz w:val="16"/>
          <w:szCs w:val="16"/>
          <w:color w:val="auto"/>
        </w:rPr>
        <w:t>The Company provides eligible employees the opportunity to participate in defined-contribution savings plans (commonly known as 401(k) plans), which permit contributions on a before-tax basis. Generally, salaried employees and certain hourly employees are eligible to participate in the plans. Under most plans, the employee may contribute to various investment alternatives. In certain plans, the Company matches a portion of the employees’ contributions. The Company’s matching contributions to these defined-contribution savings plans totaled $6.4 million in 2021, $5.7 million in 2020, and $4.4 million in 2019.</w:t>
      </w:r>
    </w:p>
    <w:p>
      <w:pPr>
        <w:spacing w:after="0" w:line="18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5"/>
          <w:szCs w:val="15"/>
          <w:b w:val="1"/>
          <w:bCs w:val="1"/>
          <w:color w:val="auto"/>
        </w:rPr>
        <w:t>Significant Customers</w:t>
      </w:r>
    </w:p>
    <w:p>
      <w:pPr>
        <w:spacing w:after="0" w:line="223" w:lineRule="exact"/>
        <w:rPr>
          <w:sz w:val="20"/>
          <w:szCs w:val="20"/>
          <w:color w:val="auto"/>
        </w:rPr>
      </w:pPr>
    </w:p>
    <w:p>
      <w:pPr>
        <w:ind w:right="200" w:firstLine="172"/>
        <w:spacing w:after="0" w:line="283" w:lineRule="auto"/>
        <w:rPr>
          <w:sz w:val="20"/>
          <w:szCs w:val="20"/>
          <w:color w:val="auto"/>
        </w:rPr>
      </w:pPr>
      <w:r>
        <w:rPr>
          <w:rFonts w:ascii="Arial" w:cs="Arial" w:eastAsia="Arial" w:hAnsi="Arial"/>
          <w:sz w:val="16"/>
          <w:szCs w:val="16"/>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$571.1 million, $546.4 million, and $507.4 million or 70%, 73%, and 71%, of total revenue for the years ended December 26, 2021, December 27, 2020, and December 29, 2019, respectively.</w:t>
      </w:r>
    </w:p>
    <w:p>
      <w:pPr>
        <w:spacing w:after="0" w:line="15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Note 14.</w:t>
      </w:r>
      <w:r>
        <w:rPr>
          <w:sz w:val="20"/>
          <w:szCs w:val="20"/>
          <w:color w:val="auto"/>
        </w:rPr>
        <w:tab/>
      </w:r>
      <w:r>
        <w:rPr>
          <w:rFonts w:ascii="Arial" w:cs="Arial" w:eastAsia="Arial" w:hAnsi="Arial"/>
          <w:sz w:val="15"/>
          <w:szCs w:val="15"/>
          <w:b w:val="1"/>
          <w:bCs w:val="1"/>
          <w:color w:val="auto"/>
        </w:rPr>
        <w:t>Segment Information</w:t>
      </w:r>
    </w:p>
    <w:p>
      <w:pPr>
        <w:spacing w:after="0" w:line="223" w:lineRule="exact"/>
        <w:rPr>
          <w:sz w:val="20"/>
          <w:szCs w:val="20"/>
          <w:color w:val="auto"/>
        </w:rPr>
      </w:pPr>
    </w:p>
    <w:p>
      <w:pPr>
        <w:ind w:right="140" w:firstLine="619"/>
        <w:spacing w:after="0" w:line="279" w:lineRule="auto"/>
        <w:rPr>
          <w:sz w:val="20"/>
          <w:szCs w:val="20"/>
          <w:color w:val="auto"/>
        </w:rPr>
      </w:pPr>
      <w:r>
        <w:rPr>
          <w:rFonts w:ascii="Arial" w:cs="Arial" w:eastAsia="Arial" w:hAnsi="Arial"/>
          <w:sz w:val="16"/>
          <w:szCs w:val="16"/>
          <w:color w:val="auto"/>
        </w:rPr>
        <w:t>The Company operates in two reportable segments. The KGS reportable segment is comprised of an aggregation of KGS operating segments, including DRSS, ME, ST&amp;C, MS, and KTT. The US reportable segment consists of the Company’s unmanned aerial, unmanned ground, unmanned seaborne and command, control and communications system products. The KGS and US segments provide products, solutions and services for mission critical national security programs. KGS and US customers primarily include national security related agencies, the DoD, intelligence agencies and classified agencies, and to a lesser degree, international government agencies and domestic and international commercial customers.</w:t>
      </w:r>
    </w:p>
    <w:p>
      <w:pPr>
        <w:spacing w:after="0" w:line="194" w:lineRule="exact"/>
        <w:rPr>
          <w:sz w:val="20"/>
          <w:szCs w:val="20"/>
          <w:color w:val="auto"/>
        </w:rPr>
      </w:pPr>
    </w:p>
    <w:p>
      <w:pPr>
        <w:ind w:right="320" w:firstLine="619"/>
        <w:spacing w:after="0" w:line="277" w:lineRule="auto"/>
        <w:rPr>
          <w:sz w:val="20"/>
          <w:szCs w:val="20"/>
          <w:color w:val="auto"/>
        </w:rPr>
      </w:pPr>
      <w:r>
        <w:rPr>
          <w:rFonts w:ascii="Arial" w:cs="Arial" w:eastAsia="Arial" w:hAnsi="Arial"/>
          <w:sz w:val="16"/>
          <w:szCs w:val="16"/>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(loss) from continuing operations of the reportable business segments is reconciled to the corresponding consolidated amount. “Corporate activities”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200" w:lineRule="exact"/>
        <w:rPr>
          <w:sz w:val="20"/>
          <w:szCs w:val="20"/>
          <w:color w:val="auto"/>
        </w:rPr>
      </w:pPr>
    </w:p>
    <w:p>
      <w:pPr>
        <w:spacing w:after="0" w:line="29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62" w:right="239" w:bottom="1440" w:gutter="0" w:footer="0" w:header="0"/>
        </w:sectPr>
      </w:pPr>
    </w:p>
    <w:bookmarkStart w:id="104" w:name="page105"/>
    <w:bookmarkEnd w:id="104"/>
    <w:p>
      <w:pPr>
        <w:ind w:left="620"/>
        <w:spacing w:after="0"/>
        <w:rPr>
          <w:sz w:val="20"/>
          <w:szCs w:val="20"/>
          <w:color w:val="auto"/>
        </w:rPr>
      </w:pPr>
      <w:r>
        <w:rPr>
          <w:rFonts w:ascii="Arial" w:cs="Arial" w:eastAsia="Arial" w:hAnsi="Arial"/>
          <w:sz w:val="15"/>
          <w:szCs w:val="15"/>
          <w:color w:val="auto"/>
        </w:rPr>
        <w:t>Revenues, operating income (loss) and assets disclosed below provided by the Company’s reportable segments for the years ended December 26, 2021,</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December 27, 2020, and December 29, 2019, are as follows (in millions):</w:t>
      </w:r>
    </w:p>
    <w:p>
      <w:pPr>
        <w:spacing w:after="0" w:line="261"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53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205"/>
        </w:trPr>
        <w:tc>
          <w:tcPr>
            <w:tcW w:w="53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Revenues:</w:t>
            </w: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8"/>
        </w:trPr>
        <w:tc>
          <w:tcPr>
            <w:tcW w:w="5320" w:type="dxa"/>
            <w:vAlign w:val="bottom"/>
          </w:tcPr>
          <w:p>
            <w:pPr>
              <w:ind w:left="180"/>
              <w:spacing w:after="0"/>
              <w:rPr>
                <w:sz w:val="20"/>
                <w:szCs w:val="20"/>
                <w:color w:val="auto"/>
              </w:rPr>
            </w:pPr>
            <w:r>
              <w:rPr>
                <w:rFonts w:ascii="Arial" w:cs="Arial" w:eastAsia="Arial" w:hAnsi="Arial"/>
                <w:sz w:val="17"/>
                <w:szCs w:val="17"/>
                <w:color w:val="auto"/>
              </w:rPr>
              <w:t>Kratos Government Solutions</w:t>
            </w: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0"/>
        </w:trPr>
        <w:tc>
          <w:tcPr>
            <w:tcW w:w="53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Service revenues</w:t>
            </w:r>
          </w:p>
        </w:tc>
        <w:tc>
          <w:tcPr>
            <w:tcW w:w="1420" w:type="dxa"/>
            <w:vAlign w:val="bottom"/>
            <w:shd w:val="clear" w:color="auto" w:fill="CCEEFF"/>
          </w:tcPr>
          <w:p>
            <w:pPr>
              <w:jc w:val="right"/>
              <w:ind w:right="617"/>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214.5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97"/>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248.7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97"/>
              <w:spacing w:after="0"/>
              <w:rPr>
                <w:sz w:val="20"/>
                <w:szCs w:val="20"/>
                <w:color w:val="auto"/>
              </w:rPr>
            </w:pPr>
            <w:r>
              <w:rPr>
                <w:rFonts w:ascii="Arial" w:cs="Arial" w:eastAsia="Arial" w:hAnsi="Arial"/>
                <w:sz w:val="17"/>
                <w:szCs w:val="17"/>
                <w:color w:val="auto"/>
              </w:rPr>
              <w:t>$</w:t>
            </w:r>
          </w:p>
        </w:tc>
      </w:tr>
      <w:tr>
        <w:trPr>
          <w:trHeight w:val="218"/>
        </w:trPr>
        <w:tc>
          <w:tcPr>
            <w:tcW w:w="5320" w:type="dxa"/>
            <w:vAlign w:val="bottom"/>
            <w:tcBorders>
              <w:bottom w:val="single" w:sz="8" w:color="CCEEFF"/>
            </w:tcBorders>
          </w:tcPr>
          <w:p>
            <w:pPr>
              <w:ind w:left="840"/>
              <w:spacing w:after="0"/>
              <w:rPr>
                <w:sz w:val="20"/>
                <w:szCs w:val="20"/>
                <w:color w:val="auto"/>
              </w:rPr>
            </w:pPr>
            <w:r>
              <w:rPr>
                <w:rFonts w:ascii="Arial" w:cs="Arial" w:eastAsia="Arial" w:hAnsi="Arial"/>
                <w:sz w:val="17"/>
                <w:szCs w:val="17"/>
                <w:color w:val="auto"/>
              </w:rPr>
              <w:t>Product sales</w:t>
            </w:r>
          </w:p>
        </w:tc>
        <w:tc>
          <w:tcPr>
            <w:tcW w:w="1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365.1</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312.0</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13"/>
        </w:trPr>
        <w:tc>
          <w:tcPr>
            <w:tcW w:w="53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Kratos Government Solutions</w:t>
            </w:r>
          </w:p>
        </w:tc>
        <w:tc>
          <w:tcPr>
            <w:tcW w:w="14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579.6</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560.7</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r>
      <w:tr>
        <w:trPr>
          <w:trHeight w:val="198"/>
        </w:trPr>
        <w:tc>
          <w:tcPr>
            <w:tcW w:w="5320" w:type="dxa"/>
            <w:vAlign w:val="bottom"/>
          </w:tcPr>
          <w:p>
            <w:pPr>
              <w:ind w:left="180"/>
              <w:spacing w:after="0"/>
              <w:rPr>
                <w:sz w:val="20"/>
                <w:szCs w:val="20"/>
                <w:color w:val="auto"/>
              </w:rPr>
            </w:pPr>
            <w:r>
              <w:rPr>
                <w:rFonts w:ascii="Arial" w:cs="Arial" w:eastAsia="Arial" w:hAnsi="Arial"/>
                <w:sz w:val="17"/>
                <w:szCs w:val="17"/>
                <w:color w:val="auto"/>
              </w:rPr>
              <w:t>Unmanned Systems</w:t>
            </w:r>
          </w:p>
        </w:tc>
        <w:tc>
          <w:tcPr>
            <w:tcW w:w="1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0"/>
        </w:trPr>
        <w:tc>
          <w:tcPr>
            <w:tcW w:w="53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Service revenues</w:t>
            </w: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spacing w:after="0"/>
              <w:rPr>
                <w:sz w:val="19"/>
                <w:szCs w:val="19"/>
                <w:color w:val="auto"/>
              </w:rPr>
            </w:pPr>
          </w:p>
        </w:tc>
      </w:tr>
      <w:tr>
        <w:trPr>
          <w:trHeight w:val="218"/>
        </w:trPr>
        <w:tc>
          <w:tcPr>
            <w:tcW w:w="5320" w:type="dxa"/>
            <w:vAlign w:val="bottom"/>
            <w:tcBorders>
              <w:bottom w:val="single" w:sz="8" w:color="CCEEFF"/>
            </w:tcBorders>
          </w:tcPr>
          <w:p>
            <w:pPr>
              <w:ind w:left="840"/>
              <w:spacing w:after="0"/>
              <w:rPr>
                <w:sz w:val="20"/>
                <w:szCs w:val="20"/>
                <w:color w:val="auto"/>
              </w:rPr>
            </w:pPr>
            <w:r>
              <w:rPr>
                <w:rFonts w:ascii="Arial" w:cs="Arial" w:eastAsia="Arial" w:hAnsi="Arial"/>
                <w:sz w:val="17"/>
                <w:szCs w:val="17"/>
                <w:color w:val="auto"/>
              </w:rPr>
              <w:t>Product sales</w:t>
            </w:r>
          </w:p>
        </w:tc>
        <w:tc>
          <w:tcPr>
            <w:tcW w:w="1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227.0</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187.0</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12"/>
        </w:trPr>
        <w:tc>
          <w:tcPr>
            <w:tcW w:w="53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Unmanned Systems</w:t>
            </w:r>
          </w:p>
        </w:tc>
        <w:tc>
          <w:tcPr>
            <w:tcW w:w="14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231.9</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187.0</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r>
      <w:tr>
        <w:trPr>
          <w:trHeight w:val="213"/>
        </w:trPr>
        <w:tc>
          <w:tcPr>
            <w:tcW w:w="5320" w:type="dxa"/>
            <w:vAlign w:val="bottom"/>
          </w:tcPr>
          <w:p>
            <w:pPr>
              <w:ind w:left="320"/>
              <w:spacing w:after="0"/>
              <w:rPr>
                <w:sz w:val="20"/>
                <w:szCs w:val="20"/>
                <w:color w:val="auto"/>
              </w:rPr>
            </w:pPr>
            <w:r>
              <w:rPr>
                <w:rFonts w:ascii="Arial" w:cs="Arial" w:eastAsia="Arial" w:hAnsi="Arial"/>
                <w:sz w:val="17"/>
                <w:szCs w:val="17"/>
                <w:color w:val="auto"/>
              </w:rPr>
              <w:t>Total revenues</w:t>
            </w:r>
          </w:p>
        </w:tc>
        <w:tc>
          <w:tcPr>
            <w:tcW w:w="1420" w:type="dxa"/>
            <w:vAlign w:val="bottom"/>
            <w:tcBorders>
              <w:bottom w:val="single" w:sz="8" w:color="auto"/>
            </w:tcBorders>
          </w:tcPr>
          <w:p>
            <w:pPr>
              <w:jc w:val="right"/>
              <w:ind w:right="617"/>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811.5</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ind w:right="597"/>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747.7</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597"/>
              <w:spacing w:after="0"/>
              <w:rPr>
                <w:sz w:val="20"/>
                <w:szCs w:val="20"/>
                <w:color w:val="auto"/>
              </w:rPr>
            </w:pPr>
            <w:r>
              <w:rPr>
                <w:rFonts w:ascii="Arial" w:cs="Arial" w:eastAsia="Arial" w:hAnsi="Arial"/>
                <w:sz w:val="17"/>
                <w:szCs w:val="17"/>
                <w:color w:val="auto"/>
              </w:rPr>
              <w:t>$</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5"/>
        </w:trPr>
        <w:tc>
          <w:tcPr>
            <w:tcW w:w="5320" w:type="dxa"/>
            <w:vAlign w:val="bottom"/>
            <w:shd w:val="clear" w:color="auto" w:fill="CCEEFF"/>
          </w:tcPr>
          <w:p>
            <w:pPr>
              <w:ind w:left="640"/>
              <w:spacing w:after="0" w:line="185" w:lineRule="exact"/>
              <w:rPr>
                <w:sz w:val="20"/>
                <w:szCs w:val="20"/>
                <w:color w:val="auto"/>
              </w:rPr>
            </w:pPr>
            <w:r>
              <w:rPr>
                <w:rFonts w:ascii="Arial" w:cs="Arial" w:eastAsia="Arial" w:hAnsi="Arial"/>
                <w:sz w:val="17"/>
                <w:szCs w:val="17"/>
                <w:color w:val="auto"/>
              </w:rPr>
              <w:t>Depreciation and amortization:</w:t>
            </w:r>
          </w:p>
        </w:tc>
        <w:tc>
          <w:tcPr>
            <w:tcW w:w="1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8"/>
        </w:trPr>
        <w:tc>
          <w:tcPr>
            <w:tcW w:w="5320" w:type="dxa"/>
            <w:vAlign w:val="bottom"/>
          </w:tcPr>
          <w:p>
            <w:pPr>
              <w:ind w:left="180"/>
              <w:spacing w:after="0"/>
              <w:rPr>
                <w:sz w:val="20"/>
                <w:szCs w:val="20"/>
                <w:color w:val="auto"/>
              </w:rPr>
            </w:pPr>
            <w:r>
              <w:rPr>
                <w:rFonts w:ascii="Arial" w:cs="Arial" w:eastAsia="Arial" w:hAnsi="Arial"/>
                <w:sz w:val="17"/>
                <w:szCs w:val="17"/>
                <w:color w:val="auto"/>
              </w:rPr>
              <w:t>Kratos Government Solutions</w:t>
            </w:r>
          </w:p>
        </w:tc>
        <w:tc>
          <w:tcPr>
            <w:tcW w:w="1420" w:type="dxa"/>
            <w:vAlign w:val="bottom"/>
          </w:tcPr>
          <w:p>
            <w:pPr>
              <w:jc w:val="right"/>
              <w:ind w:right="617"/>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17.4</w:t>
            </w:r>
          </w:p>
        </w:tc>
        <w:tc>
          <w:tcPr>
            <w:tcW w:w="120" w:type="dxa"/>
            <w:vAlign w:val="bottom"/>
          </w:tcPr>
          <w:p>
            <w:pPr>
              <w:spacing w:after="0"/>
              <w:rPr>
                <w:sz w:val="18"/>
                <w:szCs w:val="18"/>
                <w:color w:val="auto"/>
              </w:rPr>
            </w:pPr>
          </w:p>
        </w:tc>
        <w:tc>
          <w:tcPr>
            <w:tcW w:w="1400" w:type="dxa"/>
            <w:vAlign w:val="bottom"/>
          </w:tcPr>
          <w:p>
            <w:pPr>
              <w:jc w:val="right"/>
              <w:ind w:right="597"/>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8"/>
                <w:szCs w:val="18"/>
                <w:color w:val="auto"/>
              </w:rPr>
            </w:pPr>
          </w:p>
        </w:tc>
        <w:tc>
          <w:tcPr>
            <w:tcW w:w="1420" w:type="dxa"/>
            <w:vAlign w:val="bottom"/>
          </w:tcPr>
          <w:p>
            <w:pPr>
              <w:jc w:val="right"/>
              <w:ind w:right="597"/>
              <w:spacing w:after="0"/>
              <w:rPr>
                <w:sz w:val="20"/>
                <w:szCs w:val="20"/>
                <w:color w:val="auto"/>
              </w:rPr>
            </w:pPr>
            <w:r>
              <w:rPr>
                <w:rFonts w:ascii="Arial" w:cs="Arial" w:eastAsia="Arial" w:hAnsi="Arial"/>
                <w:sz w:val="17"/>
                <w:szCs w:val="17"/>
                <w:color w:val="auto"/>
              </w:rPr>
              <w:t>$</w:t>
            </w:r>
          </w:p>
        </w:tc>
      </w:tr>
      <w:tr>
        <w:trPr>
          <w:trHeight w:val="219"/>
        </w:trPr>
        <w:tc>
          <w:tcPr>
            <w:tcW w:w="5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Unmanned Systems</w:t>
            </w: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r>
      <w:tr>
        <w:trPr>
          <w:trHeight w:val="213"/>
        </w:trPr>
        <w:tc>
          <w:tcPr>
            <w:tcW w:w="5320" w:type="dxa"/>
            <w:vAlign w:val="bottom"/>
          </w:tcPr>
          <w:p>
            <w:pPr>
              <w:ind w:left="320"/>
              <w:spacing w:after="0"/>
              <w:rPr>
                <w:sz w:val="20"/>
                <w:szCs w:val="20"/>
                <w:color w:val="auto"/>
              </w:rPr>
            </w:pPr>
            <w:r>
              <w:rPr>
                <w:rFonts w:ascii="Arial" w:cs="Arial" w:eastAsia="Arial" w:hAnsi="Arial"/>
                <w:sz w:val="17"/>
                <w:szCs w:val="17"/>
                <w:color w:val="auto"/>
              </w:rPr>
              <w:t>Total depreciation and amortization</w:t>
            </w:r>
          </w:p>
        </w:tc>
        <w:tc>
          <w:tcPr>
            <w:tcW w:w="1420" w:type="dxa"/>
            <w:vAlign w:val="bottom"/>
            <w:tcBorders>
              <w:bottom w:val="single" w:sz="8" w:color="auto"/>
            </w:tcBorders>
          </w:tcPr>
          <w:p>
            <w:pPr>
              <w:jc w:val="right"/>
              <w:ind w:right="617"/>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ind w:right="597"/>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597"/>
              <w:spacing w:after="0"/>
              <w:rPr>
                <w:sz w:val="20"/>
                <w:szCs w:val="20"/>
                <w:color w:val="auto"/>
              </w:rPr>
            </w:pPr>
            <w:r>
              <w:rPr>
                <w:rFonts w:ascii="Arial" w:cs="Arial" w:eastAsia="Arial" w:hAnsi="Arial"/>
                <w:sz w:val="17"/>
                <w:szCs w:val="17"/>
                <w:color w:val="auto"/>
              </w:rPr>
              <w:t>$</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5"/>
        </w:trPr>
        <w:tc>
          <w:tcPr>
            <w:tcW w:w="5320" w:type="dxa"/>
            <w:vAlign w:val="bottom"/>
            <w:shd w:val="clear" w:color="auto" w:fill="CCEEFF"/>
          </w:tcPr>
          <w:p>
            <w:pPr>
              <w:ind w:left="640"/>
              <w:spacing w:after="0" w:line="185" w:lineRule="exact"/>
              <w:rPr>
                <w:sz w:val="20"/>
                <w:szCs w:val="20"/>
                <w:color w:val="auto"/>
              </w:rPr>
            </w:pPr>
            <w:r>
              <w:rPr>
                <w:rFonts w:ascii="Arial" w:cs="Arial" w:eastAsia="Arial" w:hAnsi="Arial"/>
                <w:sz w:val="17"/>
                <w:szCs w:val="17"/>
                <w:color w:val="auto"/>
              </w:rPr>
              <w:t>Operating income:</w:t>
            </w:r>
          </w:p>
        </w:tc>
        <w:tc>
          <w:tcPr>
            <w:tcW w:w="1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8"/>
        </w:trPr>
        <w:tc>
          <w:tcPr>
            <w:tcW w:w="5320" w:type="dxa"/>
            <w:vAlign w:val="bottom"/>
          </w:tcPr>
          <w:p>
            <w:pPr>
              <w:ind w:left="180"/>
              <w:spacing w:after="0"/>
              <w:rPr>
                <w:sz w:val="20"/>
                <w:szCs w:val="20"/>
                <w:color w:val="auto"/>
              </w:rPr>
            </w:pPr>
            <w:r>
              <w:rPr>
                <w:rFonts w:ascii="Arial" w:cs="Arial" w:eastAsia="Arial" w:hAnsi="Arial"/>
                <w:sz w:val="17"/>
                <w:szCs w:val="17"/>
                <w:color w:val="auto"/>
              </w:rPr>
              <w:t>Kratos Government Solutions</w:t>
            </w:r>
          </w:p>
        </w:tc>
        <w:tc>
          <w:tcPr>
            <w:tcW w:w="1420" w:type="dxa"/>
            <w:vAlign w:val="bottom"/>
          </w:tcPr>
          <w:p>
            <w:pPr>
              <w:jc w:val="right"/>
              <w:ind w:right="617"/>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42.3</w:t>
            </w:r>
          </w:p>
        </w:tc>
        <w:tc>
          <w:tcPr>
            <w:tcW w:w="120" w:type="dxa"/>
            <w:vAlign w:val="bottom"/>
          </w:tcPr>
          <w:p>
            <w:pPr>
              <w:spacing w:after="0"/>
              <w:rPr>
                <w:sz w:val="18"/>
                <w:szCs w:val="18"/>
                <w:color w:val="auto"/>
              </w:rPr>
            </w:pPr>
          </w:p>
        </w:tc>
        <w:tc>
          <w:tcPr>
            <w:tcW w:w="1400" w:type="dxa"/>
            <w:vAlign w:val="bottom"/>
          </w:tcPr>
          <w:p>
            <w:pPr>
              <w:jc w:val="right"/>
              <w:ind w:right="597"/>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43.6</w:t>
            </w:r>
          </w:p>
        </w:tc>
        <w:tc>
          <w:tcPr>
            <w:tcW w:w="100" w:type="dxa"/>
            <w:vAlign w:val="bottom"/>
          </w:tcPr>
          <w:p>
            <w:pPr>
              <w:spacing w:after="0"/>
              <w:rPr>
                <w:sz w:val="18"/>
                <w:szCs w:val="18"/>
                <w:color w:val="auto"/>
              </w:rPr>
            </w:pPr>
          </w:p>
        </w:tc>
        <w:tc>
          <w:tcPr>
            <w:tcW w:w="1420" w:type="dxa"/>
            <w:vAlign w:val="bottom"/>
          </w:tcPr>
          <w:p>
            <w:pPr>
              <w:jc w:val="right"/>
              <w:ind w:right="597"/>
              <w:spacing w:after="0"/>
              <w:rPr>
                <w:sz w:val="20"/>
                <w:szCs w:val="20"/>
                <w:color w:val="auto"/>
              </w:rPr>
            </w:pPr>
            <w:r>
              <w:rPr>
                <w:rFonts w:ascii="Arial" w:cs="Arial" w:eastAsia="Arial" w:hAnsi="Arial"/>
                <w:sz w:val="17"/>
                <w:szCs w:val="17"/>
                <w:color w:val="auto"/>
              </w:rPr>
              <w:t>$</w:t>
            </w:r>
          </w:p>
        </w:tc>
      </w:tr>
      <w:tr>
        <w:trPr>
          <w:trHeight w:val="220"/>
        </w:trPr>
        <w:tc>
          <w:tcPr>
            <w:tcW w:w="5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Unmanned Systems</w:t>
            </w: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8"/>
        </w:trPr>
        <w:tc>
          <w:tcPr>
            <w:tcW w:w="53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Corporate activities</w:t>
            </w:r>
          </w:p>
        </w:tc>
        <w:tc>
          <w:tcPr>
            <w:tcW w:w="1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(27.6)</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(23.0)</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38"/>
        </w:trPr>
        <w:tc>
          <w:tcPr>
            <w:tcW w:w="5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operating income</w:t>
            </w:r>
          </w:p>
        </w:tc>
        <w:tc>
          <w:tcPr>
            <w:tcW w:w="1420" w:type="dxa"/>
            <w:vAlign w:val="bottom"/>
            <w:tcBorders>
              <w:bottom w:val="single" w:sz="8" w:color="auto"/>
            </w:tcBorders>
            <w:shd w:val="clear" w:color="auto" w:fill="CCEEFF"/>
          </w:tcPr>
          <w:p>
            <w:pPr>
              <w:jc w:val="right"/>
              <w:ind w:right="617"/>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7"/>
                <w:szCs w:val="17"/>
                <w:color w:val="auto"/>
              </w:rPr>
              <w:t>$</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Revenues from foreign customers were approximately $169.8 million or 21%, $139.5 million or 19% and $132.5 million or 18% of total revenue for the years ended December 26, 2021, December 27, 2020, and December 29, 2019, respectively.</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Reportable segment assets are as follows (in millions):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26, 2021</w:t>
            </w: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27, 2020</w:t>
            </w:r>
          </w:p>
        </w:tc>
        <w:tc>
          <w:tcPr>
            <w:tcW w:w="160" w:type="dxa"/>
            <w:vAlign w:val="bottom"/>
          </w:tcPr>
          <w:p>
            <w:pPr>
              <w:spacing w:after="0"/>
              <w:rPr>
                <w:sz w:val="16"/>
                <w:szCs w:val="16"/>
                <w:color w:val="auto"/>
              </w:rPr>
            </w:pPr>
          </w:p>
        </w:tc>
        <w:tc>
          <w:tcPr>
            <w:tcW w:w="1420" w:type="dxa"/>
            <w:vAlign w:val="bottom"/>
          </w:tcPr>
          <w:p>
            <w:pPr>
              <w:jc w:val="right"/>
              <w:ind w:right="157"/>
              <w:spacing w:after="0"/>
              <w:rPr>
                <w:sz w:val="20"/>
                <w:szCs w:val="20"/>
                <w:color w:val="auto"/>
              </w:rPr>
            </w:pPr>
            <w:r>
              <w:rPr>
                <w:rFonts w:ascii="Arial" w:cs="Arial" w:eastAsia="Arial" w:hAnsi="Arial"/>
                <w:sz w:val="14"/>
                <w:szCs w:val="14"/>
                <w:b w:val="1"/>
                <w:bCs w:val="1"/>
                <w:color w:val="auto"/>
                <w:w w:val="91"/>
              </w:rPr>
              <w:t>December 29, 2019</w:t>
            </w:r>
          </w:p>
        </w:tc>
      </w:tr>
      <w:tr>
        <w:trPr>
          <w:trHeight w:val="205"/>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8"/>
        </w:trPr>
        <w:tc>
          <w:tcPr>
            <w:tcW w:w="6280" w:type="dxa"/>
            <w:vAlign w:val="bottom"/>
          </w:tcPr>
          <w:p>
            <w:pPr>
              <w:ind w:left="180"/>
              <w:spacing w:after="0"/>
              <w:rPr>
                <w:sz w:val="20"/>
                <w:szCs w:val="20"/>
                <w:color w:val="auto"/>
              </w:rPr>
            </w:pPr>
            <w:r>
              <w:rPr>
                <w:rFonts w:ascii="Arial" w:cs="Arial" w:eastAsia="Arial" w:hAnsi="Arial"/>
                <w:sz w:val="17"/>
                <w:szCs w:val="17"/>
                <w:color w:val="auto"/>
              </w:rPr>
              <w:t>Kratos Government Solutions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907.6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877.2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777.6</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Unmanned Systems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246.3</w:t>
            </w:r>
          </w:p>
        </w:tc>
      </w:tr>
      <w:tr>
        <w:trPr>
          <w:trHeight w:val="218"/>
        </w:trPr>
        <w:tc>
          <w:tcPr>
            <w:tcW w:w="6280" w:type="dxa"/>
            <w:vAlign w:val="bottom"/>
          </w:tcPr>
          <w:p>
            <w:pPr>
              <w:ind w:left="180"/>
              <w:spacing w:after="0"/>
              <w:rPr>
                <w:sz w:val="20"/>
                <w:szCs w:val="20"/>
                <w:color w:val="auto"/>
              </w:rPr>
            </w:pPr>
            <w:r>
              <w:rPr>
                <w:rFonts w:ascii="Arial" w:cs="Arial" w:eastAsia="Arial" w:hAnsi="Arial"/>
                <w:sz w:val="17"/>
                <w:szCs w:val="17"/>
                <w:color w:val="auto"/>
              </w:rPr>
              <w:t>Discontinued operations</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19"/>
        </w:trPr>
        <w:tc>
          <w:tcPr>
            <w:tcW w:w="6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Corporate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158.8</w:t>
            </w:r>
          </w:p>
        </w:tc>
      </w:tr>
      <w:tr>
        <w:trPr>
          <w:trHeight w:val="213"/>
        </w:trPr>
        <w:tc>
          <w:tcPr>
            <w:tcW w:w="6280" w:type="dxa"/>
            <w:vAlign w:val="bottom"/>
          </w:tcPr>
          <w:p>
            <w:pPr>
              <w:ind w:left="320"/>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1,589.5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1,562.8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1,186.0</w:t>
            </w: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80" w:firstLine="619"/>
        <w:spacing w:after="0" w:line="279" w:lineRule="auto"/>
        <w:rPr>
          <w:sz w:val="20"/>
          <w:szCs w:val="20"/>
          <w:color w:val="auto"/>
        </w:rPr>
      </w:pPr>
      <w:r>
        <w:rPr>
          <w:rFonts w:ascii="Arial" w:cs="Arial" w:eastAsia="Arial" w:hAnsi="Arial"/>
          <w:sz w:val="17"/>
          <w:szCs w:val="17"/>
          <w:color w:val="auto"/>
        </w:rPr>
        <w:t>Assets of foreign subsidiaries in the KGS segment were $166.2 million, $148.2 million and $124.7 million as of December 26, 2021, December 27, 2020 and December 29, 2019, respectively.</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5"/>
          <w:szCs w:val="15"/>
          <w:b w:val="1"/>
          <w:bCs w:val="1"/>
          <w:color w:val="auto"/>
        </w:rPr>
        <w:t>Commitments and Contingencies</w:t>
      </w:r>
    </w:p>
    <w:p>
      <w:pPr>
        <w:spacing w:after="0" w:line="249" w:lineRule="exact"/>
        <w:rPr>
          <w:sz w:val="20"/>
          <w:szCs w:val="20"/>
          <w:color w:val="auto"/>
        </w:rPr>
      </w:pPr>
    </w:p>
    <w:p>
      <w:pPr>
        <w:ind w:right="180" w:firstLine="172"/>
        <w:spacing w:after="0" w:line="25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consolidated financial statements. An estimated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w:t>
      </w:r>
    </w:p>
    <w:p>
      <w:pPr>
        <w:spacing w:after="0" w:line="200" w:lineRule="exact"/>
        <w:rPr>
          <w:sz w:val="20"/>
          <w:szCs w:val="20"/>
          <w:color w:val="auto"/>
        </w:rPr>
      </w:pPr>
    </w:p>
    <w:p>
      <w:pPr>
        <w:spacing w:after="0" w:line="30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94" w:right="239" w:bottom="1440" w:gutter="0" w:footer="0" w:header="0"/>
        </w:sectPr>
      </w:pPr>
    </w:p>
    <w:bookmarkStart w:id="105" w:name="page106"/>
    <w:bookmarkEnd w:id="105"/>
    <w:p>
      <w:pPr>
        <w:spacing w:after="0" w:line="294" w:lineRule="auto"/>
        <w:rPr>
          <w:sz w:val="20"/>
          <w:szCs w:val="20"/>
          <w:color w:val="auto"/>
        </w:rPr>
      </w:pPr>
      <w:r>
        <w:rPr>
          <w:rFonts w:ascii="Arial" w:cs="Arial" w:eastAsia="Arial" w:hAnsi="Arial"/>
          <w:sz w:val="15"/>
          <w:szCs w:val="15"/>
          <w:color w:val="auto"/>
        </w:rPr>
        <w:t>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consolidated financial statements; and the unique facts and circumstances of the particular matter that may give rise to additional factors.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Legal and Regulatory Matters.</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U.S. Government Cost Claims</w:t>
      </w:r>
    </w:p>
    <w:p>
      <w:pPr>
        <w:spacing w:after="0" w:line="243"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The Company’s contracts with the DoD are subject to audit by the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Costs incurred and allocated to contracts with the U.S. Government are regularly scrutinized for compliance with regulatory standards by the Company’s personnel.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 Litigation Matters</w:t>
      </w:r>
    </w:p>
    <w:p>
      <w:pPr>
        <w:spacing w:after="0" w:line="243" w:lineRule="exact"/>
        <w:rPr>
          <w:sz w:val="20"/>
          <w:szCs w:val="20"/>
          <w:color w:val="auto"/>
        </w:rPr>
      </w:pPr>
    </w:p>
    <w:p>
      <w:pPr>
        <w:ind w:firstLine="619"/>
        <w:spacing w:after="0" w:line="307" w:lineRule="auto"/>
        <w:rPr>
          <w:sz w:val="20"/>
          <w:szCs w:val="20"/>
          <w:color w:val="auto"/>
        </w:rPr>
      </w:pPr>
      <w:r>
        <w:rPr>
          <w:rFonts w:ascii="Arial" w:cs="Arial" w:eastAsia="Arial" w:hAnsi="Arial"/>
          <w:sz w:val="15"/>
          <w:szCs w:val="15"/>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its financial condition, results of operations or cash flows.</w:t>
      </w:r>
    </w:p>
    <w:p>
      <w:pPr>
        <w:spacing w:after="0" w:line="16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Note 16.</w:t>
      </w:r>
      <w:r>
        <w:rPr>
          <w:sz w:val="20"/>
          <w:szCs w:val="20"/>
          <w:color w:val="auto"/>
        </w:rPr>
        <w:tab/>
      </w:r>
      <w:r>
        <w:rPr>
          <w:rFonts w:ascii="Arial" w:cs="Arial" w:eastAsia="Arial" w:hAnsi="Arial"/>
          <w:sz w:val="15"/>
          <w:szCs w:val="15"/>
          <w:b w:val="1"/>
          <w:bCs w:val="1"/>
          <w:color w:val="auto"/>
        </w:rPr>
        <w:t>Redeemable Noncontrolling Interest</w:t>
      </w:r>
    </w:p>
    <w:p>
      <w:pPr>
        <w:spacing w:after="0" w:line="200" w:lineRule="exact"/>
        <w:rPr>
          <w:sz w:val="20"/>
          <w:szCs w:val="20"/>
          <w:color w:val="auto"/>
        </w:rPr>
      </w:pPr>
    </w:p>
    <w:p>
      <w:pPr>
        <w:spacing w:after="0" w:line="281" w:lineRule="exact"/>
        <w:rPr>
          <w:sz w:val="20"/>
          <w:szCs w:val="20"/>
          <w:color w:val="auto"/>
        </w:rPr>
      </w:pPr>
    </w:p>
    <w:p>
      <w:pPr>
        <w:ind w:right="40" w:firstLine="162"/>
        <w:spacing w:after="0" w:line="258" w:lineRule="auto"/>
        <w:rPr>
          <w:sz w:val="20"/>
          <w:szCs w:val="20"/>
          <w:color w:val="auto"/>
        </w:rPr>
      </w:pPr>
      <w:r>
        <w:rPr>
          <w:rFonts w:ascii="Arial" w:cs="Arial" w:eastAsia="Arial" w:hAnsi="Arial"/>
          <w:sz w:val="17"/>
          <w:szCs w:val="17"/>
          <w:color w:val="auto"/>
        </w:rPr>
        <w:t>As discussed in “Acquisitions” in Note 2, in connection with the Company’s acquisition of FTT, (i) beginning in January 2024, the Holders will have an annual Put Right to sell all of the Minority Interests to the Company at a purchase price based on a specified multiple of the trailing 12 months EBITDA of the Acquired Companies, subject to adjustment as set forth in the Exchange Agreement (provided, however, that following certain events, including a change of control, the Put Right will be accelerated and the Minority Interest Purchase Price will be a specified increased multiple of the trailing 12 months EBITDA of the Acquired Companies); and (ii) beginning in January 2025, the Company will have an annual right to purchase all of the Minority Interests from the Holders at the Minority Interest Purchase Price.</w:t>
      </w:r>
    </w:p>
    <w:p>
      <w:pPr>
        <w:spacing w:after="0" w:line="209" w:lineRule="exact"/>
        <w:rPr>
          <w:sz w:val="20"/>
          <w:szCs w:val="20"/>
          <w:color w:val="auto"/>
        </w:rPr>
      </w:pPr>
    </w:p>
    <w:p>
      <w:pPr>
        <w:ind w:right="60" w:firstLine="169"/>
        <w:spacing w:after="0" w:line="259" w:lineRule="auto"/>
        <w:rPr>
          <w:sz w:val="20"/>
          <w:szCs w:val="20"/>
          <w:color w:val="auto"/>
        </w:rPr>
      </w:pPr>
      <w:r>
        <w:rPr>
          <w:rFonts w:ascii="Arial" w:cs="Arial" w:eastAsia="Arial" w:hAnsi="Arial"/>
          <w:sz w:val="17"/>
          <w:szCs w:val="17"/>
          <w:color w:val="auto"/>
        </w:rPr>
        <w:t>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Rights. Adjustments to Redemption Amount will have a corresponding effect on net income per share attributable to Kratos shareholders. As of December 26, 2021, no adjustment of the carrying value of the redeemable noncontrolling interest was required.</w:t>
      </w:r>
    </w:p>
    <w:p>
      <w:pPr>
        <w:spacing w:after="0" w:line="20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Note 17</w:t>
      </w:r>
      <w:r>
        <w:rPr>
          <w:sz w:val="20"/>
          <w:szCs w:val="20"/>
          <w:color w:val="auto"/>
        </w:rPr>
        <w:tab/>
      </w:r>
      <w:r>
        <w:rPr>
          <w:rFonts w:ascii="Arial" w:cs="Arial" w:eastAsia="Arial" w:hAnsi="Arial"/>
          <w:sz w:val="14"/>
          <w:szCs w:val="14"/>
          <w:b w:val="1"/>
          <w:bCs w:val="1"/>
          <w:color w:val="auto"/>
        </w:rPr>
        <w:t>Subsequent Events</w:t>
      </w:r>
    </w:p>
    <w:p>
      <w:pPr>
        <w:spacing w:after="0" w:line="236" w:lineRule="exact"/>
        <w:rPr>
          <w:sz w:val="20"/>
          <w:szCs w:val="20"/>
          <w:color w:val="auto"/>
        </w:rPr>
      </w:pPr>
    </w:p>
    <w:p>
      <w:pPr>
        <w:ind w:right="260" w:firstLine="619"/>
        <w:spacing w:after="0" w:line="248" w:lineRule="auto"/>
        <w:rPr>
          <w:sz w:val="20"/>
          <w:szCs w:val="20"/>
          <w:color w:val="auto"/>
        </w:rPr>
      </w:pPr>
      <w:r>
        <w:rPr>
          <w:rFonts w:ascii="Arial" w:cs="Arial" w:eastAsia="Arial" w:hAnsi="Arial"/>
          <w:sz w:val="17"/>
          <w:szCs w:val="17"/>
          <w:color w:val="auto"/>
        </w:rPr>
        <w:t>On December 27, 2021, Kratos Integral Holdings, LLC entered into a Stock Purchase Agreement to acquire Cosmic Advanced Engineering Solutions, Inc. (“Cosmic”) from Carol L. Zanmiller Living Trust and John G. Hutchens Living Trust for</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106" w:name="page107"/>
    <w:bookmarkEnd w:id="106"/>
    <w:p>
      <w:pPr>
        <w:ind w:right="120"/>
        <w:spacing w:after="0" w:line="249" w:lineRule="auto"/>
        <w:rPr>
          <w:sz w:val="20"/>
          <w:szCs w:val="20"/>
          <w:color w:val="auto"/>
        </w:rPr>
      </w:pPr>
      <w:r>
        <w:rPr>
          <w:rFonts w:ascii="Arial" w:cs="Arial" w:eastAsia="Arial" w:hAnsi="Arial"/>
          <w:sz w:val="16"/>
          <w:szCs w:val="16"/>
          <w:color w:val="auto"/>
        </w:rPr>
        <w:t>$37.5 million in cash, subject to adjustments for transaction expenses, indebtedness, cash on hand, and working capital adjustments. Cosmic focuses on radio frequency, terrestrial, and space-based communication solutions, including digital signals processing and geolocation analysis. In addition, Cosmic provides overhead persistent infrared for missile defense systems and embedded cyber solutions to U.S. government agencies. On December 27, 2021, the acquisition was completed following the satisfaction of all closing conditions, including receipt of regulatory approval from all required government authorities.</w:t>
      </w:r>
    </w:p>
    <w:p>
      <w:pPr>
        <w:spacing w:after="0" w:line="190" w:lineRule="exact"/>
        <w:rPr>
          <w:sz w:val="20"/>
          <w:szCs w:val="20"/>
          <w:color w:val="auto"/>
        </w:rPr>
      </w:pPr>
    </w:p>
    <w:p>
      <w:pPr>
        <w:ind w:firstLine="619"/>
        <w:spacing w:after="0" w:line="242" w:lineRule="auto"/>
        <w:rPr>
          <w:sz w:val="20"/>
          <w:szCs w:val="20"/>
          <w:color w:val="auto"/>
        </w:rPr>
      </w:pPr>
      <w:r>
        <w:rPr>
          <w:rFonts w:ascii="Arial" w:cs="Arial" w:eastAsia="Arial" w:hAnsi="Arial"/>
          <w:sz w:val="16"/>
          <w:szCs w:val="16"/>
          <w:color w:val="auto"/>
        </w:rPr>
        <w:t>On February 18, 2022, the Company completed the refinancing of its outstanding $90 million revolving credit facility and $300 million 6.5% Senior Secured Notes, with a new 5-year $200 million Revolving Credit Facility and 5-year $200 million Term Loan A (collectively, the “New Credit Facility”). The Company has drawn approximately $200 million under the Term Loan A and $100 million on the new Revolving Credit Facility, with $100 million remaining in borrowing capacity. On February 18, 2022, the proceeds of $300 million from the New Credit Facility along with cash funded by the Company for the 3.25% premium to redeem the Company’s outstanding Senior Secured Notes, plus accrued interest, was distributed to the trustee for redemption of the Senior Secured Notes. The redemption of the Company’s outstanding $300 million 6.5% Senior Secured Notes due November 2025 is expected to close on March 14, 2022, for an amount of cash equal to 103.25% of the principal amount thereof plus accrued and unpaid interest thereon.</w:t>
      </w:r>
    </w:p>
    <w:p>
      <w:pPr>
        <w:spacing w:after="0" w:line="197" w:lineRule="exact"/>
        <w:rPr>
          <w:sz w:val="20"/>
          <w:szCs w:val="20"/>
          <w:color w:val="auto"/>
        </w:rPr>
      </w:pPr>
    </w:p>
    <w:p>
      <w:pPr>
        <w:ind w:right="220" w:firstLine="619"/>
        <w:spacing w:after="0" w:line="282" w:lineRule="auto"/>
        <w:rPr>
          <w:sz w:val="20"/>
          <w:szCs w:val="20"/>
          <w:color w:val="auto"/>
        </w:rPr>
      </w:pPr>
      <w:r>
        <w:rPr>
          <w:rFonts w:ascii="Arial" w:cs="Arial" w:eastAsia="Arial" w:hAnsi="Arial"/>
          <w:sz w:val="15"/>
          <w:szCs w:val="15"/>
          <w:color w:val="auto"/>
        </w:rPr>
        <w:t>Mandatory amortization on the Term Loan A is 2.5% in each of the first and second years and 5.0% in each of the third, fourth and fifth years, with the remaining outstanding balance due at maturity. Based on the current borrowing rates under the New Credit Facility, which are based on the Secured Overnight Financing Rate (“SOFR”), and the current amount drawn, the Company expects to save approximately $10 to $13 million in cash interest payments annually.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220"/>
          </w:cols>
          <w:pgMar w:left="320" w:top="849" w:right="3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SECOND AMENDED AND RESTATED LEASE AGREEMENT</w:t>
      </w:r>
    </w:p>
    <w:p>
      <w:pPr>
        <w:spacing w:after="0" w:line="375" w:lineRule="exact"/>
        <w:rPr>
          <w:sz w:val="20"/>
          <w:szCs w:val="20"/>
          <w:color w:val="auto"/>
        </w:rPr>
      </w:pPr>
    </w:p>
    <w:p>
      <w:pPr>
        <w:jc w:val="both"/>
        <w:ind w:firstLine="619"/>
        <w:spacing w:after="0" w:line="213" w:lineRule="auto"/>
        <w:rPr>
          <w:sz w:val="20"/>
          <w:szCs w:val="20"/>
          <w:color w:val="auto"/>
        </w:rPr>
      </w:pPr>
      <w:r>
        <w:rPr>
          <w:rFonts w:ascii="Arial" w:cs="Arial" w:eastAsia="Arial" w:hAnsi="Arial"/>
          <w:sz w:val="19"/>
          <w:szCs w:val="19"/>
          <w:b w:val="1"/>
          <w:bCs w:val="1"/>
          <w:color w:val="auto"/>
        </w:rPr>
        <w:t xml:space="preserve">THIS SECOND AMENDED AND RESTATED LEASE AGREEMENT </w:t>
      </w:r>
      <w:r>
        <w:rPr>
          <w:rFonts w:ascii="Arial" w:cs="Arial" w:eastAsia="Arial" w:hAnsi="Arial"/>
          <w:sz w:val="19"/>
          <w:szCs w:val="19"/>
          <w:color w:val="auto"/>
        </w:rPr>
        <w:t>(this “</w:t>
      </w:r>
      <w:r>
        <w:rPr>
          <w:rFonts w:ascii="Arial" w:cs="Arial" w:eastAsia="Arial" w:hAnsi="Arial"/>
          <w:sz w:val="19"/>
          <w:szCs w:val="19"/>
          <w:u w:val="single" w:color="auto"/>
          <w:color w:val="auto"/>
        </w:rPr>
        <w:t>Lease</w:t>
      </w:r>
      <w:r>
        <w:rPr>
          <w:rFonts w:ascii="Arial" w:cs="Arial" w:eastAsia="Arial" w:hAnsi="Arial"/>
          <w:sz w:val="19"/>
          <w:szCs w:val="19"/>
          <w:color w:val="auto"/>
        </w:rPr>
        <w:t>”) is made as of December 20, 2019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STORE CAPITAL ACQUISITIONS, LLC</w:t>
      </w:r>
      <w:r>
        <w:rPr>
          <w:rFonts w:ascii="Arial" w:cs="Arial" w:eastAsia="Arial" w:hAnsi="Arial"/>
          <w:sz w:val="19"/>
          <w:szCs w:val="19"/>
          <w:color w:val="auto"/>
        </w:rPr>
        <w:t>, a Delaware limited liability company (“</w:t>
      </w:r>
      <w:r>
        <w:rPr>
          <w:rFonts w:ascii="Arial" w:cs="Arial" w:eastAsia="Arial" w:hAnsi="Arial"/>
          <w:sz w:val="19"/>
          <w:szCs w:val="19"/>
          <w:u w:val="single" w:color="auto"/>
          <w:color w:val="auto"/>
        </w:rPr>
        <w:t>Lessor</w:t>
      </w:r>
      <w:r>
        <w:rPr>
          <w:rFonts w:ascii="Arial" w:cs="Arial" w:eastAsia="Arial" w:hAnsi="Arial"/>
          <w:sz w:val="19"/>
          <w:szCs w:val="19"/>
          <w:color w:val="auto"/>
        </w:rPr>
        <w:t xml:space="preserve">”), whose address is 8377 E. Hartford Drive, Suite 100, Scottsdale, Arizona 85255, and </w:t>
      </w:r>
      <w:r>
        <w:rPr>
          <w:rFonts w:ascii="Arial" w:cs="Arial" w:eastAsia="Arial" w:hAnsi="Arial"/>
          <w:sz w:val="19"/>
          <w:szCs w:val="19"/>
          <w:b w:val="1"/>
          <w:bCs w:val="1"/>
          <w:color w:val="auto"/>
        </w:rPr>
        <w:t>KRATOS RT LOGIC, INC.</w:t>
      </w:r>
      <w:r>
        <w:rPr>
          <w:rFonts w:ascii="Arial" w:cs="Arial" w:eastAsia="Arial" w:hAnsi="Arial"/>
          <w:sz w:val="19"/>
          <w:szCs w:val="19"/>
          <w:color w:val="auto"/>
        </w:rPr>
        <w:t>, a Colorado corporation. (formerly known as REAL TIME LOGIC, INC.) (“</w:t>
      </w:r>
      <w:r>
        <w:rPr>
          <w:rFonts w:ascii="Arial" w:cs="Arial" w:eastAsia="Arial" w:hAnsi="Arial"/>
          <w:sz w:val="19"/>
          <w:szCs w:val="19"/>
          <w:u w:val="single" w:color="auto"/>
          <w:color w:val="auto"/>
        </w:rPr>
        <w:t>Lessee</w:t>
      </w:r>
      <w:r>
        <w:rPr>
          <w:rFonts w:ascii="Arial" w:cs="Arial" w:eastAsia="Arial" w:hAnsi="Arial"/>
          <w:sz w:val="19"/>
          <w:szCs w:val="19"/>
          <w:color w:val="auto"/>
        </w:rPr>
        <w:t xml:space="preserve">”), whose address is 12515 Academy Ridge View, Colorado Springs, Colorado 80921. Capitalized terms not defined herein shall have the meanings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w:t>
      </w:r>
    </w:p>
    <w:p>
      <w:pPr>
        <w:spacing w:after="0" w:line="163" w:lineRule="exact"/>
        <w:rPr>
          <w:sz w:val="20"/>
          <w:szCs w:val="20"/>
          <w:color w:val="auto"/>
        </w:rPr>
      </w:pPr>
    </w:p>
    <w:p>
      <w:pPr>
        <w:jc w:val="both"/>
        <w:ind w:firstLine="619"/>
        <w:spacing w:after="0" w:line="208" w:lineRule="auto"/>
        <w:rPr>
          <w:sz w:val="20"/>
          <w:szCs w:val="20"/>
          <w:color w:val="auto"/>
        </w:rPr>
      </w:pPr>
      <w:r>
        <w:rPr>
          <w:rFonts w:ascii="Arial" w:cs="Arial" w:eastAsia="Arial" w:hAnsi="Arial"/>
          <w:sz w:val="19"/>
          <w:szCs w:val="19"/>
          <w:color w:val="auto"/>
        </w:rPr>
        <w:t>This Lease amends and restates in its entirety that certain Amended and Restated Lease Agreement dated as of January 1, 2019, as amended from time to time, by and between Lessor and Lessee (, the “</w:t>
      </w:r>
      <w:r>
        <w:rPr>
          <w:rFonts w:ascii="Arial" w:cs="Arial" w:eastAsia="Arial" w:hAnsi="Arial"/>
          <w:sz w:val="19"/>
          <w:szCs w:val="19"/>
          <w:u w:val="single" w:color="auto"/>
          <w:color w:val="auto"/>
        </w:rPr>
        <w:t>Previous Lease</w:t>
      </w:r>
      <w:r>
        <w:rPr>
          <w:rFonts w:ascii="Arial" w:cs="Arial" w:eastAsia="Arial" w:hAnsi="Arial"/>
          <w:sz w:val="19"/>
          <w:szCs w:val="19"/>
          <w:color w:val="auto"/>
        </w:rPr>
        <w:t>”) by and between Lessor and Lessee. The terms of the Previous Lease shall remain in force and effect until the Previous Lease terminates at 11:59 p.m. on the date immediately prior to the Effective Date. The terms contained in this Lease shall apply to and be effective with respect to the period from and after the Effective Date, without novation, replacement or substitution of the Previous Lease.</w:t>
      </w:r>
    </w:p>
    <w:p>
      <w:pPr>
        <w:spacing w:after="0" w:line="162"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19"/>
          <w:szCs w:val="19"/>
          <w:color w:val="auto"/>
        </w:rPr>
        <w:t>In consideration of the mutual covenants and agreements herein contained, Lessor and Lessee hereby covenant and agree as follows:</w:t>
      </w:r>
    </w:p>
    <w:p>
      <w:pPr>
        <w:spacing w:after="0" w:line="137" w:lineRule="exact"/>
        <w:rPr>
          <w:sz w:val="20"/>
          <w:szCs w:val="20"/>
          <w:color w:val="auto"/>
        </w:rPr>
      </w:pPr>
    </w:p>
    <w:p>
      <w:pPr>
        <w:ind w:left="3100"/>
        <w:spacing w:after="0"/>
        <w:rPr>
          <w:sz w:val="20"/>
          <w:szCs w:val="20"/>
          <w:color w:val="auto"/>
        </w:rPr>
      </w:pPr>
      <w:r>
        <w:rPr>
          <w:rFonts w:ascii="Arial" w:cs="Arial" w:eastAsia="Arial" w:hAnsi="Arial"/>
          <w:sz w:val="19"/>
          <w:szCs w:val="19"/>
          <w:b w:val="1"/>
          <w:bCs w:val="1"/>
          <w:color w:val="auto"/>
        </w:rPr>
        <w:t>ARTICLE I</w:t>
      </w:r>
    </w:p>
    <w:p>
      <w:pPr>
        <w:spacing w:after="0" w:line="142" w:lineRule="exact"/>
        <w:rPr>
          <w:sz w:val="20"/>
          <w:szCs w:val="20"/>
          <w:color w:val="auto"/>
        </w:rPr>
      </w:pPr>
    </w:p>
    <w:p>
      <w:pPr>
        <w:ind w:left="3100"/>
        <w:spacing w:after="0"/>
        <w:rPr>
          <w:sz w:val="20"/>
          <w:szCs w:val="20"/>
          <w:color w:val="auto"/>
        </w:rPr>
      </w:pPr>
      <w:r>
        <w:rPr>
          <w:rFonts w:ascii="Arial" w:cs="Arial" w:eastAsia="Arial" w:hAnsi="Arial"/>
          <w:sz w:val="19"/>
          <w:szCs w:val="19"/>
          <w:b w:val="1"/>
          <w:bCs w:val="1"/>
          <w:color w:val="auto"/>
        </w:rPr>
        <w:t>BASIC LEASE TERMS</w:t>
      </w:r>
    </w:p>
    <w:p>
      <w:pPr>
        <w:spacing w:after="0" w:line="168"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b w:val="1"/>
          <w:bCs w:val="1"/>
          <w:color w:val="auto"/>
        </w:rPr>
        <w:t>Section 1.01. Property</w:t>
      </w:r>
      <w:r>
        <w:rPr>
          <w:rFonts w:ascii="Arial" w:cs="Arial" w:eastAsia="Arial" w:hAnsi="Arial"/>
          <w:sz w:val="19"/>
          <w:szCs w:val="19"/>
          <w:color w:val="auto"/>
        </w:rPr>
        <w:t>. The street address and legal description of the Property is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B</w:t>
      </w:r>
      <w:r>
        <w:rPr>
          <w:rFonts w:ascii="Arial" w:cs="Arial" w:eastAsia="Arial" w:hAnsi="Arial"/>
          <w:sz w:val="19"/>
          <w:szCs w:val="19"/>
          <w:b w:val="1"/>
          <w:bCs w:val="1"/>
          <w:color w:val="auto"/>
        </w:rPr>
        <w:t xml:space="preserve"> </w:t>
      </w:r>
      <w:r>
        <w:rPr>
          <w:rFonts w:ascii="Arial" w:cs="Arial" w:eastAsia="Arial" w:hAnsi="Arial"/>
          <w:sz w:val="19"/>
          <w:szCs w:val="19"/>
          <w:color w:val="auto"/>
        </w:rPr>
        <w:t>attached hereto and</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incorporated herein.</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1.02. Initial Term Expiration Date</w:t>
      </w:r>
      <w:r>
        <w:rPr>
          <w:rFonts w:ascii="Arial" w:cs="Arial" w:eastAsia="Arial" w:hAnsi="Arial"/>
          <w:sz w:val="19"/>
          <w:szCs w:val="19"/>
          <w:color w:val="auto"/>
        </w:rPr>
        <w:t>. December 31, 2033.</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1.03. Extension Options</w:t>
      </w:r>
      <w:r>
        <w:rPr>
          <w:rFonts w:ascii="Arial" w:cs="Arial" w:eastAsia="Arial" w:hAnsi="Arial"/>
          <w:sz w:val="19"/>
          <w:szCs w:val="19"/>
          <w:color w:val="auto"/>
        </w:rPr>
        <w:t>. Two (2) extensions of five (5) years each, as described in Section 3.02.</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1.04. Term Expiration Date (if fully extended)</w:t>
      </w:r>
      <w:r>
        <w:rPr>
          <w:rFonts w:ascii="Arial" w:cs="Arial" w:eastAsia="Arial" w:hAnsi="Arial"/>
          <w:sz w:val="19"/>
          <w:szCs w:val="19"/>
          <w:color w:val="auto"/>
        </w:rPr>
        <w:t>. December 31, 2043.</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1.05. Initial Base Annual Rental</w:t>
      </w:r>
      <w:r>
        <w:rPr>
          <w:rFonts w:ascii="Arial" w:cs="Arial" w:eastAsia="Arial" w:hAnsi="Arial"/>
          <w:sz w:val="19"/>
          <w:szCs w:val="19"/>
          <w:color w:val="auto"/>
        </w:rPr>
        <w:t>. $3,054,538.11, payable pursuant to Section 4.01.</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1.06. Rental Adjustment</w:t>
      </w:r>
      <w:r>
        <w:rPr>
          <w:rFonts w:ascii="Arial" w:cs="Arial" w:eastAsia="Arial" w:hAnsi="Arial"/>
          <w:sz w:val="19"/>
          <w:szCs w:val="19"/>
          <w:color w:val="auto"/>
        </w:rPr>
        <w:t>. The lesser of (i) 2%, or (ii) 1.0 times the change in the Price Index, as described in Section</w:t>
      </w:r>
    </w:p>
    <w:p>
      <w:pPr>
        <w:spacing w:after="0"/>
        <w:rPr>
          <w:sz w:val="20"/>
          <w:szCs w:val="20"/>
          <w:color w:val="auto"/>
        </w:rPr>
      </w:pPr>
      <w:r>
        <w:rPr>
          <w:rFonts w:ascii="Arial" w:cs="Arial" w:eastAsia="Arial" w:hAnsi="Arial"/>
          <w:sz w:val="19"/>
          <w:szCs w:val="19"/>
          <w:color w:val="auto"/>
        </w:rPr>
        <w:t>4.02.</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Section 1.07. Adjustment Date</w:t>
      </w:r>
      <w:r>
        <w:rPr>
          <w:rFonts w:ascii="Arial" w:cs="Arial" w:eastAsia="Arial" w:hAnsi="Arial"/>
          <w:sz w:val="18"/>
          <w:szCs w:val="18"/>
          <w:color w:val="auto"/>
        </w:rPr>
        <w:t>. June 1, 2020, and annually thereafter during the Lease Term (including any Extension Term).</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1.08. Guarantor</w:t>
      </w:r>
      <w:r>
        <w:rPr>
          <w:rFonts w:ascii="Arial" w:cs="Arial" w:eastAsia="Arial" w:hAnsi="Arial"/>
          <w:sz w:val="19"/>
          <w:szCs w:val="19"/>
          <w:color w:val="auto"/>
        </w:rPr>
        <w:t>. Kratos Defense &amp; Security Solutions, Inc.</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1.09. Lessee Tax Identification No</w:t>
      </w:r>
      <w:r>
        <w:rPr>
          <w:rFonts w:ascii="Arial" w:cs="Arial" w:eastAsia="Arial" w:hAnsi="Arial"/>
          <w:sz w:val="19"/>
          <w:szCs w:val="19"/>
          <w:color w:val="auto"/>
        </w:rPr>
        <w:t>. 74-3063615.</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1.10. Lessor Tax Identification No</w:t>
      </w:r>
      <w:r>
        <w:rPr>
          <w:rFonts w:ascii="Arial" w:cs="Arial" w:eastAsia="Arial" w:hAnsi="Arial"/>
          <w:sz w:val="19"/>
          <w:szCs w:val="19"/>
          <w:color w:val="auto"/>
        </w:rPr>
        <w:t>. 45-2674893.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STORE / RT Logic (Kratos)</w:t>
      </w:r>
    </w:p>
    <w:p>
      <w:pPr>
        <w:ind w:left="20"/>
        <w:spacing w:after="0" w:line="201"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100"/>
        <w:spacing w:after="0"/>
        <w:rPr>
          <w:sz w:val="20"/>
          <w:szCs w:val="20"/>
          <w:color w:val="auto"/>
        </w:rPr>
      </w:pPr>
      <w:r>
        <w:rPr>
          <w:rFonts w:ascii="Arial" w:cs="Arial" w:eastAsia="Arial" w:hAnsi="Arial"/>
          <w:sz w:val="19"/>
          <w:szCs w:val="19"/>
          <w:b w:val="1"/>
          <w:bCs w:val="1"/>
          <w:color w:val="auto"/>
        </w:rPr>
        <w:t>ARTICLE II</w:t>
      </w:r>
    </w:p>
    <w:p>
      <w:pPr>
        <w:spacing w:after="0" w:line="142" w:lineRule="exact"/>
        <w:rPr>
          <w:sz w:val="20"/>
          <w:szCs w:val="20"/>
          <w:color w:val="auto"/>
        </w:rPr>
      </w:pPr>
    </w:p>
    <w:p>
      <w:pPr>
        <w:ind w:left="3100"/>
        <w:spacing w:after="0"/>
        <w:rPr>
          <w:sz w:val="20"/>
          <w:szCs w:val="20"/>
          <w:color w:val="auto"/>
        </w:rPr>
      </w:pPr>
      <w:r>
        <w:rPr>
          <w:rFonts w:ascii="Arial" w:cs="Arial" w:eastAsia="Arial" w:hAnsi="Arial"/>
          <w:sz w:val="19"/>
          <w:szCs w:val="19"/>
          <w:b w:val="1"/>
          <w:bCs w:val="1"/>
          <w:color w:val="auto"/>
        </w:rPr>
        <w:t>LEASE OF PROPERTY</w:t>
      </w:r>
    </w:p>
    <w:p>
      <w:pPr>
        <w:spacing w:after="0" w:line="168" w:lineRule="exact"/>
        <w:rPr>
          <w:sz w:val="20"/>
          <w:szCs w:val="20"/>
          <w:color w:val="auto"/>
        </w:rPr>
      </w:pPr>
    </w:p>
    <w:p>
      <w:pPr>
        <w:jc w:val="both"/>
        <w:ind w:firstLine="619"/>
        <w:spacing w:after="0" w:line="213" w:lineRule="auto"/>
        <w:rPr>
          <w:sz w:val="20"/>
          <w:szCs w:val="20"/>
          <w:color w:val="auto"/>
        </w:rPr>
      </w:pPr>
      <w:r>
        <w:rPr>
          <w:rFonts w:ascii="Arial" w:cs="Arial" w:eastAsia="Arial" w:hAnsi="Arial"/>
          <w:sz w:val="19"/>
          <w:szCs w:val="19"/>
          <w:b w:val="1"/>
          <w:bCs w:val="1"/>
          <w:color w:val="auto"/>
        </w:rPr>
        <w:t>Section 1.01. Lease</w:t>
      </w:r>
      <w:r>
        <w:rPr>
          <w:rFonts w:ascii="Arial" w:cs="Arial" w:eastAsia="Arial" w:hAnsi="Arial"/>
          <w:sz w:val="19"/>
          <w:szCs w:val="19"/>
          <w:color w:val="auto"/>
        </w:rPr>
        <w:t>. In consideration of Lessee’s payment of the Rental and other Monetary Obligations and Lessee’s</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of all other obligations hereunder, Lessor hereby leases to Lessee, and Lessee hereby takes and hires, the Property, “AS IS” and “WHERE IS” without representation or warranty by Lessor, and subject to the existing state of title, the parties in possession, any statement of facts which an accurate survey or physical inspection might reveal, and all Legal Requirements now or hereafter in effect.</w:t>
      </w:r>
    </w:p>
    <w:p>
      <w:pPr>
        <w:spacing w:after="0" w:line="139"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19"/>
          <w:szCs w:val="19"/>
          <w:b w:val="1"/>
          <w:bCs w:val="1"/>
          <w:color w:val="auto"/>
        </w:rPr>
        <w:t>Section 1.02. Quiet Enjoyment</w:t>
      </w:r>
      <w:r>
        <w:rPr>
          <w:rFonts w:ascii="Arial" w:cs="Arial" w:eastAsia="Arial" w:hAnsi="Arial"/>
          <w:sz w:val="19"/>
          <w:szCs w:val="19"/>
          <w:color w:val="auto"/>
        </w:rPr>
        <w:t>. So long as Lessee shall pay the Rental and other Monetary Obligations provided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Lease and shall keep and perform all of the terms, covenants and conditions on its part contained herein and subject to the rights of Lessor under Section 12.02, Lessee shall have, subject to the terms and conditions set forth herein, the right to the peaceful and quiet enjoyment and occupancy of the Property.</w:t>
      </w:r>
    </w:p>
    <w:p>
      <w:pPr>
        <w:spacing w:after="0" w:line="138" w:lineRule="exact"/>
        <w:rPr>
          <w:sz w:val="20"/>
          <w:szCs w:val="20"/>
          <w:color w:val="auto"/>
        </w:rPr>
      </w:pPr>
    </w:p>
    <w:p>
      <w:pPr>
        <w:jc w:val="both"/>
        <w:ind w:firstLine="619"/>
        <w:spacing w:after="0" w:line="211" w:lineRule="auto"/>
        <w:rPr>
          <w:sz w:val="20"/>
          <w:szCs w:val="20"/>
          <w:color w:val="auto"/>
        </w:rPr>
      </w:pPr>
      <w:r>
        <w:rPr>
          <w:rFonts w:ascii="Arial" w:cs="Arial" w:eastAsia="Arial" w:hAnsi="Arial"/>
          <w:sz w:val="19"/>
          <w:szCs w:val="19"/>
          <w:b w:val="1"/>
          <w:bCs w:val="1"/>
          <w:color w:val="auto"/>
        </w:rPr>
        <w:t>Section 1.03. Warranty License</w:t>
      </w:r>
      <w:r>
        <w:rPr>
          <w:rFonts w:ascii="Arial" w:cs="Arial" w:eastAsia="Arial" w:hAnsi="Arial"/>
          <w:sz w:val="19"/>
          <w:szCs w:val="19"/>
          <w:color w:val="auto"/>
        </w:rPr>
        <w:t>. Lessor hereby grants to Lessee during the Lease Term a license to use and enforce all</w:t>
      </w:r>
      <w:r>
        <w:rPr>
          <w:rFonts w:ascii="Arial" w:cs="Arial" w:eastAsia="Arial" w:hAnsi="Arial"/>
          <w:sz w:val="19"/>
          <w:szCs w:val="19"/>
          <w:b w:val="1"/>
          <w:bCs w:val="1"/>
          <w:color w:val="auto"/>
        </w:rPr>
        <w:t xml:space="preserve"> </w:t>
      </w:r>
      <w:r>
        <w:rPr>
          <w:rFonts w:ascii="Arial" w:cs="Arial" w:eastAsia="Arial" w:hAnsi="Arial"/>
          <w:sz w:val="19"/>
          <w:szCs w:val="19"/>
          <w:color w:val="auto"/>
        </w:rPr>
        <w:t>warranties, guaranties, indemnities and similar rights (collectively, the “</w:t>
      </w:r>
      <w:r>
        <w:rPr>
          <w:rFonts w:ascii="Arial" w:cs="Arial" w:eastAsia="Arial" w:hAnsi="Arial"/>
          <w:sz w:val="19"/>
          <w:szCs w:val="19"/>
          <w:u w:val="single" w:color="auto"/>
          <w:color w:val="auto"/>
        </w:rPr>
        <w:t>Warranties</w:t>
      </w:r>
      <w:r>
        <w:rPr>
          <w:rFonts w:ascii="Arial" w:cs="Arial" w:eastAsia="Arial" w:hAnsi="Arial"/>
          <w:sz w:val="19"/>
          <w:szCs w:val="19"/>
          <w:color w:val="auto"/>
        </w:rPr>
        <w:t>”) which Lessor may have against any manufacturer, seller, engineer, contractor or builder in respect of any of the Property. Such license shall remain in effect until the expiration or earlier termination of this Lease, whereupon such license shall cease and Lessee shall have no further rights with respect to all of the Warranties without any further notice. Lessor shall also retain the right to enforce any Warranties upon the occurrence of an Event of Default. Lessee shall enforce the Warranties in accordance with their respective terms.</w:t>
      </w:r>
    </w:p>
    <w:p>
      <w:pPr>
        <w:spacing w:after="0" w:line="137" w:lineRule="exact"/>
        <w:rPr>
          <w:sz w:val="20"/>
          <w:szCs w:val="20"/>
          <w:color w:val="auto"/>
        </w:rPr>
      </w:pPr>
    </w:p>
    <w:p>
      <w:pPr>
        <w:ind w:left="5000"/>
        <w:spacing w:after="0"/>
        <w:rPr>
          <w:sz w:val="20"/>
          <w:szCs w:val="20"/>
          <w:color w:val="auto"/>
        </w:rPr>
      </w:pPr>
      <w:r>
        <w:rPr>
          <w:rFonts w:ascii="Arial" w:cs="Arial" w:eastAsia="Arial" w:hAnsi="Arial"/>
          <w:sz w:val="19"/>
          <w:szCs w:val="19"/>
          <w:b w:val="1"/>
          <w:bCs w:val="1"/>
          <w:color w:val="auto"/>
        </w:rPr>
        <w:t>ARTICLE III</w:t>
      </w:r>
    </w:p>
    <w:p>
      <w:pPr>
        <w:spacing w:after="0" w:line="142" w:lineRule="exact"/>
        <w:rPr>
          <w:sz w:val="20"/>
          <w:szCs w:val="20"/>
          <w:color w:val="auto"/>
        </w:rPr>
      </w:pPr>
    </w:p>
    <w:p>
      <w:pPr>
        <w:ind w:left="4420"/>
        <w:spacing w:after="0"/>
        <w:rPr>
          <w:sz w:val="20"/>
          <w:szCs w:val="20"/>
          <w:color w:val="auto"/>
        </w:rPr>
      </w:pPr>
      <w:r>
        <w:rPr>
          <w:rFonts w:ascii="Arial" w:cs="Arial" w:eastAsia="Arial" w:hAnsi="Arial"/>
          <w:sz w:val="19"/>
          <w:szCs w:val="19"/>
          <w:b w:val="1"/>
          <w:bCs w:val="1"/>
          <w:color w:val="auto"/>
        </w:rPr>
        <w:t>LEASE TERM; EXTENSION</w:t>
      </w:r>
    </w:p>
    <w:p>
      <w:pPr>
        <w:spacing w:after="0" w:line="168"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19"/>
          <w:szCs w:val="19"/>
          <w:b w:val="1"/>
          <w:bCs w:val="1"/>
          <w:color w:val="auto"/>
        </w:rPr>
        <w:t>Section 1.01. Initial Term</w:t>
      </w:r>
      <w:r>
        <w:rPr>
          <w:rFonts w:ascii="Arial" w:cs="Arial" w:eastAsia="Arial" w:hAnsi="Arial"/>
          <w:sz w:val="19"/>
          <w:szCs w:val="19"/>
          <w:color w:val="auto"/>
        </w:rPr>
        <w:t>. The initial term of this Lease (“</w:t>
      </w:r>
      <w:r>
        <w:rPr>
          <w:rFonts w:ascii="Arial" w:cs="Arial" w:eastAsia="Arial" w:hAnsi="Arial"/>
          <w:sz w:val="19"/>
          <w:szCs w:val="19"/>
          <w:u w:val="single" w:color="auto"/>
          <w:color w:val="auto"/>
        </w:rPr>
        <w:t>Initial Term</w:t>
      </w:r>
      <w:r>
        <w:rPr>
          <w:rFonts w:ascii="Arial" w:cs="Arial" w:eastAsia="Arial" w:hAnsi="Arial"/>
          <w:sz w:val="19"/>
          <w:szCs w:val="19"/>
          <w:color w:val="auto"/>
        </w:rPr>
        <w:t>”) shall expire at midnight on December 31, 2033, unless</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terminated sooner as provided in this Lease and as may be extended as provided herein. The time period during which this Lease shall actually be in effect, including any Extension Term, is referred to as the “</w:t>
      </w:r>
      <w:r>
        <w:rPr>
          <w:rFonts w:ascii="Arial" w:cs="Arial" w:eastAsia="Arial" w:hAnsi="Arial"/>
          <w:sz w:val="19"/>
          <w:szCs w:val="19"/>
          <w:u w:val="single" w:color="auto"/>
          <w:color w:val="auto"/>
        </w:rPr>
        <w:t>Lease Term</w:t>
      </w:r>
      <w:r>
        <w:rPr>
          <w:rFonts w:ascii="Arial" w:cs="Arial" w:eastAsia="Arial" w:hAnsi="Arial"/>
          <w:sz w:val="19"/>
          <w:szCs w:val="19"/>
          <w:color w:val="auto"/>
        </w:rPr>
        <w:t>.”</w:t>
      </w:r>
    </w:p>
    <w:p>
      <w:pPr>
        <w:spacing w:after="0" w:line="136"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19"/>
          <w:szCs w:val="19"/>
          <w:b w:val="1"/>
          <w:bCs w:val="1"/>
          <w:color w:val="auto"/>
        </w:rPr>
        <w:t>Section 1.02. Extensions</w:t>
      </w:r>
      <w:r>
        <w:rPr>
          <w:rFonts w:ascii="Arial" w:cs="Arial" w:eastAsia="Arial" w:hAnsi="Arial"/>
          <w:sz w:val="19"/>
          <w:szCs w:val="19"/>
          <w:color w:val="auto"/>
        </w:rPr>
        <w:t>. Unless this Lease has expired or has been sooner terminated, or an Event of Default has occurred</w:t>
      </w:r>
      <w:r>
        <w:rPr>
          <w:rFonts w:ascii="Arial" w:cs="Arial" w:eastAsia="Arial" w:hAnsi="Arial"/>
          <w:sz w:val="19"/>
          <w:szCs w:val="19"/>
          <w:b w:val="1"/>
          <w:bCs w:val="1"/>
          <w:color w:val="auto"/>
        </w:rPr>
        <w:t xml:space="preserve"> </w:t>
      </w:r>
      <w:r>
        <w:rPr>
          <w:rFonts w:ascii="Arial" w:cs="Arial" w:eastAsia="Arial" w:hAnsi="Arial"/>
          <w:sz w:val="19"/>
          <w:szCs w:val="19"/>
          <w:color w:val="auto"/>
        </w:rPr>
        <w:t>and is continuing at the time any extension option is exercised, Lessee shall have the right and option (each, an “</w:t>
      </w:r>
      <w:r>
        <w:rPr>
          <w:rFonts w:ascii="Arial" w:cs="Arial" w:eastAsia="Arial" w:hAnsi="Arial"/>
          <w:sz w:val="19"/>
          <w:szCs w:val="19"/>
          <w:u w:val="single" w:color="auto"/>
          <w:color w:val="auto"/>
        </w:rPr>
        <w:t>Extension Option</w:t>
      </w:r>
      <w:r>
        <w:rPr>
          <w:rFonts w:ascii="Arial" w:cs="Arial" w:eastAsia="Arial" w:hAnsi="Arial"/>
          <w:sz w:val="19"/>
          <w:szCs w:val="19"/>
          <w:color w:val="auto"/>
        </w:rPr>
        <w:t>”) to extend the Initial Term for the Property for two (2) additional successive periods of five (5) years each (each, an “</w:t>
      </w:r>
      <w:r>
        <w:rPr>
          <w:rFonts w:ascii="Arial" w:cs="Arial" w:eastAsia="Arial" w:hAnsi="Arial"/>
          <w:sz w:val="19"/>
          <w:szCs w:val="19"/>
          <w:u w:val="single" w:color="auto"/>
          <w:color w:val="auto"/>
        </w:rPr>
        <w:t>Extension Term</w:t>
      </w:r>
      <w:r>
        <w:rPr>
          <w:rFonts w:ascii="Arial" w:cs="Arial" w:eastAsia="Arial" w:hAnsi="Arial"/>
          <w:sz w:val="19"/>
          <w:szCs w:val="19"/>
          <w:color w:val="auto"/>
        </w:rPr>
        <w:t>”), pursuant to the terms and conditions of this Lease then in effect.</w:t>
      </w:r>
    </w:p>
    <w:p>
      <w:pPr>
        <w:spacing w:after="0" w:line="138" w:lineRule="exact"/>
        <w:rPr>
          <w:sz w:val="20"/>
          <w:szCs w:val="20"/>
          <w:color w:val="auto"/>
        </w:rPr>
      </w:pPr>
    </w:p>
    <w:p>
      <w:pPr>
        <w:jc w:val="both"/>
        <w:ind w:firstLine="619"/>
        <w:spacing w:after="0" w:line="211" w:lineRule="auto"/>
        <w:rPr>
          <w:sz w:val="20"/>
          <w:szCs w:val="20"/>
          <w:color w:val="auto"/>
        </w:rPr>
      </w:pPr>
      <w:r>
        <w:rPr>
          <w:rFonts w:ascii="Arial" w:cs="Arial" w:eastAsia="Arial" w:hAnsi="Arial"/>
          <w:sz w:val="19"/>
          <w:szCs w:val="19"/>
          <w:b w:val="1"/>
          <w:bCs w:val="1"/>
          <w:color w:val="auto"/>
        </w:rPr>
        <w:t>Section 1.03. Notice of Exercise</w:t>
      </w:r>
      <w:r>
        <w:rPr>
          <w:rFonts w:ascii="Arial" w:cs="Arial" w:eastAsia="Arial" w:hAnsi="Arial"/>
          <w:sz w:val="19"/>
          <w:szCs w:val="19"/>
          <w:color w:val="auto"/>
        </w:rPr>
        <w:t>. Lessee may only exercise the Extension Options by giving written notice thereof to Lessor</w:t>
      </w:r>
      <w:r>
        <w:rPr>
          <w:rFonts w:ascii="Arial" w:cs="Arial" w:eastAsia="Arial" w:hAnsi="Arial"/>
          <w:sz w:val="19"/>
          <w:szCs w:val="19"/>
          <w:b w:val="1"/>
          <w:bCs w:val="1"/>
          <w:color w:val="auto"/>
        </w:rPr>
        <w:t xml:space="preserve"> </w:t>
      </w:r>
      <w:r>
        <w:rPr>
          <w:rFonts w:ascii="Arial" w:cs="Arial" w:eastAsia="Arial" w:hAnsi="Arial"/>
          <w:sz w:val="19"/>
          <w:szCs w:val="19"/>
          <w:color w:val="auto"/>
        </w:rPr>
        <w:t>of its election to do so no later than one hundred twenty (120) days prior to the expiration of the then-current Lease Term. If written notice of the exercise of any Extension Option is not received by Lessor by the applicable dates described above, then this Lease shall terminate on the last day of the Initial Term or, if applicable, the last day of the Extension Term then in effect. Upon the request of Lessor or Lessee, the parties hereto will, at the expense of the requesting party, execute and exchange an instrument in recordable form setting forth the extension of the Lease Term in accordance with this Section 3.03.</w:t>
      </w:r>
    </w:p>
    <w:p>
      <w:pPr>
        <w:spacing w:after="0" w:line="137"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19"/>
          <w:szCs w:val="19"/>
          <w:b w:val="1"/>
          <w:bCs w:val="1"/>
          <w:color w:val="auto"/>
        </w:rPr>
        <w:t>Section 1.04. Removal of Personalty</w:t>
      </w:r>
      <w:r>
        <w:rPr>
          <w:rFonts w:ascii="Arial" w:cs="Arial" w:eastAsia="Arial" w:hAnsi="Arial"/>
          <w:sz w:val="19"/>
          <w:szCs w:val="19"/>
          <w:color w:val="auto"/>
        </w:rPr>
        <w:t>. Upon the expiration of the Lease Term, and if there is no then-existing continuing</w:t>
      </w:r>
      <w:r>
        <w:rPr>
          <w:rFonts w:ascii="Arial" w:cs="Arial" w:eastAsia="Arial" w:hAnsi="Arial"/>
          <w:sz w:val="19"/>
          <w:szCs w:val="19"/>
          <w:b w:val="1"/>
          <w:bCs w:val="1"/>
          <w:color w:val="auto"/>
        </w:rPr>
        <w:t xml:space="preserve"> </w:t>
      </w:r>
      <w:r>
        <w:rPr>
          <w:rFonts w:ascii="Arial" w:cs="Arial" w:eastAsia="Arial" w:hAnsi="Arial"/>
          <w:sz w:val="19"/>
          <w:szCs w:val="19"/>
          <w:color w:val="auto"/>
        </w:rPr>
        <w:t>Event of Default, Lessee may remove from the Property all personal property (subject to any rights of Lessee’s Institutional Lenders) belonging to Lessee.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2</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11" w:lineRule="auto"/>
        <w:rPr>
          <w:sz w:val="20"/>
          <w:szCs w:val="20"/>
          <w:color w:val="auto"/>
        </w:rPr>
      </w:pPr>
      <w:r>
        <w:rPr>
          <w:rFonts w:ascii="Arial" w:cs="Arial" w:eastAsia="Arial" w:hAnsi="Arial"/>
          <w:sz w:val="19"/>
          <w:szCs w:val="19"/>
          <w:color w:val="auto"/>
        </w:rPr>
        <w:t>Lessee shall repair any damage caused by such removal and shall leave the Property clean and in good and working condition and repair inside and out, subject to normal wear and tear, casualty and condemnation. Any property of Lessee left on the Property on the tenth day following the expiration of the Lease Term shall, at Lessor’s option, automatically and immediately become the property of Lessor.</w:t>
      </w:r>
    </w:p>
    <w:p>
      <w:pPr>
        <w:spacing w:after="0" w:line="136" w:lineRule="exact"/>
        <w:rPr>
          <w:sz w:val="20"/>
          <w:szCs w:val="20"/>
          <w:color w:val="auto"/>
        </w:rPr>
      </w:pPr>
    </w:p>
    <w:p>
      <w:pPr>
        <w:ind w:left="5000"/>
        <w:spacing w:after="0"/>
        <w:rPr>
          <w:sz w:val="20"/>
          <w:szCs w:val="20"/>
          <w:color w:val="auto"/>
        </w:rPr>
      </w:pPr>
      <w:r>
        <w:rPr>
          <w:rFonts w:ascii="Arial" w:cs="Arial" w:eastAsia="Arial" w:hAnsi="Arial"/>
          <w:sz w:val="19"/>
          <w:szCs w:val="19"/>
          <w:b w:val="1"/>
          <w:bCs w:val="1"/>
          <w:color w:val="auto"/>
        </w:rPr>
        <w:t>ARTICLE IV</w:t>
      </w:r>
    </w:p>
    <w:p>
      <w:pPr>
        <w:spacing w:after="0" w:line="142" w:lineRule="exact"/>
        <w:rPr>
          <w:sz w:val="20"/>
          <w:szCs w:val="20"/>
          <w:color w:val="auto"/>
        </w:rPr>
      </w:pPr>
    </w:p>
    <w:p>
      <w:pPr>
        <w:ind w:left="3420"/>
        <w:spacing w:after="0"/>
        <w:rPr>
          <w:sz w:val="20"/>
          <w:szCs w:val="20"/>
          <w:color w:val="auto"/>
        </w:rPr>
      </w:pPr>
      <w:r>
        <w:rPr>
          <w:rFonts w:ascii="Arial" w:cs="Arial" w:eastAsia="Arial" w:hAnsi="Arial"/>
          <w:sz w:val="19"/>
          <w:szCs w:val="19"/>
          <w:b w:val="1"/>
          <w:bCs w:val="1"/>
          <w:color w:val="auto"/>
        </w:rPr>
        <w:t>RENTAL AND OTHER MONETARY OBLIGATIONS</w:t>
      </w:r>
    </w:p>
    <w:p>
      <w:pPr>
        <w:spacing w:after="0" w:line="168" w:lineRule="exact"/>
        <w:rPr>
          <w:sz w:val="20"/>
          <w:szCs w:val="20"/>
          <w:color w:val="auto"/>
        </w:rPr>
      </w:pPr>
    </w:p>
    <w:p>
      <w:pPr>
        <w:jc w:val="both"/>
        <w:ind w:firstLine="619"/>
        <w:spacing w:after="0" w:line="213" w:lineRule="auto"/>
        <w:rPr>
          <w:sz w:val="20"/>
          <w:szCs w:val="20"/>
          <w:color w:val="auto"/>
        </w:rPr>
      </w:pPr>
      <w:r>
        <w:rPr>
          <w:rFonts w:ascii="Arial" w:cs="Arial" w:eastAsia="Arial" w:hAnsi="Arial"/>
          <w:sz w:val="19"/>
          <w:szCs w:val="19"/>
          <w:b w:val="1"/>
          <w:bCs w:val="1"/>
          <w:color w:val="auto"/>
        </w:rPr>
        <w:t>Section 1.01. Base Monthly Rental</w:t>
      </w:r>
      <w:r>
        <w:rPr>
          <w:rFonts w:ascii="Arial" w:cs="Arial" w:eastAsia="Arial" w:hAnsi="Arial"/>
          <w:sz w:val="19"/>
          <w:szCs w:val="19"/>
          <w:color w:val="auto"/>
        </w:rPr>
        <w:t>. During the Lease Term, on or before the first day of each calendar month, Lessee shall</w:t>
      </w:r>
      <w:r>
        <w:rPr>
          <w:rFonts w:ascii="Arial" w:cs="Arial" w:eastAsia="Arial" w:hAnsi="Arial"/>
          <w:sz w:val="19"/>
          <w:szCs w:val="19"/>
          <w:b w:val="1"/>
          <w:bCs w:val="1"/>
          <w:color w:val="auto"/>
        </w:rPr>
        <w:t xml:space="preserve"> </w:t>
      </w:r>
      <w:r>
        <w:rPr>
          <w:rFonts w:ascii="Arial" w:cs="Arial" w:eastAsia="Arial" w:hAnsi="Arial"/>
          <w:sz w:val="19"/>
          <w:szCs w:val="19"/>
          <w:color w:val="auto"/>
        </w:rPr>
        <w:t>pay in advance the Base Monthly Rental then in effect. If the Effective Date is a date other than the first day of the month, Lessee shall pay to Lessor on the Effective Date the Base Monthly Rental prorated by multiplying the Base Monthly Rental by a fraction, the numerator of which is the number of days remaining in the month (including the Effective Date) for which Rental is being paid, and the denominator of which is the total number of days in such month.</w:t>
      </w:r>
    </w:p>
    <w:p>
      <w:pPr>
        <w:spacing w:after="0" w:line="139"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19"/>
          <w:szCs w:val="19"/>
          <w:b w:val="1"/>
          <w:bCs w:val="1"/>
          <w:color w:val="auto"/>
        </w:rPr>
        <w:t>Section 1.02. Adjustments</w:t>
      </w:r>
      <w:r>
        <w:rPr>
          <w:rFonts w:ascii="Arial" w:cs="Arial" w:eastAsia="Arial" w:hAnsi="Arial"/>
          <w:sz w:val="19"/>
          <w:szCs w:val="19"/>
          <w:color w:val="auto"/>
        </w:rPr>
        <w:t>. During the Lease Term (including any Extension Term), on the first Adjustment Date and on each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Adjustment Date thereafter, the Base Annual Rental shall increase by an amount equal to the Rental Adjustment;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no event shall Base Annual Rental be reduced as a result of the application of the Rental Adjustment.</w:t>
      </w:r>
    </w:p>
    <w:p>
      <w:pPr>
        <w:spacing w:after="0" w:line="136" w:lineRule="exact"/>
        <w:rPr>
          <w:sz w:val="20"/>
          <w:szCs w:val="20"/>
          <w:color w:val="auto"/>
        </w:rPr>
      </w:pPr>
    </w:p>
    <w:p>
      <w:pPr>
        <w:jc w:val="both"/>
        <w:ind w:firstLine="619"/>
        <w:spacing w:after="0" w:line="211" w:lineRule="auto"/>
        <w:rPr>
          <w:sz w:val="20"/>
          <w:szCs w:val="20"/>
          <w:color w:val="auto"/>
        </w:rPr>
      </w:pPr>
      <w:r>
        <w:rPr>
          <w:rFonts w:ascii="Arial" w:cs="Arial" w:eastAsia="Arial" w:hAnsi="Arial"/>
          <w:sz w:val="19"/>
          <w:szCs w:val="19"/>
          <w:b w:val="1"/>
          <w:bCs w:val="1"/>
          <w:color w:val="auto"/>
        </w:rPr>
        <w:t>Section 1.03. Additional Rental</w:t>
      </w:r>
      <w:r>
        <w:rPr>
          <w:rFonts w:ascii="Arial" w:cs="Arial" w:eastAsia="Arial" w:hAnsi="Arial"/>
          <w:sz w:val="19"/>
          <w:szCs w:val="19"/>
          <w:color w:val="auto"/>
        </w:rPr>
        <w:t>. Lessee shall pay and discharge, as additional rental (“</w:t>
      </w:r>
      <w:r>
        <w:rPr>
          <w:rFonts w:ascii="Arial" w:cs="Arial" w:eastAsia="Arial" w:hAnsi="Arial"/>
          <w:sz w:val="19"/>
          <w:szCs w:val="19"/>
          <w:u w:val="single" w:color="auto"/>
          <w:color w:val="auto"/>
        </w:rPr>
        <w:t>Additional Rental</w:t>
      </w:r>
      <w:r>
        <w:rPr>
          <w:rFonts w:ascii="Arial" w:cs="Arial" w:eastAsia="Arial" w:hAnsi="Arial"/>
          <w:sz w:val="19"/>
          <w:szCs w:val="19"/>
          <w:color w:val="auto"/>
        </w:rPr>
        <w:t>”), all sums of money</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be paid by Lessee under this Lease which are not specifically referred to as Rental. Lessee shall pay and discharge any Additional Rental when the same shall become due, provided that amounts which are billed to Lessor or any third party, but not to Lessee, shall be paid within fifteen (15) Business Days after Lessor’s demand for payment thereof or, if earlier, when the same are due. In no event shall Lessee be required to pay to Lessor any item of Additional Rental that Lessee is obligated to pay and has paid to any third party pursuant to any provision of this Lease.</w:t>
      </w:r>
    </w:p>
    <w:p>
      <w:pPr>
        <w:spacing w:after="0" w:line="137" w:lineRule="exact"/>
        <w:rPr>
          <w:sz w:val="20"/>
          <w:szCs w:val="20"/>
          <w:color w:val="auto"/>
        </w:rPr>
      </w:pPr>
    </w:p>
    <w:p>
      <w:pPr>
        <w:jc w:val="both"/>
        <w:ind w:firstLine="619"/>
        <w:spacing w:after="0" w:line="209" w:lineRule="auto"/>
        <w:rPr>
          <w:sz w:val="20"/>
          <w:szCs w:val="20"/>
          <w:color w:val="auto"/>
        </w:rPr>
      </w:pPr>
      <w:r>
        <w:rPr>
          <w:rFonts w:ascii="Arial" w:cs="Arial" w:eastAsia="Arial" w:hAnsi="Arial"/>
          <w:sz w:val="19"/>
          <w:szCs w:val="19"/>
          <w:b w:val="1"/>
          <w:bCs w:val="1"/>
          <w:color w:val="auto"/>
        </w:rPr>
        <w:t>Section 1.04. Rentals to be Net to Lessor</w:t>
      </w:r>
      <w:r>
        <w:rPr>
          <w:rFonts w:ascii="Arial" w:cs="Arial" w:eastAsia="Arial" w:hAnsi="Arial"/>
          <w:sz w:val="19"/>
          <w:szCs w:val="19"/>
          <w:color w:val="auto"/>
        </w:rPr>
        <w:t>. The Base Annual Rental payable hereunder shall be net to Lessor, so that this</w:t>
      </w:r>
      <w:r>
        <w:rPr>
          <w:rFonts w:ascii="Arial" w:cs="Arial" w:eastAsia="Arial" w:hAnsi="Arial"/>
          <w:sz w:val="19"/>
          <w:szCs w:val="19"/>
          <w:b w:val="1"/>
          <w:bCs w:val="1"/>
          <w:color w:val="auto"/>
        </w:rPr>
        <w:t xml:space="preserve"> </w:t>
      </w:r>
      <w:r>
        <w:rPr>
          <w:rFonts w:ascii="Arial" w:cs="Arial" w:eastAsia="Arial" w:hAnsi="Arial"/>
          <w:sz w:val="19"/>
          <w:szCs w:val="19"/>
          <w:color w:val="auto"/>
        </w:rPr>
        <w:t>Lease shall yield to Lessor the Rentals specified during the Lease Term, and all Costs and obligations of every kind and nature whatsoever relating to the Property shall be performed and paid by Lessee, except as stated elsewhere in the Lease. Lessee shall perform all of its obligations under this Lease at its sole cost and expense. All Rental and other Monetary Obligations which Lessee is required to pay hereunder shall be the unconditional obligation of Lessee and shall be payable in full when due and payable, without notice or demand, and without any setoff, abatement, deferment, deduction or counterclaim whatsoever (except for any Monetary Obligations that arise from Lessor’s gross negligence or willful misconduct).</w:t>
      </w:r>
    </w:p>
    <w:p>
      <w:pPr>
        <w:spacing w:after="0" w:line="138" w:lineRule="exact"/>
        <w:rPr>
          <w:sz w:val="20"/>
          <w:szCs w:val="20"/>
          <w:color w:val="auto"/>
        </w:rPr>
      </w:pPr>
    </w:p>
    <w:p>
      <w:pPr>
        <w:jc w:val="both"/>
        <w:ind w:firstLine="619"/>
        <w:spacing w:after="0" w:line="206" w:lineRule="auto"/>
        <w:rPr>
          <w:sz w:val="20"/>
          <w:szCs w:val="20"/>
          <w:color w:val="auto"/>
        </w:rPr>
      </w:pPr>
      <w:r>
        <w:rPr>
          <w:rFonts w:ascii="Arial" w:cs="Arial" w:eastAsia="Arial" w:hAnsi="Arial"/>
          <w:sz w:val="19"/>
          <w:szCs w:val="19"/>
          <w:b w:val="1"/>
          <w:bCs w:val="1"/>
          <w:color w:val="auto"/>
        </w:rPr>
        <w:t>Section 1.05. Wire Transfer</w:t>
      </w:r>
      <w:r>
        <w:rPr>
          <w:rFonts w:ascii="Arial" w:cs="Arial" w:eastAsia="Arial" w:hAnsi="Arial"/>
          <w:sz w:val="19"/>
          <w:szCs w:val="19"/>
          <w:color w:val="auto"/>
        </w:rPr>
        <w:t>. Payments of the Base Monthly Rental and any other Monetary Obligations payable to Lessor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hereunder shall be paid in immediately available funds to the account identified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attached hereto, or to any other account as Lessor may from time to time designate to Lessee. Each such payment shall be made by Lessee by wire or other electronic transfer of funds, or automatic debit from an account designated by Lessee if so elected by Lessee. Lessee shall continue to pay all Rental and other Monetary Obligations in such manner unless otherwise directed by Lessor. Notwithstanding the foregoing, in the event that Lessee fails, more than twice during any calendar year, to pay the Base Monthly Rental by wire or other electronic transfer of funds when due, Lessee shall deliver to Lessor a complete Authorization Agreement – Pre-Arranged Payments in the form provided by Lessor together with a voided check for account verification, establishing arrangements whereby payments of the Base Monthly Rental are transferred by Automated Clearing House Debit initiated by Lessor.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Arial" w:cs="Arial" w:eastAsia="Arial" w:hAnsi="Arial"/>
          <w:sz w:val="19"/>
          <w:szCs w:val="19"/>
          <w:color w:val="auto"/>
        </w:rPr>
        <w:t>3</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19"/>
        <w:spacing w:after="0" w:line="209" w:lineRule="auto"/>
        <w:rPr>
          <w:sz w:val="20"/>
          <w:szCs w:val="20"/>
          <w:color w:val="auto"/>
        </w:rPr>
      </w:pPr>
      <w:r>
        <w:rPr>
          <w:rFonts w:ascii="Arial" w:cs="Arial" w:eastAsia="Arial" w:hAnsi="Arial"/>
          <w:sz w:val="19"/>
          <w:szCs w:val="19"/>
          <w:b w:val="1"/>
          <w:bCs w:val="1"/>
          <w:color w:val="auto"/>
        </w:rPr>
        <w:t>Section 1.06. Late Charges; Default Interest</w:t>
      </w:r>
      <w:r>
        <w:rPr>
          <w:rFonts w:ascii="Arial" w:cs="Arial" w:eastAsia="Arial" w:hAnsi="Arial"/>
          <w:sz w:val="19"/>
          <w:szCs w:val="19"/>
          <w:color w:val="auto"/>
        </w:rPr>
        <w:t>. Any delinquent payment not made within three (3) Business Days of the date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such payment is due (provided that such three (3) Business Day grace period shall only be available once in any twelve (12) month period) shall, in addition to any other remedy of Lessor, incur a late charge of five percent (5%) (which late charge is intended to compensate Lessor for the cost of handling and processing such delinquent payment and should not be considered interest) and bear interest at the Default Rate, such interest to be computed from and including the date such payment was due through and including the date of the payment; </w:t>
      </w:r>
      <w:r>
        <w:rPr>
          <w:rFonts w:ascii="Arial" w:cs="Arial" w:eastAsia="Arial" w:hAnsi="Arial"/>
          <w:sz w:val="19"/>
          <w:szCs w:val="19"/>
          <w:i w:val="1"/>
          <w:iCs w:val="1"/>
          <w:color w:val="auto"/>
        </w:rPr>
        <w:t>provided, however</w:t>
      </w:r>
      <w:r>
        <w:rPr>
          <w:rFonts w:ascii="Arial" w:cs="Arial" w:eastAsia="Arial" w:hAnsi="Arial"/>
          <w:sz w:val="19"/>
          <w:szCs w:val="19"/>
          <w:color w:val="auto"/>
        </w:rPr>
        <w:t>, in no event shall Lessee be obligated to pay a sum of late charge and interest higher than the maximum legal rate then in effect.</w:t>
      </w:r>
    </w:p>
    <w:p>
      <w:pPr>
        <w:spacing w:after="0" w:line="138" w:lineRule="exact"/>
        <w:rPr>
          <w:sz w:val="20"/>
          <w:szCs w:val="20"/>
          <w:color w:val="auto"/>
        </w:rPr>
      </w:pPr>
    </w:p>
    <w:p>
      <w:pPr>
        <w:jc w:val="both"/>
        <w:ind w:firstLine="619"/>
        <w:spacing w:after="0" w:line="207" w:lineRule="auto"/>
        <w:rPr>
          <w:sz w:val="20"/>
          <w:szCs w:val="20"/>
          <w:color w:val="auto"/>
        </w:rPr>
      </w:pPr>
      <w:r>
        <w:rPr>
          <w:rFonts w:ascii="Arial" w:cs="Arial" w:eastAsia="Arial" w:hAnsi="Arial"/>
          <w:sz w:val="19"/>
          <w:szCs w:val="19"/>
          <w:b w:val="1"/>
          <w:bCs w:val="1"/>
          <w:color w:val="auto"/>
        </w:rPr>
        <w:t>Section 1.07. Holdover</w:t>
      </w:r>
      <w:r>
        <w:rPr>
          <w:rFonts w:ascii="Arial" w:cs="Arial" w:eastAsia="Arial" w:hAnsi="Arial"/>
          <w:sz w:val="19"/>
          <w:szCs w:val="19"/>
          <w:color w:val="auto"/>
        </w:rPr>
        <w:t>. If Lessee remains in possession of the Property after the expiration of the term hereof, Lessee, 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Lessor’s option and within Lessor’s sole discretion, may be deemed a tenant on a month-to-month basis and shall continue to pay Rentals and other Monetary Obligations in the amounts herein provided, except that the Base Monthly Rental shall be automatically increased to one hundred twenty-five percent (125%) of the last Base Monthly Rental payable under this Lease, and Lessee shall comply with all the terms of this Lease;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nothing herein nor the acceptance of Rental by Lessor shall be deemed a consent to such holding over. Lessee shall defend (using counsel chosen by Lessee and approved by Lessor), indemnify, protect and hold the Indemnified Parties harmless from and against any and all Losses resulting from Lessee’s failure to surrender possession upon the expiration of the Lease Term.</w:t>
      </w:r>
    </w:p>
    <w:p>
      <w:pPr>
        <w:spacing w:after="0" w:line="143"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b w:val="1"/>
          <w:bCs w:val="1"/>
          <w:color w:val="auto"/>
        </w:rPr>
        <w:t>Section 1.08. Guaranty</w:t>
      </w:r>
      <w:r>
        <w:rPr>
          <w:rFonts w:ascii="Arial" w:cs="Arial" w:eastAsia="Arial" w:hAnsi="Arial"/>
          <w:sz w:val="19"/>
          <w:szCs w:val="19"/>
          <w:color w:val="auto"/>
        </w:rPr>
        <w:t>. On or before the execution of this Lease, Lessee shall cause Guarantor to execute and deliver to</w:t>
      </w:r>
      <w:r>
        <w:rPr>
          <w:rFonts w:ascii="Arial" w:cs="Arial" w:eastAsia="Arial" w:hAnsi="Arial"/>
          <w:sz w:val="19"/>
          <w:szCs w:val="19"/>
          <w:b w:val="1"/>
          <w:bCs w:val="1"/>
          <w:color w:val="auto"/>
        </w:rPr>
        <w:t xml:space="preserve"> </w:t>
      </w:r>
      <w:r>
        <w:rPr>
          <w:rFonts w:ascii="Arial" w:cs="Arial" w:eastAsia="Arial" w:hAnsi="Arial"/>
          <w:sz w:val="19"/>
          <w:szCs w:val="19"/>
          <w:color w:val="auto"/>
        </w:rPr>
        <w:t>Lessor the Guaranty.</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1.09. Security Deposit</w:t>
      </w:r>
      <w:r>
        <w:rPr>
          <w:rFonts w:ascii="Arial" w:cs="Arial" w:eastAsia="Arial" w:hAnsi="Arial"/>
          <w:sz w:val="19"/>
          <w:szCs w:val="19"/>
          <w:color w:val="auto"/>
        </w:rPr>
        <w:t>.</w:t>
      </w:r>
    </w:p>
    <w:p>
      <w:pPr>
        <w:spacing w:after="0" w:line="192" w:lineRule="exact"/>
        <w:rPr>
          <w:sz w:val="20"/>
          <w:szCs w:val="20"/>
          <w:color w:val="auto"/>
        </w:rPr>
      </w:pPr>
    </w:p>
    <w:p>
      <w:pPr>
        <w:jc w:val="both"/>
        <w:ind w:left="620" w:firstLine="621"/>
        <w:spacing w:after="0" w:line="209" w:lineRule="auto"/>
        <w:tabs>
          <w:tab w:leader="none" w:pos="1856" w:val="left"/>
        </w:tabs>
        <w:numPr>
          <w:ilvl w:val="1"/>
          <w:numId w:val="39"/>
        </w:numPr>
        <w:rPr>
          <w:rFonts w:ascii="Arial" w:cs="Arial" w:eastAsia="Arial" w:hAnsi="Arial"/>
          <w:sz w:val="18"/>
          <w:szCs w:val="18"/>
          <w:color w:val="auto"/>
        </w:rPr>
      </w:pPr>
      <w:r>
        <w:rPr>
          <w:rFonts w:ascii="Arial" w:cs="Arial" w:eastAsia="Arial" w:hAnsi="Arial"/>
          <w:sz w:val="18"/>
          <w:szCs w:val="18"/>
          <w:color w:val="auto"/>
        </w:rPr>
        <w:t>Lessee has paid Lessor upon the delivery of the Previous Lease a security deposit in the total amount of $250,000 (the “</w:t>
      </w:r>
      <w:r>
        <w:rPr>
          <w:rFonts w:ascii="Arial" w:cs="Arial" w:eastAsia="Arial" w:hAnsi="Arial"/>
          <w:sz w:val="18"/>
          <w:szCs w:val="18"/>
          <w:u w:val="single" w:color="auto"/>
          <w:color w:val="auto"/>
        </w:rPr>
        <w:t>Security Deposit</w:t>
      </w:r>
      <w:r>
        <w:rPr>
          <w:rFonts w:ascii="Arial" w:cs="Arial" w:eastAsia="Arial" w:hAnsi="Arial"/>
          <w:sz w:val="18"/>
          <w:szCs w:val="18"/>
          <w:color w:val="auto"/>
        </w:rPr>
        <w:t xml:space="preserve">”) as security for the full and faithful performance by Lessee of each and every term, provision, covenant and condition of this Lease. Upon the occurrence of an Event of Default, Lessor may, but shall not be required to, use, apply or retain the whole or any part of the Security Deposit for the payment of any Monetary Obligation (including Rental) in default or for any other sum which Lessor may expend or be required to expend by reason of Lessee’s default, including any damages or deficiency in the reletting of the Property, whether such damages or deficiency accrue before or after summary proceedings or other re-entry by Lessor;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each time Lessor so uses any amount of the Security Deposit,</w:t>
      </w:r>
    </w:p>
    <w:p>
      <w:pPr>
        <w:spacing w:after="0" w:line="1" w:lineRule="exact"/>
        <w:rPr>
          <w:rFonts w:ascii="Arial" w:cs="Arial" w:eastAsia="Arial" w:hAnsi="Arial"/>
          <w:sz w:val="18"/>
          <w:szCs w:val="18"/>
          <w:color w:val="auto"/>
        </w:rPr>
      </w:pPr>
    </w:p>
    <w:p>
      <w:pPr>
        <w:jc w:val="both"/>
        <w:ind w:left="620" w:firstLine="2"/>
        <w:spacing w:after="0" w:line="208" w:lineRule="auto"/>
        <w:tabs>
          <w:tab w:leader="none" w:pos="935"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Lessee shall have fifteen (15) days to replenish the Security Deposit as described in this Section 4.09(a) before such deficiency begins to bear interest at the Default Rate (which shall thereafter accrue until the Security Deposit has been replenished),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(b) Lessee shall, within thirty (30) days after Lessor’s written request therefor, deposit additional money with Lessor sufficient to restore the Security Deposit to a sum equal to the original amount of the Security Deposit (or the reduced amount of the Security Deposit if reduced pursuant to Section 4.09(c), below).</w:t>
      </w:r>
    </w:p>
    <w:p>
      <w:pPr>
        <w:spacing w:after="0" w:line="161" w:lineRule="exact"/>
        <w:rPr>
          <w:rFonts w:ascii="Arial" w:cs="Arial" w:eastAsia="Arial" w:hAnsi="Arial"/>
          <w:sz w:val="19"/>
          <w:szCs w:val="19"/>
          <w:color w:val="auto"/>
        </w:rPr>
      </w:pPr>
    </w:p>
    <w:p>
      <w:pPr>
        <w:jc w:val="both"/>
        <w:ind w:left="620" w:firstLine="621"/>
        <w:spacing w:after="0" w:line="204" w:lineRule="auto"/>
        <w:tabs>
          <w:tab w:leader="none" w:pos="1856" w:val="left"/>
        </w:tabs>
        <w:numPr>
          <w:ilvl w:val="1"/>
          <w:numId w:val="40"/>
        </w:numPr>
        <w:rPr>
          <w:rFonts w:ascii="Arial" w:cs="Arial" w:eastAsia="Arial" w:hAnsi="Arial"/>
          <w:sz w:val="19"/>
          <w:szCs w:val="19"/>
          <w:color w:val="auto"/>
        </w:rPr>
      </w:pPr>
      <w:r>
        <w:rPr>
          <w:rFonts w:ascii="Arial" w:cs="Arial" w:eastAsia="Arial" w:hAnsi="Arial"/>
          <w:sz w:val="19"/>
          <w:szCs w:val="19"/>
          <w:color w:val="auto"/>
        </w:rPr>
        <w:t>If Lessee shall fully and faithfully comply with all of the terms, provisions, covenants and conditions of this Lease, the Security Deposit, or any balance thereof, shall be returned to Lessee after the time fixed as the expiration of the Lease Term of this Lease and after the removal of Lessee and surrender of possession of the Property to Lessor. In the absence of evidence satisfactory to Lessor of an assignment of the right to receive the Security Deposit, or the remaining balance thereof, Lessor may return the security to the original Lessee, regardless of one or more assignments of this Lease. In case of a sale or transfer of the fee of the Property, or any cessation of Lessor’s interest therein (including in connection with a Lessor bankruptcy or a Lessor default under any of its loans), whether in whole or in part, Lessor shall pay over any unapplied part of the Security Deposit to the succeeding owner of the Property and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Arial" w:cs="Arial" w:eastAsia="Arial" w:hAnsi="Arial"/>
          <w:sz w:val="19"/>
          <w:szCs w:val="19"/>
          <w:color w:val="auto"/>
        </w:rPr>
        <w:t>4</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20"/>
        <w:spacing w:after="0" w:line="205" w:lineRule="auto"/>
        <w:rPr>
          <w:sz w:val="20"/>
          <w:szCs w:val="20"/>
          <w:color w:val="auto"/>
        </w:rPr>
      </w:pPr>
      <w:r>
        <w:rPr>
          <w:rFonts w:ascii="Arial" w:cs="Arial" w:eastAsia="Arial" w:hAnsi="Arial"/>
          <w:sz w:val="19"/>
          <w:szCs w:val="19"/>
          <w:color w:val="auto"/>
        </w:rPr>
        <w:t>and after such payment Lessor shall be relieved of all liability with respect thereto so long as such succeeding owner acknowledges receipt of the Security Deposit (or any remaining portion thereof), in writing, and a copy of such writing is provided to Lessee. The provisions of the preceding sentence shall apply to every subsequent sale or transfer of the fee of the Property, and any successor of Lessor may, upon a sale, transfer or other cessation of the interest of such successor in the Property, whether in whole or in part, pay over any unapplied part of the Security Deposit to the successor owner of the Property and shall thereupon be relieved of all liability with respect thereto so long as such succeeding owner acknowledges receipt of the Security Deposit (or any remaining portion thereof), in writing, and a copy of such writing is provided to Lessee.</w:t>
      </w:r>
    </w:p>
    <w:p>
      <w:pPr>
        <w:spacing w:after="0" w:line="139" w:lineRule="exact"/>
        <w:rPr>
          <w:sz w:val="20"/>
          <w:szCs w:val="20"/>
          <w:color w:val="auto"/>
        </w:rPr>
      </w:pPr>
    </w:p>
    <w:p>
      <w:pPr>
        <w:ind w:left="5000"/>
        <w:spacing w:after="0"/>
        <w:rPr>
          <w:sz w:val="20"/>
          <w:szCs w:val="20"/>
          <w:color w:val="auto"/>
        </w:rPr>
      </w:pPr>
      <w:r>
        <w:rPr>
          <w:rFonts w:ascii="Arial" w:cs="Arial" w:eastAsia="Arial" w:hAnsi="Arial"/>
          <w:sz w:val="19"/>
          <w:szCs w:val="19"/>
          <w:b w:val="1"/>
          <w:bCs w:val="1"/>
          <w:color w:val="auto"/>
        </w:rPr>
        <w:t>ARTICLE V</w:t>
      </w:r>
    </w:p>
    <w:p>
      <w:pPr>
        <w:spacing w:after="0" w:line="142" w:lineRule="exact"/>
        <w:rPr>
          <w:sz w:val="20"/>
          <w:szCs w:val="20"/>
          <w:color w:val="auto"/>
        </w:rPr>
      </w:pPr>
    </w:p>
    <w:p>
      <w:pPr>
        <w:ind w:left="3820"/>
        <w:spacing w:after="0"/>
        <w:rPr>
          <w:sz w:val="20"/>
          <w:szCs w:val="20"/>
          <w:color w:val="auto"/>
        </w:rPr>
      </w:pPr>
      <w:r>
        <w:rPr>
          <w:rFonts w:ascii="Arial" w:cs="Arial" w:eastAsia="Arial" w:hAnsi="Arial"/>
          <w:sz w:val="19"/>
          <w:szCs w:val="19"/>
          <w:b w:val="1"/>
          <w:bCs w:val="1"/>
          <w:color w:val="auto"/>
        </w:rPr>
        <w:t>REPRESENTATIONS AND WARRANTIES</w:t>
      </w:r>
    </w:p>
    <w:p>
      <w:pPr>
        <w:spacing w:after="0" w:line="192"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19"/>
          <w:szCs w:val="19"/>
          <w:color w:val="auto"/>
        </w:rPr>
        <w:t>The representations and warranties of each party contained in this Article V are being made to induce the other party to enter into this Lease, and the parties have relied, and will continue to rely, upon such representations and warranties.</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With respect to Sections 5.01 through 5.07, Lessee represents and warrants to Lessor as follows:</w:t>
      </w:r>
    </w:p>
    <w:p>
      <w:pPr>
        <w:spacing w:after="0" w:line="168" w:lineRule="exact"/>
        <w:rPr>
          <w:sz w:val="20"/>
          <w:szCs w:val="20"/>
          <w:color w:val="auto"/>
        </w:rPr>
      </w:pPr>
    </w:p>
    <w:p>
      <w:pPr>
        <w:jc w:val="both"/>
        <w:ind w:firstLine="619"/>
        <w:spacing w:after="0" w:line="207" w:lineRule="auto"/>
        <w:rPr>
          <w:sz w:val="20"/>
          <w:szCs w:val="20"/>
          <w:color w:val="auto"/>
        </w:rPr>
      </w:pPr>
      <w:r>
        <w:rPr>
          <w:rFonts w:ascii="Arial" w:cs="Arial" w:eastAsia="Arial" w:hAnsi="Arial"/>
          <w:sz w:val="19"/>
          <w:szCs w:val="19"/>
          <w:b w:val="1"/>
          <w:bCs w:val="1"/>
          <w:color w:val="auto"/>
        </w:rPr>
        <w:t>Section 1.01. Organization, Authority and Status of Lessee</w:t>
      </w:r>
      <w:r>
        <w:rPr>
          <w:rFonts w:ascii="Arial" w:cs="Arial" w:eastAsia="Arial" w:hAnsi="Arial"/>
          <w:sz w:val="19"/>
          <w:szCs w:val="19"/>
          <w:color w:val="auto"/>
        </w:rPr>
        <w:t>. Lessee has been duly organized or formed, is validly existing</w:t>
      </w:r>
      <w:r>
        <w:rPr>
          <w:rFonts w:ascii="Arial" w:cs="Arial" w:eastAsia="Arial" w:hAnsi="Arial"/>
          <w:sz w:val="19"/>
          <w:szCs w:val="19"/>
          <w:b w:val="1"/>
          <w:bCs w:val="1"/>
          <w:color w:val="auto"/>
        </w:rPr>
        <w:t xml:space="preserve"> </w:t>
      </w:r>
      <w:r>
        <w:rPr>
          <w:rFonts w:ascii="Arial" w:cs="Arial" w:eastAsia="Arial" w:hAnsi="Arial"/>
          <w:sz w:val="19"/>
          <w:szCs w:val="19"/>
          <w:color w:val="auto"/>
        </w:rPr>
        <w:t>and in good standing under the laws of its state of formation and is qualified as a foreign corporation to do business in any jurisdiction where such qualification is required. All necessary and appropriate action has been taken to authorize the execution, delivery and performance by Lessee of this Lease and of the other documents, instruments and agreements provided for herein. Lessee is not, and if Lessee is a “disregarded entity,” the owner of such disregarded entity is not, a “nonresident alien,” “foreign corporation,” “foreign partnership,” “foreign trust,” “foreign estate,” or any other “person” that is not a “United States Person” as those terms are defined in the Code and the regulations promulgated thereunder. The Person who has executed this Lease on behalf of Lessee is duly authorized to do so.</w:t>
      </w:r>
    </w:p>
    <w:p>
      <w:pPr>
        <w:spacing w:after="0" w:line="143"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b w:val="1"/>
          <w:bCs w:val="1"/>
          <w:color w:val="auto"/>
        </w:rPr>
        <w:t>Section 1.02. Enforceability</w:t>
      </w:r>
      <w:r>
        <w:rPr>
          <w:rFonts w:ascii="Arial" w:cs="Arial" w:eastAsia="Arial" w:hAnsi="Arial"/>
          <w:sz w:val="19"/>
          <w:szCs w:val="19"/>
          <w:color w:val="auto"/>
        </w:rPr>
        <w:t>. This Lease constitutes the legal, valid and binding obligation of Lessee, enforceable against</w:t>
      </w:r>
      <w:r>
        <w:rPr>
          <w:rFonts w:ascii="Arial" w:cs="Arial" w:eastAsia="Arial" w:hAnsi="Arial"/>
          <w:sz w:val="19"/>
          <w:szCs w:val="19"/>
          <w:b w:val="1"/>
          <w:bCs w:val="1"/>
          <w:color w:val="auto"/>
        </w:rPr>
        <w:t xml:space="preserve"> </w:t>
      </w:r>
      <w:r>
        <w:rPr>
          <w:rFonts w:ascii="Arial" w:cs="Arial" w:eastAsia="Arial" w:hAnsi="Arial"/>
          <w:sz w:val="19"/>
          <w:szCs w:val="19"/>
          <w:color w:val="auto"/>
        </w:rPr>
        <w:t>Lessee in accordance with its terms.</w:t>
      </w:r>
    </w:p>
    <w:p>
      <w:pPr>
        <w:spacing w:after="0" w:line="136"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19"/>
          <w:szCs w:val="19"/>
          <w:b w:val="1"/>
          <w:bCs w:val="1"/>
          <w:color w:val="auto"/>
        </w:rPr>
        <w:t>Section 1.03. Litigation</w:t>
      </w:r>
      <w:r>
        <w:rPr>
          <w:rFonts w:ascii="Arial" w:cs="Arial" w:eastAsia="Arial" w:hAnsi="Arial"/>
          <w:sz w:val="19"/>
          <w:szCs w:val="19"/>
          <w:color w:val="auto"/>
        </w:rPr>
        <w:t>. There are no suits, actions, proceedings or investigations pending, or to the best of its knowledge,</w:t>
      </w:r>
      <w:r>
        <w:rPr>
          <w:rFonts w:ascii="Arial" w:cs="Arial" w:eastAsia="Arial" w:hAnsi="Arial"/>
          <w:sz w:val="19"/>
          <w:szCs w:val="19"/>
          <w:b w:val="1"/>
          <w:bCs w:val="1"/>
          <w:color w:val="auto"/>
        </w:rPr>
        <w:t xml:space="preserve"> </w:t>
      </w:r>
      <w:r>
        <w:rPr>
          <w:rFonts w:ascii="Arial" w:cs="Arial" w:eastAsia="Arial" w:hAnsi="Arial"/>
          <w:sz w:val="19"/>
          <w:szCs w:val="19"/>
          <w:color w:val="auto"/>
        </w:rPr>
        <w:t>threatened against or involving any Lessee Entity or the Property before any arbitrator or Governmental Authority which might reasonably result in any Material Adverse Effect.</w:t>
      </w:r>
    </w:p>
    <w:p>
      <w:pPr>
        <w:spacing w:after="0" w:line="136" w:lineRule="exact"/>
        <w:rPr>
          <w:sz w:val="20"/>
          <w:szCs w:val="20"/>
          <w:color w:val="auto"/>
        </w:rPr>
      </w:pPr>
    </w:p>
    <w:p>
      <w:pPr>
        <w:jc w:val="both"/>
        <w:ind w:firstLine="619"/>
        <w:spacing w:after="0" w:line="213" w:lineRule="auto"/>
        <w:rPr>
          <w:sz w:val="20"/>
          <w:szCs w:val="20"/>
          <w:color w:val="auto"/>
        </w:rPr>
      </w:pPr>
      <w:r>
        <w:rPr>
          <w:rFonts w:ascii="Arial" w:cs="Arial" w:eastAsia="Arial" w:hAnsi="Arial"/>
          <w:sz w:val="19"/>
          <w:szCs w:val="19"/>
          <w:b w:val="1"/>
          <w:bCs w:val="1"/>
          <w:color w:val="auto"/>
        </w:rPr>
        <w:t>Section 1.04. Absence of Breaches or Defaults</w:t>
      </w:r>
      <w:r>
        <w:rPr>
          <w:rFonts w:ascii="Arial" w:cs="Arial" w:eastAsia="Arial" w:hAnsi="Arial"/>
          <w:sz w:val="19"/>
          <w:szCs w:val="19"/>
          <w:color w:val="auto"/>
        </w:rPr>
        <w:t>. Lessee is not in default under any document, instrument or agreement to</w:t>
      </w:r>
      <w:r>
        <w:rPr>
          <w:rFonts w:ascii="Arial" w:cs="Arial" w:eastAsia="Arial" w:hAnsi="Arial"/>
          <w:sz w:val="19"/>
          <w:szCs w:val="19"/>
          <w:b w:val="1"/>
          <w:bCs w:val="1"/>
          <w:color w:val="auto"/>
        </w:rPr>
        <w:t xml:space="preserve"> </w:t>
      </w:r>
      <w:r>
        <w:rPr>
          <w:rFonts w:ascii="Arial" w:cs="Arial" w:eastAsia="Arial" w:hAnsi="Arial"/>
          <w:sz w:val="19"/>
          <w:szCs w:val="19"/>
          <w:color w:val="auto"/>
        </w:rPr>
        <w:t>which Lessee is a party or by which Lessee, the Property or any of Lessee’s property is subject or bound, which has had, or could reasonably be expected to result in, a Material Adverse Effect. The authorization, execution, delivery and performance of this Lease and the documents, instruments and agreements provided for herein will not result in any breach of or default under any document, instrument or agreement to which Lessee is a party or by which Lessee, the Property or any of Lessee’s property is subject or bound.</w:t>
      </w:r>
    </w:p>
    <w:p>
      <w:pPr>
        <w:spacing w:after="0" w:line="139"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19"/>
          <w:szCs w:val="19"/>
          <w:b w:val="1"/>
          <w:bCs w:val="1"/>
          <w:color w:val="auto"/>
        </w:rPr>
        <w:t>Section 1.05. Compliance with OFAC Laws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None of the Lessee Entities, and no individual or entity owning 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indirectly any interest in any of the Lessee Entities, is an individual or entity whose property or interests are subject to being blocked under any of the OFAC Laws or is otherwise in violation of any of the OFAC Laws;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5</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representation contained in this sentence shall not apply to any Person to the extent such Person’s interest is in or through a U.S.</w:t>
      </w:r>
    </w:p>
    <w:p>
      <w:pPr>
        <w:spacing w:after="0"/>
        <w:rPr>
          <w:sz w:val="20"/>
          <w:szCs w:val="20"/>
          <w:color w:val="auto"/>
        </w:rPr>
      </w:pPr>
      <w:r>
        <w:rPr>
          <w:rFonts w:ascii="Arial" w:cs="Arial" w:eastAsia="Arial" w:hAnsi="Arial"/>
          <w:sz w:val="19"/>
          <w:szCs w:val="19"/>
          <w:color w:val="auto"/>
        </w:rPr>
        <w:t>Publicly Traded Entity.</w:t>
      </w:r>
    </w:p>
    <w:p>
      <w:pPr>
        <w:spacing w:after="0" w:line="144"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19"/>
          <w:szCs w:val="19"/>
          <w:b w:val="1"/>
          <w:bCs w:val="1"/>
          <w:color w:val="auto"/>
        </w:rPr>
        <w:t>Section 1.06. Solvency</w:t>
      </w:r>
      <w:r>
        <w:rPr>
          <w:rFonts w:ascii="Arial" w:cs="Arial" w:eastAsia="Arial" w:hAnsi="Arial"/>
          <w:sz w:val="19"/>
          <w:szCs w:val="19"/>
          <w:color w:val="auto"/>
        </w:rPr>
        <w:t>. There is no contemplated, pending or threatened Insolvency Event or similar proceedings, whether</w:t>
      </w:r>
      <w:r>
        <w:rPr>
          <w:rFonts w:ascii="Arial" w:cs="Arial" w:eastAsia="Arial" w:hAnsi="Arial"/>
          <w:sz w:val="19"/>
          <w:szCs w:val="19"/>
          <w:b w:val="1"/>
          <w:bCs w:val="1"/>
          <w:color w:val="auto"/>
        </w:rPr>
        <w:t xml:space="preserve"> </w:t>
      </w:r>
      <w:r>
        <w:rPr>
          <w:rFonts w:ascii="Arial" w:cs="Arial" w:eastAsia="Arial" w:hAnsi="Arial"/>
          <w:sz w:val="19"/>
          <w:szCs w:val="19"/>
          <w:color w:val="auto"/>
        </w:rPr>
        <w:t>voluntary or involuntary, affecting Lessee or any Lessee Entity. Lessee does not have unreasonably small capital to conduct its business.</w:t>
      </w:r>
    </w:p>
    <w:p>
      <w:pPr>
        <w:spacing w:after="0" w:line="136"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19"/>
          <w:szCs w:val="19"/>
          <w:b w:val="1"/>
          <w:bCs w:val="1"/>
          <w:color w:val="auto"/>
        </w:rPr>
        <w:t>Section 1.07. Ownership</w:t>
      </w:r>
      <w:r>
        <w:rPr>
          <w:rFonts w:ascii="Arial" w:cs="Arial" w:eastAsia="Arial" w:hAnsi="Arial"/>
          <w:sz w:val="19"/>
          <w:szCs w:val="19"/>
          <w:color w:val="auto"/>
        </w:rPr>
        <w:t>. None of (i) Lessee, (ii) any Affiliate of Lessee, or (iii) any Person owning ten percent (10%) or more</w:t>
      </w:r>
      <w:r>
        <w:rPr>
          <w:rFonts w:ascii="Arial" w:cs="Arial" w:eastAsia="Arial" w:hAnsi="Arial"/>
          <w:sz w:val="19"/>
          <w:szCs w:val="19"/>
          <w:b w:val="1"/>
          <w:bCs w:val="1"/>
          <w:color w:val="auto"/>
        </w:rPr>
        <w:t xml:space="preserve"> </w:t>
      </w:r>
      <w:r>
        <w:rPr>
          <w:rFonts w:ascii="Arial" w:cs="Arial" w:eastAsia="Arial" w:hAnsi="Arial"/>
          <w:sz w:val="19"/>
          <w:szCs w:val="19"/>
          <w:color w:val="auto"/>
        </w:rPr>
        <w:t>of Lessee, owns, directly or indirectly, ten percent (10%) or more of the total voting power or total value of capital stock in STORE Capital Corporation.</w:t>
      </w:r>
    </w:p>
    <w:p>
      <w:pPr>
        <w:spacing w:after="0" w:line="368"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With respect to Sections 5.08 through 5.13, Lessor represents and warrants to Lessee as follows:</w:t>
      </w:r>
    </w:p>
    <w:p>
      <w:pPr>
        <w:spacing w:after="0" w:line="168" w:lineRule="exact"/>
        <w:rPr>
          <w:sz w:val="20"/>
          <w:szCs w:val="20"/>
          <w:color w:val="auto"/>
        </w:rPr>
      </w:pPr>
    </w:p>
    <w:p>
      <w:pPr>
        <w:jc w:val="both"/>
        <w:ind w:firstLine="619"/>
        <w:spacing w:after="0" w:line="209" w:lineRule="auto"/>
        <w:rPr>
          <w:sz w:val="20"/>
          <w:szCs w:val="20"/>
          <w:color w:val="auto"/>
        </w:rPr>
      </w:pPr>
      <w:r>
        <w:rPr>
          <w:rFonts w:ascii="Arial" w:cs="Arial" w:eastAsia="Arial" w:hAnsi="Arial"/>
          <w:sz w:val="19"/>
          <w:szCs w:val="19"/>
          <w:b w:val="1"/>
          <w:bCs w:val="1"/>
          <w:color w:val="auto"/>
        </w:rPr>
        <w:t>Section 1.08. Organization, Authority and Status of Lessor</w:t>
      </w:r>
      <w:r>
        <w:rPr>
          <w:rFonts w:ascii="Arial" w:cs="Arial" w:eastAsia="Arial" w:hAnsi="Arial"/>
          <w:sz w:val="19"/>
          <w:szCs w:val="19"/>
          <w:color w:val="auto"/>
        </w:rPr>
        <w:t>. Lessor has been duly organized or formed, is validly existing</w:t>
      </w:r>
      <w:r>
        <w:rPr>
          <w:rFonts w:ascii="Arial" w:cs="Arial" w:eastAsia="Arial" w:hAnsi="Arial"/>
          <w:sz w:val="19"/>
          <w:szCs w:val="19"/>
          <w:b w:val="1"/>
          <w:bCs w:val="1"/>
          <w:color w:val="auto"/>
        </w:rPr>
        <w:t xml:space="preserve"> </w:t>
      </w:r>
      <w:r>
        <w:rPr>
          <w:rFonts w:ascii="Arial" w:cs="Arial" w:eastAsia="Arial" w:hAnsi="Arial"/>
          <w:sz w:val="19"/>
          <w:szCs w:val="19"/>
          <w:color w:val="auto"/>
        </w:rPr>
        <w:t>and in good standing under the laws of its state of formation and is qualified as a foreign corporation to do business in Colorado. All necessary and appropriate action has been taken to authorize the execution, delivery and performance by Lessor of this Lease and of the other documents, instruments and agreements provided for herein. Lessor is not, and if Lessor is a “disregarded entity,” the owner of such disregarded entity is not, a “nonresident alien,” “foreign corporation,” “foreign partnership,” “foreign trust,” “foreign estate,” or any other “person” that is not a “United States Person” as those terms are defined in the Code and the regulations promulgated thereunder. The Person who has executed this Lease on behalf of Lessor is duly authorized to do so.</w:t>
      </w:r>
    </w:p>
    <w:p>
      <w:pPr>
        <w:spacing w:after="0" w:line="138"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b w:val="1"/>
          <w:bCs w:val="1"/>
          <w:color w:val="auto"/>
        </w:rPr>
        <w:t>Section 1.09. Enforceability</w:t>
      </w:r>
      <w:r>
        <w:rPr>
          <w:rFonts w:ascii="Arial" w:cs="Arial" w:eastAsia="Arial" w:hAnsi="Arial"/>
          <w:sz w:val="19"/>
          <w:szCs w:val="19"/>
          <w:color w:val="auto"/>
        </w:rPr>
        <w:t>. This Lease constitutes the legal, valid and binding obligation of Lessor, enforceable against</w:t>
      </w:r>
      <w:r>
        <w:rPr>
          <w:rFonts w:ascii="Arial" w:cs="Arial" w:eastAsia="Arial" w:hAnsi="Arial"/>
          <w:sz w:val="19"/>
          <w:szCs w:val="19"/>
          <w:b w:val="1"/>
          <w:bCs w:val="1"/>
          <w:color w:val="auto"/>
        </w:rPr>
        <w:t xml:space="preserve"> </w:t>
      </w:r>
      <w:r>
        <w:rPr>
          <w:rFonts w:ascii="Arial" w:cs="Arial" w:eastAsia="Arial" w:hAnsi="Arial"/>
          <w:sz w:val="19"/>
          <w:szCs w:val="19"/>
          <w:color w:val="auto"/>
        </w:rPr>
        <w:t>Lessor in accordance with its terms.</w:t>
      </w:r>
    </w:p>
    <w:p>
      <w:pPr>
        <w:spacing w:after="0" w:line="136"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19"/>
          <w:szCs w:val="19"/>
          <w:b w:val="1"/>
          <w:bCs w:val="1"/>
          <w:color w:val="auto"/>
        </w:rPr>
        <w:t>Section 1.10. Litigation</w:t>
      </w:r>
      <w:r>
        <w:rPr>
          <w:rFonts w:ascii="Arial" w:cs="Arial" w:eastAsia="Arial" w:hAnsi="Arial"/>
          <w:sz w:val="19"/>
          <w:szCs w:val="19"/>
          <w:color w:val="auto"/>
        </w:rPr>
        <w:t>. There are no suits, actions, proceedings or investigations pending, or to the best of its knowledge,</w:t>
      </w:r>
      <w:r>
        <w:rPr>
          <w:rFonts w:ascii="Arial" w:cs="Arial" w:eastAsia="Arial" w:hAnsi="Arial"/>
          <w:sz w:val="19"/>
          <w:szCs w:val="19"/>
          <w:b w:val="1"/>
          <w:bCs w:val="1"/>
          <w:color w:val="auto"/>
        </w:rPr>
        <w:t xml:space="preserve"> </w:t>
      </w:r>
      <w:r>
        <w:rPr>
          <w:rFonts w:ascii="Arial" w:cs="Arial" w:eastAsia="Arial" w:hAnsi="Arial"/>
          <w:sz w:val="19"/>
          <w:szCs w:val="19"/>
          <w:color w:val="auto"/>
        </w:rPr>
        <w:t>threatened against or involving any Lessor Entity or the Property before any arbitrator or Governmental Authority which might reasonably result in any Material Adverse Effect.</w:t>
      </w:r>
    </w:p>
    <w:p>
      <w:pPr>
        <w:spacing w:after="0" w:line="136" w:lineRule="exact"/>
        <w:rPr>
          <w:sz w:val="20"/>
          <w:szCs w:val="20"/>
          <w:color w:val="auto"/>
        </w:rPr>
      </w:pPr>
    </w:p>
    <w:p>
      <w:pPr>
        <w:jc w:val="both"/>
        <w:ind w:firstLine="619"/>
        <w:spacing w:after="0" w:line="213" w:lineRule="auto"/>
        <w:rPr>
          <w:sz w:val="20"/>
          <w:szCs w:val="20"/>
          <w:color w:val="auto"/>
        </w:rPr>
      </w:pPr>
      <w:r>
        <w:rPr>
          <w:rFonts w:ascii="Arial" w:cs="Arial" w:eastAsia="Arial" w:hAnsi="Arial"/>
          <w:sz w:val="19"/>
          <w:szCs w:val="19"/>
          <w:b w:val="1"/>
          <w:bCs w:val="1"/>
          <w:color w:val="auto"/>
        </w:rPr>
        <w:t>Section 1.11. Absence of Breaches or Defaults</w:t>
      </w:r>
      <w:r>
        <w:rPr>
          <w:rFonts w:ascii="Arial" w:cs="Arial" w:eastAsia="Arial" w:hAnsi="Arial"/>
          <w:sz w:val="19"/>
          <w:szCs w:val="19"/>
          <w:color w:val="auto"/>
        </w:rPr>
        <w:t>. Lessor is not in default under any document, instrument or agreement to</w:t>
      </w:r>
      <w:r>
        <w:rPr>
          <w:rFonts w:ascii="Arial" w:cs="Arial" w:eastAsia="Arial" w:hAnsi="Arial"/>
          <w:sz w:val="19"/>
          <w:szCs w:val="19"/>
          <w:b w:val="1"/>
          <w:bCs w:val="1"/>
          <w:color w:val="auto"/>
        </w:rPr>
        <w:t xml:space="preserve"> </w:t>
      </w:r>
      <w:r>
        <w:rPr>
          <w:rFonts w:ascii="Arial" w:cs="Arial" w:eastAsia="Arial" w:hAnsi="Arial"/>
          <w:sz w:val="19"/>
          <w:szCs w:val="19"/>
          <w:color w:val="auto"/>
        </w:rPr>
        <w:t>which Lessor is a party or by which Lessor, the Property or any of Lessor’s property is subject or bound, which has had, or could reasonably be expected to result in, a Material Adverse Effect. The authorization, execution, delivery and performance of this Lease and the documents, instruments and agreements provided for herein will not result in any breach of or default under any document, instrument or agreement to which Lessor is a party or by which Lessor, the Property or any of Lessor’s property is subject or bound.</w:t>
      </w:r>
    </w:p>
    <w:p>
      <w:pPr>
        <w:spacing w:after="0" w:line="139"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19"/>
          <w:szCs w:val="19"/>
          <w:b w:val="1"/>
          <w:bCs w:val="1"/>
          <w:color w:val="auto"/>
        </w:rPr>
        <w:t>Section 1.12. Compliance with OFAC Laws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None of Lessor or any individual or entity owning directly or indirectly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interest in any of Lessor, is an individual or entity whose property or interests are subject to being blocked under any of the OFAC Laws or is otherwise in violation of any of the OFAC Laws;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representation contained in this sentence shall not apply to any Person to the extent such Person’s interest is in or through a U.S. Publicly Traded Entity.</w:t>
      </w:r>
    </w:p>
    <w:p>
      <w:pPr>
        <w:spacing w:after="0" w:line="138"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19"/>
          <w:szCs w:val="19"/>
          <w:b w:val="1"/>
          <w:bCs w:val="1"/>
          <w:color w:val="auto"/>
        </w:rPr>
        <w:t>Section 1.13. Solvency</w:t>
      </w:r>
      <w:r>
        <w:rPr>
          <w:rFonts w:ascii="Arial" w:cs="Arial" w:eastAsia="Arial" w:hAnsi="Arial"/>
          <w:sz w:val="19"/>
          <w:szCs w:val="19"/>
          <w:color w:val="auto"/>
        </w:rPr>
        <w:t>. There is no contemplated, pending or threatened Insolvency Event or similar proceedings, whether</w:t>
      </w:r>
      <w:r>
        <w:rPr>
          <w:rFonts w:ascii="Arial" w:cs="Arial" w:eastAsia="Arial" w:hAnsi="Arial"/>
          <w:sz w:val="19"/>
          <w:szCs w:val="19"/>
          <w:b w:val="1"/>
          <w:bCs w:val="1"/>
          <w:color w:val="auto"/>
        </w:rPr>
        <w:t xml:space="preserve"> </w:t>
      </w:r>
      <w:r>
        <w:rPr>
          <w:rFonts w:ascii="Arial" w:cs="Arial" w:eastAsia="Arial" w:hAnsi="Arial"/>
          <w:sz w:val="19"/>
          <w:szCs w:val="19"/>
          <w:color w:val="auto"/>
        </w:rPr>
        <w:t>voluntary or involuntary, affecting Lessor or any Lessor Entity. Lessor does not have unreasonably small capital to conduct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6</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ARTICLE VI</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TAXES AND ASSESSMENTS; UTILITIES; INSURANCE</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1.01. Taxes</w:t>
      </w:r>
      <w:r>
        <w:rPr>
          <w:rFonts w:ascii="Arial" w:cs="Arial" w:eastAsia="Arial" w:hAnsi="Arial"/>
          <w:sz w:val="19"/>
          <w:szCs w:val="19"/>
          <w:color w:val="auto"/>
        </w:rPr>
        <w:t>.</w:t>
      </w:r>
    </w:p>
    <w:p>
      <w:pPr>
        <w:spacing w:after="0" w:line="170" w:lineRule="exact"/>
        <w:rPr>
          <w:sz w:val="20"/>
          <w:szCs w:val="20"/>
          <w:color w:val="auto"/>
        </w:rPr>
      </w:pPr>
    </w:p>
    <w:p>
      <w:pPr>
        <w:jc w:val="both"/>
        <w:ind w:left="620" w:firstLine="621"/>
        <w:spacing w:after="0" w:line="205" w:lineRule="auto"/>
        <w:tabs>
          <w:tab w:leader="none" w:pos="1856" w:val="left"/>
        </w:tabs>
        <w:numPr>
          <w:ilvl w:val="1"/>
          <w:numId w:val="41"/>
        </w:numPr>
        <w:rPr>
          <w:rFonts w:ascii="Arial" w:cs="Arial" w:eastAsia="Arial" w:hAnsi="Arial"/>
          <w:sz w:val="19"/>
          <w:szCs w:val="19"/>
          <w:color w:val="auto"/>
        </w:rPr>
      </w:pPr>
      <w:r>
        <w:rPr>
          <w:rFonts w:ascii="Arial" w:cs="Arial" w:eastAsia="Arial" w:hAnsi="Arial"/>
          <w:sz w:val="19"/>
          <w:szCs w:val="19"/>
          <w:b w:val="1"/>
          <w:bCs w:val="1"/>
          <w:i w:val="1"/>
          <w:iCs w:val="1"/>
          <w:color w:val="auto"/>
        </w:rPr>
        <w:t>Payment</w:t>
      </w:r>
      <w:r>
        <w:rPr>
          <w:rFonts w:ascii="Arial" w:cs="Arial" w:eastAsia="Arial" w:hAnsi="Arial"/>
          <w:sz w:val="19"/>
          <w:szCs w:val="19"/>
          <w:color w:val="auto"/>
        </w:rPr>
        <w:t>. Subject to the provisions of Section 6.01(b) below, Lessee shall pay, prior to the earlier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delinquency or the accrual of interest on the unpaid balance, all taxes and assessments of every type or nature assessed against or imposed upon the Property, Lessee or Lessor during the Lease Term related to or arising out of this Lease and the activities of the parties hereunder, including without limitation, (i) all taxes or assessments upon the Property or any part thereof and upon any personal property, trade fixtures and improvements located on the Property, whether belonging to Lessor or Lessee, or any tax or charge levied in lieu of such taxes and assessments; (ii) all taxes, charges, license fees and or similar fees imposed by reason of the use of the Property by Lessee; (iii) all excise, franchise, transaction, privilege, license, sales, use and other taxes upon the Rental or other Monetary Obligations hereunder, the leasehold estate of either party or the activities of either party pursuant to this Lease; and (iv) all franchise, privilege or similar taxes of Lessor calculated on the value of the Property or on the amount of capital apportioned to the Property. Notwithstanding anything in clauses (i) through (iv) to the contrary, Lessee shall not be obligated to pay or reimburse Lessor for any taxes based on the net income of Lessor.</w:t>
      </w:r>
    </w:p>
    <w:p>
      <w:pPr>
        <w:spacing w:after="0" w:line="138" w:lineRule="exact"/>
        <w:rPr>
          <w:rFonts w:ascii="Arial" w:cs="Arial" w:eastAsia="Arial" w:hAnsi="Arial"/>
          <w:sz w:val="19"/>
          <w:szCs w:val="19"/>
          <w:color w:val="auto"/>
        </w:rPr>
      </w:pPr>
    </w:p>
    <w:p>
      <w:pPr>
        <w:jc w:val="both"/>
        <w:ind w:left="620" w:firstLine="621"/>
        <w:spacing w:after="0" w:line="212" w:lineRule="auto"/>
        <w:tabs>
          <w:tab w:leader="none" w:pos="1856" w:val="left"/>
        </w:tabs>
        <w:numPr>
          <w:ilvl w:val="1"/>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Right to Contest</w:t>
      </w:r>
      <w:r>
        <w:rPr>
          <w:rFonts w:ascii="Arial" w:cs="Arial" w:eastAsia="Arial" w:hAnsi="Arial"/>
          <w:sz w:val="18"/>
          <w:szCs w:val="18"/>
          <w:color w:val="auto"/>
        </w:rPr>
        <w:t>. Within thirty (30) days after each tax and assessment payment is required by this Section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6.01 to be paid, Lessee shall provide Lessor with evidence reasonably satisfactory to Lessor that taxes and assessments have been timely paid by Lessee. In the event Lessor receives a tax bill, Lessor shall use commercially reasonable efforts to forward said bill to Lessee within fifteen (15) days of Lessor’s receipt thereof. Lessee may, at its own expense, contest or cause to be contested (in the case of any item involving more than $10,000, after prior written notice to Lessor, which shall be given within fifteen (15) days of Lessee’s determination to contest any matter as permitted herein), by appropriate legal proceedings conducted in good faith and with due diligence, any above-described item or lien with respect thereto, provided that (i) neither the Property nor any interest therein would be in any danger of being sold, forfeited or lost by reason of such proceedings;</w:t>
      </w:r>
    </w:p>
    <w:p>
      <w:pPr>
        <w:spacing w:after="0" w:line="3" w:lineRule="exact"/>
        <w:rPr>
          <w:rFonts w:ascii="Arial" w:cs="Arial" w:eastAsia="Arial" w:hAnsi="Arial"/>
          <w:sz w:val="18"/>
          <w:szCs w:val="18"/>
          <w:color w:val="auto"/>
        </w:rPr>
      </w:pPr>
    </w:p>
    <w:p>
      <w:pPr>
        <w:jc w:val="both"/>
        <w:ind w:left="620" w:firstLine="2"/>
        <w:spacing w:after="0" w:line="203" w:lineRule="auto"/>
        <w:tabs>
          <w:tab w:leader="none" w:pos="883" w:val="left"/>
        </w:tabs>
        <w:numPr>
          <w:ilvl w:val="0"/>
          <w:numId w:val="42"/>
        </w:numPr>
        <w:rPr>
          <w:rFonts w:ascii="Arial" w:cs="Arial" w:eastAsia="Arial" w:hAnsi="Arial"/>
          <w:sz w:val="19"/>
          <w:szCs w:val="19"/>
          <w:color w:val="auto"/>
        </w:rPr>
      </w:pPr>
      <w:r>
        <w:rPr>
          <w:rFonts w:ascii="Arial" w:cs="Arial" w:eastAsia="Arial" w:hAnsi="Arial"/>
          <w:sz w:val="19"/>
          <w:szCs w:val="19"/>
          <w:color w:val="auto"/>
        </w:rPr>
        <w:t>no Event of Default has occurred and is continuing; (iii) if and to the extent required by the applicable taxing authority and/or Lessor, Lessee posts a bond or takes other steps acceptable to such taxing authority and/or Lessor that removes such lien or stays enforcement thereof; (iv) Lessee shall promptly provide Lessor with copies of all notices received or delivered by Lessee and filings made by Lessee in connection with such proceeding; and (v) upon termination of such proceedings, it shall be the obligation of Lessee to pay the amount of any such tax and assessment or part thereof as finally determined in such proceedings, the payment of which may have been deferred during the prosecution of such proceedings, together with any costs, fees (including attorneys’ fees and disbursements), interest, penalties or other liabilities in connection therewith. Lessor shall at the request of Lessee, execute or join in the execution of any instruments or documents necessary in connection with such contest or proceedings, but Lessor shall incur no cost or obligation thereby.</w:t>
      </w:r>
    </w:p>
    <w:p>
      <w:pPr>
        <w:spacing w:after="0" w:line="143"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19"/>
          <w:szCs w:val="19"/>
          <w:b w:val="1"/>
          <w:bCs w:val="1"/>
          <w:color w:val="auto"/>
        </w:rPr>
        <w:t>Section 1.02. Utilities</w:t>
      </w:r>
      <w:r>
        <w:rPr>
          <w:rFonts w:ascii="Arial" w:cs="Arial" w:eastAsia="Arial" w:hAnsi="Arial"/>
          <w:sz w:val="19"/>
          <w:szCs w:val="19"/>
          <w:color w:val="auto"/>
        </w:rPr>
        <w:t>. Lessee shall contract, in its own name, for and pay when due all charges for the connection and use of</w:t>
      </w:r>
      <w:r>
        <w:rPr>
          <w:rFonts w:ascii="Arial" w:cs="Arial" w:eastAsia="Arial" w:hAnsi="Arial"/>
          <w:sz w:val="19"/>
          <w:szCs w:val="19"/>
          <w:b w:val="1"/>
          <w:bCs w:val="1"/>
          <w:color w:val="auto"/>
        </w:rPr>
        <w:t xml:space="preserve"> </w:t>
      </w:r>
      <w:r>
        <w:rPr>
          <w:rFonts w:ascii="Arial" w:cs="Arial" w:eastAsia="Arial" w:hAnsi="Arial"/>
          <w:sz w:val="19"/>
          <w:szCs w:val="19"/>
          <w:color w:val="auto"/>
        </w:rPr>
        <w:t>water, gas, electricity, telephone, garbage collection, sewer use and other utility services supplied to the Property during the Lease Term. Under no circumstances shall Lessor be responsible for any interruption of any utility service, unless caused by Lessor’s gross negligence or willful misconduct.</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1.03. Insurance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Arial" w:cs="Arial" w:eastAsia="Arial" w:hAnsi="Arial"/>
          <w:sz w:val="19"/>
          <w:szCs w:val="19"/>
          <w:color w:val="auto"/>
        </w:rPr>
        <w:t>7</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600" w:firstLine="621"/>
        <w:spacing w:after="0" w:line="223" w:lineRule="auto"/>
        <w:tabs>
          <w:tab w:leader="none" w:pos="1836" w:val="left"/>
        </w:tabs>
        <w:numPr>
          <w:ilvl w:val="0"/>
          <w:numId w:val="43"/>
        </w:numPr>
        <w:rPr>
          <w:rFonts w:ascii="Arial" w:cs="Arial" w:eastAsia="Arial" w:hAnsi="Arial"/>
          <w:sz w:val="19"/>
          <w:szCs w:val="19"/>
          <w:color w:val="auto"/>
        </w:rPr>
      </w:pPr>
      <w:r>
        <w:rPr>
          <w:rFonts w:ascii="Arial" w:cs="Arial" w:eastAsia="Arial" w:hAnsi="Arial"/>
          <w:sz w:val="19"/>
          <w:szCs w:val="19"/>
          <w:b w:val="1"/>
          <w:bCs w:val="1"/>
          <w:i w:val="1"/>
          <w:iCs w:val="1"/>
          <w:color w:val="auto"/>
        </w:rPr>
        <w:t>Coverage</w:t>
      </w:r>
      <w:r>
        <w:rPr>
          <w:rFonts w:ascii="Arial" w:cs="Arial" w:eastAsia="Arial" w:hAnsi="Arial"/>
          <w:sz w:val="19"/>
          <w:szCs w:val="19"/>
          <w:color w:val="auto"/>
        </w:rPr>
        <w:t>. Throughout the Lease Term, Lessee shall maintain, with respect to the Property, at its sole expense,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following types and amounts of insurance, in addition to such other insurance as Lessor may reasonably require from time to time:</w:t>
      </w:r>
    </w:p>
    <w:p>
      <w:pPr>
        <w:spacing w:after="0" w:line="160" w:lineRule="exact"/>
        <w:rPr>
          <w:rFonts w:ascii="Arial" w:cs="Arial" w:eastAsia="Arial" w:hAnsi="Arial"/>
          <w:sz w:val="19"/>
          <w:szCs w:val="19"/>
          <w:color w:val="auto"/>
        </w:rPr>
      </w:pPr>
    </w:p>
    <w:p>
      <w:pPr>
        <w:jc w:val="both"/>
        <w:ind w:left="1220" w:firstLine="620"/>
        <w:spacing w:after="0" w:line="201" w:lineRule="auto"/>
        <w:tabs>
          <w:tab w:leader="none" w:pos="2445" w:val="left"/>
        </w:tabs>
        <w:numPr>
          <w:ilvl w:val="1"/>
          <w:numId w:val="43"/>
        </w:numPr>
        <w:rPr>
          <w:rFonts w:ascii="Arial" w:cs="Arial" w:eastAsia="Arial" w:hAnsi="Arial"/>
          <w:sz w:val="19"/>
          <w:szCs w:val="19"/>
          <w:color w:val="auto"/>
        </w:rPr>
      </w:pPr>
      <w:r>
        <w:rPr>
          <w:rFonts w:ascii="Arial" w:cs="Arial" w:eastAsia="Arial" w:hAnsi="Arial"/>
          <w:sz w:val="19"/>
          <w:szCs w:val="19"/>
          <w:color w:val="auto"/>
        </w:rPr>
        <w:t>Insurance against loss or damage to real property and personal property under an “all risk” or “special form” insurance policy, which shall include coverage against all risks of direct physical loss, including but not limited to loss by fire, lightning, wind, terrorism, and other risks normally included in the standard ISO special form (and shall also include National Flood and Excess Flood insurance if the Property is located in Flood Zone A or Flood Zone V, as designated by FEMA, or otherwise located in a flood zone area identified by FEMA as a 100-year flood zone or special hazard area, and earthquake insurance if the Property is located within a moderate to high earthquake hazard zone as determined by an approved insurance company set forth in Section 6.03(b)(x) below). Such policy shall also include soft costs, a joint loss agreement, coverage for ordinance or law covering the loss of value of the undamaged portion of the Property, costs to demolish and the increased costs of construction if any of the improvements located on, or the use of, the Property shall at any time constitute legal non-conforming structures or uses. Ordinance or law limits shall be in an amount equal to the full replacement cost for the loss of value of the undamaged portion of the Property and no less than 25% of the replacement cost for costs to demolish and the increased cost of construction, or in an amount otherwise specified by Lessor. Such insurance shall be in amounts not less than 100% of the full insurable replacement cost values (without deduction for depreciation), with an agreed amount endorsement or without any coinsurance provision, and with sublimits satisfactory to Lessor, as determined from time to time at Lessor’s request but not more frequently than once in any 12-month period.</w:t>
      </w:r>
    </w:p>
    <w:p>
      <w:pPr>
        <w:spacing w:after="0" w:line="166" w:lineRule="exact"/>
        <w:rPr>
          <w:rFonts w:ascii="Arial" w:cs="Arial" w:eastAsia="Arial" w:hAnsi="Arial"/>
          <w:sz w:val="19"/>
          <w:szCs w:val="19"/>
          <w:color w:val="auto"/>
        </w:rPr>
      </w:pPr>
    </w:p>
    <w:p>
      <w:pPr>
        <w:jc w:val="both"/>
        <w:ind w:left="1220" w:firstLine="620"/>
        <w:spacing w:after="0" w:line="214" w:lineRule="auto"/>
        <w:tabs>
          <w:tab w:leader="none" w:pos="24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Commercial general liability insurance, including products and completed operation liability, covering Lessor and Lessee against bodily injury liability, property damage liability and personal and advertising injury, including without limitation any liability arising out of the ownership, maintenance, repair, condition or operation of the Property or adjoining ways, streets, parking lots or sidewalks. Such insurance policy or policies shall contain a broad form contractual liability endorsement under which the insurer agrees to insure Lessee’s obligations under Article X hereof to the extent insurable, and a “severability of interest” clause or endorsement which precludes the insurer from denying the claim of Lessee or Lessor because of the negligence or other acts of the other, shall be in amounts of not less than $10,000,000 per occurrence for bodily injury and property damage, and $10,000,000 general aggregate per location, or such higher limits as Lessor may reasonably require from time to time, and shall be of form and substance satisfactory to Lessor. Such limits of insurance can be acquired through Commercial General liability and Umbrella liability policies.</w:t>
      </w:r>
    </w:p>
    <w:p>
      <w:pPr>
        <w:spacing w:after="0" w:line="165" w:lineRule="exact"/>
        <w:rPr>
          <w:rFonts w:ascii="Arial" w:cs="Arial" w:eastAsia="Arial" w:hAnsi="Arial"/>
          <w:sz w:val="18"/>
          <w:szCs w:val="18"/>
          <w:color w:val="auto"/>
        </w:rPr>
      </w:pPr>
    </w:p>
    <w:p>
      <w:pPr>
        <w:jc w:val="both"/>
        <w:ind w:left="1220" w:firstLine="620"/>
        <w:spacing w:after="0" w:line="215" w:lineRule="auto"/>
        <w:tabs>
          <w:tab w:leader="none" w:pos="2451" w:val="left"/>
        </w:tabs>
        <w:numPr>
          <w:ilvl w:val="1"/>
          <w:numId w:val="43"/>
        </w:numPr>
        <w:rPr>
          <w:rFonts w:ascii="Arial" w:cs="Arial" w:eastAsia="Arial" w:hAnsi="Arial"/>
          <w:sz w:val="19"/>
          <w:szCs w:val="19"/>
          <w:color w:val="auto"/>
        </w:rPr>
      </w:pPr>
      <w:r>
        <w:rPr>
          <w:rFonts w:ascii="Arial" w:cs="Arial" w:eastAsia="Arial" w:hAnsi="Arial"/>
          <w:sz w:val="19"/>
          <w:szCs w:val="19"/>
          <w:color w:val="auto"/>
        </w:rPr>
        <w:t>Workers’ compensation and Employers Liability insurance with statutorily mandated limits covering all persons employed by Lessee on the Property in connection with any work done on or about the Property for which claims for death or bodily injury could be asserted against Lessor, Lessee or the Property.</w:t>
      </w:r>
    </w:p>
    <w:p>
      <w:pPr>
        <w:spacing w:after="0" w:line="160" w:lineRule="exact"/>
        <w:rPr>
          <w:rFonts w:ascii="Arial" w:cs="Arial" w:eastAsia="Arial" w:hAnsi="Arial"/>
          <w:sz w:val="19"/>
          <w:szCs w:val="19"/>
          <w:color w:val="auto"/>
        </w:rPr>
      </w:pPr>
    </w:p>
    <w:p>
      <w:pPr>
        <w:jc w:val="both"/>
        <w:ind w:left="1220" w:firstLine="620"/>
        <w:spacing w:after="0" w:line="215" w:lineRule="auto"/>
        <w:tabs>
          <w:tab w:leader="none" w:pos="2449" w:val="left"/>
        </w:tabs>
        <w:numPr>
          <w:ilvl w:val="1"/>
          <w:numId w:val="43"/>
        </w:numPr>
        <w:rPr>
          <w:rFonts w:ascii="Arial" w:cs="Arial" w:eastAsia="Arial" w:hAnsi="Arial"/>
          <w:sz w:val="19"/>
          <w:szCs w:val="19"/>
          <w:color w:val="auto"/>
        </w:rPr>
      </w:pPr>
      <w:r>
        <w:rPr>
          <w:rFonts w:ascii="Arial" w:cs="Arial" w:eastAsia="Arial" w:hAnsi="Arial"/>
          <w:sz w:val="19"/>
          <w:szCs w:val="19"/>
          <w:color w:val="auto"/>
        </w:rPr>
        <w:t>Business interruption insurance including Rental Value Insurance payable to Lessor at all locations for a period of not less than twelve (12) months. Such insurance is to follow the form of the real property “all risk” or “special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8</w:t>
      </w:r>
    </w:p>
    <w:p>
      <w:pPr>
        <w:spacing w:after="0" w:line="221" w:lineRule="auto"/>
        <w:rPr>
          <w:sz w:val="20"/>
          <w:szCs w:val="20"/>
          <w:color w:val="auto"/>
        </w:rPr>
      </w:pPr>
      <w:r>
        <w:rPr>
          <w:rFonts w:ascii="Arial" w:cs="Arial" w:eastAsia="Arial" w:hAnsi="Arial"/>
          <w:sz w:val="12"/>
          <w:szCs w:val="12"/>
          <w:color w:val="auto"/>
        </w:rPr>
        <w:t>STORE / RT Logic (Kratos)</w:t>
      </w:r>
    </w:p>
    <w:p>
      <w:pPr>
        <w:spacing w:after="0" w:line="202" w:lineRule="auto"/>
        <w:rPr>
          <w:sz w:val="20"/>
          <w:szCs w:val="20"/>
          <w:color w:val="auto"/>
        </w:rPr>
      </w:pPr>
      <w:r>
        <w:rPr>
          <w:rFonts w:ascii="Arial" w:cs="Arial" w:eastAsia="Arial" w:hAnsi="Arial"/>
          <w:sz w:val="12"/>
          <w:szCs w:val="12"/>
          <w:color w:val="auto"/>
        </w:rPr>
        <w:t>Second A&amp;R Lease Agreement</w:t>
      </w:r>
    </w:p>
    <w:p>
      <w:pPr>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20"/>
          </w:cols>
          <w:pgMar w:left="340" w:top="100"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220"/>
        <w:spacing w:after="0" w:line="223" w:lineRule="auto"/>
        <w:rPr>
          <w:sz w:val="20"/>
          <w:szCs w:val="20"/>
          <w:color w:val="auto"/>
        </w:rPr>
      </w:pPr>
      <w:r>
        <w:rPr>
          <w:rFonts w:ascii="Arial" w:cs="Arial" w:eastAsia="Arial" w:hAnsi="Arial"/>
          <w:sz w:val="19"/>
          <w:szCs w:val="19"/>
          <w:color w:val="auto"/>
        </w:rPr>
        <w:t>coverage and is not to contain a co-insurance clause. Such insurance is to have a minimum of 180 days of extended period of indemnity.</w:t>
      </w:r>
    </w:p>
    <w:p>
      <w:pPr>
        <w:spacing w:after="0" w:line="161" w:lineRule="exact"/>
        <w:rPr>
          <w:sz w:val="20"/>
          <w:szCs w:val="20"/>
          <w:color w:val="auto"/>
        </w:rPr>
      </w:pPr>
    </w:p>
    <w:p>
      <w:pPr>
        <w:jc w:val="both"/>
        <w:ind w:left="1220" w:firstLine="620"/>
        <w:spacing w:after="0" w:line="215" w:lineRule="auto"/>
        <w:tabs>
          <w:tab w:leader="none" w:pos="2446" w:val="left"/>
        </w:tabs>
        <w:numPr>
          <w:ilvl w:val="1"/>
          <w:numId w:val="44"/>
        </w:numPr>
        <w:rPr>
          <w:rFonts w:ascii="Arial" w:cs="Arial" w:eastAsia="Arial" w:hAnsi="Arial"/>
          <w:sz w:val="19"/>
          <w:szCs w:val="19"/>
          <w:color w:val="auto"/>
        </w:rPr>
      </w:pPr>
      <w:r>
        <w:rPr>
          <w:rFonts w:ascii="Arial" w:cs="Arial" w:eastAsia="Arial" w:hAnsi="Arial"/>
          <w:sz w:val="19"/>
          <w:szCs w:val="19"/>
          <w:color w:val="auto"/>
        </w:rPr>
        <w:t>Automobile liability insurance, including owned, non-owned and hired car liability insurance for combined limits of liability of $2,000,000 per occurrence. The limits of liability can be provided in a combination of an automobile liability policy and an umbrella liability policy.</w:t>
      </w:r>
    </w:p>
    <w:p>
      <w:pPr>
        <w:spacing w:after="0" w:line="160" w:lineRule="exact"/>
        <w:rPr>
          <w:rFonts w:ascii="Arial" w:cs="Arial" w:eastAsia="Arial" w:hAnsi="Arial"/>
          <w:sz w:val="19"/>
          <w:szCs w:val="19"/>
          <w:color w:val="auto"/>
        </w:rPr>
      </w:pPr>
    </w:p>
    <w:p>
      <w:pPr>
        <w:jc w:val="both"/>
        <w:ind w:left="1220" w:firstLine="620"/>
        <w:spacing w:after="0" w:line="211" w:lineRule="auto"/>
        <w:tabs>
          <w:tab w:leader="none" w:pos="2449" w:val="left"/>
        </w:tabs>
        <w:numPr>
          <w:ilvl w:val="1"/>
          <w:numId w:val="44"/>
        </w:numPr>
        <w:rPr>
          <w:rFonts w:ascii="Arial" w:cs="Arial" w:eastAsia="Arial" w:hAnsi="Arial"/>
          <w:sz w:val="19"/>
          <w:szCs w:val="19"/>
          <w:color w:val="auto"/>
        </w:rPr>
      </w:pPr>
      <w:r>
        <w:rPr>
          <w:rFonts w:ascii="Arial" w:cs="Arial" w:eastAsia="Arial" w:hAnsi="Arial"/>
          <w:sz w:val="19"/>
          <w:szCs w:val="19"/>
          <w:color w:val="auto"/>
        </w:rPr>
        <w:t>Comprehensive Boiler and Machinery or Equipment Breakdown Insurance against loss or damage from explosion of any steam or pressure boilers or similar apparatus, if any, and other building equipment including HVAC units located in or about the Property and in an amount equal to the lesser of 25% of the 100% replacement cost of the Property or $5,000,000.</w:t>
      </w:r>
    </w:p>
    <w:p>
      <w:pPr>
        <w:spacing w:after="0" w:line="137" w:lineRule="exact"/>
        <w:rPr>
          <w:rFonts w:ascii="Arial" w:cs="Arial" w:eastAsia="Arial" w:hAnsi="Arial"/>
          <w:sz w:val="19"/>
          <w:szCs w:val="19"/>
          <w:color w:val="auto"/>
        </w:rPr>
      </w:pPr>
    </w:p>
    <w:p>
      <w:pPr>
        <w:ind w:left="1840" w:hanging="619"/>
        <w:spacing w:after="0"/>
        <w:tabs>
          <w:tab w:leader="none" w:pos="1840" w:val="left"/>
        </w:tabs>
        <w:numPr>
          <w:ilvl w:val="0"/>
          <w:numId w:val="45"/>
        </w:numPr>
        <w:rPr>
          <w:rFonts w:ascii="Arial" w:cs="Arial" w:eastAsia="Arial" w:hAnsi="Arial"/>
          <w:sz w:val="19"/>
          <w:szCs w:val="19"/>
          <w:color w:val="auto"/>
        </w:rPr>
      </w:pPr>
      <w:r>
        <w:rPr>
          <w:rFonts w:ascii="Arial" w:cs="Arial" w:eastAsia="Arial" w:hAnsi="Arial"/>
          <w:sz w:val="19"/>
          <w:szCs w:val="19"/>
          <w:b w:val="1"/>
          <w:bCs w:val="1"/>
          <w:i w:val="1"/>
          <w:iCs w:val="1"/>
          <w:color w:val="auto"/>
        </w:rPr>
        <w:t>Insurance Provisions</w:t>
      </w:r>
      <w:r>
        <w:rPr>
          <w:rFonts w:ascii="Arial" w:cs="Arial" w:eastAsia="Arial" w:hAnsi="Arial"/>
          <w:sz w:val="19"/>
          <w:szCs w:val="19"/>
          <w:color w:val="auto"/>
        </w:rPr>
        <w:t>. All insurance policies shall:</w:t>
      </w:r>
    </w:p>
    <w:p>
      <w:pPr>
        <w:spacing w:after="0" w:line="190" w:lineRule="exact"/>
        <w:rPr>
          <w:rFonts w:ascii="Arial" w:cs="Arial" w:eastAsia="Arial" w:hAnsi="Arial"/>
          <w:sz w:val="19"/>
          <w:szCs w:val="19"/>
          <w:color w:val="auto"/>
        </w:rPr>
      </w:pPr>
    </w:p>
    <w:p>
      <w:pPr>
        <w:ind w:left="2440" w:hanging="600"/>
        <w:spacing w:after="0"/>
        <w:tabs>
          <w:tab w:leader="none" w:pos="2440" w:val="left"/>
        </w:tabs>
        <w:numPr>
          <w:ilvl w:val="1"/>
          <w:numId w:val="45"/>
        </w:numPr>
        <w:rPr>
          <w:rFonts w:ascii="Arial" w:cs="Arial" w:eastAsia="Arial" w:hAnsi="Arial"/>
          <w:sz w:val="19"/>
          <w:szCs w:val="19"/>
          <w:color w:val="auto"/>
        </w:rPr>
      </w:pPr>
      <w:r>
        <w:rPr>
          <w:rFonts w:ascii="Arial" w:cs="Arial" w:eastAsia="Arial" w:hAnsi="Arial"/>
          <w:sz w:val="19"/>
          <w:szCs w:val="19"/>
          <w:color w:val="auto"/>
        </w:rPr>
        <w:t>provide for a waiver of subrogation by the insurer as to claims against Lessor, its employees and agents;</w:t>
      </w:r>
    </w:p>
    <w:p>
      <w:pPr>
        <w:spacing w:after="0" w:line="168" w:lineRule="exact"/>
        <w:rPr>
          <w:rFonts w:ascii="Arial" w:cs="Arial" w:eastAsia="Arial" w:hAnsi="Arial"/>
          <w:sz w:val="19"/>
          <w:szCs w:val="19"/>
          <w:color w:val="auto"/>
        </w:rPr>
      </w:pPr>
    </w:p>
    <w:p>
      <w:pPr>
        <w:jc w:val="both"/>
        <w:ind w:left="1220" w:firstLine="620"/>
        <w:spacing w:after="0" w:line="215" w:lineRule="auto"/>
        <w:tabs>
          <w:tab w:leader="none" w:pos="2448" w:val="left"/>
        </w:tabs>
        <w:numPr>
          <w:ilvl w:val="1"/>
          <w:numId w:val="45"/>
        </w:numPr>
        <w:rPr>
          <w:rFonts w:ascii="Arial" w:cs="Arial" w:eastAsia="Arial" w:hAnsi="Arial"/>
          <w:sz w:val="19"/>
          <w:szCs w:val="19"/>
          <w:color w:val="auto"/>
        </w:rPr>
      </w:pPr>
      <w:r>
        <w:rPr>
          <w:rFonts w:ascii="Arial" w:cs="Arial" w:eastAsia="Arial" w:hAnsi="Arial"/>
          <w:sz w:val="19"/>
          <w:szCs w:val="19"/>
          <w:color w:val="auto"/>
        </w:rPr>
        <w:t>be primary and provide that any “other insurance” clause in the insurance policy shall exclude any policies of insurance maintained by Lessor and the insurance policy shall not be brought into contribution with insurance maintained by Lessor;</w:t>
      </w:r>
    </w:p>
    <w:p>
      <w:pPr>
        <w:spacing w:after="0" w:line="160" w:lineRule="exact"/>
        <w:rPr>
          <w:rFonts w:ascii="Arial" w:cs="Arial" w:eastAsia="Arial" w:hAnsi="Arial"/>
          <w:sz w:val="19"/>
          <w:szCs w:val="19"/>
          <w:color w:val="auto"/>
        </w:rPr>
      </w:pPr>
    </w:p>
    <w:p>
      <w:pPr>
        <w:ind w:left="2460" w:hanging="620"/>
        <w:spacing w:after="0"/>
        <w:tabs>
          <w:tab w:leader="none" w:pos="2460" w:val="left"/>
        </w:tabs>
        <w:numPr>
          <w:ilvl w:val="1"/>
          <w:numId w:val="45"/>
        </w:numPr>
        <w:rPr>
          <w:rFonts w:ascii="Arial" w:cs="Arial" w:eastAsia="Arial" w:hAnsi="Arial"/>
          <w:sz w:val="19"/>
          <w:szCs w:val="19"/>
          <w:color w:val="auto"/>
        </w:rPr>
      </w:pPr>
      <w:r>
        <w:rPr>
          <w:rFonts w:ascii="Arial" w:cs="Arial" w:eastAsia="Arial" w:hAnsi="Arial"/>
          <w:sz w:val="19"/>
          <w:szCs w:val="19"/>
          <w:color w:val="auto"/>
        </w:rPr>
        <w:t>contain deductibles not to exceed $100,000;</w:t>
      </w:r>
    </w:p>
    <w:p>
      <w:pPr>
        <w:spacing w:after="0" w:line="141" w:lineRule="exact"/>
        <w:rPr>
          <w:rFonts w:ascii="Arial" w:cs="Arial" w:eastAsia="Arial" w:hAnsi="Arial"/>
          <w:sz w:val="19"/>
          <w:szCs w:val="19"/>
          <w:color w:val="auto"/>
        </w:rPr>
      </w:pPr>
    </w:p>
    <w:p>
      <w:pPr>
        <w:ind w:left="2460" w:hanging="620"/>
        <w:spacing w:after="0"/>
        <w:tabs>
          <w:tab w:leader="none" w:pos="2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contain a standard non-contributory mortgagee clause or endorsement in favor of any Lender designated</w:t>
      </w:r>
    </w:p>
    <w:p>
      <w:pPr>
        <w:ind w:left="1220"/>
        <w:spacing w:after="0"/>
        <w:rPr>
          <w:rFonts w:ascii="Arial" w:cs="Arial" w:eastAsia="Arial" w:hAnsi="Arial"/>
          <w:sz w:val="18"/>
          <w:szCs w:val="18"/>
          <w:color w:val="auto"/>
        </w:rPr>
      </w:pPr>
      <w:r>
        <w:rPr>
          <w:rFonts w:ascii="Arial" w:cs="Arial" w:eastAsia="Arial" w:hAnsi="Arial"/>
          <w:sz w:val="19"/>
          <w:szCs w:val="19"/>
          <w:color w:val="auto"/>
        </w:rPr>
        <w:t>by Lessor;</w:t>
      </w:r>
    </w:p>
    <w:p>
      <w:pPr>
        <w:spacing w:after="0" w:line="168" w:lineRule="exact"/>
        <w:rPr>
          <w:rFonts w:ascii="Arial" w:cs="Arial" w:eastAsia="Arial" w:hAnsi="Arial"/>
          <w:sz w:val="18"/>
          <w:szCs w:val="18"/>
          <w:color w:val="auto"/>
        </w:rPr>
      </w:pPr>
    </w:p>
    <w:p>
      <w:pPr>
        <w:jc w:val="both"/>
        <w:ind w:left="1220" w:firstLine="620"/>
        <w:spacing w:after="0" w:line="215" w:lineRule="auto"/>
        <w:tabs>
          <w:tab w:leader="none" w:pos="2446" w:val="left"/>
        </w:tabs>
        <w:numPr>
          <w:ilvl w:val="1"/>
          <w:numId w:val="45"/>
        </w:numPr>
        <w:rPr>
          <w:rFonts w:ascii="Arial" w:cs="Arial" w:eastAsia="Arial" w:hAnsi="Arial"/>
          <w:sz w:val="19"/>
          <w:szCs w:val="19"/>
          <w:color w:val="auto"/>
        </w:rPr>
      </w:pPr>
      <w:r>
        <w:rPr>
          <w:rFonts w:ascii="Arial" w:cs="Arial" w:eastAsia="Arial" w:hAnsi="Arial"/>
          <w:sz w:val="19"/>
          <w:szCs w:val="19"/>
          <w:color w:val="auto"/>
        </w:rPr>
        <w:t>provide that the policy of insurance shall not be terminated, cancelled or materially amended (such that the policy is no longer in compliance with the requirements of this Lease) without at least thirty (30) days’ prior written notice from Lessee to Lessor and to any Lender covered by any standard mortgagee clause or endorsement;</w:t>
      </w:r>
    </w:p>
    <w:p>
      <w:pPr>
        <w:spacing w:after="0" w:line="160" w:lineRule="exact"/>
        <w:rPr>
          <w:rFonts w:ascii="Arial" w:cs="Arial" w:eastAsia="Arial" w:hAnsi="Arial"/>
          <w:sz w:val="19"/>
          <w:szCs w:val="19"/>
          <w:color w:val="auto"/>
        </w:rPr>
      </w:pPr>
    </w:p>
    <w:p>
      <w:pPr>
        <w:ind w:left="1220" w:firstLine="620"/>
        <w:spacing w:after="0" w:line="223" w:lineRule="auto"/>
        <w:tabs>
          <w:tab w:leader="none" w:pos="2449" w:val="left"/>
        </w:tabs>
        <w:numPr>
          <w:ilvl w:val="1"/>
          <w:numId w:val="45"/>
        </w:numPr>
        <w:rPr>
          <w:rFonts w:ascii="Arial" w:cs="Arial" w:eastAsia="Arial" w:hAnsi="Arial"/>
          <w:sz w:val="19"/>
          <w:szCs w:val="19"/>
          <w:color w:val="auto"/>
        </w:rPr>
      </w:pPr>
      <w:r>
        <w:rPr>
          <w:rFonts w:ascii="Arial" w:cs="Arial" w:eastAsia="Arial" w:hAnsi="Arial"/>
          <w:sz w:val="19"/>
          <w:szCs w:val="19"/>
          <w:color w:val="auto"/>
        </w:rPr>
        <w:t>provide that the insurer shall not have the option to restore the Property if Lessor elects to terminate this Lease in accordance with the terms hereof;</w:t>
      </w:r>
    </w:p>
    <w:p>
      <w:pPr>
        <w:spacing w:after="0" w:line="161" w:lineRule="exact"/>
        <w:rPr>
          <w:rFonts w:ascii="Arial" w:cs="Arial" w:eastAsia="Arial" w:hAnsi="Arial"/>
          <w:sz w:val="19"/>
          <w:szCs w:val="19"/>
          <w:color w:val="auto"/>
        </w:rPr>
      </w:pPr>
    </w:p>
    <w:p>
      <w:pPr>
        <w:ind w:left="2460" w:hanging="620"/>
        <w:spacing w:after="0"/>
        <w:tabs>
          <w:tab w:leader="none" w:pos="2460" w:val="left"/>
        </w:tabs>
        <w:numPr>
          <w:ilvl w:val="1"/>
          <w:numId w:val="45"/>
        </w:numPr>
        <w:rPr>
          <w:rFonts w:ascii="Arial" w:cs="Arial" w:eastAsia="Arial" w:hAnsi="Arial"/>
          <w:sz w:val="19"/>
          <w:szCs w:val="19"/>
          <w:color w:val="auto"/>
        </w:rPr>
      </w:pPr>
      <w:r>
        <w:rPr>
          <w:rFonts w:ascii="Arial" w:cs="Arial" w:eastAsia="Arial" w:hAnsi="Arial"/>
          <w:sz w:val="19"/>
          <w:szCs w:val="19"/>
          <w:color w:val="auto"/>
        </w:rPr>
        <w:t>be in amounts sufficient at all times to satisfy any coinsurance requirements thereof;</w:t>
      </w:r>
    </w:p>
    <w:p>
      <w:pPr>
        <w:spacing w:after="0" w:line="168" w:lineRule="exact"/>
        <w:rPr>
          <w:rFonts w:ascii="Arial" w:cs="Arial" w:eastAsia="Arial" w:hAnsi="Arial"/>
          <w:sz w:val="19"/>
          <w:szCs w:val="19"/>
          <w:color w:val="auto"/>
        </w:rPr>
      </w:pPr>
    </w:p>
    <w:p>
      <w:pPr>
        <w:jc w:val="both"/>
        <w:ind w:left="1220" w:firstLine="620"/>
        <w:spacing w:after="0" w:line="211" w:lineRule="auto"/>
        <w:tabs>
          <w:tab w:leader="none" w:pos="2456" w:val="left"/>
        </w:tabs>
        <w:numPr>
          <w:ilvl w:val="1"/>
          <w:numId w:val="45"/>
        </w:numPr>
        <w:rPr>
          <w:rFonts w:ascii="Arial" w:cs="Arial" w:eastAsia="Arial" w:hAnsi="Arial"/>
          <w:sz w:val="19"/>
          <w:szCs w:val="19"/>
          <w:color w:val="auto"/>
        </w:rPr>
      </w:pPr>
      <w:r>
        <w:rPr>
          <w:rFonts w:ascii="Arial" w:cs="Arial" w:eastAsia="Arial" w:hAnsi="Arial"/>
          <w:sz w:val="19"/>
          <w:szCs w:val="19"/>
          <w:color w:val="auto"/>
        </w:rPr>
        <w:t>except for workers’ compensation insurance referred to in Section 6.03(a)(iii) above and automobile liability insurance referred to in Section 6.03(a)(v) above, name Lessor and any Lessor Affiliate or Lender requested by Lessor, as an “additional insured” with respect to liability insurance, and as an “additional named insured” or “additional insured” with respect to real property and rental value insurance, as appropriate and as their interests may appear;</w:t>
      </w:r>
    </w:p>
    <w:p>
      <w:pPr>
        <w:spacing w:after="0" w:line="159" w:lineRule="exact"/>
        <w:rPr>
          <w:rFonts w:ascii="Arial" w:cs="Arial" w:eastAsia="Arial" w:hAnsi="Arial"/>
          <w:sz w:val="19"/>
          <w:szCs w:val="19"/>
          <w:color w:val="auto"/>
        </w:rPr>
      </w:pPr>
    </w:p>
    <w:p>
      <w:pPr>
        <w:jc w:val="both"/>
        <w:ind w:left="1220" w:firstLine="620"/>
        <w:spacing w:after="0" w:line="211" w:lineRule="auto"/>
        <w:tabs>
          <w:tab w:leader="none" w:pos="2449" w:val="left"/>
        </w:tabs>
        <w:numPr>
          <w:ilvl w:val="1"/>
          <w:numId w:val="45"/>
        </w:numPr>
        <w:rPr>
          <w:rFonts w:ascii="Arial" w:cs="Arial" w:eastAsia="Arial" w:hAnsi="Arial"/>
          <w:sz w:val="19"/>
          <w:szCs w:val="19"/>
          <w:color w:val="auto"/>
        </w:rPr>
      </w:pPr>
      <w:r>
        <w:rPr>
          <w:rFonts w:ascii="Arial" w:cs="Arial" w:eastAsia="Arial" w:hAnsi="Arial"/>
          <w:sz w:val="19"/>
          <w:szCs w:val="19"/>
          <w:color w:val="auto"/>
        </w:rPr>
        <w:t>be evidenced by delivery to Lessor and any Lender designated by Lessor of an Acord Form 28 for property, business interruption and boiler &amp; machinery coverage (or any other form requested by Lessor) and an Acord Form 25 for commercial general liability, workers’ compensation and umbrella coverage (or any other form requested by Lessor); provided that in the event that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19"/>
          <w:szCs w:val="19"/>
          <w:color w:val="auto"/>
        </w:rPr>
        <w:t>9</w:t>
      </w:r>
    </w:p>
    <w:p>
      <w:pPr>
        <w:spacing w:after="0" w:line="221" w:lineRule="auto"/>
        <w:rPr>
          <w:sz w:val="20"/>
          <w:szCs w:val="20"/>
          <w:color w:val="auto"/>
        </w:rPr>
      </w:pPr>
      <w:r>
        <w:rPr>
          <w:rFonts w:ascii="Arial" w:cs="Arial" w:eastAsia="Arial" w:hAnsi="Arial"/>
          <w:sz w:val="12"/>
          <w:szCs w:val="12"/>
          <w:color w:val="auto"/>
        </w:rPr>
        <w:t>STORE / RT Logic (Kratos)</w:t>
      </w:r>
    </w:p>
    <w:p>
      <w:pPr>
        <w:spacing w:after="0" w:line="202" w:lineRule="auto"/>
        <w:rPr>
          <w:sz w:val="20"/>
          <w:szCs w:val="20"/>
          <w:color w:val="auto"/>
        </w:rPr>
      </w:pPr>
      <w:r>
        <w:rPr>
          <w:rFonts w:ascii="Arial" w:cs="Arial" w:eastAsia="Arial" w:hAnsi="Arial"/>
          <w:sz w:val="12"/>
          <w:szCs w:val="12"/>
          <w:color w:val="auto"/>
        </w:rPr>
        <w:t>Second A&amp;R Lease Agreement</w:t>
      </w:r>
    </w:p>
    <w:p>
      <w:pPr>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20"/>
          </w:cols>
          <w:pgMar w:left="340" w:top="100"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240"/>
        <w:spacing w:after="0" w:line="223" w:lineRule="auto"/>
        <w:rPr>
          <w:sz w:val="20"/>
          <w:szCs w:val="20"/>
          <w:color w:val="auto"/>
        </w:rPr>
      </w:pPr>
      <w:r>
        <w:rPr>
          <w:rFonts w:ascii="Arial" w:cs="Arial" w:eastAsia="Arial" w:hAnsi="Arial"/>
          <w:sz w:val="19"/>
          <w:szCs w:val="19"/>
          <w:color w:val="auto"/>
        </w:rPr>
        <w:t>such form is no longer available, such evidence of insurance shall be in a form reasonably satisfactory to Lessor and any Lender designated by Lessor; and</w:t>
      </w:r>
    </w:p>
    <w:p>
      <w:pPr>
        <w:spacing w:after="0" w:line="161" w:lineRule="exact"/>
        <w:rPr>
          <w:sz w:val="20"/>
          <w:szCs w:val="20"/>
          <w:color w:val="auto"/>
        </w:rPr>
      </w:pPr>
    </w:p>
    <w:p>
      <w:pPr>
        <w:ind w:left="1240" w:firstLine="620"/>
        <w:spacing w:after="0" w:line="223" w:lineRule="auto"/>
        <w:tabs>
          <w:tab w:leader="none" w:pos="2466" w:val="left"/>
        </w:tabs>
        <w:numPr>
          <w:ilvl w:val="2"/>
          <w:numId w:val="46"/>
        </w:numPr>
        <w:rPr>
          <w:rFonts w:ascii="Arial" w:cs="Arial" w:eastAsia="Arial" w:hAnsi="Arial"/>
          <w:sz w:val="19"/>
          <w:szCs w:val="19"/>
          <w:color w:val="auto"/>
        </w:rPr>
      </w:pPr>
      <w:r>
        <w:rPr>
          <w:rFonts w:ascii="Arial" w:cs="Arial" w:eastAsia="Arial" w:hAnsi="Arial"/>
          <w:sz w:val="19"/>
          <w:szCs w:val="19"/>
          <w:color w:val="auto"/>
        </w:rPr>
        <w:t>be issued by insurance companies licensed to do business in the states where the Property is located and which are rated no less than A-X by Best’s Insurance Guide or are otherwise approved by Lessor.</w:t>
      </w:r>
    </w:p>
    <w:p>
      <w:pPr>
        <w:spacing w:after="0" w:line="139" w:lineRule="exact"/>
        <w:rPr>
          <w:rFonts w:ascii="Arial" w:cs="Arial" w:eastAsia="Arial" w:hAnsi="Arial"/>
          <w:sz w:val="19"/>
          <w:szCs w:val="19"/>
          <w:color w:val="auto"/>
        </w:rPr>
      </w:pPr>
    </w:p>
    <w:p>
      <w:pPr>
        <w:jc w:val="both"/>
        <w:ind w:left="620" w:firstLine="621"/>
        <w:spacing w:after="0" w:line="203" w:lineRule="auto"/>
        <w:tabs>
          <w:tab w:leader="none" w:pos="1846" w:val="left"/>
        </w:tabs>
        <w:numPr>
          <w:ilvl w:val="1"/>
          <w:numId w:val="47"/>
        </w:numPr>
        <w:rPr>
          <w:rFonts w:ascii="Arial" w:cs="Arial" w:eastAsia="Arial" w:hAnsi="Arial"/>
          <w:sz w:val="19"/>
          <w:szCs w:val="19"/>
          <w:color w:val="auto"/>
        </w:rPr>
      </w:pPr>
      <w:r>
        <w:rPr>
          <w:rFonts w:ascii="Arial" w:cs="Arial" w:eastAsia="Arial" w:hAnsi="Arial"/>
          <w:sz w:val="19"/>
          <w:szCs w:val="19"/>
          <w:b w:val="1"/>
          <w:bCs w:val="1"/>
          <w:i w:val="1"/>
          <w:iCs w:val="1"/>
          <w:color w:val="auto"/>
        </w:rPr>
        <w:t>Additional Obligations</w:t>
      </w:r>
      <w:r>
        <w:rPr>
          <w:rFonts w:ascii="Arial" w:cs="Arial" w:eastAsia="Arial" w:hAnsi="Arial"/>
          <w:sz w:val="19"/>
          <w:szCs w:val="19"/>
          <w:color w:val="auto"/>
        </w:rPr>
        <w:t>. It is expressly understood and agreed that (i) if any insurance required hereunder,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part thereof, shall expire, be withdrawn, become void by breach of any condition thereof by Lessee, or become void or in jeopardy by reason of the failure or impairment of the capital of any insurer, Lessee shall immediately obtain new or additional insurance reasonably satisfactory to Lessor and any Lender designated by Lessor; (ii) the minimum limits of insurance coverage set forth in this Section 6.03 shall not limit the liability of Lessee for its acts or omissions as provided in this Lease;</w:t>
      </w:r>
    </w:p>
    <w:p>
      <w:pPr>
        <w:jc w:val="both"/>
        <w:ind w:left="620" w:firstLine="2"/>
        <w:spacing w:after="0" w:line="202" w:lineRule="auto"/>
        <w:tabs>
          <w:tab w:leader="none" w:pos="942" w:val="left"/>
        </w:tabs>
        <w:numPr>
          <w:ilvl w:val="0"/>
          <w:numId w:val="48"/>
        </w:numPr>
        <w:rPr>
          <w:rFonts w:ascii="Arial" w:cs="Arial" w:eastAsia="Arial" w:hAnsi="Arial"/>
          <w:sz w:val="19"/>
          <w:szCs w:val="19"/>
          <w:color w:val="auto"/>
        </w:rPr>
      </w:pPr>
      <w:r>
        <w:rPr>
          <w:rFonts w:ascii="Arial" w:cs="Arial" w:eastAsia="Arial" w:hAnsi="Arial"/>
          <w:sz w:val="19"/>
          <w:szCs w:val="19"/>
          <w:color w:val="auto"/>
        </w:rPr>
        <w:t>Lessee shall procure policies for all insurance for periods of not less than one year and shall provide to Lessor and any servicer or Lender of Lessor certificates of insurance or, upon Lessor’s request, a redacted copy of insurance policies evidencing that insurance satisfying the requirements of this Lease is in effect at all times; (iv) Lessee shall pay as they become due all premiums for the insurance required by this Section 6.03; (v) in the event that Lessee fails to comply with any of the requirements set forth in this Section 6.03, within ten (10) Business Days of the giving of written notice by Lessor to Lessee, (A) Lessor shall be entitled to procure such insurance; and (B) any sums expended by Lessor in procuring such insurance shall be Additional Rental and shall be repaid by Lessee, together with interest thereon at the Default Rate, from the time of payment by Lessor until fully paid by Lessee within fifteen (15) days of written demand therefor by Lessor; and (vi) Lessee shall maintain all insurance policies required in this Section 6.03 not to be cancelled, invalidated or suspended on account of the conduct of Lessee, its officers, directors, managers, members, employees or agents, or anyone acting for Lessee or any subtenant or other occupant of the Property, and shall comply with all policy conditions and warranties at all times to avoid a forfeiture of all or a part of any insurance payment.</w:t>
      </w:r>
    </w:p>
    <w:p>
      <w:pPr>
        <w:spacing w:after="0" w:line="143" w:lineRule="exact"/>
        <w:rPr>
          <w:rFonts w:ascii="Arial" w:cs="Arial" w:eastAsia="Arial" w:hAnsi="Arial"/>
          <w:sz w:val="19"/>
          <w:szCs w:val="19"/>
          <w:color w:val="auto"/>
        </w:rPr>
      </w:pPr>
    </w:p>
    <w:p>
      <w:pPr>
        <w:jc w:val="both"/>
        <w:ind w:left="620" w:firstLine="621"/>
        <w:spacing w:after="0" w:line="223" w:lineRule="auto"/>
        <w:tabs>
          <w:tab w:leader="none" w:pos="1856" w:val="left"/>
        </w:tabs>
        <w:numPr>
          <w:ilvl w:val="1"/>
          <w:numId w:val="48"/>
        </w:numPr>
        <w:rPr>
          <w:rFonts w:ascii="Arial" w:cs="Arial" w:eastAsia="Arial" w:hAnsi="Arial"/>
          <w:sz w:val="19"/>
          <w:szCs w:val="19"/>
          <w:color w:val="auto"/>
        </w:rPr>
      </w:pPr>
      <w:r>
        <w:rPr>
          <w:rFonts w:ascii="Arial" w:cs="Arial" w:eastAsia="Arial" w:hAnsi="Arial"/>
          <w:sz w:val="19"/>
          <w:szCs w:val="19"/>
          <w:b w:val="1"/>
          <w:bCs w:val="1"/>
          <w:i w:val="1"/>
          <w:iCs w:val="1"/>
          <w:color w:val="auto"/>
        </w:rPr>
        <w:t>Blanket Policies</w:t>
      </w:r>
      <w:r>
        <w:rPr>
          <w:rFonts w:ascii="Arial" w:cs="Arial" w:eastAsia="Arial" w:hAnsi="Arial"/>
          <w:sz w:val="19"/>
          <w:szCs w:val="19"/>
          <w:color w:val="auto"/>
        </w:rPr>
        <w:t>. Notwithstanding anything to the contrary in this Section 6.03, any insurance which Lessee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required to obtain pursuant to this Section 6.03 may be carried under a “blanket” policy or policies covering other properties or liabilities of Lessee provided that such “blanket” policy or policies otherwise comply with the provisions of this Section 6.03.</w:t>
      </w:r>
    </w:p>
    <w:p>
      <w:pPr>
        <w:spacing w:after="0" w:line="137" w:lineRule="exact"/>
        <w:rPr>
          <w:sz w:val="20"/>
          <w:szCs w:val="20"/>
          <w:color w:val="auto"/>
        </w:rPr>
      </w:pPr>
    </w:p>
    <w:p>
      <w:pPr>
        <w:jc w:val="both"/>
        <w:ind w:firstLine="619"/>
        <w:spacing w:after="0" w:line="204" w:lineRule="auto"/>
        <w:rPr>
          <w:sz w:val="20"/>
          <w:szCs w:val="20"/>
          <w:color w:val="auto"/>
        </w:rPr>
      </w:pPr>
      <w:r>
        <w:rPr>
          <w:rFonts w:ascii="Arial" w:cs="Arial" w:eastAsia="Arial" w:hAnsi="Arial"/>
          <w:sz w:val="19"/>
          <w:szCs w:val="19"/>
          <w:b w:val="1"/>
          <w:bCs w:val="1"/>
          <w:color w:val="auto"/>
        </w:rPr>
        <w:t>Section 1.04. Tax Impound</w:t>
      </w:r>
      <w:r>
        <w:rPr>
          <w:rFonts w:ascii="Arial" w:cs="Arial" w:eastAsia="Arial" w:hAnsi="Arial"/>
          <w:sz w:val="19"/>
          <w:szCs w:val="19"/>
          <w:color w:val="auto"/>
        </w:rPr>
        <w:t>. Upon the occurrence of a monetary Event of Default and with respect to each Event of Default, in</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 to any other remedies, Lessor may require Lessee to pay to Lessor on the first day of each month the amount that Lessor reasonably estimates will be necessary in order to accumulate with Lessor sufficient funds in an impound account (which shall not be deemed a trust fund) (the “</w:t>
      </w:r>
      <w:r>
        <w:rPr>
          <w:rFonts w:ascii="Arial" w:cs="Arial" w:eastAsia="Arial" w:hAnsi="Arial"/>
          <w:sz w:val="19"/>
          <w:szCs w:val="19"/>
          <w:u w:val="single" w:color="auto"/>
          <w:color w:val="auto"/>
        </w:rPr>
        <w:t>Reserve</w:t>
      </w:r>
      <w:r>
        <w:rPr>
          <w:rFonts w:ascii="Arial" w:cs="Arial" w:eastAsia="Arial" w:hAnsi="Arial"/>
          <w:sz w:val="19"/>
          <w:szCs w:val="19"/>
          <w:color w:val="auto"/>
        </w:rPr>
        <w:t>”) for Lessor to pay any and all real estate taxes (“</w:t>
      </w:r>
      <w:r>
        <w:rPr>
          <w:rFonts w:ascii="Arial" w:cs="Arial" w:eastAsia="Arial" w:hAnsi="Arial"/>
          <w:sz w:val="19"/>
          <w:szCs w:val="19"/>
          <w:u w:val="single" w:color="auto"/>
          <w:color w:val="auto"/>
        </w:rPr>
        <w:t>Real Estate Taxes</w:t>
      </w:r>
      <w:r>
        <w:rPr>
          <w:rFonts w:ascii="Arial" w:cs="Arial" w:eastAsia="Arial" w:hAnsi="Arial"/>
          <w:sz w:val="19"/>
          <w:szCs w:val="19"/>
          <w:color w:val="auto"/>
        </w:rPr>
        <w:t xml:space="preserve">”) for the Property for the ensuing twelve (12) months, or, if due sooner, Lessee shall pay the required amount immediately upon Lessor’s demand therefor. Lessor shall, upon prior written request of Lessee, provide Lessee with evidence reasonably satisfactory to Lessee that payment of the Real Estate Taxes was made in a timely fashion. In the event that the Reserve does not contain sufficient funds to timely pay any Real Estate Taxes, upon Lessor’s written notification thereof, Lessee shall, within five (5) Business Days of such notice, provide funds to Lessor in the amount of such deficiency. Lessor shall pay or cause to be paid directly to the applicable taxing authorities any Real Estate Taxes then due and payable for which there are funds in the Reserve;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shall Lessor be obligated to pay any Real Estate Taxes in excess of the funds held in the Reserve, and Lessee shall remain liable for any and all Real Estate Taxes, including fines, penalties, interest or additional costs imposed by any taxing authority (unless incurred as a result of Lessor’s failure to timely pay Real Estate Taxes for which it had funds in the Reserve). Lessee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Arial" w:cs="Arial" w:eastAsia="Arial" w:hAnsi="Arial"/>
          <w:sz w:val="19"/>
          <w:szCs w:val="19"/>
          <w:color w:val="auto"/>
        </w:rPr>
        <w:t>10</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06" w:lineRule="auto"/>
        <w:rPr>
          <w:sz w:val="20"/>
          <w:szCs w:val="20"/>
          <w:color w:val="auto"/>
        </w:rPr>
      </w:pPr>
      <w:r>
        <w:rPr>
          <w:rFonts w:ascii="Arial" w:cs="Arial" w:eastAsia="Arial" w:hAnsi="Arial"/>
          <w:sz w:val="19"/>
          <w:szCs w:val="19"/>
          <w:color w:val="auto"/>
        </w:rPr>
        <w:t>shall reasonably cooperate with Lessor in assuring that the Real Estate Taxes are timely paid. Lessor may deposit all Reserve funds in accounts insured by any federal or state agency and may commingle such funds with other funds and accounts of Lessor. Interest or other gains from such funds, if any, shall be the sole property of Lessor. During the continuation of an Event of Default, and provided any Real Estate Taxes then due and payable have been paid, in addition to any other remedies, Lessor may apply all impounded funds in the Reserve against any sums due from Lessee to Lessor. Lessor shall give to Lessee an annual accounting showing all credits and debits to and from such impounded funds received from Lessee.</w:t>
      </w:r>
    </w:p>
    <w:p>
      <w:pPr>
        <w:spacing w:after="0" w:line="140" w:lineRule="exact"/>
        <w:rPr>
          <w:sz w:val="20"/>
          <w:szCs w:val="20"/>
          <w:color w:val="auto"/>
        </w:rPr>
      </w:pPr>
    </w:p>
    <w:p>
      <w:pPr>
        <w:ind w:left="5000"/>
        <w:spacing w:after="0"/>
        <w:rPr>
          <w:sz w:val="20"/>
          <w:szCs w:val="20"/>
          <w:color w:val="auto"/>
        </w:rPr>
      </w:pPr>
      <w:r>
        <w:rPr>
          <w:rFonts w:ascii="Arial" w:cs="Arial" w:eastAsia="Arial" w:hAnsi="Arial"/>
          <w:sz w:val="19"/>
          <w:szCs w:val="19"/>
          <w:b w:val="1"/>
          <w:bCs w:val="1"/>
          <w:color w:val="auto"/>
        </w:rPr>
        <w:t>ARTICLE VII</w:t>
      </w:r>
    </w:p>
    <w:p>
      <w:pPr>
        <w:spacing w:after="0" w:line="142" w:lineRule="exact"/>
        <w:rPr>
          <w:sz w:val="20"/>
          <w:szCs w:val="20"/>
          <w:color w:val="auto"/>
        </w:rPr>
      </w:pPr>
    </w:p>
    <w:p>
      <w:pPr>
        <w:ind w:left="4220"/>
        <w:spacing w:after="0"/>
        <w:rPr>
          <w:sz w:val="20"/>
          <w:szCs w:val="20"/>
          <w:color w:val="auto"/>
        </w:rPr>
      </w:pPr>
      <w:r>
        <w:rPr>
          <w:rFonts w:ascii="Arial" w:cs="Arial" w:eastAsia="Arial" w:hAnsi="Arial"/>
          <w:sz w:val="19"/>
          <w:szCs w:val="19"/>
          <w:b w:val="1"/>
          <w:bCs w:val="1"/>
          <w:color w:val="auto"/>
        </w:rPr>
        <w:t>MAINTENANCE; ALTERATIONS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1.01. Condition of Property; Maintenance</w:t>
      </w:r>
      <w:r>
        <w:rPr>
          <w:rFonts w:ascii="Arial" w:cs="Arial" w:eastAsia="Arial" w:hAnsi="Arial"/>
          <w:sz w:val="19"/>
          <w:szCs w:val="19"/>
          <w:color w:val="auto"/>
        </w:rPr>
        <w:t>.</w:t>
      </w:r>
    </w:p>
    <w:p>
      <w:pPr>
        <w:spacing w:after="0" w:line="192" w:lineRule="exact"/>
        <w:rPr>
          <w:sz w:val="20"/>
          <w:szCs w:val="20"/>
          <w:color w:val="auto"/>
        </w:rPr>
      </w:pPr>
    </w:p>
    <w:p>
      <w:pPr>
        <w:jc w:val="both"/>
        <w:ind w:left="620" w:firstLine="621"/>
        <w:spacing w:after="0" w:line="209" w:lineRule="auto"/>
        <w:tabs>
          <w:tab w:leader="none" w:pos="1856" w:val="left"/>
        </w:tabs>
        <w:numPr>
          <w:ilvl w:val="1"/>
          <w:numId w:val="49"/>
        </w:numPr>
        <w:rPr>
          <w:rFonts w:ascii="Arial" w:cs="Arial" w:eastAsia="Arial" w:hAnsi="Arial"/>
          <w:sz w:val="18"/>
          <w:szCs w:val="18"/>
          <w:color w:val="auto"/>
        </w:rPr>
      </w:pPr>
      <w:r>
        <w:rPr>
          <w:rFonts w:ascii="Arial" w:cs="Arial" w:eastAsia="Arial" w:hAnsi="Arial"/>
          <w:sz w:val="18"/>
          <w:szCs w:val="18"/>
          <w:color w:val="auto"/>
        </w:rPr>
        <w:t>Lessee hereby accepts the Property “AS IS” and “WHERE IS” with no representation or warranty of Lessor as to the condition thereof. Unless necessitated by Lessor’s gross negligence or willful misconduct, Lessee shall, at its sole cost and expense, be responsible for (i) keeping all of the building, structures and improvements erected on the Property in good order and repair, free from actual or constructive waste; (ii) the repair or reconstruction of any building, structures or improvements erected on the Property damaged or destroyed by a Casualty; (iii) subject to Section 7.02, making all necessary structural, non-structural, exterior and interior repairs and replacements to any building, structures or improvements erected on the Property;</w:t>
      </w:r>
    </w:p>
    <w:p>
      <w:pPr>
        <w:spacing w:after="0" w:line="1" w:lineRule="exact"/>
        <w:rPr>
          <w:rFonts w:ascii="Arial" w:cs="Arial" w:eastAsia="Arial" w:hAnsi="Arial"/>
          <w:sz w:val="18"/>
          <w:szCs w:val="18"/>
          <w:color w:val="auto"/>
        </w:rPr>
      </w:pPr>
    </w:p>
    <w:p>
      <w:pPr>
        <w:jc w:val="both"/>
        <w:ind w:left="620" w:firstLine="2"/>
        <w:spacing w:after="0" w:line="203" w:lineRule="auto"/>
        <w:tabs>
          <w:tab w:leader="none" w:pos="954" w:val="left"/>
        </w:tabs>
        <w:numPr>
          <w:ilvl w:val="0"/>
          <w:numId w:val="50"/>
        </w:numPr>
        <w:rPr>
          <w:rFonts w:ascii="Arial" w:cs="Arial" w:eastAsia="Arial" w:hAnsi="Arial"/>
          <w:sz w:val="19"/>
          <w:szCs w:val="19"/>
          <w:color w:val="auto"/>
        </w:rPr>
      </w:pPr>
      <w:r>
        <w:rPr>
          <w:rFonts w:ascii="Arial" w:cs="Arial" w:eastAsia="Arial" w:hAnsi="Arial"/>
          <w:sz w:val="19"/>
          <w:szCs w:val="19"/>
          <w:color w:val="auto"/>
        </w:rPr>
        <w:t>operating, remodeling, updating and modernizing the Property in accordance with those standards adopted from time to time on a system-wide basis for the Permitted Facility; (v) (A) ensuring that no party encroaches upon the Property, (B) protecting, defending (using counsel chosen by Lessee and approved by Lessor), indemnifying, releasing and holding the Indemnified Parties harmless from and against any and all claims and Losses arising out of or in any way relating to any encroachments and/or activities upon the Property caused by any Person; and (C) prosecuting any claims that Lessee seeks to bring against any Person relating to Lessee’s use and possession of the Property; and (vi) paying all operating costs of the Property in the ordinary course of business. Lessee waives any right to require Lessor to maintain, repair or rebuild all or any part of the Property or make repairs at the expense of Lessor pursuant to any Legal Requirements at any time in effect, unless such maintenance, repair, or rebuilding is necessitated by Lessor’s gross negligence or willful misconduct.</w:t>
      </w:r>
    </w:p>
    <w:p>
      <w:pPr>
        <w:spacing w:after="0" w:line="167" w:lineRule="exact"/>
        <w:rPr>
          <w:rFonts w:ascii="Arial" w:cs="Arial" w:eastAsia="Arial" w:hAnsi="Arial"/>
          <w:sz w:val="19"/>
          <w:szCs w:val="19"/>
          <w:color w:val="auto"/>
        </w:rPr>
      </w:pPr>
    </w:p>
    <w:p>
      <w:pPr>
        <w:jc w:val="both"/>
        <w:ind w:left="620" w:firstLine="621"/>
        <w:spacing w:after="0" w:line="214" w:lineRule="auto"/>
        <w:tabs>
          <w:tab w:leader="none" w:pos="1856"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Notwithstanding anything set forth in Section 7.01(a) above, Lessor shall pay the cost of any Required Capital Improvement during the last five (5) years of the Lease Term in excess of $50,000 cumulative on an annual basis (“</w:t>
      </w:r>
      <w:r>
        <w:rPr>
          <w:rFonts w:ascii="Arial" w:cs="Arial" w:eastAsia="Arial" w:hAnsi="Arial"/>
          <w:sz w:val="18"/>
          <w:szCs w:val="18"/>
          <w:u w:val="single" w:color="auto"/>
          <w:color w:val="auto"/>
        </w:rPr>
        <w:t>Expenditure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Cap</w:t>
      </w:r>
      <w:r>
        <w:rPr>
          <w:rFonts w:ascii="Arial" w:cs="Arial" w:eastAsia="Arial" w:hAnsi="Arial"/>
          <w:sz w:val="18"/>
          <w:szCs w:val="18"/>
          <w:color w:val="auto"/>
        </w:rPr>
        <w:t>”) up to the actual cost of such Required Capital Improvement (“</w:t>
      </w:r>
      <w:r>
        <w:rPr>
          <w:rFonts w:ascii="Arial" w:cs="Arial" w:eastAsia="Arial" w:hAnsi="Arial"/>
          <w:sz w:val="18"/>
          <w:szCs w:val="18"/>
          <w:u w:val="single" w:color="auto"/>
          <w:color w:val="auto"/>
        </w:rPr>
        <w:t>Lessor Expenditure</w:t>
      </w:r>
      <w:r>
        <w:rPr>
          <w:rFonts w:ascii="Arial" w:cs="Arial" w:eastAsia="Arial" w:hAnsi="Arial"/>
          <w:sz w:val="18"/>
          <w:szCs w:val="18"/>
          <w:color w:val="auto"/>
        </w:rPr>
        <w:t>”). Lessee shall reimburse Lessor such Lessor Expenditure through an increase in Base Annual Rental in an annual amount equal to the Lessor Expenditure divided by the Useful Life (as determined in Lessor’s reasonable discretion) of such Required Capital Improvement. By way of example, if a roof replacement costs $200,000 and has a Useful Life of 20 years, Lessee shall reimburse Lessor through an increase in Base Annual Rental equal to $7,500 per year (1/20 x $150,000). For purposes of this paragraph, a “</w:t>
      </w:r>
      <w:r>
        <w:rPr>
          <w:rFonts w:ascii="Arial" w:cs="Arial" w:eastAsia="Arial" w:hAnsi="Arial"/>
          <w:sz w:val="18"/>
          <w:szCs w:val="18"/>
          <w:i w:val="1"/>
          <w:iCs w:val="1"/>
          <w:color w:val="auto"/>
        </w:rPr>
        <w:t>Required</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Improvement</w:t>
      </w:r>
      <w:r>
        <w:rPr>
          <w:rFonts w:ascii="Arial" w:cs="Arial" w:eastAsia="Arial" w:hAnsi="Arial"/>
          <w:sz w:val="18"/>
          <w:szCs w:val="18"/>
          <w:color w:val="auto"/>
        </w:rPr>
        <w:t>” shall mean a permanent structural change to the Property or the restoration of some aspect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that will either enhance the Property’s overall value or increase its useful life and that is required to be completed by Lessee to remain in compliance with Section 7.01(a), as reasonably determined and agreed upon by Lessee and Lessor.</w:t>
      </w:r>
    </w:p>
    <w:p>
      <w:pPr>
        <w:spacing w:after="0" w:line="142" w:lineRule="exact"/>
        <w:rPr>
          <w:sz w:val="20"/>
          <w:szCs w:val="20"/>
          <w:color w:val="auto"/>
        </w:rPr>
      </w:pPr>
    </w:p>
    <w:p>
      <w:pPr>
        <w:ind w:firstLine="619"/>
        <w:spacing w:after="0" w:line="237" w:lineRule="auto"/>
        <w:rPr>
          <w:sz w:val="20"/>
          <w:szCs w:val="20"/>
          <w:color w:val="auto"/>
        </w:rPr>
      </w:pPr>
      <w:r>
        <w:rPr>
          <w:rFonts w:ascii="Arial" w:cs="Arial" w:eastAsia="Arial" w:hAnsi="Arial"/>
          <w:sz w:val="19"/>
          <w:szCs w:val="19"/>
          <w:b w:val="1"/>
          <w:bCs w:val="1"/>
          <w:color w:val="auto"/>
        </w:rPr>
        <w:t>Section 1.02. Alterations and Improvements</w:t>
      </w:r>
      <w:r>
        <w:rPr>
          <w:rFonts w:ascii="Arial" w:cs="Arial" w:eastAsia="Arial" w:hAnsi="Arial"/>
          <w:sz w:val="19"/>
          <w:szCs w:val="19"/>
          <w:color w:val="auto"/>
        </w:rPr>
        <w:t>. During the Lease Term, Lessee shall not alter the exterior, structural, plumbing</w:t>
      </w:r>
      <w:r>
        <w:rPr>
          <w:rFonts w:ascii="Arial" w:cs="Arial" w:eastAsia="Arial" w:hAnsi="Arial"/>
          <w:sz w:val="19"/>
          <w:szCs w:val="19"/>
          <w:b w:val="1"/>
          <w:bCs w:val="1"/>
          <w:color w:val="auto"/>
        </w:rPr>
        <w:t xml:space="preserve"> </w:t>
      </w:r>
      <w:r>
        <w:rPr>
          <w:rFonts w:ascii="Arial" w:cs="Arial" w:eastAsia="Arial" w:hAnsi="Arial"/>
          <w:sz w:val="19"/>
          <w:szCs w:val="19"/>
          <w:color w:val="auto"/>
        </w:rPr>
        <w:t>or electrical elements of the Property in any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11</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02" w:lineRule="auto"/>
        <w:rPr>
          <w:sz w:val="20"/>
          <w:szCs w:val="20"/>
          <w:color w:val="auto"/>
        </w:rPr>
      </w:pPr>
      <w:r>
        <w:rPr>
          <w:rFonts w:ascii="Arial" w:cs="Arial" w:eastAsia="Arial" w:hAnsi="Arial"/>
          <w:sz w:val="19"/>
          <w:szCs w:val="19"/>
          <w:color w:val="auto"/>
        </w:rPr>
        <w:t xml:space="preserve">without the consent of Lessor, which consent shall not be unreasonably withheld or conditioned; </w:t>
      </w:r>
      <w:r>
        <w:rPr>
          <w:rFonts w:ascii="Arial" w:cs="Arial" w:eastAsia="Arial" w:hAnsi="Arial"/>
          <w:sz w:val="19"/>
          <w:szCs w:val="19"/>
          <w:i w:val="1"/>
          <w:iCs w:val="1"/>
          <w:color w:val="auto"/>
        </w:rPr>
        <w:t>provided, however</w:t>
      </w:r>
      <w:r>
        <w:rPr>
          <w:rFonts w:ascii="Arial" w:cs="Arial" w:eastAsia="Arial" w:hAnsi="Arial"/>
          <w:sz w:val="19"/>
          <w:szCs w:val="19"/>
          <w:color w:val="auto"/>
        </w:rPr>
        <w:t>, Lessee may undertake nonstructural alterations to the Property, individually, costing less than $150,000 (such limit shall increase by 2.0% each Lease year) without Lessor’s prior written consent. If Lessor’s consent is required hereunder and Lessor consents to the making of any such alterations, the same shall be made by Lessee at Lessee’s sole expense by a licensed contractor and according to plans and specifications approved by Lessor and subject to such other conditions as Lessor shall reasonably require. Any work at any time commenced by Lessee on the Property shall be prosecuted diligently to completion, shall be of good workmanship and materials and shall comply fully with all the terms of this Lease and all Legal Requirements. Upon completion of any alterations individually costing $150,000 or more, Lessee shall promptly provide Lessor with evidence of full payment to all laborers and materialmen contributing to the alterations. Additionally, upon completion of any alterations, Lessee shall promptly provide Lessor with (a) an architect’s certificate certifying the alterations to have been completed in conformity with the plans and specifications (if the alterations are of such a nature as would require the issuance of such a certificate from the architect); (b) a certificate of occupancy (if the alterations are of such a nature as would require the issuance of a certificate of occupancy); and (c) any other documents or information reasonably requested by Lessor. Lessee shall keep the Property free from any liens arising out of any work performed on, or materials furnished to, the Property. Lessee shall execute and file or record, as appropriate, a “Notice of Non-Responsibility,” or any equivalent notice permitted under applicable Law in the state where the Property is located which provides that Lessor is not responsible for the payment of any costs or expenses relating to the additions or alterations. Any addition to or alteration of the Property shall be deemed a part of the Property and belong to Lessor, and Lessee shall execute and deliver to Lessor such instruments as Lessor may reasonably require to evidence the ownership by Lessor of such addition or alteration.</w:t>
      </w:r>
    </w:p>
    <w:p>
      <w:pPr>
        <w:spacing w:after="0" w:line="141" w:lineRule="exact"/>
        <w:rPr>
          <w:sz w:val="20"/>
          <w:szCs w:val="20"/>
          <w:color w:val="auto"/>
        </w:rPr>
      </w:pPr>
    </w:p>
    <w:p>
      <w:pPr>
        <w:jc w:val="both"/>
        <w:ind w:firstLine="619"/>
        <w:spacing w:after="0" w:line="213" w:lineRule="auto"/>
        <w:rPr>
          <w:sz w:val="20"/>
          <w:szCs w:val="20"/>
          <w:color w:val="auto"/>
        </w:rPr>
      </w:pPr>
      <w:r>
        <w:rPr>
          <w:rFonts w:ascii="Arial" w:cs="Arial" w:eastAsia="Arial" w:hAnsi="Arial"/>
          <w:sz w:val="19"/>
          <w:szCs w:val="19"/>
          <w:b w:val="1"/>
          <w:bCs w:val="1"/>
          <w:color w:val="auto"/>
        </w:rPr>
        <w:t>Section 1.03. Encumbrances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Lease Term, Lessor shall have the right to grant easements on, over, under and</w:t>
      </w:r>
      <w:r>
        <w:rPr>
          <w:rFonts w:ascii="Arial" w:cs="Arial" w:eastAsia="Arial" w:hAnsi="Arial"/>
          <w:sz w:val="19"/>
          <w:szCs w:val="19"/>
          <w:b w:val="1"/>
          <w:bCs w:val="1"/>
          <w:color w:val="auto"/>
        </w:rPr>
        <w:t xml:space="preserve"> </w:t>
      </w:r>
      <w:r>
        <w:rPr>
          <w:rFonts w:ascii="Arial" w:cs="Arial" w:eastAsia="Arial" w:hAnsi="Arial"/>
          <w:sz w:val="19"/>
          <w:szCs w:val="19"/>
          <w:color w:val="auto"/>
        </w:rPr>
        <w:t>above the Property without the prior consent of Lessee (but with prior notice to Lessee), provided that such easements will not adversely interfere with Lessee’s use of the Property. Lessee shall comply with and perform all obligations of Lessor under all easements, declarations, covenants, restrictions and other items of record now or hereafter encumbering the Property. Without Lessor’s prior written consent, Lessee shall not grant any easements on, over, under or above the Property.</w:t>
      </w:r>
    </w:p>
    <w:p>
      <w:pPr>
        <w:spacing w:after="0" w:line="139"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auto"/>
        </w:rPr>
        <w:t>ARTICLE VIII</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USE OF THE PROPERTY; COMPLIANCE</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1.01. Use and “Go Dark” Rights</w:t>
      </w:r>
      <w:r>
        <w:rPr>
          <w:rFonts w:ascii="Arial" w:cs="Arial" w:eastAsia="Arial" w:hAnsi="Arial"/>
          <w:sz w:val="19"/>
          <w:szCs w:val="19"/>
          <w:color w:val="auto"/>
        </w:rPr>
        <w:t>.</w:t>
      </w:r>
    </w:p>
    <w:p>
      <w:pPr>
        <w:spacing w:after="0" w:line="170" w:lineRule="exact"/>
        <w:rPr>
          <w:sz w:val="20"/>
          <w:szCs w:val="20"/>
          <w:color w:val="auto"/>
        </w:rPr>
      </w:pPr>
    </w:p>
    <w:p>
      <w:pPr>
        <w:jc w:val="both"/>
        <w:ind w:left="620" w:firstLine="621"/>
        <w:spacing w:after="0" w:line="210" w:lineRule="auto"/>
        <w:tabs>
          <w:tab w:leader="none" w:pos="1856" w:val="left"/>
        </w:tabs>
        <w:numPr>
          <w:ilvl w:val="0"/>
          <w:numId w:val="51"/>
        </w:numPr>
        <w:rPr>
          <w:rFonts w:ascii="Arial" w:cs="Arial" w:eastAsia="Arial" w:hAnsi="Arial"/>
          <w:sz w:val="19"/>
          <w:szCs w:val="19"/>
          <w:color w:val="auto"/>
        </w:rPr>
      </w:pPr>
      <w:r>
        <w:rPr>
          <w:rFonts w:ascii="Arial" w:cs="Arial" w:eastAsia="Arial" w:hAnsi="Arial"/>
          <w:sz w:val="19"/>
          <w:szCs w:val="19"/>
          <w:b w:val="1"/>
          <w:bCs w:val="1"/>
          <w:i w:val="1"/>
          <w:iCs w:val="1"/>
          <w:color w:val="auto"/>
        </w:rPr>
        <w:t>Use</w:t>
      </w:r>
      <w:r>
        <w:rPr>
          <w:rFonts w:ascii="Arial" w:cs="Arial" w:eastAsia="Arial" w:hAnsi="Arial"/>
          <w:sz w:val="19"/>
          <w:szCs w:val="19"/>
          <w:color w:val="auto"/>
        </w:rPr>
        <w:t>. During the Lease Term, the Property shall be used solely for the operation of a Permitted Facility. Except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during periods when the Property is untenantable due to Casualty or Condemnation (and provided that Lessee continues to strictly comply with the other terms and conditions of this Lease), Lessee shall at all times during the Lease Term occupy the Property and shall diligently operate its business on the Property. In the event that Lessee shall change the use of the Property, only as may be expressly permitted herein or consented to by Lessor in writing, Lessee shall provide Lessor with written notice of any such change.</w:t>
      </w:r>
    </w:p>
    <w:p>
      <w:pPr>
        <w:spacing w:after="0" w:line="142" w:lineRule="exact"/>
        <w:rPr>
          <w:rFonts w:ascii="Arial" w:cs="Arial" w:eastAsia="Arial" w:hAnsi="Arial"/>
          <w:sz w:val="19"/>
          <w:szCs w:val="19"/>
          <w:color w:val="auto"/>
        </w:rPr>
      </w:pPr>
    </w:p>
    <w:p>
      <w:pPr>
        <w:jc w:val="both"/>
        <w:ind w:left="620" w:firstLine="621"/>
        <w:spacing w:after="0" w:line="213" w:lineRule="auto"/>
        <w:tabs>
          <w:tab w:leader="none" w:pos="1856" w:val="left"/>
        </w:tabs>
        <w:numPr>
          <w:ilvl w:val="0"/>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 Dark” Right</w:t>
      </w:r>
      <w:r>
        <w:rPr>
          <w:rFonts w:ascii="Arial" w:cs="Arial" w:eastAsia="Arial" w:hAnsi="Arial"/>
          <w:sz w:val="19"/>
          <w:szCs w:val="19"/>
          <w:color w:val="auto"/>
        </w:rPr>
        <w:t>. Notwithstanding any provision contained herein, Lessee shall not be in default under this Section 8.01 until Lessee fails to continue to materially operate its business at the Property (excluding instances of Casualty, Condemnation and Force Majeure) for more than one hundred eighty (180) consecutive days. Thereafter, Lessee shall: (i) re-open the Property; or (ii) exercise Lessee’s assignment or subletting rights as permitted under this Lease. Notwithstanding any provision contained in this Section 8.01(b), (A) Lessee shall provide Lessor with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12</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20"/>
        <w:spacing w:after="0" w:line="211" w:lineRule="auto"/>
        <w:rPr>
          <w:sz w:val="20"/>
          <w:szCs w:val="20"/>
          <w:color w:val="auto"/>
        </w:rPr>
      </w:pPr>
      <w:r>
        <w:rPr>
          <w:rFonts w:ascii="Arial" w:cs="Arial" w:eastAsia="Arial" w:hAnsi="Arial"/>
          <w:sz w:val="19"/>
          <w:szCs w:val="19"/>
          <w:color w:val="auto"/>
        </w:rPr>
        <w:t>notice at least ten (10) days prior to the Property “going dark,” and (B) the terms and provisions of this Lease and Lessee’s obligations hereunder shall remain in full force and effect during any “go dark” period, and (C) in no event shall Lessee “go dark” in any manner that would violate any Permitted Encumbrances in any material respect or give a third party any right to acquire title to the Property as a result of a Property “going dark.”</w:t>
      </w:r>
    </w:p>
    <w:p>
      <w:pPr>
        <w:spacing w:after="0" w:line="136" w:lineRule="exact"/>
        <w:rPr>
          <w:sz w:val="20"/>
          <w:szCs w:val="20"/>
          <w:color w:val="auto"/>
        </w:rPr>
      </w:pPr>
    </w:p>
    <w:p>
      <w:pPr>
        <w:jc w:val="both"/>
        <w:ind w:firstLine="619"/>
        <w:spacing w:after="0" w:line="201" w:lineRule="auto"/>
        <w:rPr>
          <w:sz w:val="20"/>
          <w:szCs w:val="20"/>
          <w:color w:val="auto"/>
        </w:rPr>
      </w:pPr>
      <w:r>
        <w:rPr>
          <w:rFonts w:ascii="Arial" w:cs="Arial" w:eastAsia="Arial" w:hAnsi="Arial"/>
          <w:sz w:val="19"/>
          <w:szCs w:val="19"/>
          <w:b w:val="1"/>
          <w:bCs w:val="1"/>
          <w:color w:val="auto"/>
        </w:rPr>
        <w:t>Section 1.02. Compliance</w:t>
      </w:r>
      <w:r>
        <w:rPr>
          <w:rFonts w:ascii="Arial" w:cs="Arial" w:eastAsia="Arial" w:hAnsi="Arial"/>
          <w:sz w:val="19"/>
          <w:szCs w:val="19"/>
          <w:color w:val="auto"/>
        </w:rPr>
        <w:t>. Lessee’s use and occupation of the Property, and the condition thereof, shall, at Lessee’s sole</w:t>
      </w:r>
      <w:r>
        <w:rPr>
          <w:rFonts w:ascii="Arial" w:cs="Arial" w:eastAsia="Arial" w:hAnsi="Arial"/>
          <w:sz w:val="19"/>
          <w:szCs w:val="19"/>
          <w:b w:val="1"/>
          <w:bCs w:val="1"/>
          <w:color w:val="auto"/>
        </w:rPr>
        <w:t xml:space="preserve"> </w:t>
      </w:r>
      <w:r>
        <w:rPr>
          <w:rFonts w:ascii="Arial" w:cs="Arial" w:eastAsia="Arial" w:hAnsi="Arial"/>
          <w:sz w:val="19"/>
          <w:szCs w:val="19"/>
          <w:color w:val="auto"/>
        </w:rPr>
        <w:t>cost and expense, comply fully with all Legal Requirements and all restrictions, covenants and encumbrances of record, and any owner obligations under such Legal Requirements, or restrictions, covenants and encumbrances of record, with respect to the Property, in either event, the failure with which to comply could have a Material Adverse Effect. Without in any way limiting the foregoing provisions, Lessee shall comply with all Legal Requirements relating to anti-terrorism, trade embargos, economic sanctions, Anti-Money Laundering Laws, and the Americans with Disabilities Act of 1990, as such act may be amended from time to time, and all regulations promulgated thereunder, as it affects the Property now or hereafter in effect. Lessee shall obtain, maintain and comply with all required licenses and permits, both governmental and private, to use and operate the Properties as Permitted Facilities. Upon Lessor’s written request from time to time during the Lease Term, Lessee shall certify in writing to Lessor that Lessee’s representations, warranties and obligations under Section 5.05 and this Section 8.02 remain true and correct and have not been breached. Lessee shall immediately notify Lessor in writing if any of such representations, warranties or covenants are no longer true or have been breached or if Lessee has a reasonable basis to believe that they may no longer be true or have been breached. In connection with such an event, Lessee shall comply with all Legal Requirements and directives of Governmental Authorities and, at Lessor’s request, provide to Lessor copies of all notices, reports and other communications exchanged with, or received from, Governmental Authorities relating to such an event. Lessee shall also reimburse Lessor for all Costs incurred by Lessor in evaluating the effect of such an event on the Property and this Lease, in obtaining any necessary license from Governmental Authorities as may be necessary for Lessor to enforce its rights under the Transaction Documents, and in complying with all Legal Requirements applicable to Lessor as the result of the existence of such an event and for any penalties or fines imposed upon Lessor as a result thereof. Lessee will use its reasonable efforts to prevent any act or condition to exist on or about the Property that will materially increase any insurance rate thereon, except when such acts are required in the normal course of its business and Lessee shall pay for such increase. Lessee agrees that it will defend (using counsel chosen by Lessee and approved by Lessor), indemnify and hold harmless the Indemnified Parties from and against any and all Losses caused by, incurred or resulting from Lessee’s failure to comply with its obligations under this Section.</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1.03. Environmental</w:t>
      </w:r>
      <w:r>
        <w:rPr>
          <w:rFonts w:ascii="Arial" w:cs="Arial" w:eastAsia="Arial" w:hAnsi="Arial"/>
          <w:sz w:val="19"/>
          <w:szCs w:val="19"/>
          <w:color w:val="auto"/>
        </w:rPr>
        <w:t>.</w:t>
      </w:r>
    </w:p>
    <w:p>
      <w:pPr>
        <w:spacing w:after="0" w:line="170" w:lineRule="exact"/>
        <w:rPr>
          <w:sz w:val="20"/>
          <w:szCs w:val="20"/>
          <w:color w:val="auto"/>
        </w:rPr>
      </w:pPr>
    </w:p>
    <w:p>
      <w:pPr>
        <w:ind w:left="1860" w:hanging="619"/>
        <w:spacing w:after="0"/>
        <w:tabs>
          <w:tab w:leader="none" w:pos="1860" w:val="left"/>
        </w:tabs>
        <w:numPr>
          <w:ilvl w:val="0"/>
          <w:numId w:val="52"/>
        </w:numPr>
        <w:rPr>
          <w:rFonts w:ascii="Arial" w:cs="Arial" w:eastAsia="Arial" w:hAnsi="Arial"/>
          <w:sz w:val="19"/>
          <w:szCs w:val="19"/>
          <w:color w:val="auto"/>
        </w:rPr>
      </w:pPr>
      <w:r>
        <w:rPr>
          <w:rFonts w:ascii="Arial" w:cs="Arial" w:eastAsia="Arial" w:hAnsi="Arial"/>
          <w:sz w:val="19"/>
          <w:szCs w:val="19"/>
          <w:b w:val="1"/>
          <w:bCs w:val="1"/>
          <w:i w:val="1"/>
          <w:iCs w:val="1"/>
          <w:color w:val="auto"/>
        </w:rPr>
        <w:t>Covenants</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left="2460" w:hanging="600"/>
        <w:spacing w:after="0"/>
        <w:tabs>
          <w:tab w:leader="none" w:pos="2460" w:val="left"/>
        </w:tabs>
        <w:numPr>
          <w:ilvl w:val="1"/>
          <w:numId w:val="52"/>
        </w:numPr>
        <w:rPr>
          <w:rFonts w:ascii="Arial" w:cs="Arial" w:eastAsia="Arial" w:hAnsi="Arial"/>
          <w:sz w:val="19"/>
          <w:szCs w:val="19"/>
          <w:color w:val="auto"/>
        </w:rPr>
      </w:pPr>
      <w:r>
        <w:rPr>
          <w:rFonts w:ascii="Arial" w:cs="Arial" w:eastAsia="Arial" w:hAnsi="Arial"/>
          <w:sz w:val="19"/>
          <w:szCs w:val="19"/>
          <w:color w:val="auto"/>
        </w:rPr>
        <w:t>Lessee covenants to Lessor during the Lease Term, subject to the limitations of subsection (ii) below, as</w:t>
      </w:r>
    </w:p>
    <w:p>
      <w:pPr>
        <w:ind w:left="1240"/>
        <w:spacing w:after="0"/>
        <w:rPr>
          <w:rFonts w:ascii="Arial" w:cs="Arial" w:eastAsia="Arial" w:hAnsi="Arial"/>
          <w:sz w:val="19"/>
          <w:szCs w:val="19"/>
          <w:color w:val="auto"/>
        </w:rPr>
      </w:pPr>
      <w:r>
        <w:rPr>
          <w:rFonts w:ascii="Arial" w:cs="Arial" w:eastAsia="Arial" w:hAnsi="Arial"/>
          <w:sz w:val="19"/>
          <w:szCs w:val="19"/>
          <w:color w:val="auto"/>
        </w:rPr>
        <w:t>follows:</w:t>
      </w:r>
    </w:p>
    <w:p>
      <w:pPr>
        <w:spacing w:after="0" w:line="168" w:lineRule="exact"/>
        <w:rPr>
          <w:rFonts w:ascii="Arial" w:cs="Arial" w:eastAsia="Arial" w:hAnsi="Arial"/>
          <w:sz w:val="19"/>
          <w:szCs w:val="19"/>
          <w:color w:val="auto"/>
        </w:rPr>
      </w:pPr>
    </w:p>
    <w:p>
      <w:pPr>
        <w:ind w:left="1860" w:firstLine="618"/>
        <w:spacing w:after="0" w:line="223" w:lineRule="auto"/>
        <w:tabs>
          <w:tab w:leader="none" w:pos="3092" w:val="left"/>
        </w:tabs>
        <w:numPr>
          <w:ilvl w:val="2"/>
          <w:numId w:val="52"/>
        </w:numPr>
        <w:rPr>
          <w:rFonts w:ascii="Arial" w:cs="Arial" w:eastAsia="Arial" w:hAnsi="Arial"/>
          <w:sz w:val="19"/>
          <w:szCs w:val="19"/>
          <w:color w:val="auto"/>
        </w:rPr>
      </w:pPr>
      <w:r>
        <w:rPr>
          <w:rFonts w:ascii="Arial" w:cs="Arial" w:eastAsia="Arial" w:hAnsi="Arial"/>
          <w:sz w:val="19"/>
          <w:szCs w:val="19"/>
          <w:color w:val="auto"/>
        </w:rPr>
        <w:t>All uses and operations on or of the Property, whether by Lessee or any other Person invited by Lessee, shall be in compliance with all Environmental Laws and permits issued pursuant thereto.</w:t>
      </w:r>
    </w:p>
    <w:p>
      <w:pPr>
        <w:spacing w:after="0" w:line="161" w:lineRule="exact"/>
        <w:rPr>
          <w:rFonts w:ascii="Arial" w:cs="Arial" w:eastAsia="Arial" w:hAnsi="Arial"/>
          <w:sz w:val="19"/>
          <w:szCs w:val="19"/>
          <w:color w:val="auto"/>
        </w:rPr>
      </w:pPr>
    </w:p>
    <w:p>
      <w:pPr>
        <w:ind w:left="1860" w:firstLine="618"/>
        <w:spacing w:after="0" w:line="223" w:lineRule="auto"/>
        <w:tabs>
          <w:tab w:leader="none" w:pos="3092" w:val="left"/>
        </w:tabs>
        <w:numPr>
          <w:ilvl w:val="2"/>
          <w:numId w:val="52"/>
        </w:numPr>
        <w:rPr>
          <w:rFonts w:ascii="Arial" w:cs="Arial" w:eastAsia="Arial" w:hAnsi="Arial"/>
          <w:sz w:val="19"/>
          <w:szCs w:val="19"/>
          <w:color w:val="auto"/>
        </w:rPr>
      </w:pPr>
      <w:r>
        <w:rPr>
          <w:rFonts w:ascii="Arial" w:cs="Arial" w:eastAsia="Arial" w:hAnsi="Arial"/>
          <w:sz w:val="19"/>
          <w:szCs w:val="19"/>
          <w:color w:val="auto"/>
        </w:rPr>
        <w:t>There shall be no Releases by Lessee or its invitees in, on, under or from the Property, except in Permitted Amounts.</w:t>
      </w:r>
    </w:p>
    <w:p>
      <w:pPr>
        <w:spacing w:after="0" w:line="161" w:lineRule="exact"/>
        <w:rPr>
          <w:rFonts w:ascii="Arial" w:cs="Arial" w:eastAsia="Arial" w:hAnsi="Arial"/>
          <w:sz w:val="19"/>
          <w:szCs w:val="19"/>
          <w:color w:val="auto"/>
        </w:rPr>
      </w:pPr>
    </w:p>
    <w:p>
      <w:pPr>
        <w:ind w:left="1860" w:firstLine="618"/>
        <w:spacing w:after="0" w:line="223" w:lineRule="auto"/>
        <w:tabs>
          <w:tab w:leader="none" w:pos="3089" w:val="left"/>
        </w:tabs>
        <w:numPr>
          <w:ilvl w:val="2"/>
          <w:numId w:val="52"/>
        </w:numPr>
        <w:rPr>
          <w:rFonts w:ascii="Arial" w:cs="Arial" w:eastAsia="Arial" w:hAnsi="Arial"/>
          <w:sz w:val="19"/>
          <w:szCs w:val="19"/>
          <w:color w:val="auto"/>
        </w:rPr>
      </w:pPr>
      <w:r>
        <w:rPr>
          <w:rFonts w:ascii="Arial" w:cs="Arial" w:eastAsia="Arial" w:hAnsi="Arial"/>
          <w:sz w:val="19"/>
          <w:szCs w:val="19"/>
          <w:color w:val="auto"/>
        </w:rPr>
        <w:t>There shall be no Hazardous Materials or Regulated Substances in, on or under the Property brought on by Lessee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13</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840"/>
        <w:spacing w:after="0" w:line="223" w:lineRule="auto"/>
        <w:rPr>
          <w:sz w:val="20"/>
          <w:szCs w:val="20"/>
          <w:color w:val="auto"/>
        </w:rPr>
      </w:pPr>
      <w:r>
        <w:rPr>
          <w:rFonts w:ascii="Arial" w:cs="Arial" w:eastAsia="Arial" w:hAnsi="Arial"/>
          <w:sz w:val="19"/>
          <w:szCs w:val="19"/>
          <w:color w:val="auto"/>
        </w:rPr>
        <w:t>invitees, except in Permitted Amounts. Above and below ground storage tanks shall be properly permitted and only used as permitted.</w:t>
      </w:r>
    </w:p>
    <w:p>
      <w:pPr>
        <w:spacing w:after="0" w:line="161" w:lineRule="exact"/>
        <w:rPr>
          <w:sz w:val="20"/>
          <w:szCs w:val="20"/>
          <w:color w:val="auto"/>
        </w:rPr>
      </w:pPr>
    </w:p>
    <w:p>
      <w:pPr>
        <w:ind w:left="1840" w:firstLine="618"/>
        <w:spacing w:after="0" w:line="223" w:lineRule="auto"/>
        <w:tabs>
          <w:tab w:leader="none" w:pos="3069" w:val="left"/>
        </w:tabs>
        <w:numPr>
          <w:ilvl w:val="3"/>
          <w:numId w:val="53"/>
        </w:numPr>
        <w:rPr>
          <w:rFonts w:ascii="Arial" w:cs="Arial" w:eastAsia="Arial" w:hAnsi="Arial"/>
          <w:sz w:val="19"/>
          <w:szCs w:val="19"/>
          <w:color w:val="auto"/>
        </w:rPr>
      </w:pPr>
      <w:r>
        <w:rPr>
          <w:rFonts w:ascii="Arial" w:cs="Arial" w:eastAsia="Arial" w:hAnsi="Arial"/>
          <w:sz w:val="19"/>
          <w:szCs w:val="19"/>
          <w:color w:val="auto"/>
        </w:rPr>
        <w:t>Lessee shall keep the Property or cause the Property to be kept free and clear of all Environmental Liens, whether due to any act or omission of Lessee or any other Person.</w:t>
      </w:r>
    </w:p>
    <w:p>
      <w:pPr>
        <w:spacing w:after="0" w:line="161" w:lineRule="exact"/>
        <w:rPr>
          <w:rFonts w:ascii="Arial" w:cs="Arial" w:eastAsia="Arial" w:hAnsi="Arial"/>
          <w:sz w:val="19"/>
          <w:szCs w:val="19"/>
          <w:color w:val="auto"/>
        </w:rPr>
      </w:pPr>
    </w:p>
    <w:p>
      <w:pPr>
        <w:jc w:val="both"/>
        <w:ind w:left="1840" w:firstLine="618"/>
        <w:spacing w:after="0" w:line="204" w:lineRule="auto"/>
        <w:tabs>
          <w:tab w:leader="none" w:pos="3072" w:val="left"/>
        </w:tabs>
        <w:numPr>
          <w:ilvl w:val="3"/>
          <w:numId w:val="53"/>
        </w:numPr>
        <w:rPr>
          <w:rFonts w:ascii="Arial" w:cs="Arial" w:eastAsia="Arial" w:hAnsi="Arial"/>
          <w:sz w:val="19"/>
          <w:szCs w:val="19"/>
          <w:color w:val="auto"/>
        </w:rPr>
      </w:pPr>
      <w:r>
        <w:rPr>
          <w:rFonts w:ascii="Arial" w:cs="Arial" w:eastAsia="Arial" w:hAnsi="Arial"/>
          <w:sz w:val="19"/>
          <w:szCs w:val="19"/>
          <w:color w:val="auto"/>
        </w:rPr>
        <w:t>Lessee shall not act or fail to act or allow any other tenant, occupant, guest, customer or other user of the Property to act or fail to act in any way that (1) materially increases a risk to human health or the environment, (2) poses an unreasonable or unacceptable risk of harm to any Person or the environment (whether on or off the Property), (3) has a Material Adverse Effect, (4) is contrary to any material requirement set forth in the insurance policies maintained by Lessee or Lessor, (5) constitutes a public or private nuisance or constitutes waste, (6) violates any covenant, condition, agreement or easement applicable to the Property, or (7) would result in any reopening or reconsideration of any prior investigation or causes a new investigation by a Governmental Authority having jurisdiction over the Property.</w:t>
      </w:r>
    </w:p>
    <w:p>
      <w:pPr>
        <w:spacing w:after="0" w:line="164" w:lineRule="exact"/>
        <w:rPr>
          <w:rFonts w:ascii="Arial" w:cs="Arial" w:eastAsia="Arial" w:hAnsi="Arial"/>
          <w:sz w:val="19"/>
          <w:szCs w:val="19"/>
          <w:color w:val="auto"/>
        </w:rPr>
      </w:pPr>
    </w:p>
    <w:p>
      <w:pPr>
        <w:jc w:val="both"/>
        <w:ind w:left="1840" w:firstLine="618"/>
        <w:spacing w:after="0" w:line="215" w:lineRule="auto"/>
        <w:tabs>
          <w:tab w:leader="none" w:pos="3074" w:val="left"/>
        </w:tabs>
        <w:numPr>
          <w:ilvl w:val="3"/>
          <w:numId w:val="53"/>
        </w:numPr>
        <w:rPr>
          <w:rFonts w:ascii="Arial" w:cs="Arial" w:eastAsia="Arial" w:hAnsi="Arial"/>
          <w:sz w:val="19"/>
          <w:szCs w:val="19"/>
          <w:color w:val="auto"/>
        </w:rPr>
      </w:pPr>
      <w:r>
        <w:rPr>
          <w:rFonts w:ascii="Arial" w:cs="Arial" w:eastAsia="Arial" w:hAnsi="Arial"/>
          <w:sz w:val="19"/>
          <w:szCs w:val="19"/>
          <w:color w:val="auto"/>
        </w:rPr>
        <w:t>Lessee shall, at its sole cost and expense, reasonably cooperate in all activities pursuant to this Section 8.03, including but not limited to providing all relevant information and making knowledgeable persons available for interviews.</w:t>
      </w:r>
    </w:p>
    <w:p>
      <w:pPr>
        <w:spacing w:after="0" w:line="160" w:lineRule="exact"/>
        <w:rPr>
          <w:rFonts w:ascii="Arial" w:cs="Arial" w:eastAsia="Arial" w:hAnsi="Arial"/>
          <w:sz w:val="19"/>
          <w:szCs w:val="19"/>
          <w:color w:val="auto"/>
        </w:rPr>
      </w:pPr>
    </w:p>
    <w:p>
      <w:pPr>
        <w:jc w:val="both"/>
        <w:ind w:left="1220" w:firstLine="620"/>
        <w:spacing w:after="0" w:line="211" w:lineRule="auto"/>
        <w:tabs>
          <w:tab w:leader="none" w:pos="2448" w:val="left"/>
        </w:tabs>
        <w:numPr>
          <w:ilvl w:val="2"/>
          <w:numId w:val="54"/>
        </w:numPr>
        <w:rPr>
          <w:rFonts w:ascii="Arial" w:cs="Arial" w:eastAsia="Arial" w:hAnsi="Arial"/>
          <w:sz w:val="19"/>
          <w:szCs w:val="19"/>
          <w:color w:val="auto"/>
        </w:rPr>
      </w:pPr>
      <w:r>
        <w:rPr>
          <w:rFonts w:ascii="Arial" w:cs="Arial" w:eastAsia="Arial" w:hAnsi="Arial"/>
          <w:sz w:val="19"/>
          <w:szCs w:val="19"/>
          <w:color w:val="auto"/>
        </w:rPr>
        <w:t>Notwithstanding any provision of this Lease to the contrary, an Event of Default shall not be deemed to have occurred as a result of the failure of Lessee to satisfy any one or more of the covenants set forth in subsections (A) through (E) above provided that Lessee shall be in compliance with the requirements of any Governmental Authority with respect to the Remediation of any Release at the Property.</w:t>
      </w:r>
    </w:p>
    <w:p>
      <w:pPr>
        <w:spacing w:after="0" w:line="137" w:lineRule="exact"/>
        <w:rPr>
          <w:rFonts w:ascii="Arial" w:cs="Arial" w:eastAsia="Arial" w:hAnsi="Arial"/>
          <w:sz w:val="19"/>
          <w:szCs w:val="19"/>
          <w:color w:val="auto"/>
        </w:rPr>
      </w:pPr>
    </w:p>
    <w:p>
      <w:pPr>
        <w:jc w:val="both"/>
        <w:ind w:left="600" w:firstLine="621"/>
        <w:spacing w:after="0" w:line="206" w:lineRule="auto"/>
        <w:tabs>
          <w:tab w:leader="none" w:pos="1836" w:val="left"/>
        </w:tabs>
        <w:numPr>
          <w:ilvl w:val="1"/>
          <w:numId w:val="55"/>
        </w:numPr>
        <w:rPr>
          <w:rFonts w:ascii="Arial" w:cs="Arial" w:eastAsia="Arial" w:hAnsi="Arial"/>
          <w:sz w:val="19"/>
          <w:szCs w:val="19"/>
          <w:color w:val="auto"/>
        </w:rPr>
      </w:pPr>
      <w:r>
        <w:rPr>
          <w:rFonts w:ascii="Arial" w:cs="Arial" w:eastAsia="Arial" w:hAnsi="Arial"/>
          <w:sz w:val="19"/>
          <w:szCs w:val="19"/>
          <w:b w:val="1"/>
          <w:bCs w:val="1"/>
          <w:i w:val="1"/>
          <w:iCs w:val="1"/>
          <w:color w:val="auto"/>
        </w:rPr>
        <w:t>Notification Requirements</w:t>
      </w:r>
      <w:r>
        <w:rPr>
          <w:rFonts w:ascii="Arial" w:cs="Arial" w:eastAsia="Arial" w:hAnsi="Arial"/>
          <w:sz w:val="19"/>
          <w:szCs w:val="19"/>
          <w:color w:val="auto"/>
        </w:rPr>
        <w:t>. Lessee shall immediately notify Lessor in writing upon Lessee obtaining actual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knowledge of (i) any Releases or Threatened Releases in, on, under or from the Property other than in Permitted Amounts, or migrating towards the Property; (ii) any non-compliance with any Environmental Laws related in any way to the Property;</w:t>
      </w:r>
    </w:p>
    <w:p>
      <w:pPr>
        <w:jc w:val="both"/>
        <w:ind w:left="600" w:firstLine="2"/>
        <w:spacing w:after="0" w:line="203" w:lineRule="auto"/>
        <w:tabs>
          <w:tab w:leader="none" w:pos="959"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any actual or potential Environmental Lien or activity use limitation; (iv) any required or proposed Remediation of environmental conditions relating to the Property required by applicable Governmental Authorities; and (v) any written or oral notice or other communication of which Lessee becomes aware from any source whatsoever (including but not limited to a Governmental Authority) relating in any way to Hazardous Materials, Regulated Substances or above or below ground storage tanks, or Remediation thereof at or on the Property, other than in Permitted Amounts, possible liability of any Person relating to the Property pursuant to any Environmental Law, other environmental conditions in connection with the Property, or any actual or potential administrative or judicial proceedings in connection with anything referred to in this Section. Lessee shall, upon Lessor’s written request, deliver to Lessor a certificate stating that Lessee is and has been in full compliance with all of the environmental representations, warranties and covenants in this Lease.</w:t>
      </w:r>
    </w:p>
    <w:p>
      <w:pPr>
        <w:spacing w:after="0" w:line="145" w:lineRule="exact"/>
        <w:rPr>
          <w:rFonts w:ascii="Arial" w:cs="Arial" w:eastAsia="Arial" w:hAnsi="Arial"/>
          <w:sz w:val="19"/>
          <w:szCs w:val="19"/>
          <w:color w:val="auto"/>
        </w:rPr>
      </w:pPr>
    </w:p>
    <w:p>
      <w:pPr>
        <w:jc w:val="both"/>
        <w:ind w:left="600" w:firstLine="621"/>
        <w:spacing w:after="0" w:line="213" w:lineRule="auto"/>
        <w:tabs>
          <w:tab w:leader="none" w:pos="1826" w:val="left"/>
        </w:tabs>
        <w:numPr>
          <w:ilvl w:val="1"/>
          <w:numId w:val="56"/>
        </w:numPr>
        <w:rPr>
          <w:rFonts w:ascii="Arial" w:cs="Arial" w:eastAsia="Arial" w:hAnsi="Arial"/>
          <w:sz w:val="19"/>
          <w:szCs w:val="19"/>
          <w:color w:val="auto"/>
        </w:rPr>
      </w:pPr>
      <w:r>
        <w:rPr>
          <w:rFonts w:ascii="Arial" w:cs="Arial" w:eastAsia="Arial" w:hAnsi="Arial"/>
          <w:sz w:val="19"/>
          <w:szCs w:val="19"/>
          <w:b w:val="1"/>
          <w:bCs w:val="1"/>
          <w:i w:val="1"/>
          <w:iCs w:val="1"/>
          <w:color w:val="auto"/>
        </w:rPr>
        <w:t>Remediation</w:t>
      </w:r>
      <w:r>
        <w:rPr>
          <w:rFonts w:ascii="Arial" w:cs="Arial" w:eastAsia="Arial" w:hAnsi="Arial"/>
          <w:sz w:val="19"/>
          <w:szCs w:val="19"/>
          <w:color w:val="auto"/>
        </w:rPr>
        <w:t>. Unless necessitated as a result of Lessor’s gross negligence or willful misconduct, Lessee shall,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its sole cost and expense, and without limiting any other provision of this Lease, effectuate any Remediation required by any Governmental Authority of any condition (including, but not limited to, a Release or Threatened Release) in, on, under or from the Property and take any other reasonable action deemed necessary by any Governmental Authority for protection of human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14</w:t>
      </w:r>
    </w:p>
    <w:p>
      <w:pPr>
        <w:spacing w:after="0" w:line="221" w:lineRule="auto"/>
        <w:rPr>
          <w:sz w:val="20"/>
          <w:szCs w:val="20"/>
          <w:color w:val="auto"/>
        </w:rPr>
      </w:pPr>
      <w:r>
        <w:rPr>
          <w:rFonts w:ascii="Arial" w:cs="Arial" w:eastAsia="Arial" w:hAnsi="Arial"/>
          <w:sz w:val="12"/>
          <w:szCs w:val="12"/>
          <w:color w:val="auto"/>
        </w:rPr>
        <w:t>STORE / RT Logic (Kratos)</w:t>
      </w:r>
    </w:p>
    <w:p>
      <w:pPr>
        <w:spacing w:after="0" w:line="202" w:lineRule="auto"/>
        <w:rPr>
          <w:sz w:val="20"/>
          <w:szCs w:val="20"/>
          <w:color w:val="auto"/>
        </w:rPr>
      </w:pPr>
      <w:r>
        <w:rPr>
          <w:rFonts w:ascii="Arial" w:cs="Arial" w:eastAsia="Arial" w:hAnsi="Arial"/>
          <w:sz w:val="12"/>
          <w:szCs w:val="12"/>
          <w:color w:val="auto"/>
        </w:rPr>
        <w:t>Second A&amp;R Lease Agreement</w:t>
      </w:r>
    </w:p>
    <w:p>
      <w:pPr>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20"/>
          </w:cols>
          <w:pgMar w:left="340" w:top="100"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20"/>
        <w:spacing w:after="0" w:line="208" w:lineRule="auto"/>
        <w:rPr>
          <w:sz w:val="20"/>
          <w:szCs w:val="20"/>
          <w:color w:val="auto"/>
        </w:rPr>
      </w:pPr>
      <w:r>
        <w:rPr>
          <w:rFonts w:ascii="Arial" w:cs="Arial" w:eastAsia="Arial" w:hAnsi="Arial"/>
          <w:sz w:val="19"/>
          <w:szCs w:val="19"/>
          <w:color w:val="auto"/>
        </w:rPr>
        <w:t>or the environment. Should Lessee fail to undertake any required Remediation in accordance with the preceding sentence, Lessor, after written notice to Lessee and Lessee’s failure to immediately undertake such Remediation, shall be permitted to complete such Remediation, and all Costs incurred in connection therewith shall be paid by Lessee. Any Cost so paid by Lessor, together with interest at the Default Rate, shall be deemed to be Additional Rental hereunder and shall be due within thirty (30) days of invoice from Lessee to Lessor.</w:t>
      </w:r>
    </w:p>
    <w:p>
      <w:pPr>
        <w:spacing w:after="0" w:line="140" w:lineRule="exact"/>
        <w:rPr>
          <w:sz w:val="20"/>
          <w:szCs w:val="20"/>
          <w:color w:val="auto"/>
        </w:rPr>
      </w:pPr>
    </w:p>
    <w:p>
      <w:pPr>
        <w:jc w:val="both"/>
        <w:ind w:left="620" w:firstLine="621"/>
        <w:spacing w:after="0" w:line="209" w:lineRule="auto"/>
        <w:tabs>
          <w:tab w:leader="none" w:pos="1856" w:val="left"/>
        </w:tabs>
        <w:numPr>
          <w:ilvl w:val="0"/>
          <w:numId w:val="57"/>
        </w:numPr>
        <w:rPr>
          <w:rFonts w:ascii="Arial" w:cs="Arial" w:eastAsia="Arial" w:hAnsi="Arial"/>
          <w:sz w:val="19"/>
          <w:szCs w:val="19"/>
          <w:color w:val="auto"/>
        </w:rPr>
      </w:pPr>
      <w:r>
        <w:rPr>
          <w:rFonts w:ascii="Arial" w:cs="Arial" w:eastAsia="Arial" w:hAnsi="Arial"/>
          <w:sz w:val="19"/>
          <w:szCs w:val="19"/>
          <w:b w:val="1"/>
          <w:bCs w:val="1"/>
          <w:i w:val="1"/>
          <w:iCs w:val="1"/>
          <w:color w:val="auto"/>
        </w:rPr>
        <w:t>Indemnification</w:t>
      </w:r>
      <w:r>
        <w:rPr>
          <w:rFonts w:ascii="Arial" w:cs="Arial" w:eastAsia="Arial" w:hAnsi="Arial"/>
          <w:sz w:val="19"/>
          <w:szCs w:val="19"/>
          <w:color w:val="auto"/>
        </w:rPr>
        <w:t>. Lessee shall, at its sole cost and expense, protect, defend (using counsel chosen by Lessee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approved by Lessor), indemnify, release and hold harmless each of the Indemnified Parties from and against any and all Losses, including, but not limited to, all Costs of Remediation (whether or not performed voluntarily), arising prior to the expiration or earlier termination of this Lease (including any holdover periods) and arising out of or in any way relating to any Environmental Laws, Hazardous Materials, Regulated Substances, above or below ground storage tanks, or other environmental matters concerning the Property. It is expressly understood and agreed that Lessee’s obligations under this Section shall survive the expiration or earlier termination of this Lease for any reason.</w:t>
      </w:r>
    </w:p>
    <w:p>
      <w:pPr>
        <w:spacing w:after="0" w:line="137" w:lineRule="exact"/>
        <w:rPr>
          <w:rFonts w:ascii="Arial" w:cs="Arial" w:eastAsia="Arial" w:hAnsi="Arial"/>
          <w:sz w:val="19"/>
          <w:szCs w:val="19"/>
          <w:color w:val="auto"/>
        </w:rPr>
      </w:pPr>
    </w:p>
    <w:p>
      <w:pPr>
        <w:jc w:val="both"/>
        <w:ind w:left="620" w:firstLine="621"/>
        <w:spacing w:after="0" w:line="206" w:lineRule="auto"/>
        <w:tabs>
          <w:tab w:leader="none" w:pos="1856" w:val="left"/>
        </w:tabs>
        <w:numPr>
          <w:ilvl w:val="0"/>
          <w:numId w:val="57"/>
        </w:numPr>
        <w:rPr>
          <w:rFonts w:ascii="Arial" w:cs="Arial" w:eastAsia="Arial" w:hAnsi="Arial"/>
          <w:sz w:val="19"/>
          <w:szCs w:val="19"/>
          <w:color w:val="auto"/>
        </w:rPr>
      </w:pPr>
      <w:r>
        <w:rPr>
          <w:rFonts w:ascii="Arial" w:cs="Arial" w:eastAsia="Arial" w:hAnsi="Arial"/>
          <w:sz w:val="19"/>
          <w:szCs w:val="19"/>
          <w:b w:val="1"/>
          <w:bCs w:val="1"/>
          <w:i w:val="1"/>
          <w:iCs w:val="1"/>
          <w:color w:val="auto"/>
        </w:rPr>
        <w:t>Right of Entry</w:t>
      </w:r>
      <w:r>
        <w:rPr>
          <w:rFonts w:ascii="Arial" w:cs="Arial" w:eastAsia="Arial" w:hAnsi="Arial"/>
          <w:sz w:val="19"/>
          <w:szCs w:val="19"/>
          <w:color w:val="auto"/>
        </w:rPr>
        <w:t>. In the event that Lessor has a reasonable basis to believe that a Release or a violation of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Environmental Law has occurred, Lessor and any other Person designated by Lessor, including but not limited to any receiver, any representative of a Governmental Authority, and any environmental consultant, shall have the right, but not the obligation, to enter upon the Property at all reasonable times to assess any and all aspects of the environmental condition of the Property and its use, including but not limited to conducting any environmental assessment or audit (the scope of which shall be determined in Lessor’s reasonable discretion) and taking samples of soil, groundwater or other water, air, or building materials, and conducting other invasive testing. Lessee shall reasonably cooperate with and provide access to Lessor and any other Person designated by Lessor. Any such assessment or investigation shall be at Lessee’s sole cost and expense, to the extent such investigation was necessitated as a result of a breach of Lessee’s obligations under this Section 8.03.</w:t>
      </w:r>
    </w:p>
    <w:p>
      <w:pPr>
        <w:spacing w:after="0" w:line="142" w:lineRule="exact"/>
        <w:rPr>
          <w:rFonts w:ascii="Arial" w:cs="Arial" w:eastAsia="Arial" w:hAnsi="Arial"/>
          <w:sz w:val="19"/>
          <w:szCs w:val="19"/>
          <w:color w:val="auto"/>
        </w:rPr>
      </w:pPr>
    </w:p>
    <w:p>
      <w:pPr>
        <w:jc w:val="both"/>
        <w:ind w:left="620" w:firstLine="621"/>
        <w:spacing w:after="0" w:line="210" w:lineRule="auto"/>
        <w:tabs>
          <w:tab w:leader="none" w:pos="1855" w:val="left"/>
        </w:tabs>
        <w:numPr>
          <w:ilvl w:val="0"/>
          <w:numId w:val="57"/>
        </w:numPr>
        <w:rPr>
          <w:rFonts w:ascii="Arial" w:cs="Arial" w:eastAsia="Arial" w:hAnsi="Arial"/>
          <w:sz w:val="19"/>
          <w:szCs w:val="19"/>
          <w:color w:val="auto"/>
        </w:rPr>
      </w:pPr>
      <w:r>
        <w:rPr>
          <w:rFonts w:ascii="Arial" w:cs="Arial" w:eastAsia="Arial" w:hAnsi="Arial"/>
          <w:sz w:val="19"/>
          <w:szCs w:val="19"/>
          <w:b w:val="1"/>
          <w:bCs w:val="1"/>
          <w:i w:val="1"/>
          <w:iCs w:val="1"/>
          <w:color w:val="auto"/>
        </w:rPr>
        <w:t>Survival</w:t>
      </w:r>
      <w:r>
        <w:rPr>
          <w:rFonts w:ascii="Arial" w:cs="Arial" w:eastAsia="Arial" w:hAnsi="Arial"/>
          <w:sz w:val="19"/>
          <w:szCs w:val="19"/>
          <w:color w:val="auto"/>
        </w:rPr>
        <w:t>. The obligations of Lessee and the rights and remedies of Lessor under this Section 8.03 shall survive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the termination, expiration and/or release of this Lease; </w:t>
      </w:r>
      <w:r>
        <w:rPr>
          <w:rFonts w:ascii="Arial" w:cs="Arial" w:eastAsia="Arial" w:hAnsi="Arial"/>
          <w:sz w:val="19"/>
          <w:szCs w:val="19"/>
          <w:i w:val="1"/>
          <w:iCs w:val="1"/>
          <w:color w:val="auto"/>
        </w:rPr>
        <w:t>provided, however</w:t>
      </w:r>
      <w:r>
        <w:rPr>
          <w:rFonts w:ascii="Arial" w:cs="Arial" w:eastAsia="Arial" w:hAnsi="Arial"/>
          <w:sz w:val="19"/>
          <w:szCs w:val="19"/>
          <w:color w:val="auto"/>
        </w:rPr>
        <w:t>, if Lessee provides Lessor with a Phase I environmental report with respect to any Property from a vendor approved by Lessor in its reasonable discretion, dated within thirty (30) days of the expiration or sooner termination of this Lease, which report is in all respects acceptable to Lessor (in its reasonable discretion), then in such event Lessee’s obligations under this Section 8.03 with respect to such Property shall only survive the expiration or earlier termination of this Lease for a period of seven (7) years.</w:t>
      </w:r>
    </w:p>
    <w:p>
      <w:pPr>
        <w:spacing w:after="0" w:line="140" w:lineRule="exact"/>
        <w:rPr>
          <w:sz w:val="20"/>
          <w:szCs w:val="20"/>
          <w:color w:val="auto"/>
        </w:rPr>
      </w:pPr>
    </w:p>
    <w:p>
      <w:pPr>
        <w:ind w:left="5000"/>
        <w:spacing w:after="0"/>
        <w:rPr>
          <w:sz w:val="20"/>
          <w:szCs w:val="20"/>
          <w:color w:val="auto"/>
        </w:rPr>
      </w:pPr>
      <w:r>
        <w:rPr>
          <w:rFonts w:ascii="Arial" w:cs="Arial" w:eastAsia="Arial" w:hAnsi="Arial"/>
          <w:sz w:val="19"/>
          <w:szCs w:val="19"/>
          <w:b w:val="1"/>
          <w:bCs w:val="1"/>
          <w:color w:val="auto"/>
        </w:rPr>
        <w:t>ARTICLE IX</w:t>
      </w:r>
    </w:p>
    <w:p>
      <w:pPr>
        <w:spacing w:after="0" w:line="142" w:lineRule="exact"/>
        <w:rPr>
          <w:sz w:val="20"/>
          <w:szCs w:val="20"/>
          <w:color w:val="auto"/>
        </w:rPr>
      </w:pPr>
    </w:p>
    <w:p>
      <w:pPr>
        <w:ind w:left="4420"/>
        <w:spacing w:after="0"/>
        <w:rPr>
          <w:sz w:val="20"/>
          <w:szCs w:val="20"/>
          <w:color w:val="auto"/>
        </w:rPr>
      </w:pPr>
      <w:r>
        <w:rPr>
          <w:rFonts w:ascii="Arial" w:cs="Arial" w:eastAsia="Arial" w:hAnsi="Arial"/>
          <w:sz w:val="19"/>
          <w:szCs w:val="19"/>
          <w:b w:val="1"/>
          <w:bCs w:val="1"/>
          <w:color w:val="auto"/>
        </w:rPr>
        <w:t>ADDITIONAL COVENANTS</w:t>
      </w:r>
    </w:p>
    <w:p>
      <w:pPr>
        <w:spacing w:after="0" w:line="168" w:lineRule="exact"/>
        <w:rPr>
          <w:sz w:val="20"/>
          <w:szCs w:val="20"/>
          <w:color w:val="auto"/>
        </w:rPr>
      </w:pPr>
    </w:p>
    <w:p>
      <w:pPr>
        <w:jc w:val="both"/>
        <w:ind w:firstLine="619"/>
        <w:spacing w:after="0" w:line="209" w:lineRule="auto"/>
        <w:rPr>
          <w:sz w:val="20"/>
          <w:szCs w:val="20"/>
          <w:color w:val="auto"/>
        </w:rPr>
      </w:pPr>
      <w:r>
        <w:rPr>
          <w:rFonts w:ascii="Arial" w:cs="Arial" w:eastAsia="Arial" w:hAnsi="Arial"/>
          <w:sz w:val="19"/>
          <w:szCs w:val="19"/>
          <w:b w:val="1"/>
          <w:bCs w:val="1"/>
          <w:color w:val="auto"/>
        </w:rPr>
        <w:t>Section 1.01. Performance at Lessee’s Expense</w:t>
      </w:r>
      <w:r>
        <w:rPr>
          <w:rFonts w:ascii="Arial" w:cs="Arial" w:eastAsia="Arial" w:hAnsi="Arial"/>
          <w:sz w:val="19"/>
          <w:szCs w:val="19"/>
          <w:color w:val="auto"/>
        </w:rPr>
        <w:t>. Lessee acknowledges and confirms that Lessor may collect its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third-party out-of-pocket attorneys’ fees, costs and expenses in connection with (a) any modification, amendment and termination of this Lease requested by Lessee (and not already contemplated in this Lease); (b) any release or substitution of Property requested by Lessee; (c) the procurement of consents, waivers and approvals with respect to the Property or any matter related to this Lease requested by Lessee; (d) the review of any assignment or sublease or proposed assignment or sublease or the preparation or review of any subordination or non-disturbance agreement requested by Lessee; (e) the collection, maintenance and/or disbursement of reserves created under this Lease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9"/>
          <w:szCs w:val="19"/>
          <w:color w:val="auto"/>
        </w:rPr>
        <w:t>15</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other Transaction Documents (following an Event of Default); and (f) inspections reasonably required to make certain determinations under this Lease or the other Transaction Documents following Lessor’s reasonable belief of a breach under this Lease or any other Transaction Documents.</w:t>
      </w:r>
    </w:p>
    <w:p>
      <w:pPr>
        <w:spacing w:after="0" w:line="137" w:lineRule="exact"/>
        <w:rPr>
          <w:sz w:val="20"/>
          <w:szCs w:val="20"/>
          <w:color w:val="auto"/>
        </w:rPr>
      </w:pPr>
    </w:p>
    <w:p>
      <w:pPr>
        <w:jc w:val="both"/>
        <w:ind w:firstLine="619"/>
        <w:spacing w:after="0" w:line="209" w:lineRule="auto"/>
        <w:rPr>
          <w:sz w:val="20"/>
          <w:szCs w:val="20"/>
          <w:color w:val="auto"/>
        </w:rPr>
      </w:pPr>
      <w:r>
        <w:rPr>
          <w:rFonts w:ascii="Arial" w:cs="Arial" w:eastAsia="Arial" w:hAnsi="Arial"/>
          <w:sz w:val="19"/>
          <w:szCs w:val="19"/>
          <w:b w:val="1"/>
          <w:bCs w:val="1"/>
          <w:color w:val="auto"/>
        </w:rPr>
        <w:t>Section 1.02. Inspection</w:t>
      </w:r>
      <w:r>
        <w:rPr>
          <w:rFonts w:ascii="Arial" w:cs="Arial" w:eastAsia="Arial" w:hAnsi="Arial"/>
          <w:sz w:val="19"/>
          <w:szCs w:val="19"/>
          <w:color w:val="auto"/>
        </w:rPr>
        <w:t>. Lessor and its authorized representatives shall have the right, at all reasonable times and upon</w:t>
      </w:r>
      <w:r>
        <w:rPr>
          <w:rFonts w:ascii="Arial" w:cs="Arial" w:eastAsia="Arial" w:hAnsi="Arial"/>
          <w:sz w:val="19"/>
          <w:szCs w:val="19"/>
          <w:b w:val="1"/>
          <w:bCs w:val="1"/>
          <w:color w:val="auto"/>
        </w:rPr>
        <w:t xml:space="preserve"> </w:t>
      </w:r>
      <w:r>
        <w:rPr>
          <w:rFonts w:ascii="Arial" w:cs="Arial" w:eastAsia="Arial" w:hAnsi="Arial"/>
          <w:sz w:val="19"/>
          <w:szCs w:val="19"/>
          <w:color w:val="auto"/>
        </w:rPr>
        <w:t>giving reasonable prior notice (except in the event of an emergency, in which case no prior notice shall be required), to enter the Property or any part thereof and inspect the same. Except in the event of an emergency, any entry by Lessor under this Lease shall be subject to and in compliance with Lessee’s security policies provided in writing to Lessor. Lessee hereby waives any claim for damages for any injury or inconvenience to or interference with Lessee’s business, any loss of occupancy or quiet enjoyment of the Property and any other loss occasioned by such entry, but, subject to Section 10.01, excluding damages arising as a result of the gross negligence or willful misconduct of Lessor.</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1.03. Financial Information</w:t>
      </w:r>
      <w:r>
        <w:rPr>
          <w:rFonts w:ascii="Arial" w:cs="Arial" w:eastAsia="Arial" w:hAnsi="Arial"/>
          <w:sz w:val="19"/>
          <w:szCs w:val="19"/>
          <w:color w:val="auto"/>
        </w:rPr>
        <w:t>.</w:t>
      </w:r>
    </w:p>
    <w:p>
      <w:pPr>
        <w:spacing w:after="0" w:line="170" w:lineRule="exact"/>
        <w:rPr>
          <w:sz w:val="20"/>
          <w:szCs w:val="20"/>
          <w:color w:val="auto"/>
        </w:rPr>
      </w:pPr>
    </w:p>
    <w:p>
      <w:pPr>
        <w:jc w:val="both"/>
        <w:ind w:left="620" w:firstLine="621"/>
        <w:spacing w:after="0" w:line="223" w:lineRule="auto"/>
        <w:tabs>
          <w:tab w:leader="none" w:pos="1856" w:val="left"/>
        </w:tabs>
        <w:numPr>
          <w:ilvl w:val="0"/>
          <w:numId w:val="58"/>
        </w:numPr>
        <w:rPr>
          <w:rFonts w:ascii="Arial" w:cs="Arial" w:eastAsia="Arial" w:hAnsi="Arial"/>
          <w:sz w:val="19"/>
          <w:szCs w:val="19"/>
          <w:color w:val="auto"/>
        </w:rPr>
      </w:pPr>
      <w:r>
        <w:rPr>
          <w:rFonts w:ascii="Arial" w:cs="Arial" w:eastAsia="Arial" w:hAnsi="Arial"/>
          <w:sz w:val="19"/>
          <w:szCs w:val="19"/>
          <w:b w:val="1"/>
          <w:bCs w:val="1"/>
          <w:i w:val="1"/>
          <w:iCs w:val="1"/>
          <w:color w:val="auto"/>
        </w:rPr>
        <w:t>Financial Reporting</w:t>
      </w:r>
      <w:r>
        <w:rPr>
          <w:rFonts w:ascii="Arial" w:cs="Arial" w:eastAsia="Arial" w:hAnsi="Arial"/>
          <w:sz w:val="19"/>
          <w:szCs w:val="19"/>
          <w:color w:val="auto"/>
        </w:rPr>
        <w:t>. From and after the Effective Date and unless or until Guarantor goes private, and subject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Section 9.03(c) below, within fourteen (14) Business Days from the date Guarantor files its annual Form 10-K, Lessee shall deliver to Lessor copies of Lessee’s income statement and balance sheet for the prior fiscal year.</w:t>
      </w:r>
    </w:p>
    <w:p>
      <w:pPr>
        <w:spacing w:after="0" w:line="138" w:lineRule="exact"/>
        <w:rPr>
          <w:rFonts w:ascii="Arial" w:cs="Arial" w:eastAsia="Arial" w:hAnsi="Arial"/>
          <w:sz w:val="19"/>
          <w:szCs w:val="19"/>
          <w:color w:val="auto"/>
        </w:rPr>
      </w:pPr>
    </w:p>
    <w:p>
      <w:pPr>
        <w:jc w:val="both"/>
        <w:ind w:left="620" w:firstLine="621"/>
        <w:spacing w:after="0" w:line="203" w:lineRule="auto"/>
        <w:tabs>
          <w:tab w:leader="none" w:pos="1856" w:val="left"/>
        </w:tabs>
        <w:numPr>
          <w:ilvl w:val="0"/>
          <w:numId w:val="58"/>
        </w:numPr>
        <w:rPr>
          <w:rFonts w:ascii="Arial" w:cs="Arial" w:eastAsia="Arial" w:hAnsi="Arial"/>
          <w:sz w:val="19"/>
          <w:szCs w:val="19"/>
          <w:color w:val="auto"/>
        </w:rPr>
      </w:pPr>
      <w:r>
        <w:rPr>
          <w:rFonts w:ascii="Arial" w:cs="Arial" w:eastAsia="Arial" w:hAnsi="Arial"/>
          <w:sz w:val="19"/>
          <w:szCs w:val="19"/>
          <w:b w:val="1"/>
          <w:bCs w:val="1"/>
          <w:i w:val="1"/>
          <w:iCs w:val="1"/>
          <w:color w:val="auto"/>
        </w:rPr>
        <w:t>Financial Reporting if Guarantor Goes Private</w:t>
      </w:r>
      <w:r>
        <w:rPr>
          <w:rFonts w:ascii="Arial" w:cs="Arial" w:eastAsia="Arial" w:hAnsi="Arial"/>
          <w:sz w:val="19"/>
          <w:szCs w:val="19"/>
          <w:color w:val="auto"/>
        </w:rPr>
        <w:t>. In the event that Guarantor ever goes private, and subject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Section 9.03(c) below, then within forty five (45) days after the end of each fiscal quarter and within one hundred twenty (120) days after the end of each fiscal year of Lessee and Guarantor, Lessee shall deliver to Lessor (i) complete consolidated financial statements for Guarantor and separate financial statements for Lessee, including a balance sheet, profit and loss statement, statement of stockholders’ equity and statement of cash flows and all other related schedules for the fiscal period then ended, such statements to detail separately interest expense, income taxes, non-cash expenses, non-recurring expenses, operating lease expense and current portion of long-term debt – capital leases; and (ii) income statements for the business at the Property. All such financial statements shall be prepared in accordance with GAAP, and shall be certified to be accurate and complete by an officer or director of Lessee and Guarantor. In the event that Lessee’s business at the Property is ordinarily consolidated with other business for financial statements purposes, a separate profit and loss statement shall be provided showing separately the sales, profits and losses pertaining to the Property with interest expense, income taxes, non-cash expenses, non-recurring expenses and operating lease expense (rent), with the basis for allocation of overhead or other charges being clearly set forth therein. The financial statements delivered to Lessor pursuant to this paragraph need not be audited, but Lessee shall deliver to Lessor copies of any audited financial statements of the Lessee Reporting Entities which may be prepared, as soon as they are available.</w:t>
      </w:r>
    </w:p>
    <w:p>
      <w:pPr>
        <w:spacing w:after="0" w:line="139" w:lineRule="exact"/>
        <w:rPr>
          <w:rFonts w:ascii="Arial" w:cs="Arial" w:eastAsia="Arial" w:hAnsi="Arial"/>
          <w:sz w:val="19"/>
          <w:szCs w:val="19"/>
          <w:color w:val="auto"/>
        </w:rPr>
      </w:pPr>
    </w:p>
    <w:p>
      <w:pPr>
        <w:jc w:val="both"/>
        <w:ind w:left="620" w:firstLine="621"/>
        <w:spacing w:after="0" w:line="209" w:lineRule="auto"/>
        <w:tabs>
          <w:tab w:leader="none" w:pos="1846" w:val="left"/>
        </w:tabs>
        <w:numPr>
          <w:ilvl w:val="0"/>
          <w:numId w:val="58"/>
        </w:numPr>
        <w:rPr>
          <w:rFonts w:ascii="Arial" w:cs="Arial" w:eastAsia="Arial" w:hAnsi="Arial"/>
          <w:sz w:val="19"/>
          <w:szCs w:val="19"/>
          <w:color w:val="auto"/>
        </w:rPr>
      </w:pPr>
      <w:r>
        <w:rPr>
          <w:rFonts w:ascii="Arial" w:cs="Arial" w:eastAsia="Arial" w:hAnsi="Arial"/>
          <w:sz w:val="19"/>
          <w:szCs w:val="19"/>
          <w:b w:val="1"/>
          <w:bCs w:val="1"/>
          <w:i w:val="1"/>
          <w:iCs w:val="1"/>
          <w:color w:val="auto"/>
        </w:rPr>
        <w:t>Confidentiality</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Notwithstanding anything to the contrary above or elsewhere in this Lease, Lessor hereby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agrees, for itself and its Affiliates, to maintain confidentiality and not disclose Lessee’s or Guarantor’s financial information (but excluding matters of public record or matters generally known to the public) to third parties except (i) as may be required for reporting to any Governmental Authority or otherwise required by Law, (ii) in connection with a Securitization or related transaction, (iii) to a Lender, or to Lessor’s employees, contractors, attorneys, accountants and other Persons on a “need to know” basis (“</w:t>
      </w:r>
      <w:r>
        <w:rPr>
          <w:rFonts w:ascii="Arial" w:cs="Arial" w:eastAsia="Arial" w:hAnsi="Arial"/>
          <w:sz w:val="19"/>
          <w:szCs w:val="19"/>
          <w:u w:val="single" w:color="auto"/>
          <w:color w:val="auto"/>
        </w:rPr>
        <w:t>Lessor Parties</w:t>
      </w:r>
      <w:r>
        <w:rPr>
          <w:rFonts w:ascii="Arial" w:cs="Arial" w:eastAsia="Arial" w:hAnsi="Arial"/>
          <w:sz w:val="19"/>
          <w:szCs w:val="19"/>
          <w:color w:val="auto"/>
        </w:rPr>
        <w:t>”), or to a prospective purchaser of a Property so long as such Lessor Parties and any prospective purchaser are aware of, and agree to comply with, the confidentiality provisions of this Section, or (iv)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9"/>
          <w:szCs w:val="19"/>
          <w:color w:val="auto"/>
        </w:rPr>
        <w:t>16</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Lessee’s prior written consent (such consent not to be unreasonably withheld, conditioned or delayed).</w:t>
      </w:r>
    </w:p>
    <w:p>
      <w:pPr>
        <w:spacing w:after="0" w:line="144" w:lineRule="exact"/>
        <w:rPr>
          <w:sz w:val="20"/>
          <w:szCs w:val="20"/>
          <w:color w:val="auto"/>
        </w:rPr>
      </w:pPr>
    </w:p>
    <w:p>
      <w:pPr>
        <w:jc w:val="both"/>
        <w:ind w:firstLine="619"/>
        <w:spacing w:after="0" w:line="207" w:lineRule="auto"/>
        <w:rPr>
          <w:sz w:val="20"/>
          <w:szCs w:val="20"/>
          <w:color w:val="auto"/>
        </w:rPr>
      </w:pPr>
      <w:r>
        <w:rPr>
          <w:rFonts w:ascii="Arial" w:cs="Arial" w:eastAsia="Arial" w:hAnsi="Arial"/>
          <w:sz w:val="19"/>
          <w:szCs w:val="19"/>
          <w:b w:val="1"/>
          <w:bCs w:val="1"/>
          <w:color w:val="auto"/>
        </w:rPr>
        <w:t>Section 1.04. OFAC Laws</w:t>
      </w:r>
      <w:r>
        <w:rPr>
          <w:rFonts w:ascii="Arial" w:cs="Arial" w:eastAsia="Arial" w:hAnsi="Arial"/>
          <w:sz w:val="19"/>
          <w:szCs w:val="19"/>
          <w:color w:val="auto"/>
        </w:rPr>
        <w:t>. Upon receipt of notice or upon actual knowledge thereof, Lessee shall immediately notify Lessor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if any Person owning (directly or indirectly) any interest in any of the Lessee Entities, or any director, officer, shareholder, member, manager or partner of any of such holders is a Person whose property or interests are subject to being blocked under any of the OFAC Laws, or is otherwise in violation of any of the OFAC Laws, or is under investigation by any Governmental Authority for, or has been charged with, or convicted of, drug trafficking, terrorist-related activities or any violation of the Anti-Money Laundering Laws, has been assessed civil penalties under these or related Laws, or has had funds seized or forfeited in an action under these or related Laws;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covenant in this Section 9.04 shall not apply to any Person to the extent such Person’s interest is in or through a U.S. Publicly Traded Entity.</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1.05. Estoppel Certificate</w:t>
      </w:r>
      <w:r>
        <w:rPr>
          <w:rFonts w:ascii="Arial" w:cs="Arial" w:eastAsia="Arial" w:hAnsi="Arial"/>
          <w:sz w:val="19"/>
          <w:szCs w:val="19"/>
          <w:color w:val="auto"/>
        </w:rPr>
        <w:t>. At any time, and from time to time, Lessee shall, promptly and in no event later than ten</w:t>
      </w:r>
    </w:p>
    <w:p>
      <w:pPr>
        <w:jc w:val="both"/>
        <w:ind w:firstLine="3"/>
        <w:spacing w:after="0" w:line="209" w:lineRule="auto"/>
        <w:tabs>
          <w:tab w:leader="none" w:pos="3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Business Days after a request from Lessor or any Lender or mortgagee of Lessor, execute, acknowledge and deliver to Lessor or such Lender or mortgagee, as the case may be, a certificate in the form supplied by Lessor, certifying: (a) that Lessee has accepted the Property; (b) that this Lease is in full force and effect and has not been modified (or if modified, setting forth all modifications), or, if this Lease is not in full force and effect, the certificate shall so specify the reasons therefor; (c) the commencement and expiration dates of the Lease Term; (d) the date to which the Rentals have been paid under this Lease and the amount thereof then payable;</w:t>
      </w:r>
    </w:p>
    <w:p>
      <w:pPr>
        <w:spacing w:after="0" w:line="1" w:lineRule="exact"/>
        <w:rPr>
          <w:rFonts w:ascii="Arial" w:cs="Arial" w:eastAsia="Arial" w:hAnsi="Arial"/>
          <w:sz w:val="18"/>
          <w:szCs w:val="18"/>
          <w:color w:val="auto"/>
        </w:rPr>
      </w:pPr>
    </w:p>
    <w:p>
      <w:pPr>
        <w:jc w:val="both"/>
        <w:spacing w:after="0" w:line="205" w:lineRule="auto"/>
        <w:rPr>
          <w:rFonts w:ascii="Arial" w:cs="Arial" w:eastAsia="Arial" w:hAnsi="Arial"/>
          <w:sz w:val="18"/>
          <w:szCs w:val="18"/>
          <w:color w:val="auto"/>
        </w:rPr>
      </w:pPr>
      <w:r>
        <w:rPr>
          <w:rFonts w:ascii="Arial" w:cs="Arial" w:eastAsia="Arial" w:hAnsi="Arial"/>
          <w:sz w:val="19"/>
          <w:szCs w:val="19"/>
          <w:color w:val="auto"/>
        </w:rPr>
        <w:t>(e) whether there are then any existing defaults by Lessor in the performance of its obligations under this Lease, and, if there are any such defaults, specifying the nature and extent thereof; (f) that no notice has been received by Lessee of any default under this Lease which has not been cured, except as to defaults specified in the certificate; (g) the capacity of the Person executing such certificate, and that such Person is duly authorized to execute the same on behalf of Lessee; (h) that neither Lessor nor any Lender or mortgagee has actual involvement in the management or control of decision making related to the operational aspects or the day-to-day operation of the Property, including any handling or disposal of Hazardous Materials or Regulated Substances; and (i) any other information reasonably requested by Lessor or any Lender or mortgagee, as the case may be.</w:t>
      </w:r>
    </w:p>
    <w:p>
      <w:pPr>
        <w:spacing w:after="0" w:line="139" w:lineRule="exact"/>
        <w:rPr>
          <w:sz w:val="20"/>
          <w:szCs w:val="20"/>
          <w:color w:val="auto"/>
        </w:rPr>
      </w:pPr>
    </w:p>
    <w:p>
      <w:pPr>
        <w:ind w:left="5000"/>
        <w:spacing w:after="0"/>
        <w:rPr>
          <w:sz w:val="20"/>
          <w:szCs w:val="20"/>
          <w:color w:val="auto"/>
        </w:rPr>
      </w:pPr>
      <w:r>
        <w:rPr>
          <w:rFonts w:ascii="Arial" w:cs="Arial" w:eastAsia="Arial" w:hAnsi="Arial"/>
          <w:sz w:val="19"/>
          <w:szCs w:val="19"/>
          <w:b w:val="1"/>
          <w:bCs w:val="1"/>
          <w:color w:val="auto"/>
        </w:rPr>
        <w:t>ARTICLE X</w:t>
      </w:r>
    </w:p>
    <w:p>
      <w:pPr>
        <w:spacing w:after="0" w:line="142" w:lineRule="exact"/>
        <w:rPr>
          <w:sz w:val="20"/>
          <w:szCs w:val="20"/>
          <w:color w:val="auto"/>
        </w:rPr>
      </w:pPr>
    </w:p>
    <w:p>
      <w:pPr>
        <w:ind w:left="4080"/>
        <w:spacing w:after="0"/>
        <w:rPr>
          <w:sz w:val="20"/>
          <w:szCs w:val="20"/>
          <w:color w:val="auto"/>
        </w:rPr>
      </w:pPr>
      <w:r>
        <w:rPr>
          <w:rFonts w:ascii="Arial" w:cs="Arial" w:eastAsia="Arial" w:hAnsi="Arial"/>
          <w:sz w:val="19"/>
          <w:szCs w:val="19"/>
          <w:b w:val="1"/>
          <w:bCs w:val="1"/>
          <w:color w:val="auto"/>
        </w:rPr>
        <w:t>RELEASE AND INDEMNIFICATION</w:t>
      </w:r>
    </w:p>
    <w:p>
      <w:pPr>
        <w:spacing w:after="0" w:line="168" w:lineRule="exact"/>
        <w:rPr>
          <w:sz w:val="20"/>
          <w:szCs w:val="20"/>
          <w:color w:val="auto"/>
        </w:rPr>
      </w:pPr>
    </w:p>
    <w:p>
      <w:pPr>
        <w:jc w:val="both"/>
        <w:ind w:firstLine="619"/>
        <w:spacing w:after="0" w:line="215" w:lineRule="auto"/>
        <w:rPr>
          <w:sz w:val="20"/>
          <w:szCs w:val="20"/>
          <w:color w:val="auto"/>
        </w:rPr>
      </w:pPr>
      <w:r>
        <w:rPr>
          <w:rFonts w:ascii="Arial" w:cs="Arial" w:eastAsia="Arial" w:hAnsi="Arial"/>
          <w:sz w:val="18"/>
          <w:szCs w:val="18"/>
          <w:b w:val="1"/>
          <w:bCs w:val="1"/>
          <w:color w:val="auto"/>
        </w:rPr>
        <w:t>Section 1.01. RELEASE AND INDEMNIFICATION</w:t>
      </w:r>
      <w:r>
        <w:rPr>
          <w:rFonts w:ascii="Arial" w:cs="Arial" w:eastAsia="Arial" w:hAnsi="Arial"/>
          <w:sz w:val="18"/>
          <w:szCs w:val="18"/>
          <w:color w:val="auto"/>
        </w:rPr>
        <w:t>. LESSEE AGREES TO USE AND OCCUPY THE PROPERTY AT ITS</w:t>
      </w:r>
      <w:r>
        <w:rPr>
          <w:rFonts w:ascii="Arial" w:cs="Arial" w:eastAsia="Arial" w:hAnsi="Arial"/>
          <w:sz w:val="18"/>
          <w:szCs w:val="18"/>
          <w:b w:val="1"/>
          <w:bCs w:val="1"/>
          <w:color w:val="auto"/>
        </w:rPr>
        <w:t xml:space="preserve"> </w:t>
      </w:r>
      <w:r>
        <w:rPr>
          <w:rFonts w:ascii="Arial" w:cs="Arial" w:eastAsia="Arial" w:hAnsi="Arial"/>
          <w:sz w:val="18"/>
          <w:szCs w:val="18"/>
          <w:color w:val="auto"/>
        </w:rPr>
        <w:t>OWN RISK AND HEREBY RELEASES LESSOR AND LESSOR’S AGENTS AND EMPLOYEES FROM ALL CLAIMS FOR ANY DAMAGE OR INJURY (SO LONG AS SUCH DID NOT RESULT FROM LESSOR’S OR LESSOR’S AGENTS’ OR EMPLOYEES’ GROSS NEGLIGENCE OR WILLFUL MISCONDUCT) TO THE FULL EXTENT PERMITTED BY LAW. LESSEE AGREES THAT LESSOR SHALL NOT BE RESPONSIBLE OR LIABLE TO LESSEE OR LESSEE’S EMPLOYEES, AGENTS, CUSTOMERS, LICENSEES OR INVITEES FOR BODILY INJURY, PERSONAL INJURY OR PROPERTY DAMAGE OCCASIONED BY THE ACTS OR OMISSIONS OF ANY OTHER LESSEE OR ANY OTHER PERSON (EXCEPT FOR LESSOR’S AND LESSOR’S AGENTS AND EMPLOYEES GROSS NEGLIGENCE OR WILLFUL MISCONDUCT). LESSEE AGREES THAT ANY EMPLOYEE OR AGENT TO WHOM THE PROPERTY OR ANY PART THEREOF SHALL BE ENTRUSTED BY OR ON BEHALF OF LESSEE SHALL BE ACTING AS LESSEE’S AGENT WITH RESPECT TO THE PROPERTY OR ANY PART THEREOF, AND NEITHER LESSOR NOR LESSOR’S AGENTS, EMPLOYEES OR CONTRACTORS (“LESSOR PARTIES”) SHALL BE LIABLE FOR ANY LOSS OF OR DAMAGE TO THE PROPERTY OR ANY PART THEREOF UNLESS SUCH IS CAUSED BY LESSOR PARTIES GROSS NEGLIGENCE OR WILLFUL MISCONDUCT. LESSEE SHALL DEFEND (USING COUNSEL CHOSEN BY LESSEE AND APPROVED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19"/>
          <w:szCs w:val="19"/>
          <w:color w:val="auto"/>
        </w:rPr>
        <w:t>17</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03" w:lineRule="auto"/>
        <w:rPr>
          <w:sz w:val="20"/>
          <w:szCs w:val="20"/>
          <w:color w:val="auto"/>
        </w:rPr>
      </w:pPr>
      <w:r>
        <w:rPr>
          <w:rFonts w:ascii="Arial" w:cs="Arial" w:eastAsia="Arial" w:hAnsi="Arial"/>
          <w:sz w:val="19"/>
          <w:szCs w:val="19"/>
          <w:color w:val="auto"/>
        </w:rPr>
        <w:t>LESSOR), INDEMNIFY, PROTECT, AND HOLD HARMLESS EACH OF THE INDEMNIFIED PARTIES FROM AND AGAINST ANY AND ALL LOSSES (EXCLUDING LOSSES SUFFERED BY AN INDEMNIFIED PARTY ARISING OUT OF THE GROSS NEGLIGENCE OR WILLFUL MISCONDUCT OF SUCH INDEMNIFIED PARTY) CAUSED BY, INCURRED OR RESULTING FROM LESSEE’S OPERATIONS OR BY LESSEE’S USE AND OCCUPANCY OF THE PROPERTY, WHETHER RELATING TO ITS ORIGINAL DESIGN OR CONSTRUCTION, LATENT DEFECTS, ALTERATION, MAINTENANCE, USE BY LESSEE OR ANY PERSON THEREON, SUPERVISION OR OTHERWISE, OR FROM ANY BREACH OF, DEFAULT UNDER, OR FAILURE TO PERFORM, ANY TERM OR PROVISION OF THIS LEASE BY LESSEE, ITS OFFICERS, EMPLOYEES, AGENTS OR OTHER PERSONS. IT IS EXPRESSLY UNDERSTOOD AND AGREED THAT LESSEE’S OBLIGATIONS UNDER THIS SECTION SHALL SURVIVE THE EXPIRATION OR EARLIER TERMINATION OF THIS LEASE FOR ANY REASON WHATSOEVER.</w:t>
      </w:r>
    </w:p>
    <w:p>
      <w:pPr>
        <w:spacing w:after="0" w:line="167" w:lineRule="exact"/>
        <w:rPr>
          <w:sz w:val="20"/>
          <w:szCs w:val="20"/>
          <w:color w:val="auto"/>
        </w:rPr>
      </w:pPr>
    </w:p>
    <w:p>
      <w:pPr>
        <w:jc w:val="both"/>
        <w:spacing w:after="0" w:line="211" w:lineRule="auto"/>
        <w:rPr>
          <w:sz w:val="20"/>
          <w:szCs w:val="20"/>
          <w:color w:val="auto"/>
        </w:rPr>
      </w:pPr>
      <w:r>
        <w:rPr>
          <w:rFonts w:ascii="Arial" w:cs="Arial" w:eastAsia="Arial" w:hAnsi="Arial"/>
          <w:sz w:val="19"/>
          <w:szCs w:val="19"/>
          <w:color w:val="auto"/>
        </w:rPr>
        <w:t>FOR PURPOSES OF THIS LEASE, THE TERM “GROSS NEGLIGENCE” SHALL NOT INCLUDE GROSS NEGLIGENCE IMPUTED AS A MATTER OF LAW TO ANY OF THE INDEMNIFIED PARTIES SOLELY BY REASON OF LESSOR’S INTEREST IN THE PROPERTY OR LESSOR’S FAILURE TO ACT IN RESPECT OF MATTERS WHICH ARE OR WERE THE OBLIGATION OF LESSEE UNDER THIS LEASE.</w:t>
      </w:r>
    </w:p>
    <w:p>
      <w:pPr>
        <w:spacing w:after="0" w:line="162" w:lineRule="exact"/>
        <w:rPr>
          <w:sz w:val="20"/>
          <w:szCs w:val="20"/>
          <w:color w:val="auto"/>
        </w:rPr>
      </w:pPr>
    </w:p>
    <w:p>
      <w:pPr>
        <w:ind w:left="5000"/>
        <w:spacing w:after="0"/>
        <w:rPr>
          <w:sz w:val="20"/>
          <w:szCs w:val="20"/>
          <w:color w:val="auto"/>
        </w:rPr>
      </w:pPr>
      <w:r>
        <w:rPr>
          <w:rFonts w:ascii="Arial" w:cs="Arial" w:eastAsia="Arial" w:hAnsi="Arial"/>
          <w:sz w:val="19"/>
          <w:szCs w:val="19"/>
          <w:b w:val="1"/>
          <w:bCs w:val="1"/>
          <w:color w:val="auto"/>
        </w:rPr>
        <w:t>ARTICLE XI</w:t>
      </w:r>
    </w:p>
    <w:p>
      <w:pPr>
        <w:spacing w:after="0" w:line="142" w:lineRule="exact"/>
        <w:rPr>
          <w:sz w:val="20"/>
          <w:szCs w:val="20"/>
          <w:color w:val="auto"/>
        </w:rPr>
      </w:pPr>
    </w:p>
    <w:p>
      <w:pPr>
        <w:ind w:left="4080"/>
        <w:spacing w:after="0"/>
        <w:rPr>
          <w:sz w:val="20"/>
          <w:szCs w:val="20"/>
          <w:color w:val="auto"/>
        </w:rPr>
      </w:pPr>
      <w:r>
        <w:rPr>
          <w:rFonts w:ascii="Arial" w:cs="Arial" w:eastAsia="Arial" w:hAnsi="Arial"/>
          <w:sz w:val="19"/>
          <w:szCs w:val="19"/>
          <w:b w:val="1"/>
          <w:bCs w:val="1"/>
          <w:color w:val="auto"/>
        </w:rPr>
        <w:t>CONDEMNATION AND CASUALTY</w:t>
      </w:r>
    </w:p>
    <w:p>
      <w:pPr>
        <w:spacing w:after="0" w:line="168" w:lineRule="exact"/>
        <w:rPr>
          <w:sz w:val="20"/>
          <w:szCs w:val="20"/>
          <w:color w:val="auto"/>
        </w:rPr>
      </w:pPr>
    </w:p>
    <w:p>
      <w:pPr>
        <w:jc w:val="both"/>
        <w:ind w:firstLine="619"/>
        <w:spacing w:after="0" w:line="211" w:lineRule="auto"/>
        <w:rPr>
          <w:sz w:val="20"/>
          <w:szCs w:val="20"/>
          <w:color w:val="auto"/>
        </w:rPr>
      </w:pPr>
      <w:r>
        <w:rPr>
          <w:rFonts w:ascii="Arial" w:cs="Arial" w:eastAsia="Arial" w:hAnsi="Arial"/>
          <w:sz w:val="19"/>
          <w:szCs w:val="19"/>
          <w:b w:val="1"/>
          <w:bCs w:val="1"/>
          <w:color w:val="auto"/>
        </w:rPr>
        <w:t>Section 1.01. Notification</w:t>
      </w:r>
      <w:r>
        <w:rPr>
          <w:rFonts w:ascii="Arial" w:cs="Arial" w:eastAsia="Arial" w:hAnsi="Arial"/>
          <w:sz w:val="19"/>
          <w:szCs w:val="19"/>
          <w:color w:val="auto"/>
        </w:rPr>
        <w:t>. Lessee and Lessor shall promptly give the other party written notice of (a) any Condemnation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Property, (b) the commencement of any proceedings or negotiations which might result in a Condemnation of the Property, and</w:t>
      </w:r>
    </w:p>
    <w:p>
      <w:pPr>
        <w:spacing w:after="0" w:line="1" w:lineRule="exact"/>
        <w:rPr>
          <w:sz w:val="20"/>
          <w:szCs w:val="20"/>
          <w:color w:val="auto"/>
        </w:rPr>
      </w:pPr>
    </w:p>
    <w:p>
      <w:pPr>
        <w:jc w:val="both"/>
        <w:ind w:firstLine="3"/>
        <w:spacing w:after="0" w:line="211" w:lineRule="auto"/>
        <w:tabs>
          <w:tab w:leader="none" w:pos="283"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any Casualty to the Property or any part thereof. Such notice shall provide a general description of the nature and extent of such Condemnation, proceedings, negotiations or Casualty, and shall include copies of any documents or notices received in connection therewith. Thereafter, Lessee shall promptly send Lessor copies of all notices, correspondence and pleadings relating to any such Condemnation, proceedings, negotiations or Casualty.</w:t>
      </w:r>
    </w:p>
    <w:p>
      <w:pPr>
        <w:spacing w:after="0" w:line="136" w:lineRule="exact"/>
        <w:rPr>
          <w:sz w:val="20"/>
          <w:szCs w:val="20"/>
          <w:color w:val="auto"/>
        </w:rPr>
      </w:pPr>
    </w:p>
    <w:p>
      <w:pPr>
        <w:jc w:val="both"/>
        <w:ind w:firstLine="619"/>
        <w:spacing w:after="0" w:line="209" w:lineRule="auto"/>
        <w:rPr>
          <w:sz w:val="20"/>
          <w:szCs w:val="20"/>
          <w:color w:val="auto"/>
        </w:rPr>
      </w:pPr>
      <w:r>
        <w:rPr>
          <w:rFonts w:ascii="Arial" w:cs="Arial" w:eastAsia="Arial" w:hAnsi="Arial"/>
          <w:sz w:val="19"/>
          <w:szCs w:val="19"/>
          <w:b w:val="1"/>
          <w:bCs w:val="1"/>
          <w:color w:val="auto"/>
        </w:rPr>
        <w:t>Section 1.02. Total Condemnation</w:t>
      </w:r>
      <w:r>
        <w:rPr>
          <w:rFonts w:ascii="Arial" w:cs="Arial" w:eastAsia="Arial" w:hAnsi="Arial"/>
          <w:sz w:val="19"/>
          <w:szCs w:val="19"/>
          <w:color w:val="auto"/>
        </w:rPr>
        <w:t>. In the event of a Condemnation of all or substantially all of the Property, and if as a result</w:t>
      </w:r>
      <w:r>
        <w:rPr>
          <w:rFonts w:ascii="Arial" w:cs="Arial" w:eastAsia="Arial" w:hAnsi="Arial"/>
          <w:sz w:val="19"/>
          <w:szCs w:val="19"/>
          <w:b w:val="1"/>
          <w:bCs w:val="1"/>
          <w:color w:val="auto"/>
        </w:rPr>
        <w:t xml:space="preserve"> </w:t>
      </w:r>
      <w:r>
        <w:rPr>
          <w:rFonts w:ascii="Arial" w:cs="Arial" w:eastAsia="Arial" w:hAnsi="Arial"/>
          <w:sz w:val="19"/>
          <w:szCs w:val="19"/>
          <w:color w:val="auto"/>
        </w:rPr>
        <w:t>of such Condemnation: (i) access to the Property to and from the publicly dedicated roads adjacent to the Property as of the Effective Date is permanently and materially impaired such that Lessee no longer has access to such dedicated road; (ii) there is insufficient parking to operate the Property as a Permitted Facility under applicable Laws; or (iii) the Condemnation includes a portion of the building such that the remaining portion is unsuitable for use as a Permitted Facility, as determined by Lessee in the exercise of good faith business judgment (and Lessee provides to Lessor an officer’s certificate executed by an officer of Lessee certifying to the same) (each such event, a “</w:t>
      </w:r>
      <w:r>
        <w:rPr>
          <w:rFonts w:ascii="Arial" w:cs="Arial" w:eastAsia="Arial" w:hAnsi="Arial"/>
          <w:sz w:val="19"/>
          <w:szCs w:val="19"/>
          <w:u w:val="single" w:color="auto"/>
          <w:color w:val="auto"/>
        </w:rPr>
        <w:t>Total Condemnation</w:t>
      </w:r>
      <w:r>
        <w:rPr>
          <w:rFonts w:ascii="Arial" w:cs="Arial" w:eastAsia="Arial" w:hAnsi="Arial"/>
          <w:sz w:val="19"/>
          <w:szCs w:val="19"/>
          <w:color w:val="auto"/>
        </w:rPr>
        <w:t>”), then, in such event:</w:t>
      </w:r>
    </w:p>
    <w:p>
      <w:pPr>
        <w:spacing w:after="0" w:line="140" w:lineRule="exact"/>
        <w:rPr>
          <w:sz w:val="20"/>
          <w:szCs w:val="20"/>
          <w:color w:val="auto"/>
        </w:rPr>
      </w:pPr>
    </w:p>
    <w:p>
      <w:pPr>
        <w:jc w:val="both"/>
        <w:ind w:left="620" w:firstLine="621"/>
        <w:spacing w:after="0" w:line="210" w:lineRule="auto"/>
        <w:tabs>
          <w:tab w:leader="none" w:pos="1856" w:val="left"/>
        </w:tabs>
        <w:numPr>
          <w:ilvl w:val="0"/>
          <w:numId w:val="61"/>
        </w:numPr>
        <w:rPr>
          <w:rFonts w:ascii="Arial" w:cs="Arial" w:eastAsia="Arial" w:hAnsi="Arial"/>
          <w:sz w:val="19"/>
          <w:szCs w:val="19"/>
          <w:color w:val="auto"/>
        </w:rPr>
      </w:pPr>
      <w:r>
        <w:rPr>
          <w:rFonts w:ascii="Arial" w:cs="Arial" w:eastAsia="Arial" w:hAnsi="Arial"/>
          <w:sz w:val="19"/>
          <w:szCs w:val="19"/>
          <w:b w:val="1"/>
          <w:bCs w:val="1"/>
          <w:i w:val="1"/>
          <w:iCs w:val="1"/>
          <w:color w:val="auto"/>
        </w:rPr>
        <w:t>Termination of Lease</w:t>
      </w:r>
      <w:r>
        <w:rPr>
          <w:rFonts w:ascii="Arial" w:cs="Arial" w:eastAsia="Arial" w:hAnsi="Arial"/>
          <w:sz w:val="19"/>
          <w:szCs w:val="19"/>
          <w:color w:val="auto"/>
        </w:rPr>
        <w:t>. On the date of the Total Condemnation, all obligations of either party hereunder shall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cease; </w:t>
      </w:r>
      <w:r>
        <w:rPr>
          <w:rFonts w:ascii="Arial" w:cs="Arial" w:eastAsia="Arial" w:hAnsi="Arial"/>
          <w:sz w:val="19"/>
          <w:szCs w:val="19"/>
          <w:i w:val="1"/>
          <w:iCs w:val="1"/>
          <w:color w:val="auto"/>
        </w:rPr>
        <w:t>provided, however</w:t>
      </w:r>
      <w:r>
        <w:rPr>
          <w:rFonts w:ascii="Arial" w:cs="Arial" w:eastAsia="Arial" w:hAnsi="Arial"/>
          <w:sz w:val="19"/>
          <w:szCs w:val="19"/>
          <w:color w:val="auto"/>
        </w:rPr>
        <w:t>, that Lessee’s obligations to the Indemnified Parties under any indemnification provisions of this Lease and Lessee’s obligation to pay Rental and all other Monetary Obligations (whether payable to Lessor or a third party) accruing under this Lease prior to the date of termination shall survive such termination. If the date of such Total Condemnation is other than the first day of a month, the Base Monthly Rental for the month in which such Total Condemnation occurs shall be apportioned based on the date of the Total Condemnation.</w:t>
      </w:r>
    </w:p>
    <w:p>
      <w:pPr>
        <w:spacing w:after="0" w:line="142" w:lineRule="exact"/>
        <w:rPr>
          <w:rFonts w:ascii="Arial" w:cs="Arial" w:eastAsia="Arial" w:hAnsi="Arial"/>
          <w:sz w:val="19"/>
          <w:szCs w:val="19"/>
          <w:color w:val="auto"/>
        </w:rPr>
      </w:pPr>
    </w:p>
    <w:p>
      <w:pPr>
        <w:ind w:left="620" w:firstLine="621"/>
        <w:spacing w:after="0" w:line="235" w:lineRule="auto"/>
        <w:tabs>
          <w:tab w:leader="none" w:pos="1856" w:val="left"/>
        </w:tabs>
        <w:numPr>
          <w:ilvl w:val="0"/>
          <w:numId w:val="61"/>
        </w:numPr>
        <w:rPr>
          <w:rFonts w:ascii="Arial" w:cs="Arial" w:eastAsia="Arial" w:hAnsi="Arial"/>
          <w:sz w:val="19"/>
          <w:szCs w:val="19"/>
          <w:color w:val="auto"/>
        </w:rPr>
      </w:pPr>
      <w:r>
        <w:rPr>
          <w:rFonts w:ascii="Arial" w:cs="Arial" w:eastAsia="Arial" w:hAnsi="Arial"/>
          <w:sz w:val="19"/>
          <w:szCs w:val="19"/>
          <w:b w:val="1"/>
          <w:bCs w:val="1"/>
          <w:i w:val="1"/>
          <w:iCs w:val="1"/>
          <w:color w:val="auto"/>
        </w:rPr>
        <w:t>Net Award</w:t>
      </w:r>
      <w:r>
        <w:rPr>
          <w:rFonts w:ascii="Arial" w:cs="Arial" w:eastAsia="Arial" w:hAnsi="Arial"/>
          <w:sz w:val="19"/>
          <w:szCs w:val="19"/>
          <w:color w:val="auto"/>
        </w:rPr>
        <w:t>. Subject to Section 11.07 below, Lessor shall be entitled to receive the entire Net Award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connection with a Total Condemnation without deduction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9"/>
          <w:szCs w:val="19"/>
          <w:color w:val="auto"/>
        </w:rPr>
        <w:t>18</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20"/>
        <w:spacing w:after="0" w:line="215" w:lineRule="auto"/>
        <w:rPr>
          <w:sz w:val="20"/>
          <w:szCs w:val="20"/>
          <w:color w:val="auto"/>
        </w:rPr>
      </w:pPr>
      <w:r>
        <w:rPr>
          <w:rFonts w:ascii="Arial" w:cs="Arial" w:eastAsia="Arial" w:hAnsi="Arial"/>
          <w:sz w:val="19"/>
          <w:szCs w:val="19"/>
          <w:color w:val="auto"/>
        </w:rPr>
        <w:t>for any estate vested in Lessee by this Lease, and Lessee hereby expressly assigns to Lessor all of its right, title and interest in and to every such Net Award and agrees that Lessee shall not be entitled to any Net Award or other payment for the value of Lessee’s leasehold interest in this Lease.</w:t>
      </w:r>
    </w:p>
    <w:p>
      <w:pPr>
        <w:spacing w:after="0" w:line="137" w:lineRule="exact"/>
        <w:rPr>
          <w:sz w:val="20"/>
          <w:szCs w:val="20"/>
          <w:color w:val="auto"/>
        </w:rPr>
      </w:pPr>
    </w:p>
    <w:p>
      <w:pPr>
        <w:ind w:firstLine="619"/>
        <w:spacing w:after="0" w:line="237" w:lineRule="auto"/>
        <w:rPr>
          <w:sz w:val="20"/>
          <w:szCs w:val="20"/>
          <w:color w:val="auto"/>
        </w:rPr>
      </w:pPr>
      <w:r>
        <w:rPr>
          <w:rFonts w:ascii="Arial" w:cs="Arial" w:eastAsia="Arial" w:hAnsi="Arial"/>
          <w:sz w:val="19"/>
          <w:szCs w:val="19"/>
          <w:b w:val="1"/>
          <w:bCs w:val="1"/>
          <w:color w:val="auto"/>
        </w:rPr>
        <w:t>Section 1.03. Partial Condemnation or Casualty</w:t>
      </w:r>
      <w:r>
        <w:rPr>
          <w:rFonts w:ascii="Arial" w:cs="Arial" w:eastAsia="Arial" w:hAnsi="Arial"/>
          <w:sz w:val="19"/>
          <w:szCs w:val="19"/>
          <w:color w:val="auto"/>
        </w:rPr>
        <w:t>. In the event of a Condemnation which is not a Total Condemnation (each</w:t>
      </w:r>
      <w:r>
        <w:rPr>
          <w:rFonts w:ascii="Arial" w:cs="Arial" w:eastAsia="Arial" w:hAnsi="Arial"/>
          <w:sz w:val="19"/>
          <w:szCs w:val="19"/>
          <w:b w:val="1"/>
          <w:bCs w:val="1"/>
          <w:color w:val="auto"/>
        </w:rPr>
        <w:t xml:space="preserve"> </w:t>
      </w:r>
      <w:r>
        <w:rPr>
          <w:rFonts w:ascii="Arial" w:cs="Arial" w:eastAsia="Arial" w:hAnsi="Arial"/>
          <w:sz w:val="19"/>
          <w:szCs w:val="19"/>
          <w:color w:val="auto"/>
        </w:rPr>
        <w:t>such event, a “</w:t>
      </w:r>
      <w:r>
        <w:rPr>
          <w:rFonts w:ascii="Arial" w:cs="Arial" w:eastAsia="Arial" w:hAnsi="Arial"/>
          <w:sz w:val="19"/>
          <w:szCs w:val="19"/>
          <w:u w:val="single" w:color="auto"/>
          <w:color w:val="auto"/>
        </w:rPr>
        <w:t>Partial Condemnation</w:t>
      </w:r>
      <w:r>
        <w:rPr>
          <w:rFonts w:ascii="Arial" w:cs="Arial" w:eastAsia="Arial" w:hAnsi="Arial"/>
          <w:sz w:val="19"/>
          <w:szCs w:val="19"/>
          <w:color w:val="auto"/>
        </w:rPr>
        <w:t>”), or in the event of a Casualty:</w:t>
      </w:r>
    </w:p>
    <w:p>
      <w:pPr>
        <w:spacing w:after="0" w:line="138" w:lineRule="exact"/>
        <w:rPr>
          <w:sz w:val="20"/>
          <w:szCs w:val="20"/>
          <w:color w:val="auto"/>
        </w:rPr>
      </w:pPr>
    </w:p>
    <w:p>
      <w:pPr>
        <w:ind w:left="620" w:firstLine="621"/>
        <w:spacing w:after="0" w:line="235" w:lineRule="auto"/>
        <w:tabs>
          <w:tab w:leader="none" w:pos="1856"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color w:val="auto"/>
        </w:rPr>
        <w:t>Net Awards</w:t>
      </w:r>
      <w:r>
        <w:rPr>
          <w:rFonts w:ascii="Arial" w:cs="Arial" w:eastAsia="Arial" w:hAnsi="Arial"/>
          <w:sz w:val="19"/>
          <w:szCs w:val="19"/>
          <w:color w:val="auto"/>
        </w:rPr>
        <w:t>. Subject to Section 11.07 below, all Net Awards shall be paid to Lessor and, as applicable, made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available to Lessee pursuant to Section 11.03(b)(ii) below.</w:t>
      </w:r>
    </w:p>
    <w:p>
      <w:pPr>
        <w:spacing w:after="0" w:line="139" w:lineRule="exact"/>
        <w:rPr>
          <w:rFonts w:ascii="Arial" w:cs="Arial" w:eastAsia="Arial" w:hAnsi="Arial"/>
          <w:sz w:val="19"/>
          <w:szCs w:val="19"/>
          <w:color w:val="auto"/>
        </w:rPr>
      </w:pPr>
    </w:p>
    <w:p>
      <w:pPr>
        <w:ind w:left="1860" w:hanging="619"/>
        <w:spacing w:after="0"/>
        <w:tabs>
          <w:tab w:leader="none" w:pos="1860"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color w:val="auto"/>
        </w:rPr>
        <w:t>Continuance of Lease</w:t>
      </w:r>
      <w:r>
        <w:rPr>
          <w:rFonts w:ascii="Arial" w:cs="Arial" w:eastAsia="Arial" w:hAnsi="Arial"/>
          <w:sz w:val="19"/>
          <w:szCs w:val="19"/>
          <w:color w:val="auto"/>
        </w:rPr>
        <w:t>. This Lease shall continue in full force and effect upon the following terms:</w:t>
      </w:r>
    </w:p>
    <w:p>
      <w:pPr>
        <w:spacing w:after="0" w:line="190" w:lineRule="exact"/>
        <w:rPr>
          <w:rFonts w:ascii="Arial" w:cs="Arial" w:eastAsia="Arial" w:hAnsi="Arial"/>
          <w:sz w:val="19"/>
          <w:szCs w:val="19"/>
          <w:color w:val="auto"/>
        </w:rPr>
      </w:pPr>
    </w:p>
    <w:p>
      <w:pPr>
        <w:jc w:val="both"/>
        <w:ind w:left="1240" w:firstLine="620"/>
        <w:spacing w:after="0" w:line="215" w:lineRule="auto"/>
        <w:tabs>
          <w:tab w:leader="none" w:pos="2465" w:val="left"/>
        </w:tabs>
        <w:numPr>
          <w:ilvl w:val="1"/>
          <w:numId w:val="62"/>
        </w:numPr>
        <w:rPr>
          <w:rFonts w:ascii="Arial" w:cs="Arial" w:eastAsia="Arial" w:hAnsi="Arial"/>
          <w:sz w:val="19"/>
          <w:szCs w:val="19"/>
          <w:color w:val="auto"/>
        </w:rPr>
      </w:pPr>
      <w:r>
        <w:rPr>
          <w:rFonts w:ascii="Arial" w:cs="Arial" w:eastAsia="Arial" w:hAnsi="Arial"/>
          <w:sz w:val="19"/>
          <w:szCs w:val="19"/>
          <w:color w:val="auto"/>
        </w:rPr>
        <w:t>All Rental and other Monetary Obligations due under this Lease shall continue unabated (provided, however, that the parties acknowledge that business interruption insurance proceeds, including Rental Value Insurance proceeds, payable to and received by Lessor shall be applied towards Lessee’s Rental obligations).</w:t>
      </w:r>
    </w:p>
    <w:p>
      <w:pPr>
        <w:spacing w:after="0" w:line="160" w:lineRule="exact"/>
        <w:rPr>
          <w:rFonts w:ascii="Arial" w:cs="Arial" w:eastAsia="Arial" w:hAnsi="Arial"/>
          <w:sz w:val="19"/>
          <w:szCs w:val="19"/>
          <w:color w:val="auto"/>
        </w:rPr>
      </w:pPr>
    </w:p>
    <w:p>
      <w:pPr>
        <w:jc w:val="both"/>
        <w:ind w:left="1240" w:firstLine="620"/>
        <w:spacing w:after="0" w:line="202" w:lineRule="auto"/>
        <w:tabs>
          <w:tab w:leader="none" w:pos="2468" w:val="left"/>
        </w:tabs>
        <w:numPr>
          <w:ilvl w:val="1"/>
          <w:numId w:val="62"/>
        </w:numPr>
        <w:rPr>
          <w:rFonts w:ascii="Arial" w:cs="Arial" w:eastAsia="Arial" w:hAnsi="Arial"/>
          <w:sz w:val="19"/>
          <w:szCs w:val="19"/>
          <w:color w:val="auto"/>
        </w:rPr>
      </w:pPr>
      <w:r>
        <w:rPr>
          <w:rFonts w:ascii="Arial" w:cs="Arial" w:eastAsia="Arial" w:hAnsi="Arial"/>
          <w:sz w:val="19"/>
          <w:szCs w:val="19"/>
          <w:color w:val="auto"/>
        </w:rPr>
        <w:t>Lessee shall promptly commence and diligently prosecute restoration of the Property to the same condition, as nearly as practicable, as prior to the Partial Condemnation or Casualty as approved by Lessor. Subject to the terms and provisions of the Mortgage and upon the written request of Lessee (accompanied by evidence reasonably satisfactory to Lessor that such amount has been paid or is due and payable and is properly part of such costs, and that Lessee has complied with the terms of Section 7.02 in connection with the restoration), Lessor shall promptly make available in installments, subject to reasonable conditions for disbursement imposed by Lessor, an amount up to but not exceeding the amount of any Net Award received by Lessor with respect to such Partial Condemnation or Casualty. Prior to the disbursement of any portion of the Net Award with respect to a Casualty, Lessee shall provide evidence reasonably satisfactory to Lessor of the payment of restoration expenses by Lessee up to the amount of the insurance deductible applicable to such Casualty. Lessor shall be entitled to keep any portion of the Net Award which may be in excess of the cost of restoration, and Lessee shall bear all additional Costs of such restoration in excess of the Net Award.</w:t>
      </w:r>
    </w:p>
    <w:p>
      <w:pPr>
        <w:spacing w:after="0" w:line="141" w:lineRule="exact"/>
        <w:rPr>
          <w:sz w:val="20"/>
          <w:szCs w:val="20"/>
          <w:color w:val="auto"/>
        </w:rPr>
      </w:pPr>
    </w:p>
    <w:p>
      <w:pPr>
        <w:jc w:val="both"/>
        <w:ind w:firstLine="619"/>
        <w:spacing w:after="0" w:line="209" w:lineRule="auto"/>
        <w:rPr>
          <w:sz w:val="20"/>
          <w:szCs w:val="20"/>
          <w:color w:val="auto"/>
        </w:rPr>
      </w:pPr>
      <w:r>
        <w:rPr>
          <w:rFonts w:ascii="Arial" w:cs="Arial" w:eastAsia="Arial" w:hAnsi="Arial"/>
          <w:sz w:val="19"/>
          <w:szCs w:val="19"/>
          <w:b w:val="1"/>
          <w:bCs w:val="1"/>
          <w:color w:val="auto"/>
        </w:rPr>
        <w:t>Section 1.04. Temporary Taking</w:t>
      </w:r>
      <w:r>
        <w:rPr>
          <w:rFonts w:ascii="Arial" w:cs="Arial" w:eastAsia="Arial" w:hAnsi="Arial"/>
          <w:sz w:val="19"/>
          <w:szCs w:val="19"/>
          <w:color w:val="auto"/>
        </w:rPr>
        <w:t>. In the event of a Condemnation of all or any part of the Property for a temporary use (a</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Temporary Taking</w:t>
      </w:r>
      <w:r>
        <w:rPr>
          <w:rFonts w:ascii="Arial" w:cs="Arial" w:eastAsia="Arial" w:hAnsi="Arial"/>
          <w:sz w:val="19"/>
          <w:szCs w:val="19"/>
          <w:color w:val="auto"/>
        </w:rPr>
        <w:t>”), this Lease shall remain in full force and effect without any reduction of Base Annual Rental, Additional Rental or any other Monetary Obligation payable hereunder. Except as provided below, Lessee shall be entitled to the entire Net Award for a Temporary Taking, unless the period of occupation and use by the condemning authorities shall extend beyond the date of expiration of this Lease, in which event the Net Award made for such Temporary Taking shall be apportioned between Lessor and Lessee as of the date of such expiration. At the termination of any such Temporary Taking, Lessee will, at its own cost and expense and pursuant to the provisions of Section 7.02, promptly commence and complete restoration of the Property.</w:t>
      </w:r>
    </w:p>
    <w:p>
      <w:pPr>
        <w:spacing w:after="0" w:line="138"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19"/>
          <w:szCs w:val="19"/>
          <w:b w:val="1"/>
          <w:bCs w:val="1"/>
          <w:color w:val="auto"/>
        </w:rPr>
        <w:t>Section 1.05. Adjustment of Losses</w:t>
      </w:r>
      <w:r>
        <w:rPr>
          <w:rFonts w:ascii="Arial" w:cs="Arial" w:eastAsia="Arial" w:hAnsi="Arial"/>
          <w:sz w:val="19"/>
          <w:szCs w:val="19"/>
          <w:color w:val="auto"/>
        </w:rPr>
        <w:t>. Any loss under any property damage insurance required to be maintained by Lessee</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adjusted by Lessor and Lessee. Any Net Award relating to a Total Condemnation or a Partial Condemnation shall be adjusted by Lessor or, at Lessor’s election, Lessee. Notwithstanding the foregoing or any other provisions of this Section 11.05 to the contrary, if at the time of any Condemnation or any Casualty or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9"/>
          <w:szCs w:val="19"/>
          <w:color w:val="auto"/>
        </w:rPr>
        <w:t>19</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08" w:lineRule="auto"/>
        <w:rPr>
          <w:sz w:val="20"/>
          <w:szCs w:val="20"/>
          <w:color w:val="auto"/>
        </w:rPr>
      </w:pPr>
      <w:r>
        <w:rPr>
          <w:rFonts w:ascii="Arial" w:cs="Arial" w:eastAsia="Arial" w:hAnsi="Arial"/>
          <w:sz w:val="19"/>
          <w:szCs w:val="19"/>
          <w:color w:val="auto"/>
        </w:rPr>
        <w:t>thereafter an Event of Default shall have occurred and be continuing, Lessor is hereby authorized and empowered but shall not be obligated, in the name and on behalf of Lessee and otherwise, to file and prosecute Lessee’s claim, if any, for a Net Award on account of such Condemnation or such Casualty and to collect such Net Award and apply the same to the curing of such Event of Default and any other then existing Event of Default under this Lease and/or to the payment of any amounts owed by Lessee to Lessor under this Lease, in such order, priority and proportions as Lessor in its discretion shall deem proper.</w:t>
      </w:r>
    </w:p>
    <w:p>
      <w:pPr>
        <w:spacing w:after="0" w:line="138"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19"/>
          <w:szCs w:val="19"/>
          <w:b w:val="1"/>
          <w:bCs w:val="1"/>
          <w:color w:val="auto"/>
        </w:rPr>
        <w:t>Section 1.06. Lessee Obligation in Event of Casualty</w:t>
      </w:r>
      <w:r>
        <w:rPr>
          <w:rFonts w:ascii="Arial" w:cs="Arial" w:eastAsia="Arial" w:hAnsi="Arial"/>
          <w:sz w:val="19"/>
          <w:szCs w:val="19"/>
          <w:color w:val="auto"/>
        </w:rPr>
        <w:t>. During all periods of time following a Casualty, Lessee shall take</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steps to ensure that the Property is secure and does not pose any risk of harm to any adjoining property and Persons (including owners or occupants of such adjoining property).</w:t>
      </w:r>
    </w:p>
    <w:p>
      <w:pPr>
        <w:spacing w:after="0" w:line="136"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18"/>
          <w:szCs w:val="18"/>
          <w:b w:val="1"/>
          <w:bCs w:val="1"/>
          <w:color w:val="auto"/>
        </w:rPr>
        <w:t>Section 1.07. Lessee Awards and Payments</w:t>
      </w:r>
      <w:r>
        <w:rPr>
          <w:rFonts w:ascii="Arial" w:cs="Arial" w:eastAsia="Arial" w:hAnsi="Arial"/>
          <w:sz w:val="18"/>
          <w:szCs w:val="18"/>
          <w:color w:val="auto"/>
        </w:rPr>
        <w:t>. Notwithstanding any provision contained in this Article XI, Lessee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claim and receive any award or payment from the condemning authority expressly granted for the taking of any personal property owned by Lessee (including the Personalty), any insurance proceeds with respect to any personal property owned by Lessee (including the Personalty), the interruption of its business and moving expenses (subject, however, to the provisions of Section 6.03(a)</w:t>
      </w:r>
    </w:p>
    <w:p>
      <w:pPr>
        <w:spacing w:after="0" w:line="1" w:lineRule="exact"/>
        <w:rPr>
          <w:sz w:val="20"/>
          <w:szCs w:val="20"/>
          <w:color w:val="auto"/>
        </w:rPr>
      </w:pPr>
    </w:p>
    <w:p>
      <w:pPr>
        <w:ind w:firstLine="3"/>
        <w:spacing w:after="0" w:line="223" w:lineRule="auto"/>
        <w:tabs>
          <w:tab w:leader="none" w:pos="351" w:val="left"/>
        </w:tabs>
        <w:numPr>
          <w:ilvl w:val="0"/>
          <w:numId w:val="63"/>
        </w:numPr>
        <w:rPr>
          <w:rFonts w:ascii="Arial" w:cs="Arial" w:eastAsia="Arial" w:hAnsi="Arial"/>
          <w:sz w:val="19"/>
          <w:szCs w:val="19"/>
          <w:color w:val="auto"/>
        </w:rPr>
      </w:pPr>
      <w:r>
        <w:rPr>
          <w:rFonts w:ascii="Arial" w:cs="Arial" w:eastAsia="Arial" w:hAnsi="Arial"/>
          <w:sz w:val="19"/>
          <w:szCs w:val="19"/>
          <w:color w:val="auto"/>
        </w:rPr>
        <w:t>above), but only if such claim or award does not adversely affect or interfere with the prosecution of Lessor’s claim for the Condemnation or Casualty, or otherwise reduce the amount recoverable by Lessor for the Condemnation or Casualty.</w:t>
      </w:r>
    </w:p>
    <w:p>
      <w:pPr>
        <w:spacing w:after="0" w:line="137" w:lineRule="exact"/>
        <w:rPr>
          <w:sz w:val="20"/>
          <w:szCs w:val="20"/>
          <w:color w:val="auto"/>
        </w:rPr>
      </w:pPr>
    </w:p>
    <w:p>
      <w:pPr>
        <w:ind w:left="5000"/>
        <w:spacing w:after="0"/>
        <w:rPr>
          <w:sz w:val="20"/>
          <w:szCs w:val="20"/>
          <w:color w:val="auto"/>
        </w:rPr>
      </w:pPr>
      <w:r>
        <w:rPr>
          <w:rFonts w:ascii="Arial" w:cs="Arial" w:eastAsia="Arial" w:hAnsi="Arial"/>
          <w:sz w:val="19"/>
          <w:szCs w:val="19"/>
          <w:b w:val="1"/>
          <w:bCs w:val="1"/>
          <w:color w:val="auto"/>
        </w:rPr>
        <w:t>ARTICLE XII</w:t>
      </w:r>
    </w:p>
    <w:p>
      <w:pPr>
        <w:spacing w:after="0" w:line="128" w:lineRule="exact"/>
        <w:rPr>
          <w:sz w:val="20"/>
          <w:szCs w:val="20"/>
          <w:color w:val="auto"/>
        </w:rPr>
      </w:pPr>
    </w:p>
    <w:p>
      <w:pPr>
        <w:ind w:left="3860"/>
        <w:spacing w:after="0"/>
        <w:rPr>
          <w:sz w:val="20"/>
          <w:szCs w:val="20"/>
          <w:color w:val="auto"/>
        </w:rPr>
      </w:pPr>
      <w:r>
        <w:rPr>
          <w:rFonts w:ascii="Arial" w:cs="Arial" w:eastAsia="Arial" w:hAnsi="Arial"/>
          <w:sz w:val="19"/>
          <w:szCs w:val="19"/>
          <w:b w:val="1"/>
          <w:bCs w:val="1"/>
          <w:color w:val="auto"/>
        </w:rPr>
        <w:t>DEFAULT, CONDITIONAL LIMITATIONS,</w:t>
      </w:r>
    </w:p>
    <w:p>
      <w:pPr>
        <w:jc w:val="center"/>
        <w:spacing w:after="0"/>
        <w:rPr>
          <w:sz w:val="20"/>
          <w:szCs w:val="20"/>
          <w:color w:val="auto"/>
        </w:rPr>
      </w:pPr>
      <w:r>
        <w:rPr>
          <w:rFonts w:ascii="Arial" w:cs="Arial" w:eastAsia="Arial" w:hAnsi="Arial"/>
          <w:sz w:val="19"/>
          <w:szCs w:val="19"/>
          <w:b w:val="1"/>
          <w:bCs w:val="1"/>
          <w:color w:val="auto"/>
        </w:rPr>
        <w:t>REMEDIES AND MEASURE OF DAMAGES</w:t>
      </w:r>
    </w:p>
    <w:p>
      <w:pPr>
        <w:spacing w:after="0" w:line="144" w:lineRule="exact"/>
        <w:rPr>
          <w:sz w:val="20"/>
          <w:szCs w:val="20"/>
          <w:color w:val="auto"/>
        </w:rPr>
      </w:pPr>
    </w:p>
    <w:p>
      <w:pPr>
        <w:ind w:firstLine="619"/>
        <w:spacing w:after="0" w:line="237" w:lineRule="auto"/>
        <w:rPr>
          <w:sz w:val="20"/>
          <w:szCs w:val="20"/>
          <w:color w:val="auto"/>
        </w:rPr>
      </w:pPr>
      <w:r>
        <w:rPr>
          <w:rFonts w:ascii="Arial" w:cs="Arial" w:eastAsia="Arial" w:hAnsi="Arial"/>
          <w:sz w:val="19"/>
          <w:szCs w:val="19"/>
          <w:b w:val="1"/>
          <w:bCs w:val="1"/>
          <w:color w:val="auto"/>
        </w:rPr>
        <w:t>Section 1.01. Event of Default</w:t>
      </w:r>
      <w:r>
        <w:rPr>
          <w:rFonts w:ascii="Arial" w:cs="Arial" w:eastAsia="Arial" w:hAnsi="Arial"/>
          <w:sz w:val="19"/>
          <w:szCs w:val="19"/>
          <w:color w:val="auto"/>
        </w:rPr>
        <w:t>. Each of the following shall be an event of default by Lessee under this Lease (each, an</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Event of Default</w:t>
      </w:r>
      <w:r>
        <w:rPr>
          <w:rFonts w:ascii="Arial" w:cs="Arial" w:eastAsia="Arial" w:hAnsi="Arial"/>
          <w:sz w:val="19"/>
          <w:szCs w:val="19"/>
          <w:color w:val="auto"/>
        </w:rPr>
        <w:t>”):</w:t>
      </w:r>
    </w:p>
    <w:p>
      <w:pPr>
        <w:spacing w:after="0" w:line="160" w:lineRule="exact"/>
        <w:rPr>
          <w:sz w:val="20"/>
          <w:szCs w:val="20"/>
          <w:color w:val="auto"/>
        </w:rPr>
      </w:pPr>
    </w:p>
    <w:p>
      <w:pPr>
        <w:jc w:val="both"/>
        <w:ind w:left="620" w:firstLine="621"/>
        <w:spacing w:after="0" w:line="215" w:lineRule="auto"/>
        <w:tabs>
          <w:tab w:leader="none" w:pos="1856" w:val="left"/>
        </w:tabs>
        <w:numPr>
          <w:ilvl w:val="0"/>
          <w:numId w:val="64"/>
        </w:numPr>
        <w:rPr>
          <w:rFonts w:ascii="Arial" w:cs="Arial" w:eastAsia="Arial" w:hAnsi="Arial"/>
          <w:sz w:val="19"/>
          <w:szCs w:val="19"/>
          <w:color w:val="auto"/>
        </w:rPr>
      </w:pPr>
      <w:r>
        <w:rPr>
          <w:rFonts w:ascii="Arial" w:cs="Arial" w:eastAsia="Arial" w:hAnsi="Arial"/>
          <w:sz w:val="19"/>
          <w:szCs w:val="19"/>
          <w:color w:val="auto"/>
        </w:rPr>
        <w:t>if any representation or warranty of Lessee set forth in this Lease is false in any material respect when made, or if Lessee renders any materially false statement or account when made and such breach is not remedied within thirty (30) days of written notice thereof;</w:t>
      </w:r>
    </w:p>
    <w:p>
      <w:pPr>
        <w:spacing w:after="0" w:line="160" w:lineRule="exact"/>
        <w:rPr>
          <w:rFonts w:ascii="Arial" w:cs="Arial" w:eastAsia="Arial" w:hAnsi="Arial"/>
          <w:sz w:val="19"/>
          <w:szCs w:val="19"/>
          <w:color w:val="auto"/>
        </w:rPr>
      </w:pPr>
    </w:p>
    <w:p>
      <w:pPr>
        <w:jc w:val="both"/>
        <w:ind w:left="620" w:firstLine="621"/>
        <w:spacing w:after="0" w:line="206" w:lineRule="auto"/>
        <w:tabs>
          <w:tab w:leader="none" w:pos="1856"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if any Rental or other Monetary Obligation due under this Lease is not paid within three (3) Business Days after written notice of failure to pay the same;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Lessor shall only be obligated to provide such written notice and the three (3) Business Day cure period shall only be available once in any twelve (12) month period;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any delay in the payment of Rental as a result of a technical error in the wiring and/or automated clearinghouse process shall not constitute an Event of Default hereunder so long as the same is corrected within one (1) Business Day of the date Lessee receives notice thereof;</w:t>
      </w:r>
    </w:p>
    <w:p>
      <w:pPr>
        <w:spacing w:after="0" w:line="163" w:lineRule="exact"/>
        <w:rPr>
          <w:rFonts w:ascii="Arial" w:cs="Arial" w:eastAsia="Arial" w:hAnsi="Arial"/>
          <w:sz w:val="19"/>
          <w:szCs w:val="19"/>
          <w:color w:val="auto"/>
        </w:rPr>
      </w:pPr>
    </w:p>
    <w:p>
      <w:pPr>
        <w:ind w:left="620" w:firstLine="621"/>
        <w:spacing w:after="0" w:line="223" w:lineRule="auto"/>
        <w:tabs>
          <w:tab w:leader="none" w:pos="1846" w:val="left"/>
        </w:tabs>
        <w:numPr>
          <w:ilvl w:val="0"/>
          <w:numId w:val="64"/>
        </w:numPr>
        <w:rPr>
          <w:rFonts w:ascii="Arial" w:cs="Arial" w:eastAsia="Arial" w:hAnsi="Arial"/>
          <w:sz w:val="19"/>
          <w:szCs w:val="19"/>
          <w:color w:val="auto"/>
        </w:rPr>
      </w:pPr>
      <w:r>
        <w:rPr>
          <w:rFonts w:ascii="Arial" w:cs="Arial" w:eastAsia="Arial" w:hAnsi="Arial"/>
          <w:sz w:val="19"/>
          <w:szCs w:val="19"/>
          <w:color w:val="auto"/>
        </w:rPr>
        <w:t>if Lessee fails to pay, prior to delinquency, any taxes, assessments or other charges the failure of which to pay will result in the imposition of a lien against the Property;</w:t>
      </w:r>
    </w:p>
    <w:p>
      <w:pPr>
        <w:spacing w:after="0" w:line="161" w:lineRule="exact"/>
        <w:rPr>
          <w:rFonts w:ascii="Arial" w:cs="Arial" w:eastAsia="Arial" w:hAnsi="Arial"/>
          <w:sz w:val="19"/>
          <w:szCs w:val="19"/>
          <w:color w:val="auto"/>
        </w:rPr>
      </w:pPr>
    </w:p>
    <w:p>
      <w:pPr>
        <w:ind w:left="1860" w:hanging="619"/>
        <w:spacing w:after="0"/>
        <w:tabs>
          <w:tab w:leader="none" w:pos="18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subject to Lessee’s rights under Section 8.01(b), if Lessee vacates or abandons the Property;</w:t>
      </w:r>
    </w:p>
    <w:p>
      <w:pPr>
        <w:spacing w:after="0" w:line="168" w:lineRule="exact"/>
        <w:rPr>
          <w:rFonts w:ascii="Arial" w:cs="Arial" w:eastAsia="Arial" w:hAnsi="Arial"/>
          <w:sz w:val="19"/>
          <w:szCs w:val="19"/>
          <w:color w:val="auto"/>
        </w:rPr>
      </w:pPr>
    </w:p>
    <w:p>
      <w:pPr>
        <w:ind w:left="1860" w:hanging="619"/>
        <w:spacing w:after="0"/>
        <w:tabs>
          <w:tab w:leader="none" w:pos="18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if there is an Insolvency Event affecting Lessee or the Guarantor;</w:t>
      </w:r>
    </w:p>
    <w:p>
      <w:pPr>
        <w:spacing w:after="0" w:line="168" w:lineRule="exact"/>
        <w:rPr>
          <w:rFonts w:ascii="Arial" w:cs="Arial" w:eastAsia="Arial" w:hAnsi="Arial"/>
          <w:sz w:val="19"/>
          <w:szCs w:val="19"/>
          <w:color w:val="auto"/>
        </w:rPr>
      </w:pPr>
    </w:p>
    <w:p>
      <w:pPr>
        <w:ind w:left="620" w:firstLine="621"/>
        <w:spacing w:after="0" w:line="223" w:lineRule="auto"/>
        <w:tabs>
          <w:tab w:leader="none" w:pos="1855"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if Lessee fails to observe or perform any of the other covenants, conditions or obligations of Lessee in this Lease; </w:t>
      </w:r>
      <w:r>
        <w:rPr>
          <w:rFonts w:ascii="Arial" w:cs="Arial" w:eastAsia="Arial" w:hAnsi="Arial"/>
          <w:sz w:val="19"/>
          <w:szCs w:val="19"/>
          <w:i w:val="1"/>
          <w:iCs w:val="1"/>
          <w:color w:val="auto"/>
        </w:rPr>
        <w:t>provided, however</w:t>
      </w:r>
      <w:r>
        <w:rPr>
          <w:rFonts w:ascii="Arial" w:cs="Arial" w:eastAsia="Arial" w:hAnsi="Arial"/>
          <w:sz w:val="19"/>
          <w:szCs w:val="19"/>
          <w:color w:val="auto"/>
        </w:rPr>
        <w:t>, if any such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20</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20"/>
        <w:spacing w:after="0" w:line="202" w:lineRule="auto"/>
        <w:rPr>
          <w:sz w:val="20"/>
          <w:szCs w:val="20"/>
          <w:color w:val="auto"/>
        </w:rPr>
      </w:pPr>
      <w:r>
        <w:rPr>
          <w:rFonts w:ascii="Arial" w:cs="Arial" w:eastAsia="Arial" w:hAnsi="Arial"/>
          <w:sz w:val="19"/>
          <w:szCs w:val="19"/>
          <w:color w:val="auto"/>
        </w:rPr>
        <w:t>does not involve the payment of any Monetary Obligation, is not willful or intentional, does not place the Property or any rights or property of Lessor in immediate jeopardy, and is within the reasonable power of Lessee to promptly cure, all as determined by Lessor in its reasonable discretion, then such failure shall not constitute an Event of Default hereunder, unless otherwise expressly provided herein, unless and until Lessor shall have given Lessee written notice thereof and a period of thirty (30) days shall have elapsed, during which period Lessee may correct or cure such failure, upon failure of which an Event of Default shall be deemed to have occurred hereunder without further notice or demand of any kind being required. If such failure cannot reasonably be cured within such thirty (30)-day period, as determined by Lessor in its reasonable discretion, and Lessee is diligently pursuing a cure of such failure, then Lessee shall have a reasonable period to cure such failure beyond such thirty (30)-day period, which shall in no event exceed ninety (90) days after receiving notice of such failure from Lessor. If Lessee shall fail to correct or cure such failure within such ninety (90)-day period, an Event of Default shall be deemed to have occurred hereunder without further notice or demand of any kind being required;</w:t>
      </w:r>
    </w:p>
    <w:p>
      <w:pPr>
        <w:spacing w:after="0" w:line="169" w:lineRule="exact"/>
        <w:rPr>
          <w:sz w:val="20"/>
          <w:szCs w:val="20"/>
          <w:color w:val="auto"/>
        </w:rPr>
      </w:pPr>
    </w:p>
    <w:p>
      <w:pPr>
        <w:ind w:left="620" w:firstLine="621"/>
        <w:spacing w:after="0" w:line="223" w:lineRule="auto"/>
        <w:tabs>
          <w:tab w:leader="none" w:pos="1856" w:val="left"/>
        </w:tabs>
        <w:numPr>
          <w:ilvl w:val="0"/>
          <w:numId w:val="65"/>
        </w:numPr>
        <w:rPr>
          <w:rFonts w:ascii="Arial" w:cs="Arial" w:eastAsia="Arial" w:hAnsi="Arial"/>
          <w:sz w:val="19"/>
          <w:szCs w:val="19"/>
          <w:color w:val="auto"/>
        </w:rPr>
      </w:pPr>
      <w:r>
        <w:rPr>
          <w:rFonts w:ascii="Arial" w:cs="Arial" w:eastAsia="Arial" w:hAnsi="Arial"/>
          <w:sz w:val="19"/>
          <w:szCs w:val="19"/>
          <w:color w:val="auto"/>
        </w:rPr>
        <w:t>if a final, nonappealable judgment is rendered by a court against Lessee which has a Material Adverse Effect, and is not discharged or provision made for such discharge within ninety (90) days from the date of entry thereof;</w:t>
      </w:r>
    </w:p>
    <w:p>
      <w:pPr>
        <w:spacing w:after="0" w:line="161" w:lineRule="exact"/>
        <w:rPr>
          <w:rFonts w:ascii="Arial" w:cs="Arial" w:eastAsia="Arial" w:hAnsi="Arial"/>
          <w:sz w:val="19"/>
          <w:szCs w:val="19"/>
          <w:color w:val="auto"/>
        </w:rPr>
      </w:pPr>
    </w:p>
    <w:p>
      <w:pPr>
        <w:ind w:left="1860" w:hanging="619"/>
        <w:spacing w:after="0"/>
        <w:tabs>
          <w:tab w:leader="none" w:pos="1860" w:val="left"/>
        </w:tabs>
        <w:numPr>
          <w:ilvl w:val="0"/>
          <w:numId w:val="65"/>
        </w:numPr>
        <w:rPr>
          <w:rFonts w:ascii="Arial" w:cs="Arial" w:eastAsia="Arial" w:hAnsi="Arial"/>
          <w:sz w:val="19"/>
          <w:szCs w:val="19"/>
          <w:color w:val="auto"/>
        </w:rPr>
      </w:pPr>
      <w:r>
        <w:rPr>
          <w:rFonts w:ascii="Arial" w:cs="Arial" w:eastAsia="Arial" w:hAnsi="Arial"/>
          <w:sz w:val="19"/>
          <w:szCs w:val="19"/>
          <w:color w:val="auto"/>
        </w:rPr>
        <w:t>if Lessee shall be liquidated or dissolved or shall begin proceedings towards its liquidation or dissolution;</w:t>
      </w:r>
    </w:p>
    <w:p>
      <w:pPr>
        <w:spacing w:after="0" w:line="168" w:lineRule="exact"/>
        <w:rPr>
          <w:rFonts w:ascii="Arial" w:cs="Arial" w:eastAsia="Arial" w:hAnsi="Arial"/>
          <w:sz w:val="19"/>
          <w:szCs w:val="19"/>
          <w:color w:val="auto"/>
        </w:rPr>
      </w:pPr>
    </w:p>
    <w:p>
      <w:pPr>
        <w:jc w:val="both"/>
        <w:ind w:left="620" w:firstLine="621"/>
        <w:spacing w:after="0" w:line="215" w:lineRule="auto"/>
        <w:tabs>
          <w:tab w:leader="none" w:pos="1845" w:val="left"/>
        </w:tabs>
        <w:numPr>
          <w:ilvl w:val="0"/>
          <w:numId w:val="65"/>
        </w:numPr>
        <w:rPr>
          <w:rFonts w:ascii="Arial" w:cs="Arial" w:eastAsia="Arial" w:hAnsi="Arial"/>
          <w:sz w:val="19"/>
          <w:szCs w:val="19"/>
          <w:color w:val="auto"/>
        </w:rPr>
      </w:pPr>
      <w:r>
        <w:rPr>
          <w:rFonts w:ascii="Arial" w:cs="Arial" w:eastAsia="Arial" w:hAnsi="Arial"/>
          <w:sz w:val="19"/>
          <w:szCs w:val="19"/>
          <w:color w:val="auto"/>
        </w:rPr>
        <w:t>if the estate or interest of Lessee in the Property shall be levied upon or attached in any proceeding and such estate or interest is about to be sold or transferred or such process shall not be vacated or discharged within ninety (90) days after it is made; or</w:t>
      </w:r>
    </w:p>
    <w:p>
      <w:pPr>
        <w:spacing w:after="0" w:line="160" w:lineRule="exact"/>
        <w:rPr>
          <w:rFonts w:ascii="Arial" w:cs="Arial" w:eastAsia="Arial" w:hAnsi="Arial"/>
          <w:sz w:val="19"/>
          <w:szCs w:val="19"/>
          <w:color w:val="auto"/>
        </w:rPr>
      </w:pPr>
    </w:p>
    <w:p>
      <w:pPr>
        <w:jc w:val="both"/>
        <w:ind w:left="620" w:firstLine="621"/>
        <w:spacing w:after="0" w:line="208" w:lineRule="auto"/>
        <w:tabs>
          <w:tab w:leader="none" w:pos="1845"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if there is an “Event of Default” or other breach or default by Lessee or the Guarantor under any of the other Transaction Documents or any Other Agreement , after the passage of all applicable notice and cure or grace periods; </w:t>
      </w:r>
      <w:r>
        <w:rPr>
          <w:rFonts w:ascii="Arial" w:cs="Arial" w:eastAsia="Arial" w:hAnsi="Arial"/>
          <w:sz w:val="19"/>
          <w:szCs w:val="19"/>
          <w:i w:val="1"/>
          <w:iCs w:val="1"/>
          <w:color w:val="auto"/>
        </w:rPr>
        <w:t>provided, however</w:t>
      </w:r>
      <w:r>
        <w:rPr>
          <w:rFonts w:ascii="Arial" w:cs="Arial" w:eastAsia="Arial" w:hAnsi="Arial"/>
          <w:sz w:val="19"/>
          <w:szCs w:val="19"/>
          <w:color w:val="auto"/>
        </w:rPr>
        <w:t>, in the event that this Lease has been the subject of a Securitization and any Other Agreement has not</w:t>
      </w:r>
      <w:r>
        <w:rPr>
          <w:rFonts w:ascii="Arial" w:cs="Arial" w:eastAsia="Arial" w:hAnsi="Arial"/>
          <w:sz w:val="19"/>
          <w:szCs w:val="19"/>
          <w:i w:val="1"/>
          <w:iCs w:val="1"/>
          <w:color w:val="auto"/>
        </w:rPr>
        <w:t xml:space="preserve"> </w:t>
      </w:r>
      <w:r>
        <w:rPr>
          <w:rFonts w:ascii="Arial" w:cs="Arial" w:eastAsia="Arial" w:hAnsi="Arial"/>
          <w:sz w:val="19"/>
          <w:szCs w:val="19"/>
          <w:color w:val="auto"/>
        </w:rPr>
        <w:t>been the subject of the same Securitization or any series relating to such Securitization, an “Event of Default” under such Other Agreement shall not constitute an Event of Default under this Lease.</w:t>
      </w:r>
    </w:p>
    <w:p>
      <w:pPr>
        <w:spacing w:after="0" w:line="138"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19"/>
          <w:szCs w:val="19"/>
          <w:b w:val="1"/>
          <w:bCs w:val="1"/>
          <w:color w:val="auto"/>
        </w:rPr>
        <w:t>Section 1.02. Remedies</w:t>
      </w:r>
      <w:r>
        <w:rPr>
          <w:rFonts w:ascii="Arial" w:cs="Arial" w:eastAsia="Arial" w:hAnsi="Arial"/>
          <w:sz w:val="19"/>
          <w:szCs w:val="19"/>
          <w:color w:val="auto"/>
        </w:rPr>
        <w:t>. Upon the occurrence of an Event of Default, with or without notice or demand, except as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expressly provided herein or such other notice as may be required by statute and cannot be waived by Lessee, Lessor shall be entitled to exercise, at its option, concurrently, successively, or in any combination, all remedies available at Law or in equity, including, without limitation, any one or more of the following:</w:t>
      </w:r>
    </w:p>
    <w:p>
      <w:pPr>
        <w:spacing w:after="0" w:line="162" w:lineRule="exact"/>
        <w:rPr>
          <w:sz w:val="20"/>
          <w:szCs w:val="20"/>
          <w:color w:val="auto"/>
        </w:rPr>
      </w:pPr>
    </w:p>
    <w:p>
      <w:pPr>
        <w:ind w:left="620" w:firstLine="621"/>
        <w:spacing w:after="0" w:line="223" w:lineRule="auto"/>
        <w:tabs>
          <w:tab w:leader="none" w:pos="1856" w:val="left"/>
        </w:tabs>
        <w:numPr>
          <w:ilvl w:val="0"/>
          <w:numId w:val="66"/>
        </w:numPr>
        <w:rPr>
          <w:rFonts w:ascii="Arial" w:cs="Arial" w:eastAsia="Arial" w:hAnsi="Arial"/>
          <w:sz w:val="19"/>
          <w:szCs w:val="19"/>
          <w:color w:val="auto"/>
        </w:rPr>
      </w:pPr>
      <w:r>
        <w:rPr>
          <w:rFonts w:ascii="Arial" w:cs="Arial" w:eastAsia="Arial" w:hAnsi="Arial"/>
          <w:sz w:val="19"/>
          <w:szCs w:val="19"/>
          <w:color w:val="auto"/>
        </w:rPr>
        <w:t>to terminate this Lease, whereupon Lessee’s right to possession of the Property shall cease and this Lease, except as to Lessee’s liability, shall be terminated;</w:t>
      </w:r>
    </w:p>
    <w:p>
      <w:pPr>
        <w:spacing w:after="0" w:line="161" w:lineRule="exact"/>
        <w:rPr>
          <w:rFonts w:ascii="Arial" w:cs="Arial" w:eastAsia="Arial" w:hAnsi="Arial"/>
          <w:sz w:val="19"/>
          <w:szCs w:val="19"/>
          <w:color w:val="auto"/>
        </w:rPr>
      </w:pPr>
    </w:p>
    <w:p>
      <w:pPr>
        <w:jc w:val="both"/>
        <w:ind w:left="620" w:firstLine="621"/>
        <w:spacing w:after="0" w:line="205" w:lineRule="auto"/>
        <w:tabs>
          <w:tab w:leader="none" w:pos="1856" w:val="left"/>
        </w:tabs>
        <w:numPr>
          <w:ilvl w:val="0"/>
          <w:numId w:val="66"/>
        </w:numPr>
        <w:rPr>
          <w:rFonts w:ascii="Arial" w:cs="Arial" w:eastAsia="Arial" w:hAnsi="Arial"/>
          <w:sz w:val="19"/>
          <w:szCs w:val="19"/>
          <w:color w:val="auto"/>
        </w:rPr>
      </w:pPr>
      <w:r>
        <w:rPr>
          <w:rFonts w:ascii="Arial" w:cs="Arial" w:eastAsia="Arial" w:hAnsi="Arial"/>
          <w:sz w:val="19"/>
          <w:szCs w:val="19"/>
          <w:color w:val="auto"/>
        </w:rPr>
        <w:t>to the extent not prohibited by applicable Law, to (i) re-enter and take possession of the Property (or any part thereof), any or all personal property (subject to any rights of Lessee’s Institutional Lenders) or fixtures of Lessee upon the Property and, to the extent permissible, permits and other rights or privileges of Lessee pertaining to the use and operation of the Property, and (ii) expel Lessee and those claiming under or through Lessee, without being deemed guilty in any manner of trespass or becoming liable for any loss or damage resulting therefrom, without resort to legal or judicial process, procedure or action. No notice from Lessor hereunder or under a forcible entry and detainer statute or similar Law shall constitute an election by Lessor to terminate this Lease unless such notice specifically so states. If Lessee shall, after default, voluntarily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19"/>
          <w:szCs w:val="19"/>
          <w:color w:val="auto"/>
        </w:rPr>
        <w:t>21</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00"/>
        <w:spacing w:after="0" w:line="211" w:lineRule="auto"/>
        <w:rPr>
          <w:sz w:val="20"/>
          <w:szCs w:val="20"/>
          <w:color w:val="auto"/>
        </w:rPr>
      </w:pPr>
      <w:r>
        <w:rPr>
          <w:rFonts w:ascii="Arial" w:cs="Arial" w:eastAsia="Arial" w:hAnsi="Arial"/>
          <w:sz w:val="19"/>
          <w:szCs w:val="19"/>
          <w:color w:val="auto"/>
        </w:rPr>
        <w:t>give up possession of the Property to Lessor, deliver to Lessor or its agents the keys to the Property, or both, such actions shall be deemed to be in compliance with Lessor’s rights and the acceptance thereof by Lessor or its agents shall not be deemed to constitute a termination of the Lease. Lessor reserves the right following any re-entry and/or reletting to exercise its right to terminate this Lease by giving Lessee written notice thereof, in which event this Lease will terminate;</w:t>
      </w:r>
    </w:p>
    <w:p>
      <w:pPr>
        <w:spacing w:after="0" w:line="160" w:lineRule="exact"/>
        <w:rPr>
          <w:sz w:val="20"/>
          <w:szCs w:val="20"/>
          <w:color w:val="auto"/>
        </w:rPr>
      </w:pPr>
    </w:p>
    <w:p>
      <w:pPr>
        <w:jc w:val="both"/>
        <w:ind w:left="600" w:firstLine="621"/>
        <w:spacing w:after="0" w:line="205" w:lineRule="auto"/>
        <w:tabs>
          <w:tab w:leader="none" w:pos="1826" w:val="left"/>
        </w:tabs>
        <w:numPr>
          <w:ilvl w:val="0"/>
          <w:numId w:val="67"/>
        </w:numPr>
        <w:rPr>
          <w:rFonts w:ascii="Arial" w:cs="Arial" w:eastAsia="Arial" w:hAnsi="Arial"/>
          <w:sz w:val="19"/>
          <w:szCs w:val="19"/>
          <w:color w:val="auto"/>
        </w:rPr>
      </w:pPr>
      <w:r>
        <w:rPr>
          <w:rFonts w:ascii="Arial" w:cs="Arial" w:eastAsia="Arial" w:hAnsi="Arial"/>
          <w:sz w:val="19"/>
          <w:szCs w:val="19"/>
          <w:color w:val="auto"/>
        </w:rPr>
        <w:t>to bring an action against Lessee for any damages sustained by Lessor or any equitable relief available to Lessor and to the extent not prohibited by applicable Law, to seize all personal property (subject to any rights of Lessee’s Institutional Lenders) or fixtures upon the Property which Lessee owns or in which it has an interest, in which Lessor shall have a landlord’s lien and/or security interest, and to dispose thereof in accordance with the Laws prevailing at the time and place of such seizure or to remove all or any portion of such property and cause the same to be stored in a public warehouse or elsewhere at Lessee’s sole expense, without becoming liable for any loss or damage resulting therefrom and without resorting to legal or judicial process, procedure or action;</w:t>
      </w:r>
    </w:p>
    <w:p>
      <w:pPr>
        <w:spacing w:after="0" w:line="163" w:lineRule="exact"/>
        <w:rPr>
          <w:rFonts w:ascii="Arial" w:cs="Arial" w:eastAsia="Arial" w:hAnsi="Arial"/>
          <w:sz w:val="19"/>
          <w:szCs w:val="19"/>
          <w:color w:val="auto"/>
        </w:rPr>
      </w:pPr>
    </w:p>
    <w:p>
      <w:pPr>
        <w:jc w:val="both"/>
        <w:ind w:left="600" w:firstLine="621"/>
        <w:spacing w:after="0" w:line="202" w:lineRule="auto"/>
        <w:tabs>
          <w:tab w:leader="none" w:pos="1836" w:val="left"/>
        </w:tabs>
        <w:numPr>
          <w:ilvl w:val="0"/>
          <w:numId w:val="67"/>
        </w:numPr>
        <w:rPr>
          <w:rFonts w:ascii="Arial" w:cs="Arial" w:eastAsia="Arial" w:hAnsi="Arial"/>
          <w:sz w:val="19"/>
          <w:szCs w:val="19"/>
          <w:color w:val="auto"/>
        </w:rPr>
      </w:pPr>
      <w:r>
        <w:rPr>
          <w:rFonts w:ascii="Arial" w:cs="Arial" w:eastAsia="Arial" w:hAnsi="Arial"/>
          <w:sz w:val="19"/>
          <w:szCs w:val="19"/>
          <w:color w:val="auto"/>
        </w:rPr>
        <w:t>to relet the Property or any part thereof for such term or terms (including a term which extends beyond the original Lease Term, provided that the portion of such term that extends beyond the original Lease Term (or then applicable Extension Term) shall be governed by a direct lease agreement between Lessor and new lessee, with no obligations from Lessee)), at such rentals and upon such other terms as Lessor, in its reasonable discretion, may determine, with all proceeds received from such reletting being applied to the Rental and other Monetary Obligations due from Lessee in such order as Lessor may, in its reasonable discretion, determine, which other Monetary Obligations include, without limitation, all repossession costs, brokerage commissions, reasonable attorneys’ fees and expenses, alteration, remodeling and repair costs and expenses of preparing for such reletting. Except to the extent required by applicable Law, Lessor shall have no obligation to relet the Property or any part thereof and shall in no event be liable for refusal or failure to relet the Property or any part thereof, or, in the event of any such reletting, for reasonable refusal or failure to collect any rent due upon such reletting, and no such refusal or failure shall operate to relieve Lessee of any liability under this Lease or otherwise to affect any such liability. Lessor reserves the right following any re-entry and/or reletting to exercise its right to terminate this Lease by giving Lessee written notice thereof, in which event this Lease will terminate as specified in said notice;</w:t>
      </w:r>
    </w:p>
    <w:p>
      <w:pPr>
        <w:spacing w:after="0" w:line="161" w:lineRule="exact"/>
        <w:rPr>
          <w:rFonts w:ascii="Arial" w:cs="Arial" w:eastAsia="Arial" w:hAnsi="Arial"/>
          <w:sz w:val="19"/>
          <w:szCs w:val="19"/>
          <w:color w:val="auto"/>
        </w:rPr>
      </w:pPr>
    </w:p>
    <w:p>
      <w:pPr>
        <w:jc w:val="both"/>
        <w:ind w:left="600" w:firstLine="621"/>
        <w:spacing w:after="0" w:line="215" w:lineRule="auto"/>
        <w:tabs>
          <w:tab w:leader="none" w:pos="1836" w:val="left"/>
        </w:tabs>
        <w:numPr>
          <w:ilvl w:val="0"/>
          <w:numId w:val="67"/>
        </w:numPr>
        <w:rPr>
          <w:rFonts w:ascii="Arial" w:cs="Arial" w:eastAsia="Arial" w:hAnsi="Arial"/>
          <w:sz w:val="19"/>
          <w:szCs w:val="19"/>
          <w:color w:val="auto"/>
        </w:rPr>
      </w:pPr>
      <w:r>
        <w:rPr>
          <w:rFonts w:ascii="Arial" w:cs="Arial" w:eastAsia="Arial" w:hAnsi="Arial"/>
          <w:sz w:val="19"/>
          <w:szCs w:val="19"/>
          <w:color w:val="auto"/>
        </w:rPr>
        <w:t>except to the extent prohibited by applicable Law to accelerate and recover from Lessee all Rental and other Monetary Obligations due and owing and scheduled to become due and owing under this Lease both before and after the date of such breach for the entire original scheduled Lease Term;</w:t>
      </w:r>
    </w:p>
    <w:p>
      <w:pPr>
        <w:spacing w:after="0" w:line="160" w:lineRule="exact"/>
        <w:rPr>
          <w:rFonts w:ascii="Arial" w:cs="Arial" w:eastAsia="Arial" w:hAnsi="Arial"/>
          <w:sz w:val="19"/>
          <w:szCs w:val="19"/>
          <w:color w:val="auto"/>
        </w:rPr>
      </w:pPr>
    </w:p>
    <w:p>
      <w:pPr>
        <w:ind w:left="600" w:firstLine="621"/>
        <w:spacing w:after="0" w:line="223" w:lineRule="auto"/>
        <w:tabs>
          <w:tab w:leader="none" w:pos="1835" w:val="left"/>
        </w:tabs>
        <w:numPr>
          <w:ilvl w:val="0"/>
          <w:numId w:val="67"/>
        </w:numPr>
        <w:rPr>
          <w:rFonts w:ascii="Arial" w:cs="Arial" w:eastAsia="Arial" w:hAnsi="Arial"/>
          <w:sz w:val="19"/>
          <w:szCs w:val="19"/>
          <w:color w:val="auto"/>
        </w:rPr>
      </w:pPr>
      <w:r>
        <w:rPr>
          <w:rFonts w:ascii="Arial" w:cs="Arial" w:eastAsia="Arial" w:hAnsi="Arial"/>
          <w:sz w:val="19"/>
          <w:szCs w:val="19"/>
          <w:color w:val="auto"/>
        </w:rPr>
        <w:t>to recover from Lessee all Costs paid or incurred by Lessor as a result of such breach, regardless of whether or not legal proceedings are actually commenced;</w:t>
      </w:r>
    </w:p>
    <w:p>
      <w:pPr>
        <w:spacing w:after="0" w:line="161" w:lineRule="exact"/>
        <w:rPr>
          <w:rFonts w:ascii="Arial" w:cs="Arial" w:eastAsia="Arial" w:hAnsi="Arial"/>
          <w:sz w:val="19"/>
          <w:szCs w:val="19"/>
          <w:color w:val="auto"/>
        </w:rPr>
      </w:pPr>
    </w:p>
    <w:p>
      <w:pPr>
        <w:jc w:val="both"/>
        <w:ind w:left="600" w:firstLine="621"/>
        <w:spacing w:after="0" w:line="206" w:lineRule="auto"/>
        <w:tabs>
          <w:tab w:leader="none" w:pos="1836" w:val="left"/>
        </w:tabs>
        <w:numPr>
          <w:ilvl w:val="0"/>
          <w:numId w:val="67"/>
        </w:numPr>
        <w:rPr>
          <w:rFonts w:ascii="Arial" w:cs="Arial" w:eastAsia="Arial" w:hAnsi="Arial"/>
          <w:sz w:val="19"/>
          <w:szCs w:val="19"/>
          <w:color w:val="auto"/>
        </w:rPr>
      </w:pPr>
      <w:r>
        <w:rPr>
          <w:rFonts w:ascii="Arial" w:cs="Arial" w:eastAsia="Arial" w:hAnsi="Arial"/>
          <w:sz w:val="19"/>
          <w:szCs w:val="19"/>
          <w:color w:val="auto"/>
        </w:rPr>
        <w:t>to immediately or at any time thereafter, and with or without notice, at Lessor’s sole option but without any obligation to do so, correct such breach or default and charge Lessee all Costs incurred by Lessor therein. Any sum or sums so paid by Lessor, together with interest at the Default Rate, shall be deemed to be Additional Rental hereunder and shall be promptly due from Lessee to Lessor upon delivery of an invoice from Lessor to Lessee. Any such acts by Lessor in correcting Lessee’s breaches or defaults hereunder shall not be deemed to cure said breaches or defaults or constitute any waiver of Lessor’s right to exercise any or all remedies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spacing w:after="0"/>
        <w:rPr>
          <w:sz w:val="20"/>
          <w:szCs w:val="20"/>
          <w:color w:val="auto"/>
        </w:rPr>
      </w:pPr>
      <w:r>
        <w:rPr>
          <w:rFonts w:ascii="Arial" w:cs="Arial" w:eastAsia="Arial" w:hAnsi="Arial"/>
          <w:sz w:val="19"/>
          <w:szCs w:val="19"/>
          <w:color w:val="auto"/>
        </w:rPr>
        <w:t>22</w:t>
      </w:r>
    </w:p>
    <w:p>
      <w:pPr>
        <w:spacing w:after="0" w:line="221" w:lineRule="auto"/>
        <w:rPr>
          <w:sz w:val="20"/>
          <w:szCs w:val="20"/>
          <w:color w:val="auto"/>
        </w:rPr>
      </w:pPr>
      <w:r>
        <w:rPr>
          <w:rFonts w:ascii="Arial" w:cs="Arial" w:eastAsia="Arial" w:hAnsi="Arial"/>
          <w:sz w:val="12"/>
          <w:szCs w:val="12"/>
          <w:color w:val="auto"/>
        </w:rPr>
        <w:t>STORE / RT Logic (Kratos)</w:t>
      </w:r>
    </w:p>
    <w:p>
      <w:pPr>
        <w:spacing w:after="0" w:line="202" w:lineRule="auto"/>
        <w:rPr>
          <w:sz w:val="20"/>
          <w:szCs w:val="20"/>
          <w:color w:val="auto"/>
        </w:rPr>
      </w:pPr>
      <w:r>
        <w:rPr>
          <w:rFonts w:ascii="Arial" w:cs="Arial" w:eastAsia="Arial" w:hAnsi="Arial"/>
          <w:sz w:val="12"/>
          <w:szCs w:val="12"/>
          <w:color w:val="auto"/>
        </w:rPr>
        <w:t>Second A&amp;R Lease Agreement</w:t>
      </w:r>
    </w:p>
    <w:p>
      <w:pPr>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20"/>
          </w:cols>
          <w:pgMar w:left="340" w:top="100"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20" w:firstLine="621"/>
        <w:spacing w:after="0" w:line="215" w:lineRule="auto"/>
        <w:tabs>
          <w:tab w:leader="none" w:pos="1856" w:val="left"/>
        </w:tabs>
        <w:numPr>
          <w:ilvl w:val="0"/>
          <w:numId w:val="68"/>
        </w:numPr>
        <w:rPr>
          <w:rFonts w:ascii="Arial" w:cs="Arial" w:eastAsia="Arial" w:hAnsi="Arial"/>
          <w:sz w:val="19"/>
          <w:szCs w:val="19"/>
          <w:color w:val="auto"/>
        </w:rPr>
      </w:pPr>
      <w:r>
        <w:rPr>
          <w:rFonts w:ascii="Arial" w:cs="Arial" w:eastAsia="Arial" w:hAnsi="Arial"/>
          <w:sz w:val="19"/>
          <w:szCs w:val="19"/>
          <w:color w:val="auto"/>
        </w:rPr>
        <w:t>to immediately or at any time thereafter, and with or without notice, except as required herein, set off any money of Lessee held by Lessor under this Lease or any other Transaction Document or any Other Agreement against any sum owing by Lessee hereunder;</w:t>
      </w:r>
    </w:p>
    <w:p>
      <w:pPr>
        <w:spacing w:after="0" w:line="160" w:lineRule="exact"/>
        <w:rPr>
          <w:rFonts w:ascii="Arial" w:cs="Arial" w:eastAsia="Arial" w:hAnsi="Arial"/>
          <w:sz w:val="19"/>
          <w:szCs w:val="19"/>
          <w:color w:val="auto"/>
        </w:rPr>
      </w:pPr>
    </w:p>
    <w:p>
      <w:pPr>
        <w:ind w:left="1840" w:hanging="599"/>
        <w:spacing w:after="0"/>
        <w:tabs>
          <w:tab w:leader="none" w:pos="18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to use the Security Deposit as described in Section 4.09 hereof;</w:t>
      </w:r>
    </w:p>
    <w:p>
      <w:pPr>
        <w:spacing w:after="0" w:line="168" w:lineRule="exact"/>
        <w:rPr>
          <w:rFonts w:ascii="Arial" w:cs="Arial" w:eastAsia="Arial" w:hAnsi="Arial"/>
          <w:sz w:val="19"/>
          <w:szCs w:val="19"/>
          <w:color w:val="auto"/>
        </w:rPr>
      </w:pPr>
    </w:p>
    <w:p>
      <w:pPr>
        <w:jc w:val="both"/>
        <w:ind w:left="620" w:firstLine="621"/>
        <w:spacing w:after="0" w:line="206" w:lineRule="auto"/>
        <w:tabs>
          <w:tab w:leader="none" w:pos="1845" w:val="left"/>
        </w:tabs>
        <w:numPr>
          <w:ilvl w:val="0"/>
          <w:numId w:val="68"/>
        </w:numPr>
        <w:rPr>
          <w:rFonts w:ascii="Arial" w:cs="Arial" w:eastAsia="Arial" w:hAnsi="Arial"/>
          <w:sz w:val="19"/>
          <w:szCs w:val="19"/>
          <w:color w:val="auto"/>
        </w:rPr>
      </w:pPr>
      <w:r>
        <w:rPr>
          <w:rFonts w:ascii="Arial" w:cs="Arial" w:eastAsia="Arial" w:hAnsi="Arial"/>
          <w:sz w:val="19"/>
          <w:szCs w:val="19"/>
          <w:color w:val="auto"/>
        </w:rPr>
        <w:t>without limiting the generality of the foregoing or limiting in any way the rights of Lessor under this Lease or otherwise under applicable Laws, at any time after the occurrence, and during the continuance, of an Event of Default, Lessor shall be entitled to apply for and have a receiver appointed under applicable Law by a court of competent jurisdiction (by ex parte motion for appointment without notice) in any action taken by Lessor to enforce its rights and remedies hereunder in order to protect and preserve Lessor’s interest under this Lease or in the Property and the Personalty (subject to any rights of Lessee’s Institutional Lenders), and in connection therewith, Lessee shall reasonably cooperate with Lessor; and/or</w:t>
      </w:r>
    </w:p>
    <w:p>
      <w:pPr>
        <w:spacing w:after="0" w:line="163" w:lineRule="exact"/>
        <w:rPr>
          <w:rFonts w:ascii="Arial" w:cs="Arial" w:eastAsia="Arial" w:hAnsi="Arial"/>
          <w:sz w:val="19"/>
          <w:szCs w:val="19"/>
          <w:color w:val="auto"/>
        </w:rPr>
      </w:pPr>
    </w:p>
    <w:p>
      <w:pPr>
        <w:ind w:left="1840" w:hanging="599"/>
        <w:spacing w:after="0"/>
        <w:tabs>
          <w:tab w:leader="none" w:pos="18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to seek any equitable relief available to Lessor, including, without limitation, the right of specific performance.</w:t>
      </w:r>
    </w:p>
    <w:p>
      <w:pPr>
        <w:spacing w:after="0" w:line="144" w:lineRule="exact"/>
        <w:rPr>
          <w:sz w:val="20"/>
          <w:szCs w:val="20"/>
          <w:color w:val="auto"/>
        </w:rPr>
      </w:pPr>
    </w:p>
    <w:p>
      <w:pPr>
        <w:jc w:val="both"/>
        <w:ind w:firstLine="619"/>
        <w:spacing w:after="0" w:line="207" w:lineRule="auto"/>
        <w:rPr>
          <w:sz w:val="20"/>
          <w:szCs w:val="20"/>
          <w:color w:val="auto"/>
        </w:rPr>
      </w:pPr>
      <w:r>
        <w:rPr>
          <w:rFonts w:ascii="Arial" w:cs="Arial" w:eastAsia="Arial" w:hAnsi="Arial"/>
          <w:sz w:val="19"/>
          <w:szCs w:val="19"/>
          <w:b w:val="1"/>
          <w:bCs w:val="1"/>
          <w:color w:val="auto"/>
        </w:rPr>
        <w:t>Section 1.03. Cumulative Remedies</w:t>
      </w:r>
      <w:r>
        <w:rPr>
          <w:rFonts w:ascii="Arial" w:cs="Arial" w:eastAsia="Arial" w:hAnsi="Arial"/>
          <w:sz w:val="19"/>
          <w:szCs w:val="19"/>
          <w:color w:val="auto"/>
        </w:rPr>
        <w:t>. All powers and remedies given by Section 12.02 to Lessor, subject to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cumulative and not exclusive of one another or of any other right or remedy or of any other powers and remedies available to Lessor under this Lease, by judicial proceedings or otherwise, to enforce the performance or observance of the covenants and agreements of Lessee contained in this Lease, and no delay or omission of Lessor to exercise any right or power accruing upon the occurrence of any Event of Default shall impair any other or subsequent Event of Default or impair any rights or remedies consequent thereto. Every power and remedy given by this Section or by Law to Lessor may be exercised from time to time, and as often as may be deemed expedient, by Lessor, subject at all times to Lessor’s right in its sole judgment to discontinue any work commenced by Lessor or change any course of action undertaken by Lessor.</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auto"/>
        </w:rPr>
        <w:t>ARTICLE XIII</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MORTGAGE, SUBORDINATION AND ATTORNMENT</w:t>
      </w:r>
    </w:p>
    <w:p>
      <w:pPr>
        <w:spacing w:after="0" w:line="168" w:lineRule="exact"/>
        <w:rPr>
          <w:sz w:val="20"/>
          <w:szCs w:val="20"/>
          <w:color w:val="auto"/>
        </w:rPr>
      </w:pPr>
    </w:p>
    <w:p>
      <w:pPr>
        <w:jc w:val="both"/>
        <w:ind w:firstLine="619"/>
        <w:spacing w:after="0" w:line="211" w:lineRule="auto"/>
        <w:rPr>
          <w:sz w:val="20"/>
          <w:szCs w:val="20"/>
          <w:color w:val="auto"/>
        </w:rPr>
      </w:pPr>
      <w:r>
        <w:rPr>
          <w:rFonts w:ascii="Arial" w:cs="Arial" w:eastAsia="Arial" w:hAnsi="Arial"/>
          <w:sz w:val="19"/>
          <w:szCs w:val="19"/>
          <w:b w:val="1"/>
          <w:bCs w:val="1"/>
          <w:color w:val="auto"/>
        </w:rPr>
        <w:t>Section 1.01. No Liens</w:t>
      </w:r>
      <w:r>
        <w:rPr>
          <w:rFonts w:ascii="Arial" w:cs="Arial" w:eastAsia="Arial" w:hAnsi="Arial"/>
          <w:sz w:val="19"/>
          <w:szCs w:val="19"/>
          <w:color w:val="auto"/>
        </w:rPr>
        <w:t>. Lessor’s interest in this Lease and/or the Property shall not be subordinate to any liens or</w:t>
      </w:r>
      <w:r>
        <w:rPr>
          <w:rFonts w:ascii="Arial" w:cs="Arial" w:eastAsia="Arial" w:hAnsi="Arial"/>
          <w:sz w:val="19"/>
          <w:szCs w:val="19"/>
          <w:b w:val="1"/>
          <w:bCs w:val="1"/>
          <w:color w:val="auto"/>
        </w:rPr>
        <w:t xml:space="preserve"> </w:t>
      </w:r>
      <w:r>
        <w:rPr>
          <w:rFonts w:ascii="Arial" w:cs="Arial" w:eastAsia="Arial" w:hAnsi="Arial"/>
          <w:sz w:val="19"/>
          <w:szCs w:val="19"/>
          <w:color w:val="auto"/>
        </w:rPr>
        <w:t>encumbrances placed upon the Property by or resulting from any act of Lessee, and nothing herein contained shall be construed to require such subordination by Lessor. NOTICE IS HEREBY GIVEN THAT LESSEE IS NOT AUTHORIZED TO PLACE OR ALLOW TO BE PLACED ANY LIEN, MORTGAGE, DEED OF TRUST, DEED TO SECURE DEBT, SECURITY INTEREST OR ENCUMBRANCE OF ANY KIND UPON ALL OR ANY PART OF THE PROPERTY OR LESSEE’S LEASEHOLD INTEREST THEREIN, AND ANY SUCH PURPORTED TRANSACTION SHALL BE VOID.</w:t>
      </w:r>
    </w:p>
    <w:p>
      <w:pPr>
        <w:spacing w:after="0" w:line="137"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18"/>
          <w:szCs w:val="18"/>
          <w:b w:val="1"/>
          <w:bCs w:val="1"/>
          <w:color w:val="auto"/>
        </w:rPr>
        <w:t>Section 1.02. Subordination</w:t>
      </w:r>
      <w:r>
        <w:rPr>
          <w:rFonts w:ascii="Arial" w:cs="Arial" w:eastAsia="Arial" w:hAnsi="Arial"/>
          <w:sz w:val="18"/>
          <w:szCs w:val="18"/>
          <w:color w:val="auto"/>
        </w:rPr>
        <w:t>. This Lease at all times shall automatically be subordinate to the lien of any and all ground</w:t>
      </w:r>
      <w:r>
        <w:rPr>
          <w:rFonts w:ascii="Arial" w:cs="Arial" w:eastAsia="Arial" w:hAnsi="Arial"/>
          <w:sz w:val="18"/>
          <w:szCs w:val="18"/>
          <w:b w:val="1"/>
          <w:bCs w:val="1"/>
          <w:color w:val="auto"/>
        </w:rPr>
        <w:t xml:space="preserve"> </w:t>
      </w:r>
      <w:r>
        <w:rPr>
          <w:rFonts w:ascii="Arial" w:cs="Arial" w:eastAsia="Arial" w:hAnsi="Arial"/>
          <w:sz w:val="18"/>
          <w:szCs w:val="18"/>
          <w:color w:val="auto"/>
        </w:rPr>
        <w:t>leases and Mortgages now or hereafter placed upon the Property by Lessor, and Lessee covenants and agrees to execute and deliver, upon demand, such further instruments subordinating this Lease to the lien of any or all such ground leases and Mortgages as shall be desired by Lessor, or any present or proposed mortgagees under trust deeds, upon the condition that Lessee shall have the right to remain in possession of the Property under the terms of this Lease, notwithstanding any default in any or all such ground leases or Mortgages, or after the foreclosure of such Mortgages, so long as no Event of Default shall have occurred and be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Arial" w:cs="Arial" w:eastAsia="Arial" w:hAnsi="Arial"/>
          <w:sz w:val="19"/>
          <w:szCs w:val="19"/>
          <w:color w:val="auto"/>
        </w:rPr>
        <w:t>23</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19"/>
        <w:spacing w:after="0" w:line="209" w:lineRule="auto"/>
        <w:rPr>
          <w:sz w:val="20"/>
          <w:szCs w:val="20"/>
          <w:color w:val="auto"/>
        </w:rPr>
      </w:pPr>
      <w:r>
        <w:rPr>
          <w:rFonts w:ascii="Arial" w:cs="Arial" w:eastAsia="Arial" w:hAnsi="Arial"/>
          <w:sz w:val="19"/>
          <w:szCs w:val="19"/>
          <w:b w:val="1"/>
          <w:bCs w:val="1"/>
          <w:color w:val="auto"/>
        </w:rPr>
        <w:t>Section 1.03. Attornment</w:t>
      </w:r>
      <w:r>
        <w:rPr>
          <w:rFonts w:ascii="Arial" w:cs="Arial" w:eastAsia="Arial" w:hAnsi="Arial"/>
          <w:sz w:val="19"/>
          <w:szCs w:val="19"/>
          <w:color w:val="auto"/>
        </w:rPr>
        <w:t>. In the event any purchaser or assignee of any Lender at a foreclosure sale acquires title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or in the event that any Lender or any purchaser or assignee otherwise succeeds to the rights of Lessor as landlord under this Lease, Lessee shall attorn to Lender or such purchaser or assignee, as the case may be (a “</w:t>
      </w:r>
      <w:r>
        <w:rPr>
          <w:rFonts w:ascii="Arial" w:cs="Arial" w:eastAsia="Arial" w:hAnsi="Arial"/>
          <w:sz w:val="19"/>
          <w:szCs w:val="19"/>
          <w:u w:val="single" w:color="auto"/>
          <w:color w:val="auto"/>
        </w:rPr>
        <w:t>Successor Lessor</w:t>
      </w:r>
      <w:r>
        <w:rPr>
          <w:rFonts w:ascii="Arial" w:cs="Arial" w:eastAsia="Arial" w:hAnsi="Arial"/>
          <w:sz w:val="19"/>
          <w:szCs w:val="19"/>
          <w:color w:val="auto"/>
        </w:rPr>
        <w:t>”), and recognize the Successor Lessor as lessor under this Lease, and, subject to the provisions of this Article XIII, this Lease shall continue in full force and effect as a direct lease between the Successor Lessor and Lessee, provided that the Successor Lessor shall only be liable for any obligations of Lessor under this Lease which accrue after the date that such Successor Lessor acquires title. The foregoing provision shall be self-operative and effective without the execution of any further instruments.</w:t>
      </w:r>
    </w:p>
    <w:p>
      <w:pPr>
        <w:spacing w:after="0" w:line="138"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19"/>
          <w:szCs w:val="19"/>
          <w:b w:val="1"/>
          <w:bCs w:val="1"/>
          <w:color w:val="auto"/>
        </w:rPr>
        <w:t>Section 1.04. Execution of Additional Documents</w:t>
      </w:r>
      <w:r>
        <w:rPr>
          <w:rFonts w:ascii="Arial" w:cs="Arial" w:eastAsia="Arial" w:hAnsi="Arial"/>
          <w:sz w:val="19"/>
          <w:szCs w:val="19"/>
          <w:color w:val="auto"/>
        </w:rPr>
        <w:t>. Although the provisions in this Article XIII shall be self-operative and no</w:t>
      </w:r>
      <w:r>
        <w:rPr>
          <w:rFonts w:ascii="Arial" w:cs="Arial" w:eastAsia="Arial" w:hAnsi="Arial"/>
          <w:sz w:val="19"/>
          <w:szCs w:val="19"/>
          <w:b w:val="1"/>
          <w:bCs w:val="1"/>
          <w:color w:val="auto"/>
        </w:rPr>
        <w:t xml:space="preserve"> </w:t>
      </w:r>
      <w:r>
        <w:rPr>
          <w:rFonts w:ascii="Arial" w:cs="Arial" w:eastAsia="Arial" w:hAnsi="Arial"/>
          <w:sz w:val="19"/>
          <w:szCs w:val="19"/>
          <w:color w:val="auto"/>
        </w:rPr>
        <w:t>future instrument of subordination shall be required, upon request by Lessor, Lessee shall execute and deliver such additional reasonable instruments as may be reasonably required for such purposes.</w:t>
      </w:r>
    </w:p>
    <w:p>
      <w:pPr>
        <w:spacing w:after="0" w:line="136"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19"/>
          <w:szCs w:val="19"/>
          <w:b w:val="1"/>
          <w:bCs w:val="1"/>
          <w:color w:val="auto"/>
        </w:rPr>
        <w:t>Section 1.05. Notice to Lender</w:t>
      </w:r>
      <w:r>
        <w:rPr>
          <w:rFonts w:ascii="Arial" w:cs="Arial" w:eastAsia="Arial" w:hAnsi="Arial"/>
          <w:sz w:val="19"/>
          <w:szCs w:val="19"/>
          <w:color w:val="auto"/>
        </w:rPr>
        <w:t>. Lessee shall give written notice to any Lender having a recorded lien upon the Property or</w:t>
      </w:r>
      <w:r>
        <w:rPr>
          <w:rFonts w:ascii="Arial" w:cs="Arial" w:eastAsia="Arial" w:hAnsi="Arial"/>
          <w:sz w:val="19"/>
          <w:szCs w:val="19"/>
          <w:b w:val="1"/>
          <w:bCs w:val="1"/>
          <w:color w:val="auto"/>
        </w:rPr>
        <w:t xml:space="preserve"> </w:t>
      </w:r>
      <w:r>
        <w:rPr>
          <w:rFonts w:ascii="Arial" w:cs="Arial" w:eastAsia="Arial" w:hAnsi="Arial"/>
          <w:sz w:val="19"/>
          <w:szCs w:val="19"/>
          <w:color w:val="auto"/>
        </w:rPr>
        <w:t>any part thereof of which Lessee has been notified of any breach or default by Lessor of any of its obligations under this Lease and give such Lender at least sixty (60) days beyond any notice period to which Lessor might be entitled to cure such default before Lessee may exercise any remedy with respect thereto.</w:t>
      </w:r>
    </w:p>
    <w:p>
      <w:pPr>
        <w:spacing w:after="0" w:line="138"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ARTICLE XIV</w:t>
      </w:r>
    </w:p>
    <w:p>
      <w:pPr>
        <w:spacing w:after="0" w:line="142" w:lineRule="exact"/>
        <w:rPr>
          <w:sz w:val="20"/>
          <w:szCs w:val="20"/>
          <w:color w:val="auto"/>
        </w:rPr>
      </w:pPr>
    </w:p>
    <w:p>
      <w:pPr>
        <w:ind w:left="5000"/>
        <w:spacing w:after="0"/>
        <w:rPr>
          <w:sz w:val="20"/>
          <w:szCs w:val="20"/>
          <w:color w:val="auto"/>
        </w:rPr>
      </w:pPr>
      <w:r>
        <w:rPr>
          <w:rFonts w:ascii="Arial" w:cs="Arial" w:eastAsia="Arial" w:hAnsi="Arial"/>
          <w:sz w:val="19"/>
          <w:szCs w:val="19"/>
          <w:b w:val="1"/>
          <w:bCs w:val="1"/>
          <w:color w:val="auto"/>
        </w:rPr>
        <w:t>ASSIGNMENT</w:t>
      </w:r>
    </w:p>
    <w:p>
      <w:pPr>
        <w:spacing w:after="0" w:line="168" w:lineRule="exact"/>
        <w:rPr>
          <w:sz w:val="20"/>
          <w:szCs w:val="20"/>
          <w:color w:val="auto"/>
        </w:rPr>
      </w:pPr>
    </w:p>
    <w:p>
      <w:pPr>
        <w:jc w:val="both"/>
        <w:ind w:firstLine="619"/>
        <w:spacing w:after="0" w:line="203" w:lineRule="auto"/>
        <w:rPr>
          <w:sz w:val="20"/>
          <w:szCs w:val="20"/>
          <w:color w:val="auto"/>
        </w:rPr>
      </w:pPr>
      <w:r>
        <w:rPr>
          <w:rFonts w:ascii="Arial" w:cs="Arial" w:eastAsia="Arial" w:hAnsi="Arial"/>
          <w:sz w:val="19"/>
          <w:szCs w:val="19"/>
          <w:b w:val="1"/>
          <w:bCs w:val="1"/>
          <w:color w:val="auto"/>
        </w:rPr>
        <w:t>Section 1.01. Assignment by Lessor</w:t>
      </w:r>
      <w:r>
        <w:rPr>
          <w:rFonts w:ascii="Arial" w:cs="Arial" w:eastAsia="Arial" w:hAnsi="Arial"/>
          <w:sz w:val="19"/>
          <w:szCs w:val="19"/>
          <w:color w:val="auto"/>
        </w:rPr>
        <w:t>. As a material inducement to Lessor’s willingness to enter into the transactions</w:t>
      </w:r>
      <w:r>
        <w:rPr>
          <w:rFonts w:ascii="Arial" w:cs="Arial" w:eastAsia="Arial" w:hAnsi="Arial"/>
          <w:sz w:val="19"/>
          <w:szCs w:val="19"/>
          <w:b w:val="1"/>
          <w:bCs w:val="1"/>
          <w:color w:val="auto"/>
        </w:rPr>
        <w:t xml:space="preserve"> </w:t>
      </w:r>
      <w:r>
        <w:rPr>
          <w:rFonts w:ascii="Arial" w:cs="Arial" w:eastAsia="Arial" w:hAnsi="Arial"/>
          <w:sz w:val="19"/>
          <w:szCs w:val="19"/>
          <w:color w:val="auto"/>
        </w:rPr>
        <w:t>contemplated by this Lease (the “</w:t>
      </w:r>
      <w:r>
        <w:rPr>
          <w:rFonts w:ascii="Arial" w:cs="Arial" w:eastAsia="Arial" w:hAnsi="Arial"/>
          <w:sz w:val="19"/>
          <w:szCs w:val="19"/>
          <w:u w:val="single" w:color="auto"/>
          <w:color w:val="auto"/>
        </w:rPr>
        <w:t>Transaction</w:t>
      </w:r>
      <w:r>
        <w:rPr>
          <w:rFonts w:ascii="Arial" w:cs="Arial" w:eastAsia="Arial" w:hAnsi="Arial"/>
          <w:sz w:val="19"/>
          <w:szCs w:val="19"/>
          <w:color w:val="auto"/>
        </w:rPr>
        <w:t>”) and the other Transaction Documents, Lessee hereby agrees that Lessor may, from time to time and at any time and without the consent of Lessee but subject to Lessee’s rights under Article XVIII, engage in all or any combination of the following, or enter into agreements in connection with any of the following or in accordance with requirements that may be imposed by applicable securities, tax or other Laws: (a) the sale, assignment, grant, conveyance, transfer, financing, re-financing, purchase or re-acquisition of the Property, this Lease or any other Transaction Document, Lessor’s right, title and interest in this Lease or any other Transaction Document, the servicing rights with respect to any of the foregoing, or participations in any of the foregoing; or (b) a Securitization and related transactions. Without in any way limiting the foregoing, the parties acknowledge and agree that Lessor, in its sole discretion, may assign this Lease or any interest herein to another Person in order to maintain Lessor’s or any of its Affiliates’ status as a REIT. In the event of any such sale or assignment other than a security assignment, Lessee shall attorn to such purchaser or assignee (so long as Lessor and such purchaser or assignee notify Lessee in writing of such transfer and such purchaser or assignee expressly assumes in writing the obligations of Lessor hereunder from and after the date of such assignment). At the request of Lessor, Lessee will execute such documents confirming the sale, assignment or other transfer and such other agreements as Lessor may reasonably request, provided that the same do not increase the liabilities and obligations of Lessee hereunder. Lessor shall be relieved, from and after the date of such transfer or conveyance, of liability for the performance of any obligation of Lessor contained herein, except for obligations or liabilities accrued prior to such assignment or sale.</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1.02. Assignment by Lessee</w:t>
      </w:r>
      <w:r>
        <w:rPr>
          <w:rFonts w:ascii="Arial" w:cs="Arial" w:eastAsia="Arial" w:hAnsi="Arial"/>
          <w:sz w:val="19"/>
          <w:szCs w:val="19"/>
          <w:color w:val="auto"/>
        </w:rPr>
        <w:t>.</w:t>
      </w:r>
    </w:p>
    <w:p>
      <w:pPr>
        <w:spacing w:after="0" w:line="192" w:lineRule="exact"/>
        <w:rPr>
          <w:sz w:val="20"/>
          <w:szCs w:val="20"/>
          <w:color w:val="auto"/>
        </w:rPr>
      </w:pPr>
    </w:p>
    <w:p>
      <w:pPr>
        <w:jc w:val="both"/>
        <w:ind w:left="620" w:firstLine="621"/>
        <w:spacing w:after="0" w:line="215" w:lineRule="auto"/>
        <w:tabs>
          <w:tab w:leader="none" w:pos="1856" w:val="left"/>
        </w:tabs>
        <w:numPr>
          <w:ilvl w:val="0"/>
          <w:numId w:val="69"/>
        </w:numPr>
        <w:rPr>
          <w:rFonts w:ascii="Arial" w:cs="Arial" w:eastAsia="Arial" w:hAnsi="Arial"/>
          <w:sz w:val="19"/>
          <w:szCs w:val="19"/>
          <w:color w:val="auto"/>
        </w:rPr>
      </w:pPr>
      <w:r>
        <w:rPr>
          <w:rFonts w:ascii="Arial" w:cs="Arial" w:eastAsia="Arial" w:hAnsi="Arial"/>
          <w:sz w:val="19"/>
          <w:szCs w:val="19"/>
          <w:color w:val="auto"/>
        </w:rPr>
        <w:t>Lessee acknowledges that Lessor has relied both on the business experience and creditworthiness of Lessee and upon the particular purposes for which Lessee intends to use the Property in entering into this Lease. Lessee shall not assign, transfer, convey, pledge or mortgage this Lease or any interest herein or any interest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24</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00"/>
        <w:spacing w:after="0" w:line="205" w:lineRule="auto"/>
        <w:rPr>
          <w:sz w:val="20"/>
          <w:szCs w:val="20"/>
          <w:color w:val="auto"/>
        </w:rPr>
      </w:pPr>
      <w:r>
        <w:rPr>
          <w:rFonts w:ascii="Arial" w:cs="Arial" w:eastAsia="Arial" w:hAnsi="Arial"/>
          <w:sz w:val="19"/>
          <w:szCs w:val="19"/>
          <w:color w:val="auto"/>
        </w:rPr>
        <w:t>Lessee, whether by operation of Law or otherwise, without the prior written consent of Lessor. At the time of any assignment of this Lease which is approved by Lessor, the assignee shall assume all of the obligations of Lessee under this Lease pursuant to a written assumption agreement in form and substance reasonably acceptable to Lessor. Such assignment of this Lease pursuant to this Section 14.02 shall not relieve Lessee of its obligations respecting this Lease unless otherwise agreed to by Lessor. Any assignment, transfer, conveyance, pledge or mortgage in violation of this Section 14.02 shall be voidable at the sole option of Lessor. Any consent to an assignment given by Lessor hereunder shall not be deemed a consent to any subsequent assignment.</w:t>
      </w:r>
    </w:p>
    <w:p>
      <w:pPr>
        <w:spacing w:after="0" w:line="163" w:lineRule="exact"/>
        <w:rPr>
          <w:sz w:val="20"/>
          <w:szCs w:val="20"/>
          <w:color w:val="auto"/>
        </w:rPr>
      </w:pPr>
    </w:p>
    <w:p>
      <w:pPr>
        <w:jc w:val="both"/>
        <w:ind w:left="600" w:firstLine="621"/>
        <w:spacing w:after="0" w:line="201" w:lineRule="auto"/>
        <w:tabs>
          <w:tab w:leader="none" w:pos="1836" w:val="left"/>
        </w:tabs>
        <w:numPr>
          <w:ilvl w:val="0"/>
          <w:numId w:val="70"/>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Section 14.02 and provided that no Event of Default has occurred and is continuing at the time of the proposed assignment or other transfer, and provided further that any assignee agrees to assume all of Lessee’s obligations under this Lease, Lessee shall have the right to assign or otherwise transfer all, but not less than all, of its interest in, to and under this Lease without Lessor’s consent to (i) any entity which purchases or otherwise acquires all or substantially all of the assets of Lessee in a bona fide sale for fair market value, or (ii) a Qualified Operator (each, a “</w:t>
      </w:r>
      <w:r>
        <w:rPr>
          <w:rFonts w:ascii="Arial" w:cs="Arial" w:eastAsia="Arial" w:hAnsi="Arial"/>
          <w:sz w:val="19"/>
          <w:szCs w:val="19"/>
          <w:u w:val="single" w:color="auto"/>
          <w:color w:val="auto"/>
        </w:rPr>
        <w:t>Permitted Transfer</w:t>
      </w:r>
      <w:r>
        <w:rPr>
          <w:rFonts w:ascii="Arial" w:cs="Arial" w:eastAsia="Arial" w:hAnsi="Arial"/>
          <w:sz w:val="19"/>
          <w:szCs w:val="19"/>
          <w:color w:val="auto"/>
        </w:rPr>
        <w:t>”). A “</w:t>
      </w:r>
      <w:r>
        <w:rPr>
          <w:rFonts w:ascii="Arial" w:cs="Arial" w:eastAsia="Arial" w:hAnsi="Arial"/>
          <w:sz w:val="19"/>
          <w:szCs w:val="19"/>
          <w:u w:val="single" w:color="auto"/>
          <w:color w:val="auto"/>
        </w:rPr>
        <w:t>Qualified Operator</w:t>
      </w:r>
      <w:r>
        <w:rPr>
          <w:rFonts w:ascii="Arial" w:cs="Arial" w:eastAsia="Arial" w:hAnsi="Arial"/>
          <w:sz w:val="19"/>
          <w:szCs w:val="19"/>
          <w:color w:val="auto"/>
        </w:rPr>
        <w:t xml:space="preserve">” shall mean a Person who (x) for two (2) consecutive years immediately prior to the date of assignment or transfer and (y) on a proforma basis following the consummation of such assignment or transfer (all as determined by Lessor upon review of financial statements provided by the assignee prior to the proposed lease assignment and in a form reasonably satisfactory to Lessor), (A) has a CFCCR (defined below) of at least 1.50x; (B) generates EBITDA (defined below) of at least $60,000,000, and (C) has a Lease Adjusted Leverage (defined below) of no more than 6.50x;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Lessee may satisfy the foregoing conditions of a Qualified Operator by providing, or causing to be provided, a guaranty agreement, in form and substance reasonably acceptable to and approved by Lessor, in writing, which guaranty shall be from an entity that meets the requirements of (A), (B) and (C) set forth in this Section 14.02. In the event that Lessee effects a Permitted Transfer pursuant to clause (ii), Lessee shall be released from any liability arising under this Lease from and after the date of such assignment and Guarantor shall be released from any liability arising under the Guaranty from and after the date of such assignment. In the event that Lessee effects a Permitted Transfer pursuant to clause (i), Lessee shall not be released from liability under this Lease nor shall Guarantor be released from liability under the Guaranty.</w:t>
      </w:r>
    </w:p>
    <w:p>
      <w:pPr>
        <w:spacing w:after="0" w:line="161"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For purposes hereof:</w:t>
      </w:r>
    </w:p>
    <w:p>
      <w:pPr>
        <w:spacing w:after="0" w:line="148" w:lineRule="exact"/>
        <w:rPr>
          <w:sz w:val="20"/>
          <w:szCs w:val="20"/>
          <w:color w:val="auto"/>
        </w:rPr>
      </w:pPr>
    </w:p>
    <w:p>
      <w:pPr>
        <w:jc w:val="both"/>
        <w:ind w:left="1220" w:firstLine="620"/>
        <w:spacing w:after="0" w:line="208" w:lineRule="auto"/>
        <w:tabs>
          <w:tab w:leader="none" w:pos="2445" w:val="left"/>
        </w:tabs>
        <w:numPr>
          <w:ilvl w:val="0"/>
          <w:numId w:val="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CFCCR</w:t>
      </w:r>
      <w:r>
        <w:rPr>
          <w:rFonts w:ascii="Arial" w:cs="Arial" w:eastAsia="Arial" w:hAnsi="Arial"/>
          <w:sz w:val="19"/>
          <w:szCs w:val="19"/>
          <w:color w:val="auto"/>
        </w:rPr>
        <w:t>” means with respect to the twelve month period of time immediately preceding the date of determination, the ratio calculated for such period of time, each as determined in accordance with GAAP, of (i) the sum of Consolidated Net Income (excluding non-cash income), Depreciation and Amortization, Interest Expense, income taxes, Operating Lease Expense and non-cash expenses to (ii) the sum of Operating Lease Expense (excluding non-cash rent adjustments), scheduled principal payments of long term Debt, scheduled maturities of all Capital Leases, dividends and Interest Expense (excluding non-cash interest expense and amortization of non-cash financing expenses). For purposes of calculating the CFCCR, the following terms shall be defined as set forth below:</w:t>
      </w:r>
    </w:p>
    <w:p>
      <w:pPr>
        <w:spacing w:after="0" w:line="144" w:lineRule="exact"/>
        <w:rPr>
          <w:rFonts w:ascii="Arial" w:cs="Arial" w:eastAsia="Arial" w:hAnsi="Arial"/>
          <w:sz w:val="19"/>
          <w:szCs w:val="19"/>
          <w:color w:val="auto"/>
        </w:rPr>
      </w:pPr>
    </w:p>
    <w:p>
      <w:pPr>
        <w:jc w:val="both"/>
        <w:ind w:left="1840" w:firstLine="618"/>
        <w:spacing w:after="0" w:line="222" w:lineRule="auto"/>
        <w:tabs>
          <w:tab w:leader="none" w:pos="3072" w:val="left"/>
        </w:tabs>
        <w:numPr>
          <w:ilvl w:val="1"/>
          <w:numId w:val="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Capital Lease</w:t>
      </w:r>
      <w:r>
        <w:rPr>
          <w:rFonts w:ascii="Arial" w:cs="Arial" w:eastAsia="Arial" w:hAnsi="Arial"/>
          <w:sz w:val="19"/>
          <w:szCs w:val="19"/>
          <w:color w:val="auto"/>
        </w:rPr>
        <w:t>” shall mean all leases of any property, whether real, personal or mixed, by a Person, which leases would, in conformity with GAAP, be required to be accounted for as a capital lease on the balance sheet of such Person. The term “Capital Lease” shall not include any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25</w:t>
      </w:r>
    </w:p>
    <w:p>
      <w:pPr>
        <w:spacing w:after="0" w:line="221" w:lineRule="auto"/>
        <w:rPr>
          <w:sz w:val="20"/>
          <w:szCs w:val="20"/>
          <w:color w:val="auto"/>
        </w:rPr>
      </w:pPr>
      <w:r>
        <w:rPr>
          <w:rFonts w:ascii="Arial" w:cs="Arial" w:eastAsia="Arial" w:hAnsi="Arial"/>
          <w:sz w:val="12"/>
          <w:szCs w:val="12"/>
          <w:color w:val="auto"/>
        </w:rPr>
        <w:t>STORE / RT Logic (Kratos)</w:t>
      </w:r>
    </w:p>
    <w:p>
      <w:pPr>
        <w:spacing w:after="0" w:line="202" w:lineRule="auto"/>
        <w:rPr>
          <w:sz w:val="20"/>
          <w:szCs w:val="20"/>
          <w:color w:val="auto"/>
        </w:rPr>
      </w:pPr>
      <w:r>
        <w:rPr>
          <w:rFonts w:ascii="Arial" w:cs="Arial" w:eastAsia="Arial" w:hAnsi="Arial"/>
          <w:sz w:val="12"/>
          <w:szCs w:val="12"/>
          <w:color w:val="auto"/>
        </w:rPr>
        <w:t>Second A&amp;R Lease Agreement</w:t>
      </w:r>
    </w:p>
    <w:p>
      <w:pPr>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20"/>
          </w:cols>
          <w:pgMar w:left="340" w:top="100"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1840" w:firstLine="618"/>
        <w:spacing w:after="0" w:line="210" w:lineRule="auto"/>
        <w:tabs>
          <w:tab w:leader="none" w:pos="3072" w:val="left"/>
        </w:tabs>
        <w:numPr>
          <w:ilvl w:val="2"/>
          <w:numId w:val="72"/>
        </w:numPr>
        <w:rPr>
          <w:rFonts w:ascii="Arial" w:cs="Arial" w:eastAsia="Arial" w:hAnsi="Arial"/>
          <w:sz w:val="19"/>
          <w:szCs w:val="19"/>
          <w:color w:val="auto"/>
        </w:rPr>
      </w:pPr>
      <w:r>
        <w:rPr>
          <w:rFonts w:ascii="Arial" w:cs="Arial" w:eastAsia="Arial" w:hAnsi="Arial"/>
          <w:sz w:val="19"/>
          <w:szCs w:val="19"/>
          <w:i w:val="1"/>
          <w:iCs w:val="1"/>
          <w:color w:val="auto"/>
        </w:rPr>
        <w:t>“Consolidated Net Income</w:t>
      </w:r>
      <w:r>
        <w:rPr>
          <w:rFonts w:ascii="Arial" w:cs="Arial" w:eastAsia="Arial" w:hAnsi="Arial"/>
          <w:sz w:val="19"/>
          <w:szCs w:val="19"/>
          <w:color w:val="auto"/>
        </w:rPr>
        <w:t>” shall mean with respect to the period of determination, the net income</w:t>
      </w:r>
      <w:r>
        <w:rPr>
          <w:rFonts w:ascii="Arial" w:cs="Arial" w:eastAsia="Arial" w:hAnsi="Arial"/>
          <w:sz w:val="19"/>
          <w:szCs w:val="19"/>
          <w:i w:val="1"/>
          <w:iCs w:val="1"/>
          <w:color w:val="auto"/>
        </w:rPr>
        <w:t xml:space="preserve"> </w:t>
      </w:r>
      <w:r>
        <w:rPr>
          <w:rFonts w:ascii="Arial" w:cs="Arial" w:eastAsia="Arial" w:hAnsi="Arial"/>
          <w:sz w:val="19"/>
          <w:szCs w:val="19"/>
          <w:color w:val="auto"/>
        </w:rPr>
        <w:t>or net loss of a Person. In determining the amount of Consolidated Net Income, (i) adjustments shall be made for nonrecurring gains and losses or non-cash items allocable to the period of determination, (ii) deductions shall be made for, among other things, Depreciation and Amortization, Interest Expense, Operating Lease Expense, and (iii) no deductions shall be made for income taxes or charges equivalent to income taxes allocable to the period of determination, as determined in accordance with GAAP.</w:t>
      </w:r>
    </w:p>
    <w:p>
      <w:pPr>
        <w:spacing w:after="0" w:line="142" w:lineRule="exact"/>
        <w:rPr>
          <w:rFonts w:ascii="Arial" w:cs="Arial" w:eastAsia="Arial" w:hAnsi="Arial"/>
          <w:sz w:val="19"/>
          <w:szCs w:val="19"/>
          <w:color w:val="auto"/>
        </w:rPr>
      </w:pPr>
    </w:p>
    <w:p>
      <w:pPr>
        <w:jc w:val="both"/>
        <w:ind w:left="1840" w:firstLine="618"/>
        <w:spacing w:after="0" w:line="207" w:lineRule="auto"/>
        <w:tabs>
          <w:tab w:leader="none" w:pos="3069" w:val="left"/>
        </w:tabs>
        <w:numPr>
          <w:ilvl w:val="2"/>
          <w:numId w:val="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Debt</w:t>
      </w:r>
      <w:r>
        <w:rPr>
          <w:rFonts w:ascii="Arial" w:cs="Arial" w:eastAsia="Arial" w:hAnsi="Arial"/>
          <w:sz w:val="19"/>
          <w:szCs w:val="19"/>
          <w:color w:val="auto"/>
        </w:rPr>
        <w:t>” shall mean with respect to a Person, and for the period of determination (i) indebtedness for borrowed money, (ii) subject to the limitation set forth in sub item (iv) below, obligations evidenced by bonds, indentures, notes or similar instruments, (iii) obligations under leases which should be, in accordance with GAAP, recorded as Capital Leases, and (iv) obligations under direct or indirect guarantees in respect of, and obligations (contingent or otherwise) to purchase or otherwise acquire, or otherwise to assure a creditor against loss in respect of, indebtedness or obligations of others of the kinds referred to in clauses (i) through (iv) above, except for guaranty obligations of such Person, which, in conformity with GAAP, are not included on the balance sheet of such Person.</w:t>
      </w:r>
    </w:p>
    <w:p>
      <w:pPr>
        <w:spacing w:after="0" w:line="142" w:lineRule="exact"/>
        <w:rPr>
          <w:rFonts w:ascii="Arial" w:cs="Arial" w:eastAsia="Arial" w:hAnsi="Arial"/>
          <w:sz w:val="19"/>
          <w:szCs w:val="19"/>
          <w:color w:val="auto"/>
        </w:rPr>
      </w:pPr>
    </w:p>
    <w:p>
      <w:pPr>
        <w:ind w:left="1840" w:firstLine="618"/>
        <w:spacing w:after="0" w:line="234" w:lineRule="auto"/>
        <w:tabs>
          <w:tab w:leader="none" w:pos="3069" w:val="left"/>
        </w:tabs>
        <w:numPr>
          <w:ilvl w:val="2"/>
          <w:numId w:val="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Depreciation and Amortization</w:t>
      </w:r>
      <w:r>
        <w:rPr>
          <w:rFonts w:ascii="Arial" w:cs="Arial" w:eastAsia="Arial" w:hAnsi="Arial"/>
          <w:sz w:val="19"/>
          <w:szCs w:val="19"/>
          <w:color w:val="auto"/>
        </w:rPr>
        <w:t>” shall mean the depreciation and amortization accruing during any period of determination with respect to a Person, as determined in accordance with GAAP.</w:t>
      </w:r>
    </w:p>
    <w:p>
      <w:pPr>
        <w:spacing w:after="0" w:line="141" w:lineRule="exact"/>
        <w:rPr>
          <w:rFonts w:ascii="Arial" w:cs="Arial" w:eastAsia="Arial" w:hAnsi="Arial"/>
          <w:sz w:val="19"/>
          <w:szCs w:val="19"/>
          <w:color w:val="auto"/>
        </w:rPr>
      </w:pPr>
    </w:p>
    <w:p>
      <w:pPr>
        <w:ind w:left="1840" w:firstLine="618"/>
        <w:spacing w:after="0" w:line="234" w:lineRule="auto"/>
        <w:tabs>
          <w:tab w:leader="none" w:pos="3072" w:val="left"/>
        </w:tabs>
        <w:numPr>
          <w:ilvl w:val="2"/>
          <w:numId w:val="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Interest Expense</w:t>
      </w:r>
      <w:r>
        <w:rPr>
          <w:rFonts w:ascii="Arial" w:cs="Arial" w:eastAsia="Arial" w:hAnsi="Arial"/>
          <w:sz w:val="19"/>
          <w:szCs w:val="19"/>
          <w:color w:val="auto"/>
        </w:rPr>
        <w:t>” shall mean for any period of determination, the sum of all interest accrued or which should be accrued in respect of all Debt of a Person, as determined in accordance with GAAP.</w:t>
      </w:r>
    </w:p>
    <w:p>
      <w:pPr>
        <w:spacing w:after="0" w:line="141" w:lineRule="exact"/>
        <w:rPr>
          <w:rFonts w:ascii="Arial" w:cs="Arial" w:eastAsia="Arial" w:hAnsi="Arial"/>
          <w:sz w:val="19"/>
          <w:szCs w:val="19"/>
          <w:color w:val="auto"/>
        </w:rPr>
      </w:pPr>
    </w:p>
    <w:p>
      <w:pPr>
        <w:jc w:val="both"/>
        <w:ind w:left="1840" w:firstLine="618"/>
        <w:spacing w:after="0" w:line="222" w:lineRule="auto"/>
        <w:tabs>
          <w:tab w:leader="none" w:pos="3074" w:val="left"/>
        </w:tabs>
        <w:numPr>
          <w:ilvl w:val="2"/>
          <w:numId w:val="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Operating Lease Expense</w:t>
      </w:r>
      <w:r>
        <w:rPr>
          <w:rFonts w:ascii="Arial" w:cs="Arial" w:eastAsia="Arial" w:hAnsi="Arial"/>
          <w:sz w:val="19"/>
          <w:szCs w:val="19"/>
          <w:color w:val="auto"/>
        </w:rPr>
        <w:t>” shall mean the sum of all payments and expenses incurred by a Person, under any operating leases during the period of determination, as determined in accordance with GAAP.</w:t>
      </w:r>
    </w:p>
    <w:p>
      <w:pPr>
        <w:spacing w:after="0" w:line="141" w:lineRule="exact"/>
        <w:rPr>
          <w:rFonts w:ascii="Arial" w:cs="Arial" w:eastAsia="Arial" w:hAnsi="Arial"/>
          <w:sz w:val="19"/>
          <w:szCs w:val="19"/>
          <w:color w:val="auto"/>
        </w:rPr>
      </w:pPr>
    </w:p>
    <w:p>
      <w:pPr>
        <w:jc w:val="both"/>
        <w:ind w:left="1220" w:firstLine="620"/>
        <w:spacing w:after="0" w:line="212" w:lineRule="auto"/>
        <w:tabs>
          <w:tab w:leader="none" w:pos="2448" w:val="left"/>
        </w:tabs>
        <w:numPr>
          <w:ilvl w:val="1"/>
          <w:numId w:val="73"/>
        </w:numPr>
        <w:rPr>
          <w:rFonts w:ascii="Arial" w:cs="Arial" w:eastAsia="Arial" w:hAnsi="Arial"/>
          <w:sz w:val="19"/>
          <w:szCs w:val="19"/>
          <w:color w:val="auto"/>
        </w:rPr>
      </w:pPr>
      <w:r>
        <w:rPr>
          <w:rFonts w:ascii="Arial" w:cs="Arial" w:eastAsia="Arial" w:hAnsi="Arial"/>
          <w:sz w:val="19"/>
          <w:szCs w:val="19"/>
          <w:i w:val="1"/>
          <w:iCs w:val="1"/>
          <w:color w:val="auto"/>
        </w:rPr>
        <w:t xml:space="preserve">“EBITDA” </w:t>
      </w:r>
      <w:r>
        <w:rPr>
          <w:rFonts w:ascii="Arial" w:cs="Arial" w:eastAsia="Arial" w:hAnsi="Arial"/>
          <w:sz w:val="19"/>
          <w:szCs w:val="19"/>
          <w:color w:val="auto"/>
        </w:rPr>
        <w:t>means for the twelve (12) month period ending on the date of determination, the sum of a</w:t>
      </w:r>
      <w:r>
        <w:rPr>
          <w:rFonts w:ascii="Arial" w:cs="Arial" w:eastAsia="Arial" w:hAnsi="Arial"/>
          <w:sz w:val="19"/>
          <w:szCs w:val="19"/>
          <w:i w:val="1"/>
          <w:iCs w:val="1"/>
          <w:color w:val="auto"/>
        </w:rPr>
        <w:t xml:space="preserve"> </w:t>
      </w:r>
      <w:r>
        <w:rPr>
          <w:rFonts w:ascii="Arial" w:cs="Arial" w:eastAsia="Arial" w:hAnsi="Arial"/>
          <w:sz w:val="19"/>
          <w:szCs w:val="19"/>
          <w:color w:val="auto"/>
        </w:rPr>
        <w:t>Person’s net income (loss) for such period plus, in each case to the extent previously deducted in calculating net income (loss): (A) income taxes, (B) interest payments on all of its debt obligations (including any borrowings under short term credit facilities), (C) all non-cash charges including depreciation and amortization, and (D) Non-Recurring Items (defined below).</w:t>
      </w:r>
    </w:p>
    <w:p>
      <w:pPr>
        <w:spacing w:after="0" w:line="143" w:lineRule="exact"/>
        <w:rPr>
          <w:rFonts w:ascii="Arial" w:cs="Arial" w:eastAsia="Arial" w:hAnsi="Arial"/>
          <w:sz w:val="19"/>
          <w:szCs w:val="19"/>
          <w:color w:val="auto"/>
        </w:rPr>
      </w:pPr>
    </w:p>
    <w:p>
      <w:pPr>
        <w:ind w:left="1220" w:firstLine="620"/>
        <w:spacing w:after="0" w:line="234" w:lineRule="auto"/>
        <w:tabs>
          <w:tab w:leader="none" w:pos="2451" w:val="left"/>
        </w:tabs>
        <w:numPr>
          <w:ilvl w:val="1"/>
          <w:numId w:val="73"/>
        </w:numPr>
        <w:rPr>
          <w:rFonts w:ascii="Arial" w:cs="Arial" w:eastAsia="Arial" w:hAnsi="Arial"/>
          <w:sz w:val="19"/>
          <w:szCs w:val="19"/>
          <w:color w:val="auto"/>
        </w:rPr>
      </w:pPr>
      <w:r>
        <w:rPr>
          <w:rFonts w:ascii="Arial" w:cs="Arial" w:eastAsia="Arial" w:hAnsi="Arial"/>
          <w:sz w:val="19"/>
          <w:szCs w:val="19"/>
          <w:i w:val="1"/>
          <w:iCs w:val="1"/>
          <w:color w:val="auto"/>
        </w:rPr>
        <w:t xml:space="preserve">“EBITDAR” </w:t>
      </w:r>
      <w:r>
        <w:rPr>
          <w:rFonts w:ascii="Arial" w:cs="Arial" w:eastAsia="Arial" w:hAnsi="Arial"/>
          <w:sz w:val="19"/>
          <w:szCs w:val="19"/>
          <w:color w:val="auto"/>
        </w:rPr>
        <w:t>means the sum of a Person’s EBITDA and its total land and building rent for the twelve (12)</w:t>
      </w:r>
      <w:r>
        <w:rPr>
          <w:rFonts w:ascii="Arial" w:cs="Arial" w:eastAsia="Arial" w:hAnsi="Arial"/>
          <w:sz w:val="19"/>
          <w:szCs w:val="19"/>
          <w:i w:val="1"/>
          <w:iCs w:val="1"/>
          <w:color w:val="auto"/>
        </w:rPr>
        <w:t xml:space="preserve"> </w:t>
      </w:r>
      <w:r>
        <w:rPr>
          <w:rFonts w:ascii="Arial" w:cs="Arial" w:eastAsia="Arial" w:hAnsi="Arial"/>
          <w:sz w:val="19"/>
          <w:szCs w:val="19"/>
          <w:color w:val="auto"/>
        </w:rPr>
        <w:t>month period ending on the date of determination.</w:t>
      </w:r>
    </w:p>
    <w:p>
      <w:pPr>
        <w:spacing w:after="0" w:line="123" w:lineRule="exact"/>
        <w:rPr>
          <w:rFonts w:ascii="Arial" w:cs="Arial" w:eastAsia="Arial" w:hAnsi="Arial"/>
          <w:sz w:val="19"/>
          <w:szCs w:val="19"/>
          <w:color w:val="auto"/>
        </w:rPr>
      </w:pPr>
    </w:p>
    <w:p>
      <w:pPr>
        <w:ind w:left="2460" w:hanging="620"/>
        <w:spacing w:after="0"/>
        <w:tabs>
          <w:tab w:leader="none" w:pos="2460" w:val="left"/>
        </w:tabs>
        <w:numPr>
          <w:ilvl w:val="1"/>
          <w:numId w:val="73"/>
        </w:numPr>
        <w:rPr>
          <w:rFonts w:ascii="Arial" w:cs="Arial" w:eastAsia="Arial" w:hAnsi="Arial"/>
          <w:sz w:val="19"/>
          <w:szCs w:val="19"/>
          <w:color w:val="auto"/>
        </w:rPr>
      </w:pPr>
      <w:r>
        <w:rPr>
          <w:rFonts w:ascii="Arial" w:cs="Arial" w:eastAsia="Arial" w:hAnsi="Arial"/>
          <w:sz w:val="19"/>
          <w:szCs w:val="19"/>
          <w:i w:val="1"/>
          <w:iCs w:val="1"/>
          <w:color w:val="auto"/>
        </w:rPr>
        <w:t xml:space="preserve">“Lease Adjusted Leverage” </w:t>
      </w:r>
      <w:r>
        <w:rPr>
          <w:rFonts w:ascii="Arial" w:cs="Arial" w:eastAsia="Arial" w:hAnsi="Arial"/>
          <w:sz w:val="19"/>
          <w:szCs w:val="19"/>
          <w:color w:val="auto"/>
        </w:rPr>
        <w:t>means with respect to a Person, as of any applicable date, the sum of</w:t>
      </w:r>
    </w:p>
    <w:p>
      <w:pPr>
        <w:jc w:val="both"/>
        <w:ind w:left="1220" w:firstLine="1"/>
        <w:spacing w:after="0" w:line="215" w:lineRule="auto"/>
        <w:tabs>
          <w:tab w:leader="none" w:pos="1548" w:val="left"/>
        </w:tabs>
        <w:numPr>
          <w:ilvl w:val="0"/>
          <w:numId w:val="74"/>
        </w:numPr>
        <w:rPr>
          <w:rFonts w:ascii="Arial" w:cs="Arial" w:eastAsia="Arial" w:hAnsi="Arial"/>
          <w:sz w:val="19"/>
          <w:szCs w:val="19"/>
          <w:color w:val="auto"/>
        </w:rPr>
      </w:pPr>
      <w:r>
        <w:rPr>
          <w:rFonts w:ascii="Arial" w:cs="Arial" w:eastAsia="Arial" w:hAnsi="Arial"/>
          <w:sz w:val="19"/>
          <w:szCs w:val="19"/>
          <w:color w:val="auto"/>
        </w:rPr>
        <w:t>ten (10) times such Person’s total land and building rent for the twelve (12) month period ending on the date of determination, and (B) the total current balance of such Person’s total debt obligations (including any borrowings under short term credit facilities) on such date, divided by EBITDAR.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26</w:t>
      </w:r>
    </w:p>
    <w:p>
      <w:pPr>
        <w:spacing w:after="0" w:line="221" w:lineRule="auto"/>
        <w:rPr>
          <w:sz w:val="20"/>
          <w:szCs w:val="20"/>
          <w:color w:val="auto"/>
        </w:rPr>
      </w:pPr>
      <w:r>
        <w:rPr>
          <w:rFonts w:ascii="Arial" w:cs="Arial" w:eastAsia="Arial" w:hAnsi="Arial"/>
          <w:sz w:val="12"/>
          <w:szCs w:val="12"/>
          <w:color w:val="auto"/>
        </w:rPr>
        <w:t>STORE / RT Logic (Kratos)</w:t>
      </w:r>
    </w:p>
    <w:p>
      <w:pPr>
        <w:spacing w:after="0" w:line="202" w:lineRule="auto"/>
        <w:rPr>
          <w:sz w:val="20"/>
          <w:szCs w:val="20"/>
          <w:color w:val="auto"/>
        </w:rPr>
      </w:pPr>
      <w:r>
        <w:rPr>
          <w:rFonts w:ascii="Arial" w:cs="Arial" w:eastAsia="Arial" w:hAnsi="Arial"/>
          <w:sz w:val="12"/>
          <w:szCs w:val="12"/>
          <w:color w:val="auto"/>
        </w:rPr>
        <w:t>Second A&amp;R Lease Agreement</w:t>
      </w:r>
    </w:p>
    <w:p>
      <w:pPr>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20"/>
          </w:cols>
          <w:pgMar w:left="340" w:top="100"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1240" w:firstLine="620"/>
        <w:spacing w:after="0" w:line="222" w:lineRule="auto"/>
        <w:tabs>
          <w:tab w:leader="none" w:pos="2466" w:val="left"/>
        </w:tabs>
        <w:numPr>
          <w:ilvl w:val="0"/>
          <w:numId w:val="75"/>
        </w:numPr>
        <w:rPr>
          <w:rFonts w:ascii="Arial" w:cs="Arial" w:eastAsia="Arial" w:hAnsi="Arial"/>
          <w:sz w:val="19"/>
          <w:szCs w:val="19"/>
          <w:color w:val="auto"/>
        </w:rPr>
      </w:pPr>
      <w:r>
        <w:rPr>
          <w:rFonts w:ascii="Arial" w:cs="Arial" w:eastAsia="Arial" w:hAnsi="Arial"/>
          <w:sz w:val="19"/>
          <w:szCs w:val="19"/>
          <w:i w:val="1"/>
          <w:iCs w:val="1"/>
          <w:color w:val="auto"/>
        </w:rPr>
        <w:t xml:space="preserve">“Non-Recurring Items” </w:t>
      </w:r>
      <w:r>
        <w:rPr>
          <w:rFonts w:ascii="Arial" w:cs="Arial" w:eastAsia="Arial" w:hAnsi="Arial"/>
          <w:sz w:val="19"/>
          <w:szCs w:val="19"/>
          <w:color w:val="auto"/>
        </w:rPr>
        <w:t>shall mean with respect to a Person, items of the sum (whether positive or</w:t>
      </w:r>
      <w:r>
        <w:rPr>
          <w:rFonts w:ascii="Arial" w:cs="Arial" w:eastAsia="Arial" w:hAnsi="Arial"/>
          <w:sz w:val="19"/>
          <w:szCs w:val="19"/>
          <w:i w:val="1"/>
          <w:iCs w:val="1"/>
          <w:color w:val="auto"/>
        </w:rPr>
        <w:t xml:space="preserve"> </w:t>
      </w:r>
      <w:r>
        <w:rPr>
          <w:rFonts w:ascii="Arial" w:cs="Arial" w:eastAsia="Arial" w:hAnsi="Arial"/>
          <w:sz w:val="19"/>
          <w:szCs w:val="19"/>
          <w:color w:val="auto"/>
        </w:rPr>
        <w:t>negative) of revenue minus expenses that, in the judgment of Lessor, are unusual in nature, occur infrequently and are not representative of the ongoing or future earnings or expenses of such Person.</w:t>
      </w:r>
    </w:p>
    <w:p>
      <w:pPr>
        <w:spacing w:after="0" w:line="137" w:lineRule="exact"/>
        <w:rPr>
          <w:sz w:val="20"/>
          <w:szCs w:val="20"/>
          <w:color w:val="auto"/>
        </w:rPr>
      </w:pPr>
    </w:p>
    <w:p>
      <w:pPr>
        <w:jc w:val="both"/>
        <w:ind w:firstLine="619"/>
        <w:spacing w:after="0" w:line="205" w:lineRule="auto"/>
        <w:rPr>
          <w:sz w:val="20"/>
          <w:szCs w:val="20"/>
          <w:color w:val="auto"/>
        </w:rPr>
      </w:pPr>
      <w:r>
        <w:rPr>
          <w:rFonts w:ascii="Arial" w:cs="Arial" w:eastAsia="Arial" w:hAnsi="Arial"/>
          <w:sz w:val="19"/>
          <w:szCs w:val="19"/>
          <w:b w:val="1"/>
          <w:bCs w:val="1"/>
          <w:color w:val="auto"/>
        </w:rPr>
        <w:t>Section 1.03. No Subletting</w:t>
      </w:r>
      <w:r>
        <w:rPr>
          <w:rFonts w:ascii="Arial" w:cs="Arial" w:eastAsia="Arial" w:hAnsi="Arial"/>
          <w:sz w:val="19"/>
          <w:szCs w:val="19"/>
          <w:color w:val="auto"/>
        </w:rPr>
        <w:t>. Lessee shall not sublet any or all of the Property without the prior written consent of Lessor,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which shall not be unreasonably withheld, conditioned, or delayed; </w:t>
      </w:r>
      <w:r>
        <w:rPr>
          <w:rFonts w:ascii="Arial" w:cs="Arial" w:eastAsia="Arial" w:hAnsi="Arial"/>
          <w:sz w:val="19"/>
          <w:szCs w:val="19"/>
          <w:i w:val="1"/>
          <w:iCs w:val="1"/>
          <w:color w:val="auto"/>
        </w:rPr>
        <w:t>provided, however</w:t>
      </w:r>
      <w:r>
        <w:rPr>
          <w:rFonts w:ascii="Arial" w:cs="Arial" w:eastAsia="Arial" w:hAnsi="Arial"/>
          <w:sz w:val="19"/>
          <w:szCs w:val="19"/>
          <w:color w:val="auto"/>
        </w:rPr>
        <w:t>, that without Lessor’s consent, Lessee may sublet any or all of the Properties (each such sublease described in this Section 14.03, individually, a “</w:t>
      </w:r>
      <w:r>
        <w:rPr>
          <w:rFonts w:ascii="Arial" w:cs="Arial" w:eastAsia="Arial" w:hAnsi="Arial"/>
          <w:sz w:val="19"/>
          <w:szCs w:val="19"/>
          <w:u w:val="single" w:color="auto"/>
          <w:color w:val="auto"/>
        </w:rPr>
        <w:t>Permitted Sublease</w:t>
      </w:r>
      <w:r>
        <w:rPr>
          <w:rFonts w:ascii="Arial" w:cs="Arial" w:eastAsia="Arial" w:hAnsi="Arial"/>
          <w:sz w:val="19"/>
          <w:szCs w:val="19"/>
          <w:color w:val="auto"/>
        </w:rPr>
        <w:t>” and collectively, “</w:t>
      </w:r>
      <w:r>
        <w:rPr>
          <w:rFonts w:ascii="Arial" w:cs="Arial" w:eastAsia="Arial" w:hAnsi="Arial"/>
          <w:sz w:val="19"/>
          <w:szCs w:val="19"/>
          <w:u w:val="single" w:color="auto"/>
          <w:color w:val="auto"/>
        </w:rPr>
        <w:t>Permitted Subleases</w:t>
      </w:r>
      <w:r>
        <w:rPr>
          <w:rFonts w:ascii="Arial" w:cs="Arial" w:eastAsia="Arial" w:hAnsi="Arial"/>
          <w:sz w:val="19"/>
          <w:szCs w:val="19"/>
          <w:color w:val="auto"/>
        </w:rPr>
        <w:t>”, and such subtenant thereunder, “</w:t>
      </w:r>
      <w:r>
        <w:rPr>
          <w:rFonts w:ascii="Arial" w:cs="Arial" w:eastAsia="Arial" w:hAnsi="Arial"/>
          <w:sz w:val="19"/>
          <w:szCs w:val="19"/>
          <w:u w:val="single" w:color="auto"/>
          <w:color w:val="auto"/>
        </w:rPr>
        <w:t>Subtenant</w:t>
      </w:r>
      <w:r>
        <w:rPr>
          <w:rFonts w:ascii="Arial" w:cs="Arial" w:eastAsia="Arial" w:hAnsi="Arial"/>
          <w:sz w:val="19"/>
          <w:szCs w:val="19"/>
          <w:color w:val="auto"/>
        </w:rPr>
        <w:t>”) so long as each Permitted Sublease contains the following provisions: (a) the Permitted Sublease is subject and subordinate to this Lease; (b) the Permitted Sublease shall not contain any terms inconsistent with this Lease (or if so, the terms of this Lease shall control); (c) the rent due under any Permitted Sublease shall be fixed rent and shall not be based on the net profits of any Subtenant; (d) unless otherwise mutually agreed upon by Lessor and the related Subtenant, the Permitted Sublease shall terminate upon the expiration or sooner termination of this Lease (including any renewals hereof), provided that the related Subtenant agrees to attorn to Lessor if Lessor elects to assume the Permitted Sublease following a termination of this Lease; (e) Lessee shall at all times remain liable under this Lease irrespective of any Permitted Sublease; and (f) the related Property shall be used and occupied only as a Permitted Facility.</w:t>
      </w:r>
    </w:p>
    <w:p>
      <w:pPr>
        <w:spacing w:after="0" w:line="139"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ARTICLE XV</w:t>
      </w:r>
    </w:p>
    <w:p>
      <w:pPr>
        <w:spacing w:after="0" w:line="142" w:lineRule="exact"/>
        <w:rPr>
          <w:sz w:val="20"/>
          <w:szCs w:val="20"/>
          <w:color w:val="auto"/>
        </w:rPr>
      </w:pPr>
    </w:p>
    <w:p>
      <w:pPr>
        <w:ind w:left="5200"/>
        <w:spacing w:after="0"/>
        <w:rPr>
          <w:sz w:val="20"/>
          <w:szCs w:val="20"/>
          <w:color w:val="auto"/>
        </w:rPr>
      </w:pPr>
      <w:r>
        <w:rPr>
          <w:rFonts w:ascii="Arial" w:cs="Arial" w:eastAsia="Arial" w:hAnsi="Arial"/>
          <w:sz w:val="19"/>
          <w:szCs w:val="19"/>
          <w:b w:val="1"/>
          <w:bCs w:val="1"/>
          <w:color w:val="auto"/>
        </w:rPr>
        <w:t>NOTICES</w:t>
      </w:r>
    </w:p>
    <w:p>
      <w:pPr>
        <w:spacing w:after="0" w:line="168" w:lineRule="exact"/>
        <w:rPr>
          <w:sz w:val="20"/>
          <w:szCs w:val="20"/>
          <w:color w:val="auto"/>
        </w:rPr>
      </w:pPr>
    </w:p>
    <w:p>
      <w:pPr>
        <w:jc w:val="both"/>
        <w:ind w:firstLine="619"/>
        <w:spacing w:after="0" w:line="211" w:lineRule="auto"/>
        <w:rPr>
          <w:sz w:val="20"/>
          <w:szCs w:val="20"/>
          <w:color w:val="auto"/>
        </w:rPr>
      </w:pPr>
      <w:r>
        <w:rPr>
          <w:rFonts w:ascii="Arial" w:cs="Arial" w:eastAsia="Arial" w:hAnsi="Arial"/>
          <w:sz w:val="19"/>
          <w:szCs w:val="19"/>
          <w:b w:val="1"/>
          <w:bCs w:val="1"/>
          <w:color w:val="auto"/>
        </w:rPr>
        <w:t>Section 1.01. Notices</w:t>
      </w:r>
      <w:r>
        <w:rPr>
          <w:rFonts w:ascii="Arial" w:cs="Arial" w:eastAsia="Arial" w:hAnsi="Arial"/>
          <w:sz w:val="19"/>
          <w:szCs w:val="19"/>
          <w:color w:val="auto"/>
        </w:rPr>
        <w:t>. All notices, demands, designations, certificates, requests, offers, consents, approvals, appointments</w:t>
      </w:r>
      <w:r>
        <w:rPr>
          <w:rFonts w:ascii="Arial" w:cs="Arial" w:eastAsia="Arial" w:hAnsi="Arial"/>
          <w:sz w:val="19"/>
          <w:szCs w:val="19"/>
          <w:b w:val="1"/>
          <w:bCs w:val="1"/>
          <w:color w:val="auto"/>
        </w:rPr>
        <w:t xml:space="preserve"> </w:t>
      </w:r>
      <w:r>
        <w:rPr>
          <w:rFonts w:ascii="Arial" w:cs="Arial" w:eastAsia="Arial" w:hAnsi="Arial"/>
          <w:sz w:val="19"/>
          <w:szCs w:val="19"/>
          <w:color w:val="auto"/>
        </w:rPr>
        <w:t>and other instruments given pursuant to this Lease shall be in writing and given by any one of the following: (a) hand delivery;</w:t>
      </w:r>
    </w:p>
    <w:p>
      <w:pPr>
        <w:spacing w:after="0" w:line="1" w:lineRule="exact"/>
        <w:rPr>
          <w:sz w:val="20"/>
          <w:szCs w:val="20"/>
          <w:color w:val="auto"/>
        </w:rPr>
      </w:pPr>
    </w:p>
    <w:p>
      <w:pPr>
        <w:jc w:val="both"/>
        <w:ind w:firstLine="3"/>
        <w:spacing w:after="0" w:line="208" w:lineRule="auto"/>
        <w:tabs>
          <w:tab w:leader="none" w:pos="291" w:val="left"/>
        </w:tabs>
        <w:numPr>
          <w:ilvl w:val="0"/>
          <w:numId w:val="76"/>
        </w:numPr>
        <w:rPr>
          <w:rFonts w:ascii="Arial" w:cs="Arial" w:eastAsia="Arial" w:hAnsi="Arial"/>
          <w:sz w:val="19"/>
          <w:szCs w:val="19"/>
          <w:color w:val="auto"/>
        </w:rPr>
      </w:pPr>
      <w:r>
        <w:rPr>
          <w:rFonts w:ascii="Arial" w:cs="Arial" w:eastAsia="Arial" w:hAnsi="Arial"/>
          <w:sz w:val="19"/>
          <w:szCs w:val="19"/>
          <w:color w:val="auto"/>
        </w:rPr>
        <w:t>express overnight delivery service; (c) certified or registered mail, return receipt requested; or (d) email transmission, and shall be deemed to have been delivered upon (i) receipt, if hand delivered; (ii) the next Business Day, if delivered by a reputable express overnight delivery service; (iii) the third Business Day following the day of deposit of such notice with the United States Postal Service, if sent by certified or registered mail, return receipt requested; or (iv) transmission, if delivered by email transmission. Notices shall be provided to the parties and addresses (or electronic mail addresses) specified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9"/>
          <w:szCs w:val="19"/>
          <w:color w:val="auto"/>
        </w:rPr>
        <w:t>27</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340" w:type="dxa"/>
        <w:tblCellMar>
          <w:top w:w="0" w:type="dxa"/>
          <w:left w:w="0" w:type="dxa"/>
          <w:bottom w:w="0" w:type="dxa"/>
          <w:right w:w="0" w:type="dxa"/>
        </w:tblCellMar>
      </w:tblPr>
      <w:tr>
        <w:trPr>
          <w:trHeight w:val="218"/>
        </w:trPr>
        <w:tc>
          <w:tcPr>
            <w:tcW w:w="2260" w:type="dxa"/>
            <w:vAlign w:val="bottom"/>
          </w:tcPr>
          <w:p>
            <w:pPr>
              <w:spacing w:after="0"/>
              <w:rPr>
                <w:sz w:val="20"/>
                <w:szCs w:val="20"/>
                <w:color w:val="auto"/>
              </w:rPr>
            </w:pPr>
            <w:r>
              <w:rPr>
                <w:rFonts w:ascii="Arial" w:cs="Arial" w:eastAsia="Arial" w:hAnsi="Arial"/>
                <w:sz w:val="19"/>
                <w:szCs w:val="19"/>
                <w:color w:val="auto"/>
              </w:rPr>
              <w:t>If to Lessee:</w:t>
            </w:r>
          </w:p>
        </w:tc>
        <w:tc>
          <w:tcPr>
            <w:tcW w:w="4660" w:type="dxa"/>
            <w:vAlign w:val="bottom"/>
            <w:gridSpan w:val="6"/>
          </w:tcPr>
          <w:p>
            <w:pPr>
              <w:ind w:left="980"/>
              <w:spacing w:after="0"/>
              <w:rPr>
                <w:sz w:val="20"/>
                <w:szCs w:val="20"/>
                <w:color w:val="auto"/>
              </w:rPr>
            </w:pPr>
            <w:r>
              <w:rPr>
                <w:rFonts w:ascii="Arial" w:cs="Arial" w:eastAsia="Arial" w:hAnsi="Arial"/>
                <w:sz w:val="19"/>
                <w:szCs w:val="19"/>
                <w:color w:val="auto"/>
              </w:rPr>
              <w:t>Kratos RT Logic, Inc.</w:t>
            </w:r>
          </w:p>
        </w:tc>
      </w:tr>
      <w:tr>
        <w:trPr>
          <w:trHeight w:val="180"/>
        </w:trPr>
        <w:tc>
          <w:tcPr>
            <w:tcW w:w="2260" w:type="dxa"/>
            <w:vAlign w:val="bottom"/>
          </w:tcPr>
          <w:p>
            <w:pPr>
              <w:spacing w:after="0"/>
              <w:rPr>
                <w:sz w:val="15"/>
                <w:szCs w:val="15"/>
                <w:color w:val="auto"/>
              </w:rPr>
            </w:pPr>
          </w:p>
        </w:tc>
        <w:tc>
          <w:tcPr>
            <w:tcW w:w="4660" w:type="dxa"/>
            <w:vAlign w:val="bottom"/>
            <w:gridSpan w:val="6"/>
          </w:tcPr>
          <w:p>
            <w:pPr>
              <w:ind w:left="980"/>
              <w:spacing w:after="0" w:line="181" w:lineRule="exact"/>
              <w:rPr>
                <w:sz w:val="20"/>
                <w:szCs w:val="20"/>
                <w:color w:val="auto"/>
              </w:rPr>
            </w:pPr>
            <w:r>
              <w:rPr>
                <w:rFonts w:ascii="Arial" w:cs="Arial" w:eastAsia="Arial" w:hAnsi="Arial"/>
                <w:sz w:val="19"/>
                <w:szCs w:val="19"/>
                <w:color w:val="auto"/>
              </w:rPr>
              <w:t>12515 Academy Ridge View</w:t>
            </w:r>
          </w:p>
        </w:tc>
      </w:tr>
      <w:tr>
        <w:trPr>
          <w:trHeight w:val="180"/>
        </w:trPr>
        <w:tc>
          <w:tcPr>
            <w:tcW w:w="2260" w:type="dxa"/>
            <w:vAlign w:val="bottom"/>
          </w:tcPr>
          <w:p>
            <w:pPr>
              <w:spacing w:after="0"/>
              <w:rPr>
                <w:sz w:val="15"/>
                <w:szCs w:val="15"/>
                <w:color w:val="auto"/>
              </w:rPr>
            </w:pPr>
          </w:p>
        </w:tc>
        <w:tc>
          <w:tcPr>
            <w:tcW w:w="4660" w:type="dxa"/>
            <w:vAlign w:val="bottom"/>
            <w:gridSpan w:val="6"/>
          </w:tcPr>
          <w:p>
            <w:pPr>
              <w:ind w:left="980"/>
              <w:spacing w:after="0" w:line="181" w:lineRule="exact"/>
              <w:rPr>
                <w:sz w:val="20"/>
                <w:szCs w:val="20"/>
                <w:color w:val="auto"/>
              </w:rPr>
            </w:pPr>
            <w:r>
              <w:rPr>
                <w:rFonts w:ascii="Arial" w:cs="Arial" w:eastAsia="Arial" w:hAnsi="Arial"/>
                <w:sz w:val="19"/>
                <w:szCs w:val="19"/>
                <w:color w:val="auto"/>
              </w:rPr>
              <w:t>Colorado Springs, CO 80921</w:t>
            </w:r>
          </w:p>
        </w:tc>
      </w:tr>
      <w:tr>
        <w:trPr>
          <w:trHeight w:val="180"/>
        </w:trPr>
        <w:tc>
          <w:tcPr>
            <w:tcW w:w="2260" w:type="dxa"/>
            <w:vAlign w:val="bottom"/>
          </w:tcPr>
          <w:p>
            <w:pPr>
              <w:spacing w:after="0"/>
              <w:rPr>
                <w:sz w:val="15"/>
                <w:szCs w:val="15"/>
                <w:color w:val="auto"/>
              </w:rPr>
            </w:pPr>
          </w:p>
        </w:tc>
        <w:tc>
          <w:tcPr>
            <w:tcW w:w="1880" w:type="dxa"/>
            <w:vAlign w:val="bottom"/>
            <w:gridSpan w:val="2"/>
          </w:tcPr>
          <w:p>
            <w:pPr>
              <w:ind w:left="980"/>
              <w:spacing w:after="0" w:line="181" w:lineRule="exact"/>
              <w:rPr>
                <w:sz w:val="20"/>
                <w:szCs w:val="20"/>
                <w:color w:val="auto"/>
              </w:rPr>
            </w:pPr>
            <w:r>
              <w:rPr>
                <w:rFonts w:ascii="Arial" w:cs="Arial" w:eastAsia="Arial" w:hAnsi="Arial"/>
                <w:sz w:val="19"/>
                <w:szCs w:val="19"/>
                <w:color w:val="auto"/>
              </w:rPr>
              <w:t>Attention:</w:t>
            </w:r>
          </w:p>
        </w:tc>
        <w:tc>
          <w:tcPr>
            <w:tcW w:w="2780" w:type="dxa"/>
            <w:vAlign w:val="bottom"/>
            <w:gridSpan w:val="4"/>
          </w:tcPr>
          <w:p>
            <w:pPr>
              <w:ind w:left="120"/>
              <w:spacing w:after="0" w:line="181" w:lineRule="exact"/>
              <w:rPr>
                <w:sz w:val="20"/>
                <w:szCs w:val="20"/>
                <w:color w:val="auto"/>
              </w:rPr>
            </w:pPr>
            <w:r>
              <w:rPr>
                <w:rFonts w:ascii="Arial" w:cs="Arial" w:eastAsia="Arial" w:hAnsi="Arial"/>
                <w:sz w:val="19"/>
                <w:szCs w:val="19"/>
                <w:color w:val="auto"/>
              </w:rPr>
              <w:t>Director of Operations</w:t>
            </w:r>
          </w:p>
        </w:tc>
      </w:tr>
      <w:tr>
        <w:trPr>
          <w:trHeight w:val="184"/>
        </w:trPr>
        <w:tc>
          <w:tcPr>
            <w:tcW w:w="2260" w:type="dxa"/>
            <w:vAlign w:val="bottom"/>
          </w:tcPr>
          <w:p>
            <w:pPr>
              <w:spacing w:after="0"/>
              <w:rPr>
                <w:sz w:val="15"/>
                <w:szCs w:val="15"/>
                <w:color w:val="auto"/>
              </w:rPr>
            </w:pPr>
          </w:p>
        </w:tc>
        <w:tc>
          <w:tcPr>
            <w:tcW w:w="4660" w:type="dxa"/>
            <w:vAlign w:val="bottom"/>
            <w:gridSpan w:val="6"/>
          </w:tcPr>
          <w:p>
            <w:pPr>
              <w:ind w:left="980"/>
              <w:spacing w:after="0" w:line="184" w:lineRule="exact"/>
              <w:rPr>
                <w:sz w:val="20"/>
                <w:szCs w:val="20"/>
                <w:color w:val="auto"/>
              </w:rPr>
            </w:pPr>
            <w:r>
              <w:rPr>
                <w:rFonts w:ascii="Arial" w:cs="Arial" w:eastAsia="Arial" w:hAnsi="Arial"/>
                <w:sz w:val="19"/>
                <w:szCs w:val="19"/>
                <w:color w:val="auto"/>
              </w:rPr>
              <w:t>Email: shamilton@rtlogic.com</w:t>
            </w:r>
          </w:p>
        </w:tc>
      </w:tr>
      <w:tr>
        <w:trPr>
          <w:trHeight w:val="20"/>
        </w:trPr>
        <w:tc>
          <w:tcPr>
            <w:tcW w:w="2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260" w:type="dxa"/>
            <w:vAlign w:val="bottom"/>
          </w:tcPr>
          <w:p>
            <w:pPr>
              <w:spacing w:after="0" w:line="209" w:lineRule="exact"/>
              <w:rPr>
                <w:sz w:val="20"/>
                <w:szCs w:val="20"/>
                <w:color w:val="auto"/>
              </w:rPr>
            </w:pPr>
            <w:r>
              <w:rPr>
                <w:rFonts w:ascii="Arial" w:cs="Arial" w:eastAsia="Arial" w:hAnsi="Arial"/>
                <w:sz w:val="19"/>
                <w:szCs w:val="19"/>
                <w:color w:val="auto"/>
              </w:rPr>
              <w:t>With a copy to:</w:t>
            </w:r>
          </w:p>
        </w:tc>
        <w:tc>
          <w:tcPr>
            <w:tcW w:w="4660" w:type="dxa"/>
            <w:vAlign w:val="bottom"/>
            <w:gridSpan w:val="6"/>
          </w:tcPr>
          <w:p>
            <w:pPr>
              <w:ind w:left="980"/>
              <w:spacing w:after="0" w:line="209" w:lineRule="exact"/>
              <w:rPr>
                <w:sz w:val="20"/>
                <w:szCs w:val="20"/>
                <w:color w:val="auto"/>
              </w:rPr>
            </w:pPr>
            <w:r>
              <w:rPr>
                <w:rFonts w:ascii="Arial" w:cs="Arial" w:eastAsia="Arial" w:hAnsi="Arial"/>
                <w:sz w:val="19"/>
                <w:szCs w:val="19"/>
                <w:color w:val="auto"/>
              </w:rPr>
              <w:t>Kratos Defense &amp; Security Solutions, Inc.</w:t>
            </w:r>
          </w:p>
        </w:tc>
      </w:tr>
      <w:tr>
        <w:trPr>
          <w:trHeight w:val="180"/>
        </w:trPr>
        <w:tc>
          <w:tcPr>
            <w:tcW w:w="2260" w:type="dxa"/>
            <w:vAlign w:val="bottom"/>
          </w:tcPr>
          <w:p>
            <w:pPr>
              <w:spacing w:after="0"/>
              <w:rPr>
                <w:sz w:val="15"/>
                <w:szCs w:val="15"/>
                <w:color w:val="auto"/>
              </w:rPr>
            </w:pPr>
          </w:p>
        </w:tc>
        <w:tc>
          <w:tcPr>
            <w:tcW w:w="4660" w:type="dxa"/>
            <w:vAlign w:val="bottom"/>
            <w:gridSpan w:val="6"/>
          </w:tcPr>
          <w:p>
            <w:pPr>
              <w:ind w:left="980"/>
              <w:spacing w:after="0" w:line="181" w:lineRule="exact"/>
              <w:rPr>
                <w:sz w:val="20"/>
                <w:szCs w:val="20"/>
                <w:color w:val="auto"/>
              </w:rPr>
            </w:pPr>
            <w:r>
              <w:rPr>
                <w:rFonts w:ascii="Arial" w:cs="Arial" w:eastAsia="Arial" w:hAnsi="Arial"/>
                <w:sz w:val="19"/>
                <w:szCs w:val="19"/>
                <w:color w:val="auto"/>
              </w:rPr>
              <w:t>10680 Treena Street, Suite 600</w:t>
            </w:r>
          </w:p>
        </w:tc>
      </w:tr>
      <w:tr>
        <w:trPr>
          <w:trHeight w:val="180"/>
        </w:trPr>
        <w:tc>
          <w:tcPr>
            <w:tcW w:w="2260" w:type="dxa"/>
            <w:vAlign w:val="bottom"/>
          </w:tcPr>
          <w:p>
            <w:pPr>
              <w:spacing w:after="0"/>
              <w:rPr>
                <w:sz w:val="15"/>
                <w:szCs w:val="15"/>
                <w:color w:val="auto"/>
              </w:rPr>
            </w:pPr>
          </w:p>
        </w:tc>
        <w:tc>
          <w:tcPr>
            <w:tcW w:w="4660" w:type="dxa"/>
            <w:vAlign w:val="bottom"/>
            <w:gridSpan w:val="6"/>
          </w:tcPr>
          <w:p>
            <w:pPr>
              <w:ind w:left="980"/>
              <w:spacing w:after="0" w:line="181" w:lineRule="exact"/>
              <w:rPr>
                <w:sz w:val="20"/>
                <w:szCs w:val="20"/>
                <w:color w:val="auto"/>
              </w:rPr>
            </w:pPr>
            <w:r>
              <w:rPr>
                <w:rFonts w:ascii="Arial" w:cs="Arial" w:eastAsia="Arial" w:hAnsi="Arial"/>
                <w:sz w:val="19"/>
                <w:szCs w:val="19"/>
                <w:color w:val="auto"/>
              </w:rPr>
              <w:t>San Diego, CA 92131</w:t>
            </w:r>
          </w:p>
        </w:tc>
      </w:tr>
      <w:tr>
        <w:trPr>
          <w:trHeight w:val="180"/>
        </w:trPr>
        <w:tc>
          <w:tcPr>
            <w:tcW w:w="2260" w:type="dxa"/>
            <w:vAlign w:val="bottom"/>
          </w:tcPr>
          <w:p>
            <w:pPr>
              <w:spacing w:after="0"/>
              <w:rPr>
                <w:sz w:val="15"/>
                <w:szCs w:val="15"/>
                <w:color w:val="auto"/>
              </w:rPr>
            </w:pPr>
          </w:p>
        </w:tc>
        <w:tc>
          <w:tcPr>
            <w:tcW w:w="4660" w:type="dxa"/>
            <w:vAlign w:val="bottom"/>
            <w:gridSpan w:val="6"/>
          </w:tcPr>
          <w:p>
            <w:pPr>
              <w:ind w:left="980"/>
              <w:spacing w:after="0" w:line="181" w:lineRule="exact"/>
              <w:rPr>
                <w:sz w:val="20"/>
                <w:szCs w:val="20"/>
                <w:color w:val="auto"/>
              </w:rPr>
            </w:pPr>
            <w:r>
              <w:rPr>
                <w:rFonts w:ascii="Arial" w:cs="Arial" w:eastAsia="Arial" w:hAnsi="Arial"/>
                <w:sz w:val="19"/>
                <w:szCs w:val="19"/>
                <w:color w:val="auto"/>
              </w:rPr>
              <w:t>Attention: General Counsel</w:t>
            </w:r>
          </w:p>
        </w:tc>
      </w:tr>
      <w:tr>
        <w:trPr>
          <w:trHeight w:val="184"/>
        </w:trPr>
        <w:tc>
          <w:tcPr>
            <w:tcW w:w="2260" w:type="dxa"/>
            <w:vAlign w:val="bottom"/>
          </w:tcPr>
          <w:p>
            <w:pPr>
              <w:spacing w:after="0"/>
              <w:rPr>
                <w:sz w:val="15"/>
                <w:szCs w:val="15"/>
                <w:color w:val="auto"/>
              </w:rPr>
            </w:pPr>
          </w:p>
        </w:tc>
        <w:tc>
          <w:tcPr>
            <w:tcW w:w="4660" w:type="dxa"/>
            <w:vAlign w:val="bottom"/>
            <w:gridSpan w:val="6"/>
          </w:tcPr>
          <w:p>
            <w:pPr>
              <w:ind w:left="980"/>
              <w:spacing w:after="0" w:line="184" w:lineRule="exact"/>
              <w:rPr>
                <w:sz w:val="20"/>
                <w:szCs w:val="20"/>
                <w:color w:val="auto"/>
              </w:rPr>
            </w:pPr>
            <w:r>
              <w:rPr>
                <w:rFonts w:ascii="Arial" w:cs="Arial" w:eastAsia="Arial" w:hAnsi="Arial"/>
                <w:sz w:val="19"/>
                <w:szCs w:val="19"/>
                <w:color w:val="auto"/>
                <w:w w:val="99"/>
              </w:rPr>
              <w:t>Email: marie.mendoza@kratosdefense.com</w:t>
            </w:r>
          </w:p>
        </w:tc>
      </w:tr>
      <w:tr>
        <w:trPr>
          <w:trHeight w:val="20"/>
        </w:trPr>
        <w:tc>
          <w:tcPr>
            <w:tcW w:w="2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4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209"/>
        </w:trPr>
        <w:tc>
          <w:tcPr>
            <w:tcW w:w="2260" w:type="dxa"/>
            <w:vAlign w:val="bottom"/>
          </w:tcPr>
          <w:p>
            <w:pPr>
              <w:spacing w:after="0" w:line="209" w:lineRule="exact"/>
              <w:rPr>
                <w:sz w:val="20"/>
                <w:szCs w:val="20"/>
                <w:color w:val="auto"/>
              </w:rPr>
            </w:pPr>
            <w:r>
              <w:rPr>
                <w:rFonts w:ascii="Arial" w:cs="Arial" w:eastAsia="Arial" w:hAnsi="Arial"/>
                <w:sz w:val="19"/>
                <w:szCs w:val="19"/>
                <w:color w:val="auto"/>
              </w:rPr>
              <w:t>If to Lessor:</w:t>
            </w:r>
          </w:p>
        </w:tc>
        <w:tc>
          <w:tcPr>
            <w:tcW w:w="4660" w:type="dxa"/>
            <w:vAlign w:val="bottom"/>
            <w:gridSpan w:val="6"/>
          </w:tcPr>
          <w:p>
            <w:pPr>
              <w:ind w:left="980"/>
              <w:spacing w:after="0" w:line="209" w:lineRule="exact"/>
              <w:rPr>
                <w:sz w:val="20"/>
                <w:szCs w:val="20"/>
                <w:color w:val="auto"/>
              </w:rPr>
            </w:pPr>
            <w:r>
              <w:rPr>
                <w:rFonts w:ascii="Arial" w:cs="Arial" w:eastAsia="Arial" w:hAnsi="Arial"/>
                <w:sz w:val="19"/>
                <w:szCs w:val="19"/>
                <w:color w:val="auto"/>
              </w:rPr>
              <w:t>STORE Capital Acquisitions, LLC</w:t>
            </w:r>
          </w:p>
        </w:tc>
      </w:tr>
      <w:tr>
        <w:trPr>
          <w:trHeight w:val="180"/>
        </w:trPr>
        <w:tc>
          <w:tcPr>
            <w:tcW w:w="2260" w:type="dxa"/>
            <w:vAlign w:val="bottom"/>
          </w:tcPr>
          <w:p>
            <w:pPr>
              <w:spacing w:after="0"/>
              <w:rPr>
                <w:sz w:val="15"/>
                <w:szCs w:val="15"/>
                <w:color w:val="auto"/>
              </w:rPr>
            </w:pPr>
          </w:p>
        </w:tc>
        <w:tc>
          <w:tcPr>
            <w:tcW w:w="4660" w:type="dxa"/>
            <w:vAlign w:val="bottom"/>
            <w:gridSpan w:val="6"/>
          </w:tcPr>
          <w:p>
            <w:pPr>
              <w:ind w:left="980"/>
              <w:spacing w:after="0" w:line="181" w:lineRule="exact"/>
              <w:rPr>
                <w:sz w:val="20"/>
                <w:szCs w:val="20"/>
                <w:color w:val="auto"/>
              </w:rPr>
            </w:pPr>
            <w:r>
              <w:rPr>
                <w:rFonts w:ascii="Arial" w:cs="Arial" w:eastAsia="Arial" w:hAnsi="Arial"/>
                <w:sz w:val="19"/>
                <w:szCs w:val="19"/>
                <w:color w:val="auto"/>
              </w:rPr>
              <w:t>8377 E. Hartford Drive, Suite 100</w:t>
            </w:r>
          </w:p>
        </w:tc>
      </w:tr>
      <w:tr>
        <w:trPr>
          <w:trHeight w:val="180"/>
        </w:trPr>
        <w:tc>
          <w:tcPr>
            <w:tcW w:w="2260" w:type="dxa"/>
            <w:vAlign w:val="bottom"/>
          </w:tcPr>
          <w:p>
            <w:pPr>
              <w:spacing w:after="0"/>
              <w:rPr>
                <w:sz w:val="15"/>
                <w:szCs w:val="15"/>
                <w:color w:val="auto"/>
              </w:rPr>
            </w:pPr>
          </w:p>
        </w:tc>
        <w:tc>
          <w:tcPr>
            <w:tcW w:w="4660" w:type="dxa"/>
            <w:vAlign w:val="bottom"/>
            <w:gridSpan w:val="6"/>
          </w:tcPr>
          <w:p>
            <w:pPr>
              <w:ind w:left="980"/>
              <w:spacing w:after="0" w:line="181" w:lineRule="exact"/>
              <w:rPr>
                <w:sz w:val="20"/>
                <w:szCs w:val="20"/>
                <w:color w:val="auto"/>
              </w:rPr>
            </w:pPr>
            <w:r>
              <w:rPr>
                <w:rFonts w:ascii="Arial" w:cs="Arial" w:eastAsia="Arial" w:hAnsi="Arial"/>
                <w:sz w:val="19"/>
                <w:szCs w:val="19"/>
                <w:color w:val="auto"/>
              </w:rPr>
              <w:t>Scottsdale, AZ 85255</w:t>
            </w:r>
          </w:p>
        </w:tc>
      </w:tr>
      <w:tr>
        <w:trPr>
          <w:trHeight w:val="180"/>
        </w:trPr>
        <w:tc>
          <w:tcPr>
            <w:tcW w:w="2260" w:type="dxa"/>
            <w:vAlign w:val="bottom"/>
          </w:tcPr>
          <w:p>
            <w:pPr>
              <w:spacing w:after="0"/>
              <w:rPr>
                <w:sz w:val="15"/>
                <w:szCs w:val="15"/>
                <w:color w:val="auto"/>
              </w:rPr>
            </w:pPr>
          </w:p>
        </w:tc>
        <w:tc>
          <w:tcPr>
            <w:tcW w:w="1880" w:type="dxa"/>
            <w:vAlign w:val="bottom"/>
            <w:gridSpan w:val="2"/>
          </w:tcPr>
          <w:p>
            <w:pPr>
              <w:ind w:left="980"/>
              <w:spacing w:after="0" w:line="181" w:lineRule="exact"/>
              <w:rPr>
                <w:sz w:val="20"/>
                <w:szCs w:val="20"/>
                <w:color w:val="auto"/>
              </w:rPr>
            </w:pPr>
            <w:r>
              <w:rPr>
                <w:rFonts w:ascii="Arial" w:cs="Arial" w:eastAsia="Arial" w:hAnsi="Arial"/>
                <w:sz w:val="19"/>
                <w:szCs w:val="19"/>
                <w:color w:val="auto"/>
              </w:rPr>
              <w:t>Attention:</w:t>
            </w:r>
          </w:p>
        </w:tc>
        <w:tc>
          <w:tcPr>
            <w:tcW w:w="2780" w:type="dxa"/>
            <w:vAlign w:val="bottom"/>
            <w:gridSpan w:val="4"/>
          </w:tcPr>
          <w:p>
            <w:pPr>
              <w:ind w:left="100"/>
              <w:spacing w:after="0" w:line="181" w:lineRule="exact"/>
              <w:rPr>
                <w:sz w:val="20"/>
                <w:szCs w:val="20"/>
                <w:color w:val="auto"/>
              </w:rPr>
            </w:pPr>
            <w:r>
              <w:rPr>
                <w:rFonts w:ascii="Arial" w:cs="Arial" w:eastAsia="Arial" w:hAnsi="Arial"/>
                <w:sz w:val="19"/>
                <w:szCs w:val="19"/>
                <w:color w:val="auto"/>
              </w:rPr>
              <w:t>Asset Management</w:t>
            </w:r>
          </w:p>
        </w:tc>
      </w:tr>
      <w:tr>
        <w:trPr>
          <w:trHeight w:val="184"/>
        </w:trPr>
        <w:tc>
          <w:tcPr>
            <w:tcW w:w="2260" w:type="dxa"/>
            <w:vAlign w:val="bottom"/>
          </w:tcPr>
          <w:p>
            <w:pPr>
              <w:spacing w:after="0"/>
              <w:rPr>
                <w:sz w:val="15"/>
                <w:szCs w:val="15"/>
                <w:color w:val="auto"/>
              </w:rPr>
            </w:pPr>
          </w:p>
        </w:tc>
        <w:tc>
          <w:tcPr>
            <w:tcW w:w="4660" w:type="dxa"/>
            <w:vAlign w:val="bottom"/>
            <w:gridSpan w:val="6"/>
          </w:tcPr>
          <w:p>
            <w:pPr>
              <w:ind w:left="980"/>
              <w:spacing w:after="0" w:line="184" w:lineRule="exact"/>
              <w:rPr>
                <w:sz w:val="20"/>
                <w:szCs w:val="20"/>
                <w:color w:val="auto"/>
              </w:rPr>
            </w:pPr>
            <w:r>
              <w:rPr>
                <w:rFonts w:ascii="Arial" w:cs="Arial" w:eastAsia="Arial" w:hAnsi="Arial"/>
                <w:sz w:val="19"/>
                <w:szCs w:val="19"/>
                <w:color w:val="auto"/>
              </w:rPr>
              <w:t>Email: customerservice@storecapital.com</w:t>
            </w:r>
          </w:p>
        </w:tc>
      </w:tr>
      <w:tr>
        <w:trPr>
          <w:trHeight w:val="20"/>
        </w:trPr>
        <w:tc>
          <w:tcPr>
            <w:tcW w:w="2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4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260" w:type="dxa"/>
            <w:vAlign w:val="bottom"/>
          </w:tcPr>
          <w:p>
            <w:pPr>
              <w:spacing w:after="0" w:line="209" w:lineRule="exact"/>
              <w:rPr>
                <w:sz w:val="20"/>
                <w:szCs w:val="20"/>
                <w:color w:val="auto"/>
              </w:rPr>
            </w:pPr>
            <w:r>
              <w:rPr>
                <w:rFonts w:ascii="Arial" w:cs="Arial" w:eastAsia="Arial" w:hAnsi="Arial"/>
                <w:sz w:val="19"/>
                <w:szCs w:val="19"/>
                <w:color w:val="auto"/>
              </w:rPr>
              <w:t>With a copy to:</w:t>
            </w:r>
          </w:p>
        </w:tc>
        <w:tc>
          <w:tcPr>
            <w:tcW w:w="4660" w:type="dxa"/>
            <w:vAlign w:val="bottom"/>
            <w:gridSpan w:val="6"/>
          </w:tcPr>
          <w:p>
            <w:pPr>
              <w:ind w:left="980"/>
              <w:spacing w:after="0" w:line="209" w:lineRule="exact"/>
              <w:rPr>
                <w:sz w:val="20"/>
                <w:szCs w:val="20"/>
                <w:color w:val="auto"/>
              </w:rPr>
            </w:pPr>
            <w:r>
              <w:rPr>
                <w:rFonts w:ascii="Arial" w:cs="Arial" w:eastAsia="Arial" w:hAnsi="Arial"/>
                <w:sz w:val="19"/>
                <w:szCs w:val="19"/>
                <w:color w:val="auto"/>
              </w:rPr>
              <w:t>Kutak Rock LLP</w:t>
            </w:r>
          </w:p>
        </w:tc>
      </w:tr>
      <w:tr>
        <w:trPr>
          <w:trHeight w:val="180"/>
        </w:trPr>
        <w:tc>
          <w:tcPr>
            <w:tcW w:w="2260" w:type="dxa"/>
            <w:vAlign w:val="bottom"/>
          </w:tcPr>
          <w:p>
            <w:pPr>
              <w:spacing w:after="0"/>
              <w:rPr>
                <w:sz w:val="15"/>
                <w:szCs w:val="15"/>
                <w:color w:val="auto"/>
              </w:rPr>
            </w:pPr>
          </w:p>
        </w:tc>
        <w:tc>
          <w:tcPr>
            <w:tcW w:w="4660" w:type="dxa"/>
            <w:vAlign w:val="bottom"/>
            <w:gridSpan w:val="6"/>
          </w:tcPr>
          <w:p>
            <w:pPr>
              <w:ind w:left="980"/>
              <w:spacing w:after="0" w:line="181" w:lineRule="exact"/>
              <w:rPr>
                <w:sz w:val="20"/>
                <w:szCs w:val="20"/>
                <w:color w:val="auto"/>
              </w:rPr>
            </w:pPr>
            <w:r>
              <w:rPr>
                <w:rFonts w:ascii="Arial" w:cs="Arial" w:eastAsia="Arial" w:hAnsi="Arial"/>
                <w:sz w:val="19"/>
                <w:szCs w:val="19"/>
                <w:color w:val="auto"/>
              </w:rPr>
              <w:t>1801 California Street, Suite 3000</w:t>
            </w:r>
          </w:p>
        </w:tc>
      </w:tr>
      <w:tr>
        <w:trPr>
          <w:trHeight w:val="180"/>
        </w:trPr>
        <w:tc>
          <w:tcPr>
            <w:tcW w:w="2260" w:type="dxa"/>
            <w:vAlign w:val="bottom"/>
          </w:tcPr>
          <w:p>
            <w:pPr>
              <w:spacing w:after="0"/>
              <w:rPr>
                <w:sz w:val="15"/>
                <w:szCs w:val="15"/>
                <w:color w:val="auto"/>
              </w:rPr>
            </w:pPr>
          </w:p>
        </w:tc>
        <w:tc>
          <w:tcPr>
            <w:tcW w:w="4660" w:type="dxa"/>
            <w:vAlign w:val="bottom"/>
            <w:gridSpan w:val="6"/>
          </w:tcPr>
          <w:p>
            <w:pPr>
              <w:ind w:left="980"/>
              <w:spacing w:after="0" w:line="181" w:lineRule="exact"/>
              <w:rPr>
                <w:sz w:val="20"/>
                <w:szCs w:val="20"/>
                <w:color w:val="auto"/>
              </w:rPr>
            </w:pPr>
            <w:r>
              <w:rPr>
                <w:rFonts w:ascii="Arial" w:cs="Arial" w:eastAsia="Arial" w:hAnsi="Arial"/>
                <w:sz w:val="19"/>
                <w:szCs w:val="19"/>
                <w:color w:val="auto"/>
              </w:rPr>
              <w:t>Denver, CO 80202</w:t>
            </w:r>
          </w:p>
        </w:tc>
      </w:tr>
      <w:tr>
        <w:trPr>
          <w:trHeight w:val="180"/>
        </w:trPr>
        <w:tc>
          <w:tcPr>
            <w:tcW w:w="2260" w:type="dxa"/>
            <w:vAlign w:val="bottom"/>
          </w:tcPr>
          <w:p>
            <w:pPr>
              <w:spacing w:after="0"/>
              <w:rPr>
                <w:sz w:val="15"/>
                <w:szCs w:val="15"/>
                <w:color w:val="auto"/>
              </w:rPr>
            </w:pPr>
          </w:p>
        </w:tc>
        <w:tc>
          <w:tcPr>
            <w:tcW w:w="1880" w:type="dxa"/>
            <w:vAlign w:val="bottom"/>
            <w:gridSpan w:val="2"/>
          </w:tcPr>
          <w:p>
            <w:pPr>
              <w:ind w:left="980"/>
              <w:spacing w:after="0" w:line="181" w:lineRule="exact"/>
              <w:rPr>
                <w:sz w:val="20"/>
                <w:szCs w:val="20"/>
                <w:color w:val="auto"/>
              </w:rPr>
            </w:pPr>
            <w:r>
              <w:rPr>
                <w:rFonts w:ascii="Arial" w:cs="Arial" w:eastAsia="Arial" w:hAnsi="Arial"/>
                <w:sz w:val="19"/>
                <w:szCs w:val="19"/>
                <w:color w:val="auto"/>
              </w:rPr>
              <w:t>Attention:</w:t>
            </w:r>
          </w:p>
        </w:tc>
        <w:tc>
          <w:tcPr>
            <w:tcW w:w="2780" w:type="dxa"/>
            <w:vAlign w:val="bottom"/>
            <w:gridSpan w:val="4"/>
          </w:tcPr>
          <w:p>
            <w:pPr>
              <w:ind w:left="120"/>
              <w:spacing w:after="0" w:line="181" w:lineRule="exact"/>
              <w:rPr>
                <w:sz w:val="20"/>
                <w:szCs w:val="20"/>
                <w:color w:val="auto"/>
              </w:rPr>
            </w:pPr>
            <w:r>
              <w:rPr>
                <w:rFonts w:ascii="Arial" w:cs="Arial" w:eastAsia="Arial" w:hAnsi="Arial"/>
                <w:sz w:val="19"/>
                <w:szCs w:val="19"/>
                <w:color w:val="auto"/>
              </w:rPr>
              <w:t>Kristine Poston, Esq.</w:t>
            </w:r>
          </w:p>
        </w:tc>
      </w:tr>
      <w:tr>
        <w:trPr>
          <w:trHeight w:val="184"/>
        </w:trPr>
        <w:tc>
          <w:tcPr>
            <w:tcW w:w="2260" w:type="dxa"/>
            <w:vAlign w:val="bottom"/>
          </w:tcPr>
          <w:p>
            <w:pPr>
              <w:spacing w:after="0"/>
              <w:rPr>
                <w:sz w:val="15"/>
                <w:szCs w:val="15"/>
                <w:color w:val="auto"/>
              </w:rPr>
            </w:pPr>
          </w:p>
        </w:tc>
        <w:tc>
          <w:tcPr>
            <w:tcW w:w="4660" w:type="dxa"/>
            <w:vAlign w:val="bottom"/>
            <w:gridSpan w:val="6"/>
          </w:tcPr>
          <w:p>
            <w:pPr>
              <w:ind w:left="980"/>
              <w:spacing w:after="0" w:line="184" w:lineRule="exact"/>
              <w:rPr>
                <w:sz w:val="20"/>
                <w:szCs w:val="20"/>
                <w:color w:val="auto"/>
              </w:rPr>
            </w:pPr>
            <w:r>
              <w:rPr>
                <w:rFonts w:ascii="Arial" w:cs="Arial" w:eastAsia="Arial" w:hAnsi="Arial"/>
                <w:sz w:val="19"/>
                <w:szCs w:val="19"/>
                <w:color w:val="auto"/>
              </w:rPr>
              <w:t>Email: kristine.poston@kutakrock.com</w:t>
            </w:r>
          </w:p>
        </w:tc>
      </w:tr>
      <w:tr>
        <w:trPr>
          <w:trHeight w:val="20"/>
        </w:trPr>
        <w:tc>
          <w:tcPr>
            <w:tcW w:w="2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32" w:lineRule="exact"/>
        <w:rPr>
          <w:sz w:val="20"/>
          <w:szCs w:val="20"/>
          <w:color w:val="auto"/>
        </w:rPr>
      </w:pPr>
    </w:p>
    <w:p>
      <w:pPr>
        <w:jc w:val="both"/>
        <w:spacing w:after="0" w:line="223" w:lineRule="auto"/>
        <w:rPr>
          <w:sz w:val="20"/>
          <w:szCs w:val="20"/>
          <w:color w:val="auto"/>
        </w:rPr>
      </w:pPr>
      <w:r>
        <w:rPr>
          <w:rFonts w:ascii="Arial" w:cs="Arial" w:eastAsia="Arial" w:hAnsi="Arial"/>
          <w:sz w:val="19"/>
          <w:szCs w:val="19"/>
          <w:color w:val="auto"/>
        </w:rPr>
        <w:t>or to such other address or such other person as either party may from time to time hereafter specify to the other party in a notice delivered in the manner provided above.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XVI</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LANDLORD’S LIEN / SECURITY INTEREST</w:t>
      </w:r>
    </w:p>
    <w:p>
      <w:pPr>
        <w:spacing w:after="0" w:line="168" w:lineRule="exact"/>
        <w:rPr>
          <w:sz w:val="20"/>
          <w:szCs w:val="20"/>
          <w:color w:val="auto"/>
        </w:rPr>
      </w:pPr>
    </w:p>
    <w:p>
      <w:pPr>
        <w:jc w:val="both"/>
        <w:ind w:firstLine="619"/>
        <w:spacing w:after="0" w:line="206" w:lineRule="auto"/>
        <w:rPr>
          <w:sz w:val="20"/>
          <w:szCs w:val="20"/>
          <w:color w:val="auto"/>
        </w:rPr>
      </w:pPr>
      <w:r>
        <w:rPr>
          <w:rFonts w:ascii="Arial" w:cs="Arial" w:eastAsia="Arial" w:hAnsi="Arial"/>
          <w:sz w:val="19"/>
          <w:szCs w:val="19"/>
          <w:b w:val="1"/>
          <w:bCs w:val="1"/>
          <w:color w:val="auto"/>
        </w:rPr>
        <w:t>Section 1.01. Landlord’s Lien and Security Interest</w:t>
      </w:r>
      <w:r>
        <w:rPr>
          <w:rFonts w:ascii="Arial" w:cs="Arial" w:eastAsia="Arial" w:hAnsi="Arial"/>
          <w:sz w:val="19"/>
          <w:szCs w:val="19"/>
          <w:color w:val="auto"/>
        </w:rPr>
        <w:t>. Lessee agrees that Lessor shall have a landlord’s lien, in, on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against all of Lessee’s right, title and interest in, to and under all Personalty, which lien and security interest shall secure the payment of all Rental and other Monetary Obligations payable by Lessee to Lessor under the terms hereof and all other obligations of Lessee to Lessor under this Lease. Lessee agrees that Lessor may file such documents as Lessor then deems appropriate or necessary to perfect and maintain said lien and security interest, and expressly acknowledges and agrees that, in addition to any and all other rights and remedies of Lessor whether hereunder or at Law or in equity, in the Event of Default of Lessee hereunder, Lessor shall have any and all rights and remedies granted a secured party under the Uniform Commercial Code then in effect in the state where the Property is located. Lessee covenants to promptly notify Lessor of any changes in Lessee’s name and/or organizational structure which may necessitate the execution and filing of additional financing statements; </w:t>
      </w:r>
      <w:r>
        <w:rPr>
          <w:rFonts w:ascii="Arial" w:cs="Arial" w:eastAsia="Arial" w:hAnsi="Arial"/>
          <w:sz w:val="19"/>
          <w:szCs w:val="19"/>
          <w:i w:val="1"/>
          <w:iCs w:val="1"/>
          <w:color w:val="auto"/>
        </w:rPr>
        <w:t>provided, however</w:t>
      </w:r>
      <w:r>
        <w:rPr>
          <w:rFonts w:ascii="Arial" w:cs="Arial" w:eastAsia="Arial" w:hAnsi="Arial"/>
          <w:sz w:val="19"/>
          <w:szCs w:val="19"/>
          <w:color w:val="auto"/>
        </w:rPr>
        <w:t>, the foregoing shall not be construed as Lessor’s consent to such changes.</w:t>
      </w:r>
    </w:p>
    <w:p>
      <w:pPr>
        <w:spacing w:after="0" w:line="136" w:lineRule="exact"/>
        <w:rPr>
          <w:sz w:val="20"/>
          <w:szCs w:val="20"/>
          <w:color w:val="auto"/>
        </w:rPr>
      </w:pPr>
    </w:p>
    <w:p>
      <w:pPr>
        <w:jc w:val="both"/>
        <w:ind w:firstLine="619"/>
        <w:spacing w:after="0" w:line="209" w:lineRule="auto"/>
        <w:rPr>
          <w:sz w:val="20"/>
          <w:szCs w:val="20"/>
          <w:color w:val="auto"/>
        </w:rPr>
      </w:pPr>
      <w:r>
        <w:rPr>
          <w:rFonts w:ascii="Arial" w:cs="Arial" w:eastAsia="Arial" w:hAnsi="Arial"/>
          <w:sz w:val="19"/>
          <w:szCs w:val="19"/>
          <w:b w:val="1"/>
          <w:bCs w:val="1"/>
          <w:color w:val="auto"/>
        </w:rPr>
        <w:t>Section 1.02. Landlord Subordination</w:t>
      </w:r>
      <w:r>
        <w:rPr>
          <w:rFonts w:ascii="Arial" w:cs="Arial" w:eastAsia="Arial" w:hAnsi="Arial"/>
          <w:sz w:val="19"/>
          <w:szCs w:val="19"/>
          <w:color w:val="auto"/>
        </w:rPr>
        <w:t>. Notwithstanding anything contain in Section 16.01 to the contrary, Lessee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the right from time to time during the Lease Term and without Lessor’s further approval, written or otherwise, to grant a security interest in Lessee’s property (including the Personalty) to Lessee’s and/or Guarantor’s institutional lenders (“</w:t>
      </w:r>
      <w:r>
        <w:rPr>
          <w:rFonts w:ascii="Arial" w:cs="Arial" w:eastAsia="Arial" w:hAnsi="Arial"/>
          <w:sz w:val="19"/>
          <w:szCs w:val="19"/>
          <w:u w:val="single" w:color="auto"/>
          <w:color w:val="auto"/>
        </w:rPr>
        <w:t>Lessee’s Institutional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Lenders</w:t>
      </w:r>
      <w:r>
        <w:rPr>
          <w:rFonts w:ascii="Arial" w:cs="Arial" w:eastAsia="Arial" w:hAnsi="Arial"/>
          <w:sz w:val="19"/>
          <w:szCs w:val="19"/>
          <w:color w:val="auto"/>
        </w:rPr>
        <w:t>”) in connection with Lessee’s and Guarantor’s financing arrangements. Lessor agrees to execute such subordinations and other related documents related to the Lessor subordination described herein (except amendments to this Lease unless Lessor hereafter consents) as Lessee’s Institutional Lender may reasonably request and in a form acceptable to Lessor in connection with any such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19"/>
          <w:szCs w:val="19"/>
          <w:color w:val="auto"/>
        </w:rPr>
        <w:t>28</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59"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XVII</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MISCELLANEOUS</w:t>
      </w:r>
    </w:p>
    <w:p>
      <w:pPr>
        <w:spacing w:after="0" w:line="168"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8"/>
          <w:szCs w:val="18"/>
          <w:b w:val="1"/>
          <w:bCs w:val="1"/>
          <w:color w:val="auto"/>
        </w:rPr>
        <w:t>Section 1.01. Force Majeure</w:t>
      </w:r>
      <w:r>
        <w:rPr>
          <w:rFonts w:ascii="Arial" w:cs="Arial" w:eastAsia="Arial" w:hAnsi="Arial"/>
          <w:sz w:val="18"/>
          <w:szCs w:val="18"/>
          <w:color w:val="auto"/>
        </w:rPr>
        <w:t>. Any prevention, delay or stoppage due to strikes, lockouts, acts of God, enemy or hostile</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action, civil commotion, fire or other casualty beyond the control of the party obligated to perform (each, a “</w:t>
      </w:r>
      <w:r>
        <w:rPr>
          <w:rFonts w:ascii="Arial" w:cs="Arial" w:eastAsia="Arial" w:hAnsi="Arial"/>
          <w:sz w:val="18"/>
          <w:szCs w:val="18"/>
          <w:u w:val="single" w:color="auto"/>
          <w:color w:val="auto"/>
        </w:rPr>
        <w:t>Force</w:t>
      </w:r>
      <w:r>
        <w:rPr>
          <w:rFonts w:ascii="Arial" w:cs="Arial" w:eastAsia="Arial" w:hAnsi="Arial"/>
          <w:sz w:val="18"/>
          <w:szCs w:val="18"/>
          <w:color w:val="auto"/>
        </w:rPr>
        <w:t xml:space="preserve"> </w:t>
      </w:r>
      <w:r>
        <w:rPr>
          <w:rFonts w:ascii="Arial" w:cs="Arial" w:eastAsia="Arial" w:hAnsi="Arial"/>
          <w:sz w:val="18"/>
          <w:szCs w:val="18"/>
          <w:u w:val="single" w:color="auto"/>
          <w:color w:val="auto"/>
        </w:rPr>
        <w:t>Majeure Event</w:t>
      </w:r>
      <w:r>
        <w:rPr>
          <w:rFonts w:ascii="Arial" w:cs="Arial" w:eastAsia="Arial" w:hAnsi="Arial"/>
          <w:sz w:val="18"/>
          <w:szCs w:val="18"/>
          <w:color w:val="auto"/>
        </w:rPr>
        <w:t>”) shall excuse the performance by such party for a period equal to any such prevention, delay or stoppage, expressly excluding, however, the obligations imposed upon Lessee with respect to Rental and other Monetary Obligations to be paid hereunder.</w:t>
      </w:r>
    </w:p>
    <w:p>
      <w:pPr>
        <w:spacing w:after="0" w:line="138" w:lineRule="exact"/>
        <w:rPr>
          <w:sz w:val="20"/>
          <w:szCs w:val="20"/>
          <w:color w:val="auto"/>
        </w:rPr>
      </w:pPr>
    </w:p>
    <w:p>
      <w:pPr>
        <w:jc w:val="both"/>
        <w:ind w:firstLine="619"/>
        <w:spacing w:after="0" w:line="209" w:lineRule="auto"/>
        <w:rPr>
          <w:sz w:val="20"/>
          <w:szCs w:val="20"/>
          <w:color w:val="auto"/>
        </w:rPr>
      </w:pPr>
      <w:r>
        <w:rPr>
          <w:rFonts w:ascii="Arial" w:cs="Arial" w:eastAsia="Arial" w:hAnsi="Arial"/>
          <w:sz w:val="19"/>
          <w:szCs w:val="19"/>
          <w:b w:val="1"/>
          <w:bCs w:val="1"/>
          <w:color w:val="auto"/>
        </w:rPr>
        <w:t>Section 1.02. No Merger</w:t>
      </w:r>
      <w:r>
        <w:rPr>
          <w:rFonts w:ascii="Arial" w:cs="Arial" w:eastAsia="Arial" w:hAnsi="Arial"/>
          <w:sz w:val="19"/>
          <w:szCs w:val="19"/>
          <w:color w:val="auto"/>
        </w:rPr>
        <w:t>. There shall be no merger of this Lease nor of the leasehold estate created by this Lease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fee estate in or ownership of the Property by reason of the fact that the same person, corporation, firm or other entity may acquire or hold or own, directly or indirectly, (a) this Lease or the leasehold estate created by this Lease or any interest in this Lease or in such leasehold estate, and (b) the fee estate or ownership of the Property or any interest in such fee estate or ownership. No such merger shall occur unless and until all persons, corporations, firms and other entities having any interest in (i) this Lease or the leasehold estate created by this Lease, and (ii) the fee estate in or ownership of the Property or any part thereof sought to be merged shall join in a written instrument effecting such merger and shall duly record the same.</w:t>
      </w:r>
    </w:p>
    <w:p>
      <w:pPr>
        <w:spacing w:after="0" w:line="138" w:lineRule="exact"/>
        <w:rPr>
          <w:sz w:val="20"/>
          <w:szCs w:val="20"/>
          <w:color w:val="auto"/>
        </w:rPr>
      </w:pPr>
    </w:p>
    <w:p>
      <w:pPr>
        <w:jc w:val="both"/>
        <w:ind w:firstLine="619"/>
        <w:spacing w:after="0" w:line="213" w:lineRule="auto"/>
        <w:rPr>
          <w:sz w:val="20"/>
          <w:szCs w:val="20"/>
          <w:color w:val="auto"/>
        </w:rPr>
      </w:pPr>
      <w:r>
        <w:rPr>
          <w:rFonts w:ascii="Arial" w:cs="Arial" w:eastAsia="Arial" w:hAnsi="Arial"/>
          <w:sz w:val="19"/>
          <w:szCs w:val="19"/>
          <w:b w:val="1"/>
          <w:bCs w:val="1"/>
          <w:color w:val="auto"/>
        </w:rPr>
        <w:t>Section 1.03. Interpretation</w:t>
      </w:r>
      <w:r>
        <w:rPr>
          <w:rFonts w:ascii="Arial" w:cs="Arial" w:eastAsia="Arial" w:hAnsi="Arial"/>
          <w:sz w:val="19"/>
          <w:szCs w:val="19"/>
          <w:color w:val="auto"/>
        </w:rPr>
        <w:t>. Lessor and Lessee acknowledge and warrant to each other that each has been represented by</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counsel and has executed this Lease after being fully advised by said counsel as to its effect and significance. This Lease shall be interpreted and construed in a fair and impartial manner without regard to such factors as the party which prepared the instrument, the relative bargaining powers of the parties or the domicile of any party. Whenever in this Lease any words of obligation or duty are used, such words or expressions shall have the same force and effect as though made in the form of a covenant.</w:t>
      </w:r>
    </w:p>
    <w:p>
      <w:pPr>
        <w:spacing w:after="0" w:line="139"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b w:val="1"/>
          <w:bCs w:val="1"/>
          <w:color w:val="auto"/>
        </w:rPr>
        <w:t xml:space="preserve">Section 1.04. Characterization. </w:t>
      </w:r>
      <w:r>
        <w:rPr>
          <w:rFonts w:ascii="Arial" w:cs="Arial" w:eastAsia="Arial" w:hAnsi="Arial"/>
          <w:sz w:val="19"/>
          <w:szCs w:val="19"/>
          <w:color w:val="auto"/>
        </w:rPr>
        <w:t>The following expressions of intent, representations, warranties, covenants, agreements,</w:t>
      </w:r>
      <w:r>
        <w:rPr>
          <w:rFonts w:ascii="Arial" w:cs="Arial" w:eastAsia="Arial" w:hAnsi="Arial"/>
          <w:sz w:val="19"/>
          <w:szCs w:val="19"/>
          <w:b w:val="1"/>
          <w:bCs w:val="1"/>
          <w:color w:val="auto"/>
        </w:rPr>
        <w:t xml:space="preserve"> </w:t>
      </w:r>
      <w:r>
        <w:rPr>
          <w:rFonts w:ascii="Arial" w:cs="Arial" w:eastAsia="Arial" w:hAnsi="Arial"/>
          <w:sz w:val="19"/>
          <w:szCs w:val="19"/>
          <w:color w:val="auto"/>
        </w:rPr>
        <w:t>stipulations and waivers are a material inducement to Lessor entering into this Lease:</w:t>
      </w:r>
    </w:p>
    <w:p>
      <w:pPr>
        <w:spacing w:after="0" w:line="160" w:lineRule="exact"/>
        <w:rPr>
          <w:sz w:val="20"/>
          <w:szCs w:val="20"/>
          <w:color w:val="auto"/>
        </w:rPr>
      </w:pPr>
    </w:p>
    <w:p>
      <w:pPr>
        <w:jc w:val="both"/>
        <w:ind w:left="620" w:firstLine="621"/>
        <w:spacing w:after="0" w:line="204" w:lineRule="auto"/>
        <w:tabs>
          <w:tab w:leader="none" w:pos="1856" w:val="left"/>
        </w:tabs>
        <w:numPr>
          <w:ilvl w:val="0"/>
          <w:numId w:val="77"/>
        </w:numPr>
        <w:rPr>
          <w:rFonts w:ascii="Arial" w:cs="Arial" w:eastAsia="Arial" w:hAnsi="Arial"/>
          <w:sz w:val="19"/>
          <w:szCs w:val="19"/>
          <w:color w:val="auto"/>
        </w:rPr>
      </w:pPr>
      <w:r>
        <w:rPr>
          <w:rFonts w:ascii="Arial" w:cs="Arial" w:eastAsia="Arial" w:hAnsi="Arial"/>
          <w:sz w:val="19"/>
          <w:szCs w:val="19"/>
          <w:color w:val="auto"/>
        </w:rPr>
        <w:t>Lessor and Lessee intend that (i) this Lease is a “true lease,” is not a financing lease, capital lease, mortgage, equitable mortgage, deed of trust, trust agreement, security agreement or other financing or trust arrangement, and the economic realities of this Lease are those of a true lease; and (ii) the business relationship created by this Lease and any related documents is solely that of a long-term commercial lease between Lessor and Lessee, the Lease has been entered into by both parties in reliance upon the economic and legal bargains contained herein, and none of the agreements contained herein is intended, nor shall the same be deemed or construed, to create a partnership (</w:t>
      </w:r>
      <w:r>
        <w:rPr>
          <w:rFonts w:ascii="Arial" w:cs="Arial" w:eastAsia="Arial" w:hAnsi="Arial"/>
          <w:sz w:val="19"/>
          <w:szCs w:val="19"/>
          <w:i w:val="1"/>
          <w:iCs w:val="1"/>
          <w:color w:val="auto"/>
        </w:rPr>
        <w:t>de facto</w:t>
      </w:r>
      <w:r>
        <w:rPr>
          <w:rFonts w:ascii="Arial" w:cs="Arial" w:eastAsia="Arial" w:hAnsi="Arial"/>
          <w:sz w:val="19"/>
          <w:szCs w:val="19"/>
          <w:color w:val="auto"/>
        </w:rPr>
        <w:t xml:space="preserve"> or </w:t>
      </w:r>
      <w:r>
        <w:rPr>
          <w:rFonts w:ascii="Arial" w:cs="Arial" w:eastAsia="Arial" w:hAnsi="Arial"/>
          <w:sz w:val="19"/>
          <w:szCs w:val="19"/>
          <w:i w:val="1"/>
          <w:iCs w:val="1"/>
          <w:color w:val="auto"/>
        </w:rPr>
        <w:t>de jure</w:t>
      </w:r>
      <w:r>
        <w:rPr>
          <w:rFonts w:ascii="Arial" w:cs="Arial" w:eastAsia="Arial" w:hAnsi="Arial"/>
          <w:sz w:val="19"/>
          <w:szCs w:val="19"/>
          <w:color w:val="auto"/>
        </w:rPr>
        <w:t>) between Lessor and Lessee, to make them joint venturers, to make Lessee an agent, legal representative, partner, subsidiary or employee of Lessor, nor to make Lessor in any way responsible for the debts, obligations or losses of Lessee.</w:t>
      </w:r>
    </w:p>
    <w:p>
      <w:pPr>
        <w:spacing w:after="0" w:line="164" w:lineRule="exact"/>
        <w:rPr>
          <w:rFonts w:ascii="Arial" w:cs="Arial" w:eastAsia="Arial" w:hAnsi="Arial"/>
          <w:sz w:val="19"/>
          <w:szCs w:val="19"/>
          <w:color w:val="auto"/>
        </w:rPr>
      </w:pPr>
    </w:p>
    <w:p>
      <w:pPr>
        <w:jc w:val="both"/>
        <w:ind w:left="620" w:firstLine="621"/>
        <w:spacing w:after="0" w:line="206" w:lineRule="auto"/>
        <w:tabs>
          <w:tab w:leader="none" w:pos="1856" w:val="left"/>
        </w:tabs>
        <w:numPr>
          <w:ilvl w:val="0"/>
          <w:numId w:val="77"/>
        </w:numPr>
        <w:rPr>
          <w:rFonts w:ascii="Arial" w:cs="Arial" w:eastAsia="Arial" w:hAnsi="Arial"/>
          <w:sz w:val="19"/>
          <w:szCs w:val="19"/>
          <w:color w:val="auto"/>
        </w:rPr>
      </w:pPr>
      <w:r>
        <w:rPr>
          <w:rFonts w:ascii="Arial" w:cs="Arial" w:eastAsia="Arial" w:hAnsi="Arial"/>
          <w:sz w:val="19"/>
          <w:szCs w:val="19"/>
          <w:color w:val="auto"/>
        </w:rPr>
        <w:t>Lessor and Lessee covenant and agree that: (i) each intends to treat this Lease as an operating lease pursuant to Accounting Standards Codification 840 or 842 Leases, as may be amended from time to time, and as a true lease for state Law reporting purposes and for federal income tax purposes; (ii) each party will not, nor will it permit any Affiliate to, at any time, take any action or fail to take any action with respect to the preparation or filing of any statement or disclosure to Governmental Authority, including without limitation, any income tax return (including an amended income tax return), to the extent that such action or such failure to take action would be inconsistent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19"/>
          <w:szCs w:val="19"/>
          <w:color w:val="auto"/>
        </w:rPr>
        <w:t>29</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20"/>
        <w:spacing w:after="0" w:line="208" w:lineRule="auto"/>
        <w:rPr>
          <w:sz w:val="20"/>
          <w:szCs w:val="20"/>
          <w:color w:val="auto"/>
        </w:rPr>
      </w:pPr>
      <w:r>
        <w:rPr>
          <w:rFonts w:ascii="Arial" w:cs="Arial" w:eastAsia="Arial" w:hAnsi="Arial"/>
          <w:sz w:val="19"/>
          <w:szCs w:val="19"/>
          <w:color w:val="auto"/>
        </w:rPr>
        <w:t>with the intention of the parties expressed in this Section 17.04; (iii) with respect to the Property, the Lease Term is less than seventy-five percent (75%) of the estimated remaining economic life of the Property; and (iv) the Base Annual Rental is the fair market value for the use of the Property and was agreed to by Lessor and Lessee on that basis, and the execution and delivery of, and the performance by Lessee of its obligations under, this Lease do not constitute a transfer of all or any part of the Property.</w:t>
      </w:r>
    </w:p>
    <w:p>
      <w:pPr>
        <w:spacing w:after="0" w:line="162" w:lineRule="exact"/>
        <w:rPr>
          <w:sz w:val="20"/>
          <w:szCs w:val="20"/>
          <w:color w:val="auto"/>
        </w:rPr>
      </w:pPr>
    </w:p>
    <w:p>
      <w:pPr>
        <w:jc w:val="both"/>
        <w:ind w:left="620" w:firstLine="621"/>
        <w:spacing w:after="0" w:line="211" w:lineRule="auto"/>
        <w:tabs>
          <w:tab w:leader="none" w:pos="1846" w:val="left"/>
        </w:tabs>
        <w:numPr>
          <w:ilvl w:val="0"/>
          <w:numId w:val="78"/>
        </w:numPr>
        <w:rPr>
          <w:rFonts w:ascii="Arial" w:cs="Arial" w:eastAsia="Arial" w:hAnsi="Arial"/>
          <w:sz w:val="19"/>
          <w:szCs w:val="19"/>
          <w:color w:val="auto"/>
        </w:rPr>
      </w:pPr>
      <w:r>
        <w:rPr>
          <w:rFonts w:ascii="Arial" w:cs="Arial" w:eastAsia="Arial" w:hAnsi="Arial"/>
          <w:sz w:val="19"/>
          <w:szCs w:val="19"/>
          <w:color w:val="auto"/>
        </w:rPr>
        <w:t>Lessee waives any claim or defense based upon the characterization of this Lease as anything other than a true lease of the Property. Lessee stipulates and agrees (i) not to challenge the validity, enforceability or characterization of the lease of the Property as a true lease of the Property; and (ii) not to assert or take or omit to take any action inconsistent with the agreements and understandings set forth in this Section 17.04.</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1.05. Disclosures</w:t>
      </w:r>
      <w:r>
        <w:rPr>
          <w:rFonts w:ascii="Arial" w:cs="Arial" w:eastAsia="Arial" w:hAnsi="Arial"/>
          <w:sz w:val="19"/>
          <w:szCs w:val="19"/>
          <w:color w:val="auto"/>
        </w:rPr>
        <w:t>.</w:t>
      </w:r>
    </w:p>
    <w:p>
      <w:pPr>
        <w:spacing w:after="0" w:line="170" w:lineRule="exact"/>
        <w:rPr>
          <w:sz w:val="20"/>
          <w:szCs w:val="20"/>
          <w:color w:val="auto"/>
        </w:rPr>
      </w:pPr>
    </w:p>
    <w:p>
      <w:pPr>
        <w:jc w:val="both"/>
        <w:ind w:left="620" w:firstLine="621"/>
        <w:spacing w:after="0" w:line="223" w:lineRule="auto"/>
        <w:tabs>
          <w:tab w:leader="none" w:pos="1856" w:val="left"/>
        </w:tabs>
        <w:numPr>
          <w:ilvl w:val="0"/>
          <w:numId w:val="79"/>
        </w:numPr>
        <w:rPr>
          <w:rFonts w:ascii="Arial" w:cs="Arial" w:eastAsia="Arial" w:hAnsi="Arial"/>
          <w:sz w:val="19"/>
          <w:szCs w:val="19"/>
          <w:color w:val="auto"/>
        </w:rPr>
      </w:pPr>
      <w:r>
        <w:rPr>
          <w:rFonts w:ascii="Arial" w:cs="Arial" w:eastAsia="Arial" w:hAnsi="Arial"/>
          <w:sz w:val="19"/>
          <w:szCs w:val="19"/>
          <w:b w:val="1"/>
          <w:bCs w:val="1"/>
          <w:i w:val="1"/>
          <w:iCs w:val="1"/>
          <w:color w:val="auto"/>
        </w:rPr>
        <w:t>Securities Act or Exchange Act</w:t>
      </w:r>
      <w:r>
        <w:rPr>
          <w:rFonts w:ascii="Arial" w:cs="Arial" w:eastAsia="Arial" w:hAnsi="Arial"/>
          <w:sz w:val="19"/>
          <w:szCs w:val="19"/>
          <w:color w:val="auto"/>
        </w:rPr>
        <w:t>. The parties agree that, notwithstanding any provision contained in this Lease,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party (and each employee, representative or other agent of any party) may disclose to any and all persons, without limitation of any kind, any matter required under the Securities Act or the Exchange Act.</w:t>
      </w:r>
    </w:p>
    <w:p>
      <w:pPr>
        <w:spacing w:after="0" w:line="138" w:lineRule="exact"/>
        <w:rPr>
          <w:rFonts w:ascii="Arial" w:cs="Arial" w:eastAsia="Arial" w:hAnsi="Arial"/>
          <w:sz w:val="19"/>
          <w:szCs w:val="19"/>
          <w:color w:val="auto"/>
        </w:rPr>
      </w:pPr>
    </w:p>
    <w:p>
      <w:pPr>
        <w:jc w:val="both"/>
        <w:ind w:left="620" w:firstLine="621"/>
        <w:spacing w:after="0" w:line="217" w:lineRule="auto"/>
        <w:tabs>
          <w:tab w:leader="none" w:pos="1856" w:val="left"/>
        </w:tabs>
        <w:numPr>
          <w:ilvl w:val="0"/>
          <w:numId w:val="79"/>
        </w:numPr>
        <w:rPr>
          <w:rFonts w:ascii="Arial" w:cs="Arial" w:eastAsia="Arial" w:hAnsi="Arial"/>
          <w:sz w:val="19"/>
          <w:szCs w:val="19"/>
          <w:color w:val="auto"/>
        </w:rPr>
      </w:pPr>
      <w:r>
        <w:rPr>
          <w:rFonts w:ascii="Arial" w:cs="Arial" w:eastAsia="Arial" w:hAnsi="Arial"/>
          <w:sz w:val="19"/>
          <w:szCs w:val="19"/>
          <w:b w:val="1"/>
          <w:bCs w:val="1"/>
          <w:i w:val="1"/>
          <w:iCs w:val="1"/>
          <w:color w:val="auto"/>
        </w:rPr>
        <w:t>Lessor Advertising and Related Publications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Each party shall obtain the other party’s prior written consent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before such other party’s name, trademarks, logos, pictures of stores and signage, and basic Transaction information (collectively “</w:t>
      </w:r>
      <w:r>
        <w:rPr>
          <w:rFonts w:ascii="Arial" w:cs="Arial" w:eastAsia="Arial" w:hAnsi="Arial"/>
          <w:sz w:val="19"/>
          <w:szCs w:val="19"/>
          <w:u w:val="single" w:color="auto"/>
          <w:color w:val="auto"/>
        </w:rPr>
        <w:t>Company Information</w:t>
      </w:r>
      <w:r>
        <w:rPr>
          <w:rFonts w:ascii="Arial" w:cs="Arial" w:eastAsia="Arial" w:hAnsi="Arial"/>
          <w:sz w:val="19"/>
          <w:szCs w:val="19"/>
          <w:color w:val="auto"/>
        </w:rPr>
        <w:t>”) is used in connection with any sales, advertising, and press release materials, including on the requesting party’s website.</w:t>
      </w:r>
    </w:p>
    <w:p>
      <w:pPr>
        <w:spacing w:after="0" w:line="138" w:lineRule="exact"/>
        <w:rPr>
          <w:rFonts w:ascii="Arial" w:cs="Arial" w:eastAsia="Arial" w:hAnsi="Arial"/>
          <w:sz w:val="19"/>
          <w:szCs w:val="19"/>
          <w:color w:val="auto"/>
        </w:rPr>
      </w:pPr>
    </w:p>
    <w:p>
      <w:pPr>
        <w:jc w:val="both"/>
        <w:ind w:left="620" w:firstLine="621"/>
        <w:spacing w:after="0" w:line="223" w:lineRule="auto"/>
        <w:tabs>
          <w:tab w:leader="none" w:pos="1846" w:val="left"/>
        </w:tabs>
        <w:numPr>
          <w:ilvl w:val="0"/>
          <w:numId w:val="7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Public Disclosures. </w:t>
      </w:r>
      <w:r>
        <w:rPr>
          <w:rFonts w:ascii="Arial" w:cs="Arial" w:eastAsia="Arial" w:hAnsi="Arial"/>
          <w:sz w:val="19"/>
          <w:szCs w:val="19"/>
          <w:color w:val="auto"/>
        </w:rPr>
        <w:t>Except as required by Law, neither party shall make any public disclosure, including press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releases or any form of media release, of this Lease Agreement or any transactions relating hereto without the prior written consent of the other.</w:t>
      </w:r>
    </w:p>
    <w:p>
      <w:pPr>
        <w:spacing w:after="0" w:line="137"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19"/>
          <w:szCs w:val="19"/>
          <w:b w:val="1"/>
          <w:bCs w:val="1"/>
          <w:color w:val="auto"/>
        </w:rPr>
        <w:t>Section 1.06. Attorneys’ Fees</w:t>
      </w:r>
      <w:r>
        <w:rPr>
          <w:rFonts w:ascii="Arial" w:cs="Arial" w:eastAsia="Arial" w:hAnsi="Arial"/>
          <w:sz w:val="19"/>
          <w:szCs w:val="19"/>
          <w:color w:val="auto"/>
        </w:rPr>
        <w:t>. In the event of any judicial or other adversarial proceeding concerning this Lease,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extent permitted by Law, the prevailing party shall be entitled to recover all of its reasonable attorneys’ fees and other Costs in addition to any other relief to which it may be entitled.</w:t>
      </w:r>
    </w:p>
    <w:p>
      <w:pPr>
        <w:spacing w:after="0" w:line="136" w:lineRule="exact"/>
        <w:rPr>
          <w:sz w:val="20"/>
          <w:szCs w:val="20"/>
          <w:color w:val="auto"/>
        </w:rPr>
      </w:pPr>
    </w:p>
    <w:p>
      <w:pPr>
        <w:jc w:val="both"/>
        <w:ind w:firstLine="619"/>
        <w:spacing w:after="0" w:line="213" w:lineRule="auto"/>
        <w:rPr>
          <w:sz w:val="20"/>
          <w:szCs w:val="20"/>
          <w:color w:val="auto"/>
        </w:rPr>
      </w:pPr>
      <w:r>
        <w:rPr>
          <w:rFonts w:ascii="Arial" w:cs="Arial" w:eastAsia="Arial" w:hAnsi="Arial"/>
          <w:sz w:val="19"/>
          <w:szCs w:val="19"/>
          <w:b w:val="1"/>
          <w:bCs w:val="1"/>
          <w:color w:val="auto"/>
        </w:rPr>
        <w:t>Section 1.07. Memorandum of Lease</w:t>
      </w:r>
      <w:r>
        <w:rPr>
          <w:rFonts w:ascii="Arial" w:cs="Arial" w:eastAsia="Arial" w:hAnsi="Arial"/>
          <w:sz w:val="19"/>
          <w:szCs w:val="19"/>
          <w:color w:val="auto"/>
        </w:rPr>
        <w:t>. Prior to the execution of this Lease, Lessor and Lessee executed Lessor’s standard</w:t>
      </w:r>
      <w:r>
        <w:rPr>
          <w:rFonts w:ascii="Arial" w:cs="Arial" w:eastAsia="Arial" w:hAnsi="Arial"/>
          <w:sz w:val="19"/>
          <w:szCs w:val="19"/>
          <w:b w:val="1"/>
          <w:bCs w:val="1"/>
          <w:color w:val="auto"/>
        </w:rPr>
        <w:t xml:space="preserve"> </w:t>
      </w:r>
      <w:r>
        <w:rPr>
          <w:rFonts w:ascii="Arial" w:cs="Arial" w:eastAsia="Arial" w:hAnsi="Arial"/>
          <w:sz w:val="19"/>
          <w:szCs w:val="19"/>
          <w:color w:val="auto"/>
        </w:rPr>
        <w:t>form memorandum of lease in recordable form, indicating the names and addresses of Lessor and Lessee, a description of the Property, the Lease Term, but omitting Rentals and such other terms of this Lease as Lessor may not desire to disclose to the public. Further, upon Lessor’s reasonable request, Lessee agrees to execute and acknowledge a termination of lease and/or quitclaim deed in recordable form to be held by Lessor until the expiration or sooner termination of the Lease Term.</w:t>
      </w:r>
    </w:p>
    <w:p>
      <w:pPr>
        <w:spacing w:after="0" w:line="139" w:lineRule="exact"/>
        <w:rPr>
          <w:sz w:val="20"/>
          <w:szCs w:val="20"/>
          <w:color w:val="auto"/>
        </w:rPr>
      </w:pPr>
    </w:p>
    <w:p>
      <w:pPr>
        <w:jc w:val="both"/>
        <w:ind w:firstLine="619"/>
        <w:spacing w:after="0" w:line="211" w:lineRule="auto"/>
        <w:rPr>
          <w:sz w:val="20"/>
          <w:szCs w:val="20"/>
          <w:color w:val="auto"/>
        </w:rPr>
      </w:pPr>
      <w:r>
        <w:rPr>
          <w:rFonts w:ascii="Arial" w:cs="Arial" w:eastAsia="Arial" w:hAnsi="Arial"/>
          <w:sz w:val="19"/>
          <w:szCs w:val="19"/>
          <w:b w:val="1"/>
          <w:bCs w:val="1"/>
          <w:color w:val="auto"/>
        </w:rPr>
        <w:t>Section 1.08. No Brokerage</w:t>
      </w:r>
      <w:r>
        <w:rPr>
          <w:rFonts w:ascii="Arial" w:cs="Arial" w:eastAsia="Arial" w:hAnsi="Arial"/>
          <w:sz w:val="19"/>
          <w:szCs w:val="19"/>
          <w:color w:val="auto"/>
        </w:rPr>
        <w:t>. Lessor and Lessee represent and warrant to each other that they have had no conversation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negotiations with any broker, other than Olive Real Estate Group (whose fees have been or will be paid in accordance with the terms a separate disbursement agreement) concerning the leasing of the Property. Each of Lessor and Lessee agrees to protect, defend (using counsel chosen by Lessee and approved by Lessor), indemnify, save and keep harmless the other, against and from all liabilities, claims, losses, Costs, damages and expenses, including reasonable attorneys’ fees, arising out of, resulting from or in connection with their breach of the foregoing warranty and representation.</w:t>
      </w:r>
    </w:p>
    <w:p>
      <w:pPr>
        <w:spacing w:after="0" w:line="137"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b w:val="1"/>
          <w:bCs w:val="1"/>
          <w:color w:val="auto"/>
        </w:rPr>
        <w:t>Section 1.09. Waiver of Jury Trial and Certain Damages</w:t>
      </w:r>
      <w:r>
        <w:rPr>
          <w:rFonts w:ascii="Arial" w:cs="Arial" w:eastAsia="Arial" w:hAnsi="Arial"/>
          <w:sz w:val="19"/>
          <w:szCs w:val="19"/>
          <w:color w:val="auto"/>
        </w:rPr>
        <w:t>. LESSOR AND LESSEE HEREBY KNOWINGLY, VOLUNTARILY</w:t>
      </w:r>
      <w:r>
        <w:rPr>
          <w:rFonts w:ascii="Arial" w:cs="Arial" w:eastAsia="Arial" w:hAnsi="Arial"/>
          <w:sz w:val="19"/>
          <w:szCs w:val="19"/>
          <w:b w:val="1"/>
          <w:bCs w:val="1"/>
          <w:color w:val="auto"/>
        </w:rPr>
        <w:t xml:space="preserve"> </w:t>
      </w:r>
      <w:r>
        <w:rPr>
          <w:rFonts w:ascii="Arial" w:cs="Arial" w:eastAsia="Arial" w:hAnsi="Arial"/>
          <w:sz w:val="19"/>
          <w:szCs w:val="19"/>
          <w:color w:val="auto"/>
        </w:rPr>
        <w:t>AND INTENTIONALLY WAIVE THE RIGHT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30</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01" w:lineRule="auto"/>
        <w:rPr>
          <w:sz w:val="20"/>
          <w:szCs w:val="20"/>
          <w:color w:val="auto"/>
        </w:rPr>
      </w:pPr>
      <w:r>
        <w:rPr>
          <w:rFonts w:ascii="Arial" w:cs="Arial" w:eastAsia="Arial" w:hAnsi="Arial"/>
          <w:sz w:val="19"/>
          <w:szCs w:val="19"/>
          <w:color w:val="auto"/>
        </w:rPr>
        <w:t>MAY HAVE TO A TRIAL BY JURY WITH RESPECT TO ANY AND ALL ISSUES PRESENTED IN ANY ACTION, PROCEEDING, CLAIM OR COUNTERCLAIM BROUGHT BY EITHER OF THE PARTIES HERETO AGAINST THE OTHER OR ITS SUCCESSORS WITH RESPECT TO ANY MATTER ARISING OUT OF OR IN CONNECTION WITH THIS LEASE, THE RELATIONSHIP OF LESSOR AND LESSEE, LESSEE’S USE OR OCCUPANCY OF THE PROPERTY, AND/OR ANY CLAIM FOR INJURY OR DAMAGE, OR ANY EMERGENCY OR STATUTORY REMEDY. THIS WAIVER BY THE PARTIES HERETO OF ANY RIGHT EITHER MAY HAVE TO A TRIAL BY JURY HAS BEEN NEGOTIATED AND IS AN ESSENTIAL ASPECT OF THEIR BARGAIN. FURTHERMORE, LESSOR AND LESSEE HEREBY KNOWINGLY, VOLUNTARILY AND INTENTIONALLY WAIVE THE RIGHT EITHER MAY HAVE TO SEEK PUNITIVE, CONSEQUENTIAL, SPECIAL AND INDIRECT DAMAGES FROM THE OTHER PARTY AND ANY OF THE AFFILIATES, OFFICERS, DIRECTORS, MEMBERS, MANAGERS OR EMPLOYEES OF LESSOR OR LESSEE, AS APPLICABLE, OR ANY OF THEIR SUCCESSORS WITH RESPECT TO ANY AND ALL ISSUES PRESENTED IN ANY ACTION, PROCEEDING, CLAIM OR COUNTERCLAIM BROUGHT WITH RESPECT TO ANY MATTER ARISING OUT OF OR IN CONNECTION WITH THIS LEASE OR ANY DOCUMENT CONTEMPLATED HEREIN OR RELATED HERETO. THE WAIVER BY LESSOR AND LESSEE OF ANY RIGHT EITHER MAY HAVE TO SEEK PUNITIVE, CONSEQUENTIAL, SPECIAL AND INDIRECT DAMAGES HAS BEEN NEGOTIATED BY THE PARTIES HERETO AND IS AN ESSENTIAL ASPECT OF THEIR BARGAIN.</w:t>
      </w:r>
    </w:p>
    <w:p>
      <w:pPr>
        <w:spacing w:after="0" w:line="147" w:lineRule="exact"/>
        <w:rPr>
          <w:sz w:val="20"/>
          <w:szCs w:val="20"/>
          <w:color w:val="auto"/>
        </w:rPr>
      </w:pPr>
    </w:p>
    <w:p>
      <w:pPr>
        <w:jc w:val="both"/>
        <w:ind w:firstLine="619"/>
        <w:spacing w:after="0" w:line="203" w:lineRule="auto"/>
        <w:rPr>
          <w:sz w:val="20"/>
          <w:szCs w:val="20"/>
          <w:color w:val="auto"/>
        </w:rPr>
      </w:pPr>
      <w:r>
        <w:rPr>
          <w:rFonts w:ascii="Arial" w:cs="Arial" w:eastAsia="Arial" w:hAnsi="Arial"/>
          <w:sz w:val="19"/>
          <w:szCs w:val="19"/>
          <w:b w:val="1"/>
          <w:bCs w:val="1"/>
          <w:color w:val="auto"/>
        </w:rPr>
        <w:t>Section 1.10. Securitizations</w:t>
      </w:r>
      <w:r>
        <w:rPr>
          <w:rFonts w:ascii="Arial" w:cs="Arial" w:eastAsia="Arial" w:hAnsi="Arial"/>
          <w:sz w:val="19"/>
          <w:szCs w:val="19"/>
          <w:color w:val="auto"/>
        </w:rPr>
        <w:t>. As a material inducement to Lessor’s willingness to enter into the Transactions contemplated</w:t>
      </w:r>
      <w:r>
        <w:rPr>
          <w:rFonts w:ascii="Arial" w:cs="Arial" w:eastAsia="Arial" w:hAnsi="Arial"/>
          <w:sz w:val="19"/>
          <w:szCs w:val="19"/>
          <w:b w:val="1"/>
          <w:bCs w:val="1"/>
          <w:color w:val="auto"/>
        </w:rPr>
        <w:t xml:space="preserve"> </w:t>
      </w:r>
      <w:r>
        <w:rPr>
          <w:rFonts w:ascii="Arial" w:cs="Arial" w:eastAsia="Arial" w:hAnsi="Arial"/>
          <w:sz w:val="19"/>
          <w:szCs w:val="19"/>
          <w:color w:val="auto"/>
        </w:rPr>
        <w:t>by this Lease and the other Transaction Documents, Lessee hereby acknowledges and agrees that Lessor may, from time to time and at any time (a) advertise, issue press releases, send direct mail or otherwise disclose information regarding the Transaction for marketing purposes with Lessee’s prior written consent; and (b) (i) act or permit another Person to act as sponsor, settler, transferor or depositor of, or a holder of interests in, one or more Persons or other arrangements formed pursuant to a trust agreement, indenture, pooling agreement, participation agreement, sale and servicing agreement, limited liability company agreement, partnership agreement, articles of incorporation or similar agreement or document; and (ii) permit one or more of such Persons or arrangements to offer and sell stock, certificates, bonds, notes, other evidences of indebtedness or securities that are directly or indirectly secured, collateralized or otherwise backed by or represent a direct or indirect interest in whole or in part in any of the assets, rights or properties described in Section 14.01 of this Lease, in one or more Persons or arrangements holding such assets, rights or properties, or any of them (collectively, the “</w:t>
      </w:r>
      <w:r>
        <w:rPr>
          <w:rFonts w:ascii="Arial" w:cs="Arial" w:eastAsia="Arial" w:hAnsi="Arial"/>
          <w:sz w:val="19"/>
          <w:szCs w:val="19"/>
          <w:u w:val="single" w:color="auto"/>
          <w:color w:val="auto"/>
        </w:rPr>
        <w:t>Securities</w:t>
      </w:r>
      <w:r>
        <w:rPr>
          <w:rFonts w:ascii="Arial" w:cs="Arial" w:eastAsia="Arial" w:hAnsi="Arial"/>
          <w:sz w:val="19"/>
          <w:szCs w:val="19"/>
          <w:color w:val="auto"/>
        </w:rPr>
        <w:t>”), whether any such Securities are privately or publicly offered and sold, or rated or unrated (any combination of which actions and transactions described in both clauses (i) and (ii) in this paragraph, whether proposed or completed, are referred to in this Lease as a “</w:t>
      </w:r>
      <w:r>
        <w:rPr>
          <w:rFonts w:ascii="Arial" w:cs="Arial" w:eastAsia="Arial" w:hAnsi="Arial"/>
          <w:sz w:val="19"/>
          <w:szCs w:val="19"/>
          <w:u w:val="single" w:color="auto"/>
          <w:color w:val="auto"/>
        </w:rPr>
        <w:t>Securitization</w:t>
      </w:r>
      <w:r>
        <w:rPr>
          <w:rFonts w:ascii="Arial" w:cs="Arial" w:eastAsia="Arial" w:hAnsi="Arial"/>
          <w:sz w:val="19"/>
          <w:szCs w:val="19"/>
          <w:color w:val="auto"/>
        </w:rPr>
        <w:t>”). Lessee shall cooperate fully with Lessor and any Affected Party with respect to all reasonable requests and due diligence procedures and use reasonable efforts to facilitate such Securitization, provided that such cooperation shall be at no additional cost or expense to Lessee so long as Lessee is not otherwise required to provide such information to Lessor pursuant to the other provisions of this Lease.</w:t>
      </w:r>
    </w:p>
    <w:p>
      <w:pPr>
        <w:spacing w:after="0" w:line="137"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b w:val="1"/>
          <w:bCs w:val="1"/>
          <w:color w:val="auto"/>
        </w:rPr>
        <w:t>Section 1.11. State-Specific Provisions</w:t>
      </w:r>
      <w:r>
        <w:rPr>
          <w:rFonts w:ascii="Arial" w:cs="Arial" w:eastAsia="Arial" w:hAnsi="Arial"/>
          <w:sz w:val="19"/>
          <w:szCs w:val="19"/>
          <w:color w:val="auto"/>
        </w:rPr>
        <w:t>. The provisions and/or remedies which are set forth on the attached</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D</w:t>
      </w:r>
      <w:r>
        <w:rPr>
          <w:rFonts w:ascii="Arial" w:cs="Arial" w:eastAsia="Arial" w:hAnsi="Arial"/>
          <w:sz w:val="19"/>
          <w:szCs w:val="19"/>
          <w:b w:val="1"/>
          <w:bCs w:val="1"/>
          <w:color w:val="auto"/>
        </w:rPr>
        <w:t xml:space="preserve"> </w:t>
      </w:r>
      <w:r>
        <w:rPr>
          <w:rFonts w:ascii="Arial" w:cs="Arial" w:eastAsia="Arial" w:hAnsi="Arial"/>
          <w:sz w:val="19"/>
          <w:szCs w:val="19"/>
          <w:color w:val="auto"/>
        </w:rPr>
        <w:t>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deemed a part of and included within the terms and conditions of this Lease.</w:t>
      </w:r>
    </w:p>
    <w:p>
      <w:pPr>
        <w:spacing w:after="0" w:line="136"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19"/>
          <w:szCs w:val="19"/>
          <w:b w:val="1"/>
          <w:bCs w:val="1"/>
          <w:color w:val="auto"/>
        </w:rPr>
        <w:t>Section 1.12. Time is of the Essence; Computation</w:t>
      </w:r>
      <w:r>
        <w:rPr>
          <w:rFonts w:ascii="Arial" w:cs="Arial" w:eastAsia="Arial" w:hAnsi="Arial"/>
          <w:sz w:val="19"/>
          <w:szCs w:val="19"/>
          <w:color w:val="auto"/>
        </w:rPr>
        <w:t>. Time is of the essence with respect to each and every provision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Lease. If any deadline provided herein falls on a non-Business Day, such deadline shall be extended to the next day that is a Business Day.</w:t>
      </w:r>
    </w:p>
    <w:p>
      <w:pPr>
        <w:spacing w:after="0" w:line="136"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19"/>
          <w:szCs w:val="19"/>
          <w:b w:val="1"/>
          <w:bCs w:val="1"/>
          <w:color w:val="auto"/>
        </w:rPr>
        <w:t>Section 1.13. Waiver and Amendment</w:t>
      </w:r>
      <w:r>
        <w:rPr>
          <w:rFonts w:ascii="Arial" w:cs="Arial" w:eastAsia="Arial" w:hAnsi="Arial"/>
          <w:sz w:val="19"/>
          <w:szCs w:val="19"/>
          <w:color w:val="auto"/>
        </w:rPr>
        <w:t>. No provision of this Lease shall be deemed waived or amended except by a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instrument unambiguously setting forth the matter waived or amended and signed by the party against which enforcement of such waiver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31</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08" w:lineRule="auto"/>
        <w:rPr>
          <w:sz w:val="20"/>
          <w:szCs w:val="20"/>
          <w:color w:val="auto"/>
        </w:rPr>
      </w:pPr>
      <w:r>
        <w:rPr>
          <w:rFonts w:ascii="Arial" w:cs="Arial" w:eastAsia="Arial" w:hAnsi="Arial"/>
          <w:sz w:val="19"/>
          <w:szCs w:val="19"/>
          <w:color w:val="auto"/>
        </w:rPr>
        <w:t>amendment is sought. Waiver of any matter shall not be deemed a waiver of the same or any other matter on any future occasion. No acceptance by Lessor of an amount less than the Rental and other Monetary Obligations stipulated to be due under this Lease shall be deemed to be other than a payment on account of the earliest such Rental or other Monetary Obligations then due or in arrears nor shall any endorsement or statement on any check or letter accompanying any such payment be deemed a waiver of Lessor’s right to collect any unpaid amounts or an accord and satisfaction.</w:t>
      </w:r>
    </w:p>
    <w:p>
      <w:pPr>
        <w:spacing w:after="0" w:line="138"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19"/>
          <w:szCs w:val="19"/>
          <w:b w:val="1"/>
          <w:bCs w:val="1"/>
          <w:color w:val="auto"/>
        </w:rPr>
        <w:t>Section 1.14. Successors Bound</w:t>
      </w:r>
      <w:r>
        <w:rPr>
          <w:rFonts w:ascii="Arial" w:cs="Arial" w:eastAsia="Arial" w:hAnsi="Arial"/>
          <w:sz w:val="19"/>
          <w:szCs w:val="19"/>
          <w:color w:val="auto"/>
        </w:rPr>
        <w:t>. Except as otherwise specifically provided herein, the terms, covenants and conditions</w:t>
      </w:r>
      <w:r>
        <w:rPr>
          <w:rFonts w:ascii="Arial" w:cs="Arial" w:eastAsia="Arial" w:hAnsi="Arial"/>
          <w:sz w:val="19"/>
          <w:szCs w:val="19"/>
          <w:b w:val="1"/>
          <w:bCs w:val="1"/>
          <w:color w:val="auto"/>
        </w:rPr>
        <w:t xml:space="preserve"> </w:t>
      </w:r>
      <w:r>
        <w:rPr>
          <w:rFonts w:ascii="Arial" w:cs="Arial" w:eastAsia="Arial" w:hAnsi="Arial"/>
          <w:sz w:val="19"/>
          <w:szCs w:val="19"/>
          <w:color w:val="auto"/>
        </w:rPr>
        <w:t>contained in this Lease shall bind and inure to the benefit of the respective heirs, successors, executors, administrators and assigns of each of the parties hereto.</w:t>
      </w:r>
    </w:p>
    <w:p>
      <w:pPr>
        <w:spacing w:after="0" w:line="136"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b w:val="1"/>
          <w:bCs w:val="1"/>
          <w:color w:val="auto"/>
        </w:rPr>
        <w:t>Section 1.15. Captions</w:t>
      </w:r>
      <w:r>
        <w:rPr>
          <w:rFonts w:ascii="Arial" w:cs="Arial" w:eastAsia="Arial" w:hAnsi="Arial"/>
          <w:sz w:val="19"/>
          <w:szCs w:val="19"/>
          <w:color w:val="auto"/>
        </w:rPr>
        <w:t>. Captions are used throughout this Lease for convenience of reference only and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considered in any manner in the construction or interpretation hereof.</w:t>
      </w:r>
    </w:p>
    <w:p>
      <w:pPr>
        <w:spacing w:after="0" w:line="136"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b w:val="1"/>
          <w:bCs w:val="1"/>
          <w:color w:val="auto"/>
        </w:rPr>
        <w:t>Section 1.16. Other Documents</w:t>
      </w:r>
      <w:r>
        <w:rPr>
          <w:rFonts w:ascii="Arial" w:cs="Arial" w:eastAsia="Arial" w:hAnsi="Arial"/>
          <w:sz w:val="19"/>
          <w:szCs w:val="19"/>
          <w:color w:val="auto"/>
        </w:rPr>
        <w:t>. Each of the parties agrees to sign such other and further documents as may be reasonably</w:t>
      </w:r>
      <w:r>
        <w:rPr>
          <w:rFonts w:ascii="Arial" w:cs="Arial" w:eastAsia="Arial" w:hAnsi="Arial"/>
          <w:sz w:val="19"/>
          <w:szCs w:val="19"/>
          <w:b w:val="1"/>
          <w:bCs w:val="1"/>
          <w:color w:val="auto"/>
        </w:rPr>
        <w:t xml:space="preserve"> </w:t>
      </w:r>
      <w:r>
        <w:rPr>
          <w:rFonts w:ascii="Arial" w:cs="Arial" w:eastAsia="Arial" w:hAnsi="Arial"/>
          <w:sz w:val="19"/>
          <w:szCs w:val="19"/>
          <w:color w:val="auto"/>
        </w:rPr>
        <w:t>necessary or appropriate to carry out the intentions expressed in this Lease.</w:t>
      </w:r>
    </w:p>
    <w:p>
      <w:pPr>
        <w:spacing w:after="0" w:line="136"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19"/>
          <w:szCs w:val="19"/>
          <w:b w:val="1"/>
          <w:bCs w:val="1"/>
          <w:color w:val="auto"/>
        </w:rPr>
        <w:t>Section 1.17. Entire Agreement</w:t>
      </w:r>
      <w:r>
        <w:rPr>
          <w:rFonts w:ascii="Arial" w:cs="Arial" w:eastAsia="Arial" w:hAnsi="Arial"/>
          <w:sz w:val="19"/>
          <w:szCs w:val="19"/>
          <w:color w:val="auto"/>
        </w:rPr>
        <w:t>. This Lease and any other instruments or agreements referred to herein, constitute the entire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between the parties with respect to the subject matter hereof, and there are no other representations, warranties or agreements except as herein provided.</w:t>
      </w:r>
    </w:p>
    <w:p>
      <w:pPr>
        <w:spacing w:after="0" w:line="136" w:lineRule="exact"/>
        <w:rPr>
          <w:sz w:val="20"/>
          <w:szCs w:val="20"/>
          <w:color w:val="auto"/>
        </w:rPr>
      </w:pPr>
    </w:p>
    <w:p>
      <w:pPr>
        <w:jc w:val="both"/>
        <w:ind w:firstLine="619"/>
        <w:spacing w:after="0" w:line="207" w:lineRule="auto"/>
        <w:rPr>
          <w:sz w:val="20"/>
          <w:szCs w:val="20"/>
          <w:color w:val="auto"/>
        </w:rPr>
      </w:pPr>
      <w:r>
        <w:rPr>
          <w:rFonts w:ascii="Arial" w:cs="Arial" w:eastAsia="Arial" w:hAnsi="Arial"/>
          <w:sz w:val="19"/>
          <w:szCs w:val="19"/>
          <w:b w:val="1"/>
          <w:bCs w:val="1"/>
          <w:color w:val="auto"/>
        </w:rPr>
        <w:t>Section 1.18. Forum Selection; Jurisdiction; Venue; Choice of Law</w:t>
      </w:r>
      <w:r>
        <w:rPr>
          <w:rFonts w:ascii="Arial" w:cs="Arial" w:eastAsia="Arial" w:hAnsi="Arial"/>
          <w:sz w:val="19"/>
          <w:szCs w:val="19"/>
          <w:color w:val="auto"/>
        </w:rPr>
        <w:t>. For purposes of any action or proceeding arising out</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Lease, the parties hereto expressly submit to the jurisdiction of all federal and state courts located in the state where the Property is located. Lessee and Lessor each consents that it may be served with any process or paper by registered mail or by personal service within or without the state where the Property is located in accordance with applicable Law. Furthermore, Lessee waives and agrees not to assert in any such action, suit or proceeding that it is not personally subject to the jurisdiction of such courts, that the action, suit or proceeding is brought in an inconvenient forum or that venue of the action, suit or proceeding is improper. This Lease shall be governed by, and construed with, the Laws of the applicable state in which the Property is located, without giving effect to any state’s conflict of Laws principles.</w:t>
      </w:r>
    </w:p>
    <w:p>
      <w:pPr>
        <w:spacing w:after="0" w:line="143"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19"/>
          <w:szCs w:val="19"/>
          <w:b w:val="1"/>
          <w:bCs w:val="1"/>
          <w:color w:val="auto"/>
        </w:rPr>
        <w:t>Section 1.19. Counterparts</w:t>
      </w:r>
      <w:r>
        <w:rPr>
          <w:rFonts w:ascii="Arial" w:cs="Arial" w:eastAsia="Arial" w:hAnsi="Arial"/>
          <w:sz w:val="19"/>
          <w:szCs w:val="19"/>
          <w:color w:val="auto"/>
        </w:rPr>
        <w:t>. This Lease may be executed in one or more counterparts, each of which shall be deemed an</w:t>
      </w:r>
      <w:r>
        <w:rPr>
          <w:rFonts w:ascii="Arial" w:cs="Arial" w:eastAsia="Arial" w:hAnsi="Arial"/>
          <w:sz w:val="19"/>
          <w:szCs w:val="19"/>
          <w:b w:val="1"/>
          <w:bCs w:val="1"/>
          <w:color w:val="auto"/>
        </w:rPr>
        <w:t xml:space="preserve"> </w:t>
      </w:r>
      <w:r>
        <w:rPr>
          <w:rFonts w:ascii="Arial" w:cs="Arial" w:eastAsia="Arial" w:hAnsi="Arial"/>
          <w:sz w:val="19"/>
          <w:szCs w:val="19"/>
          <w:color w:val="auto"/>
        </w:rPr>
        <w:t>original. Furthermore, the undersigned agree that transmission of this Lease via e-mail in a “.pdf” or other electronic format shall be deemed transmission of the original Lease for all purposes.</w:t>
      </w:r>
    </w:p>
    <w:p>
      <w:pPr>
        <w:spacing w:after="0" w:line="136" w:lineRule="exact"/>
        <w:rPr>
          <w:sz w:val="20"/>
          <w:szCs w:val="20"/>
          <w:color w:val="auto"/>
        </w:rPr>
      </w:pPr>
    </w:p>
    <w:p>
      <w:pPr>
        <w:ind w:left="4700"/>
        <w:spacing w:after="0"/>
        <w:rPr>
          <w:sz w:val="20"/>
          <w:szCs w:val="20"/>
          <w:color w:val="auto"/>
        </w:rPr>
      </w:pPr>
      <w:r>
        <w:rPr>
          <w:rFonts w:ascii="Arial" w:cs="Arial" w:eastAsia="Arial" w:hAnsi="Arial"/>
          <w:sz w:val="19"/>
          <w:szCs w:val="19"/>
          <w:b w:val="1"/>
          <w:bCs w:val="1"/>
          <w:color w:val="auto"/>
        </w:rPr>
        <w:t>ARTICLE XVIII</w:t>
      </w:r>
    </w:p>
    <w:p>
      <w:pPr>
        <w:spacing w:after="0" w:line="142" w:lineRule="exact"/>
        <w:rPr>
          <w:sz w:val="20"/>
          <w:szCs w:val="20"/>
          <w:color w:val="auto"/>
        </w:rPr>
      </w:pPr>
    </w:p>
    <w:p>
      <w:pPr>
        <w:ind w:left="4400"/>
        <w:spacing w:after="0"/>
        <w:rPr>
          <w:sz w:val="20"/>
          <w:szCs w:val="20"/>
          <w:color w:val="auto"/>
        </w:rPr>
      </w:pPr>
      <w:r>
        <w:rPr>
          <w:rFonts w:ascii="Arial" w:cs="Arial" w:eastAsia="Arial" w:hAnsi="Arial"/>
          <w:sz w:val="19"/>
          <w:szCs w:val="19"/>
          <w:b w:val="1"/>
          <w:bCs w:val="1"/>
          <w:color w:val="auto"/>
        </w:rPr>
        <w:t>RIGHT OF FIRST REFUSAL</w:t>
      </w:r>
    </w:p>
    <w:p>
      <w:pPr>
        <w:spacing w:after="0" w:line="168" w:lineRule="exact"/>
        <w:rPr>
          <w:sz w:val="20"/>
          <w:szCs w:val="20"/>
          <w:color w:val="auto"/>
        </w:rPr>
      </w:pPr>
    </w:p>
    <w:p>
      <w:pPr>
        <w:jc w:val="both"/>
        <w:ind w:firstLine="619"/>
        <w:spacing w:after="0" w:line="209" w:lineRule="auto"/>
        <w:rPr>
          <w:sz w:val="20"/>
          <w:szCs w:val="20"/>
          <w:color w:val="auto"/>
        </w:rPr>
      </w:pPr>
      <w:r>
        <w:rPr>
          <w:rFonts w:ascii="Arial" w:cs="Arial" w:eastAsia="Arial" w:hAnsi="Arial"/>
          <w:sz w:val="19"/>
          <w:szCs w:val="19"/>
          <w:b w:val="1"/>
          <w:bCs w:val="1"/>
          <w:color w:val="auto"/>
        </w:rPr>
        <w:t>Section 1.01. Offer</w:t>
      </w:r>
      <w:r>
        <w:rPr>
          <w:rFonts w:ascii="Arial" w:cs="Arial" w:eastAsia="Arial" w:hAnsi="Arial"/>
          <w:sz w:val="19"/>
          <w:szCs w:val="19"/>
          <w:color w:val="auto"/>
        </w:rPr>
        <w:t>. Subject to the terms and conditions set forth in this Section Article XVIII, if Lessor desires to sell the</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and receives a bona fide written offer from a third party which offer is in all respects acceptable to Lessor, Lessor shall deliver a complete copy of such bona fide third party offer to Lessee (“</w:t>
      </w:r>
      <w:r>
        <w:rPr>
          <w:rFonts w:ascii="Arial" w:cs="Arial" w:eastAsia="Arial" w:hAnsi="Arial"/>
          <w:sz w:val="19"/>
          <w:szCs w:val="19"/>
          <w:u w:val="single" w:color="auto"/>
          <w:color w:val="auto"/>
        </w:rPr>
        <w:t>Third Party Offer</w:t>
      </w:r>
      <w:r>
        <w:rPr>
          <w:rFonts w:ascii="Arial" w:cs="Arial" w:eastAsia="Arial" w:hAnsi="Arial"/>
          <w:sz w:val="19"/>
          <w:szCs w:val="19"/>
          <w:color w:val="auto"/>
        </w:rPr>
        <w:t>”). Within twenty-one (21) days of Lessee’s receipt of the first Third Party Offer delivered hereunder, and within fifteen (15) days of Lessee’s receipt of subsequent Third Party Offer from Lessor, and a written statement of Lessor’s desire to sell the Property in accordance with such Third Party Offer, Lessee shall have the right to deliver an offer to Lessor (“</w:t>
      </w:r>
      <w:r>
        <w:rPr>
          <w:rFonts w:ascii="Arial" w:cs="Arial" w:eastAsia="Arial" w:hAnsi="Arial"/>
          <w:sz w:val="19"/>
          <w:szCs w:val="19"/>
          <w:u w:val="single" w:color="auto"/>
          <w:color w:val="auto"/>
        </w:rPr>
        <w:t>Purchase Offer</w:t>
      </w:r>
      <w:r>
        <w:rPr>
          <w:rFonts w:ascii="Arial" w:cs="Arial" w:eastAsia="Arial" w:hAnsi="Arial"/>
          <w:sz w:val="19"/>
          <w:szCs w:val="19"/>
          <w:color w:val="auto"/>
        </w:rPr>
        <w:t>”) to purchase Lessor’s interest in any such Property for the amount of the bona fide third party offer to purchase the Property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9"/>
          <w:szCs w:val="19"/>
          <w:color w:val="auto"/>
        </w:rPr>
        <w:t>32</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Subject Purchase Price</w:t>
      </w:r>
      <w:r>
        <w:rPr>
          <w:rFonts w:ascii="Arial" w:cs="Arial" w:eastAsia="Arial" w:hAnsi="Arial"/>
          <w:sz w:val="19"/>
          <w:szCs w:val="19"/>
          <w:color w:val="auto"/>
        </w:rPr>
        <w:t>”). Lessee shall complete such purchase, subject to the satisfaction of each of the terms and conditions set forth in Section 18.02 below.</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Section 1.02. Conditions Precedent.</w:t>
      </w:r>
    </w:p>
    <w:p>
      <w:pPr>
        <w:spacing w:after="0" w:line="192" w:lineRule="exact"/>
        <w:rPr>
          <w:sz w:val="20"/>
          <w:szCs w:val="20"/>
          <w:color w:val="auto"/>
        </w:rPr>
      </w:pPr>
    </w:p>
    <w:p>
      <w:pPr>
        <w:jc w:val="both"/>
        <w:ind w:left="620" w:firstLine="621"/>
        <w:spacing w:after="0" w:line="206" w:lineRule="auto"/>
        <w:tabs>
          <w:tab w:leader="none" w:pos="1856"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purchase of Lessor’s interest in the Property pursuant to Section 18.01 shall be subject to the fulfillment of all of the following terms and conditions: (i) no Event of Default shall have occurred and be continuing under this Lease or other Transaction Documents; (ii) Lessee shall have paid to Lessor the Subject Purchase Price, together with all Rental and other Monetary Obligations then due and payable under this Lease as of the date of the closing of such purchase; (iii) in addition to payment of the Subject Purchase Price, Lessee shall have satisfied its obligations under Section 18.03 below; and (iv) the date of the closing of such purchase shall occur within sixty (60) days of Lessor’s receipt of the Purchase Offer.</w:t>
      </w:r>
    </w:p>
    <w:p>
      <w:pPr>
        <w:spacing w:after="0" w:line="163" w:lineRule="exact"/>
        <w:rPr>
          <w:rFonts w:ascii="Arial" w:cs="Arial" w:eastAsia="Arial" w:hAnsi="Arial"/>
          <w:sz w:val="19"/>
          <w:szCs w:val="19"/>
          <w:color w:val="auto"/>
        </w:rPr>
      </w:pPr>
    </w:p>
    <w:p>
      <w:pPr>
        <w:jc w:val="both"/>
        <w:ind w:left="620" w:firstLine="621"/>
        <w:spacing w:after="0" w:line="205" w:lineRule="auto"/>
        <w:tabs>
          <w:tab w:leader="none" w:pos="1856" w:val="left"/>
        </w:tabs>
        <w:numPr>
          <w:ilvl w:val="0"/>
          <w:numId w:val="80"/>
        </w:numPr>
        <w:rPr>
          <w:rFonts w:ascii="Arial" w:cs="Arial" w:eastAsia="Arial" w:hAnsi="Arial"/>
          <w:sz w:val="19"/>
          <w:szCs w:val="19"/>
          <w:color w:val="auto"/>
        </w:rPr>
      </w:pPr>
      <w:r>
        <w:rPr>
          <w:rFonts w:ascii="Arial" w:cs="Arial" w:eastAsia="Arial" w:hAnsi="Arial"/>
          <w:sz w:val="19"/>
          <w:szCs w:val="19"/>
          <w:color w:val="auto"/>
        </w:rPr>
        <w:t>On the date of the closing of the purchase of a Property pursuant to this Section (the “</w:t>
      </w:r>
      <w:r>
        <w:rPr>
          <w:rFonts w:ascii="Arial" w:cs="Arial" w:eastAsia="Arial" w:hAnsi="Arial"/>
          <w:sz w:val="19"/>
          <w:szCs w:val="19"/>
          <w:u w:val="single" w:color="auto"/>
          <w:color w:val="auto"/>
        </w:rPr>
        <w:t>Purchase Closing Date</w:t>
      </w:r>
      <w:r>
        <w:rPr>
          <w:rFonts w:ascii="Arial" w:cs="Arial" w:eastAsia="Arial" w:hAnsi="Arial"/>
          <w:sz w:val="19"/>
          <w:szCs w:val="19"/>
          <w:color w:val="auto"/>
        </w:rPr>
        <w:t xml:space="preserve">”), subject to satisfaction of the foregoing conditions: (i) this Lease shall be deemed terminated; </w:t>
      </w:r>
      <w:r>
        <w:rPr>
          <w:rFonts w:ascii="Arial" w:cs="Arial" w:eastAsia="Arial" w:hAnsi="Arial"/>
          <w:sz w:val="19"/>
          <w:szCs w:val="19"/>
          <w:i w:val="1"/>
          <w:iCs w:val="1"/>
          <w:color w:val="auto"/>
        </w:rPr>
        <w:t>provided, however</w:t>
      </w:r>
      <w:r>
        <w:rPr>
          <w:rFonts w:ascii="Arial" w:cs="Arial" w:eastAsia="Arial" w:hAnsi="Arial"/>
          <w:sz w:val="19"/>
          <w:szCs w:val="19"/>
          <w:color w:val="auto"/>
        </w:rPr>
        <w:t>, such termination shall not limit Lessee’s obligations to Lessor under any indemnification provisions of this Lease and Lessee’s obligations to pay any Monetary Obligations (whether payable to Lessor or a third party) accruing under this Lease with respect to such Property prior to the Purchase Closing Date shall survive the termination of this Lease; and (ii) Lessor shall convey such Property to Lessee “as is” by special warranty deed, subject to all matters of record (except for any consensual liens granted by Lessor other than those granted by Lessor at the request of Lessee), and without representation or warranty.</w:t>
      </w:r>
    </w:p>
    <w:p>
      <w:pPr>
        <w:spacing w:after="0" w:line="139"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b w:val="1"/>
          <w:bCs w:val="1"/>
          <w:color w:val="auto"/>
        </w:rPr>
        <w:t>Section 1.03. Costs</w:t>
      </w:r>
      <w:r>
        <w:rPr>
          <w:rFonts w:ascii="Arial" w:cs="Arial" w:eastAsia="Arial" w:hAnsi="Arial"/>
          <w:sz w:val="19"/>
          <w:szCs w:val="19"/>
          <w:color w:val="auto"/>
        </w:rPr>
        <w:t>. Lessee shall be solely responsible for the payment of all Costs, whether or not the purchase is</w:t>
      </w:r>
      <w:r>
        <w:rPr>
          <w:rFonts w:ascii="Arial" w:cs="Arial" w:eastAsia="Arial" w:hAnsi="Arial"/>
          <w:sz w:val="19"/>
          <w:szCs w:val="19"/>
          <w:b w:val="1"/>
          <w:bCs w:val="1"/>
          <w:color w:val="auto"/>
        </w:rPr>
        <w:t xml:space="preserve"> </w:t>
      </w:r>
      <w:r>
        <w:rPr>
          <w:rFonts w:ascii="Arial" w:cs="Arial" w:eastAsia="Arial" w:hAnsi="Arial"/>
          <w:sz w:val="19"/>
          <w:szCs w:val="19"/>
          <w:color w:val="auto"/>
        </w:rPr>
        <w:t>consummated that the third party was willing to be responsible for under the Third Party Offer.</w:t>
      </w:r>
    </w:p>
    <w:p>
      <w:pPr>
        <w:spacing w:after="0" w:line="136" w:lineRule="exact"/>
        <w:rPr>
          <w:sz w:val="20"/>
          <w:szCs w:val="20"/>
          <w:color w:val="auto"/>
        </w:rPr>
      </w:pPr>
    </w:p>
    <w:p>
      <w:pPr>
        <w:jc w:val="both"/>
        <w:ind w:firstLine="619"/>
        <w:spacing w:after="0" w:line="206" w:lineRule="auto"/>
        <w:rPr>
          <w:sz w:val="20"/>
          <w:szCs w:val="20"/>
          <w:color w:val="auto"/>
        </w:rPr>
      </w:pPr>
      <w:r>
        <w:rPr>
          <w:rFonts w:ascii="Arial" w:cs="Arial" w:eastAsia="Arial" w:hAnsi="Arial"/>
          <w:sz w:val="19"/>
          <w:szCs w:val="19"/>
          <w:b w:val="1"/>
          <w:bCs w:val="1"/>
          <w:color w:val="auto"/>
        </w:rPr>
        <w:t>Section 1.04. Termination of Right</w:t>
      </w:r>
      <w:r>
        <w:rPr>
          <w:rFonts w:ascii="Arial" w:cs="Arial" w:eastAsia="Arial" w:hAnsi="Arial"/>
          <w:sz w:val="19"/>
          <w:szCs w:val="19"/>
          <w:color w:val="auto"/>
        </w:rPr>
        <w:t>. NOTWITHSTANDING ANYTHING TO THE CONTRARY, LESSEE’S RIGHTS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ARTICLE XVIII SHALL TERMINATE AND BE NULL AND VOID AND OF NO FURTHER FORCE AND EFFECT IF (i) LESSEE FAILS TO EXERCISE THE RIGHT GRANTED PURSUANT TO THIS ARTICLE, AND THE SALE TO THE THIRD PARTY PURCHASER IS CONSUMMATED; (ii) THIS LEASE TERMINATES OR THE LEASE TERM EXPIRES; (iii) THE PROPERTY IS SOLD OR TRANSFERRED PURSUANT TO THE EXERCISE OF A PRIVATE POWER OF SALE OR JUDICIAL FORECLOSURE OR ACCEPTANCE OF A DEED IN LIEU THEREOF; OR (iv) LESSEE SHALL BE IN DEFAULT OF ANY OF THE TERMS AND CONDITIONS OF THIS LEASE OR IF ANY CONDITION SHALL EXIST WHICH UPON THE GIVING OF NOTICE OR THE PASSAGE OF TIME, OR BOTH, WOULD CONSTITUTE A DEFAULT BY LESSEE UNDER THIS LEASE. IN ANY SUCH EVENT, LESSEE SHALL EXECUTE A QUITCLAIM DEED AND SUCH OTHER DOCUMENTS AS LESSOR SHALL REASONABLY REQUEST EVIDENCING THE TERMINATION OF ITS RIGHT UNDER THIS SECTION 18.04.</w:t>
      </w:r>
    </w:p>
    <w:p>
      <w:pPr>
        <w:spacing w:after="0" w:line="136" w:lineRule="exact"/>
        <w:rPr>
          <w:sz w:val="20"/>
          <w:szCs w:val="20"/>
          <w:color w:val="auto"/>
        </w:rPr>
      </w:pPr>
    </w:p>
    <w:p>
      <w:pPr>
        <w:jc w:val="both"/>
        <w:ind w:firstLine="619"/>
        <w:spacing w:after="0" w:line="211" w:lineRule="auto"/>
        <w:rPr>
          <w:sz w:val="20"/>
          <w:szCs w:val="20"/>
          <w:color w:val="auto"/>
        </w:rPr>
      </w:pPr>
      <w:r>
        <w:rPr>
          <w:rFonts w:ascii="Arial" w:cs="Arial" w:eastAsia="Arial" w:hAnsi="Arial"/>
          <w:sz w:val="19"/>
          <w:szCs w:val="19"/>
          <w:b w:val="1"/>
          <w:bCs w:val="1"/>
          <w:color w:val="auto"/>
        </w:rPr>
        <w:t>Section 1.05. Attornment</w:t>
      </w:r>
      <w:r>
        <w:rPr>
          <w:rFonts w:ascii="Arial" w:cs="Arial" w:eastAsia="Arial" w:hAnsi="Arial"/>
          <w:sz w:val="19"/>
          <w:szCs w:val="19"/>
          <w:color w:val="auto"/>
        </w:rPr>
        <w:t>. If Lessee does not deliver its Purchase Offer to purchase the Property and the Property is</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to a third party purchaser, Lessee will attorn to any third party purchaser as Lessor so long as such third party purchaser and Lessor notify Lessee in writing of such transfer and so long as there is no material increase to Lessee’s obligations under this Lease. At the request of Lessor, Lessee will execute such documents confirming the agreement referred to above and such other agreements as Lessor may reasonably request, provided that such agreements do not increase the liabilities and obligations of Lessee hereunder.</w:t>
      </w:r>
    </w:p>
    <w:p>
      <w:pPr>
        <w:spacing w:after="0" w:line="137"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b w:val="1"/>
          <w:bCs w:val="1"/>
          <w:color w:val="auto"/>
        </w:rPr>
        <w:t xml:space="preserve">Section 1.06. Exclusions. </w:t>
      </w:r>
      <w:r>
        <w:rPr>
          <w:rFonts w:ascii="Arial" w:cs="Arial" w:eastAsia="Arial" w:hAnsi="Arial"/>
          <w:sz w:val="19"/>
          <w:szCs w:val="19"/>
          <w:color w:val="auto"/>
        </w:rPr>
        <w:t>The provisions of this Article XVIII shall not apply to or prohibit (i) any mortgages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hypothecation of Lessor’s interest in the Property; (ii)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33</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06" w:lineRule="auto"/>
        <w:rPr>
          <w:sz w:val="20"/>
          <w:szCs w:val="20"/>
          <w:color w:val="auto"/>
        </w:rPr>
      </w:pPr>
      <w:r>
        <w:rPr>
          <w:rFonts w:ascii="Arial" w:cs="Arial" w:eastAsia="Arial" w:hAnsi="Arial"/>
          <w:sz w:val="19"/>
          <w:szCs w:val="19"/>
          <w:color w:val="auto"/>
        </w:rPr>
        <w:t>sale of the Property pursuant to a private power of sale under or judicial foreclosure of any mortgage or other security instrument or device to which Lessor’s interest in the Property is now or hereafter subject; (iii) any transfer of Lessor’s interest in the Property to a mortgagee or other holder of a security interest therein or their designees by deed in lieu of foreclosure; (iv) any transfer of the Property to any governmental or quasi-governmental agency with power of Condemnation; (v) any transfer of the Property to any Affiliate of Lessor; (vi) any transfers of interests in Lessor by any member, shareholder, partner or other owner to any other member, shareholder, partner or other owner; and (vii) any transfers to any Person to whom Lessor sells all or substantially all of its assets.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[Remainder of page intentionally left blank; 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19"/>
          <w:szCs w:val="19"/>
          <w:color w:val="auto"/>
        </w:rPr>
        <w:t>34</w:t>
      </w:r>
    </w:p>
    <w:p>
      <w:pPr>
        <w:ind w:left="20"/>
        <w:spacing w:after="0" w:line="221" w:lineRule="auto"/>
        <w:rPr>
          <w:sz w:val="20"/>
          <w:szCs w:val="20"/>
          <w:color w:val="auto"/>
        </w:rPr>
      </w:pPr>
      <w:r>
        <w:rPr>
          <w:rFonts w:ascii="Arial" w:cs="Arial" w:eastAsia="Arial" w:hAnsi="Arial"/>
          <w:sz w:val="12"/>
          <w:szCs w:val="12"/>
          <w:color w:val="auto"/>
        </w:rPr>
        <w:t>STORE / RT Logic (Kratos)</w:t>
      </w:r>
    </w:p>
    <w:p>
      <w:pPr>
        <w:ind w:left="20"/>
        <w:spacing w:after="0" w:line="202" w:lineRule="auto"/>
        <w:rPr>
          <w:sz w:val="20"/>
          <w:szCs w:val="20"/>
          <w:color w:val="auto"/>
        </w:rPr>
      </w:pPr>
      <w:r>
        <w:rPr>
          <w:rFonts w:ascii="Arial" w:cs="Arial" w:eastAsia="Arial" w:hAnsi="Arial"/>
          <w:sz w:val="12"/>
          <w:szCs w:val="12"/>
          <w:color w:val="auto"/>
        </w:rPr>
        <w:t>Second A&amp;R Lease Agreement</w:t>
      </w:r>
    </w:p>
    <w:p>
      <w:pPr>
        <w:ind w:left="2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41" w:name="page142"/>
    <w:bookmarkEnd w:id="141"/>
    <w:p>
      <w:pPr>
        <w:ind w:left="6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Lessor and Lessee have entered into this Lease as of the date first above written.</w:t>
      </w:r>
    </w:p>
    <w:p>
      <w:pPr>
        <w:spacing w:after="0" w:line="231" w:lineRule="exact"/>
        <w:rPr>
          <w:sz w:val="20"/>
          <w:szCs w:val="20"/>
          <w:color w:val="auto"/>
        </w:rPr>
      </w:pPr>
    </w:p>
    <w:p>
      <w:pPr>
        <w:ind w:left="5160"/>
        <w:spacing w:after="0"/>
        <w:rPr>
          <w:sz w:val="20"/>
          <w:szCs w:val="20"/>
          <w:color w:val="auto"/>
        </w:rPr>
      </w:pPr>
      <w:r>
        <w:rPr>
          <w:rFonts w:ascii="Arial" w:cs="Arial" w:eastAsia="Arial" w:hAnsi="Arial"/>
          <w:sz w:val="19"/>
          <w:szCs w:val="19"/>
          <w:b w:val="1"/>
          <w:bCs w:val="1"/>
          <w:color w:val="auto"/>
        </w:rPr>
        <w:t>LESSOR:</w:t>
      </w:r>
    </w:p>
    <w:p>
      <w:pPr>
        <w:spacing w:after="0" w:line="154" w:lineRule="exact"/>
        <w:rPr>
          <w:sz w:val="20"/>
          <w:szCs w:val="20"/>
          <w:color w:val="auto"/>
        </w:rPr>
      </w:pPr>
    </w:p>
    <w:p>
      <w:pPr>
        <w:ind w:left="5160"/>
        <w:spacing w:after="0"/>
        <w:rPr>
          <w:sz w:val="20"/>
          <w:szCs w:val="20"/>
          <w:color w:val="auto"/>
        </w:rPr>
      </w:pPr>
      <w:r>
        <w:rPr>
          <w:rFonts w:ascii="Arial" w:cs="Arial" w:eastAsia="Arial" w:hAnsi="Arial"/>
          <w:sz w:val="19"/>
          <w:szCs w:val="19"/>
          <w:b w:val="1"/>
          <w:bCs w:val="1"/>
          <w:color w:val="auto"/>
        </w:rPr>
        <w:t>STORE CAPITAL ACQUISITIONS, LLC</w:t>
      </w:r>
      <w:r>
        <w:rPr>
          <w:rFonts w:ascii="Arial" w:cs="Arial" w:eastAsia="Arial" w:hAnsi="Arial"/>
          <w:sz w:val="19"/>
          <w:szCs w:val="19"/>
          <w:color w:val="auto"/>
        </w:rPr>
        <w:t>,</w:t>
      </w:r>
    </w:p>
    <w:p>
      <w:pPr>
        <w:ind w:left="5160"/>
        <w:spacing w:after="0"/>
        <w:rPr>
          <w:sz w:val="20"/>
          <w:szCs w:val="20"/>
          <w:color w:val="auto"/>
        </w:rPr>
      </w:pPr>
      <w:r>
        <w:rPr>
          <w:rFonts w:ascii="Arial" w:cs="Arial" w:eastAsia="Arial" w:hAnsi="Arial"/>
          <w:sz w:val="19"/>
          <w:szCs w:val="19"/>
          <w:color w:val="auto"/>
        </w:rPr>
        <w:t>a Delaware limited liability company</w:t>
      </w:r>
    </w:p>
    <w:p>
      <w:pPr>
        <w:spacing w:after="0" w:line="375"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By: /S/ Lori Markson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-21590</wp:posOffset>
            </wp:positionV>
            <wp:extent cx="10071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148"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Printed Name: Lori Markson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-21590</wp:posOffset>
            </wp:positionV>
            <wp:extent cx="8267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148"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-21590</wp:posOffset>
            </wp:positionV>
            <wp:extent cx="12846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160"/>
        <w:spacing w:after="0"/>
        <w:rPr>
          <w:sz w:val="20"/>
          <w:szCs w:val="20"/>
          <w:color w:val="auto"/>
        </w:rPr>
      </w:pPr>
      <w:r>
        <w:rPr>
          <w:rFonts w:ascii="Arial" w:cs="Arial" w:eastAsia="Arial" w:hAnsi="Arial"/>
          <w:sz w:val="19"/>
          <w:szCs w:val="19"/>
          <w:b w:val="1"/>
          <w:bCs w:val="1"/>
          <w:color w:val="auto"/>
        </w:rPr>
        <w:t>LESSEE:</w:t>
      </w:r>
    </w:p>
    <w:p>
      <w:pPr>
        <w:spacing w:after="0" w:line="154" w:lineRule="exact"/>
        <w:rPr>
          <w:sz w:val="20"/>
          <w:szCs w:val="20"/>
          <w:color w:val="auto"/>
        </w:rPr>
      </w:pPr>
    </w:p>
    <w:p>
      <w:pPr>
        <w:ind w:left="5160"/>
        <w:spacing w:after="0"/>
        <w:rPr>
          <w:sz w:val="20"/>
          <w:szCs w:val="20"/>
          <w:color w:val="auto"/>
        </w:rPr>
      </w:pPr>
      <w:r>
        <w:rPr>
          <w:rFonts w:ascii="Arial" w:cs="Arial" w:eastAsia="Arial" w:hAnsi="Arial"/>
          <w:sz w:val="19"/>
          <w:szCs w:val="19"/>
          <w:b w:val="1"/>
          <w:bCs w:val="1"/>
          <w:color w:val="auto"/>
        </w:rPr>
        <w:t>KRATOS RT LOGIC, INC.</w:t>
      </w:r>
      <w:r>
        <w:rPr>
          <w:rFonts w:ascii="Arial" w:cs="Arial" w:eastAsia="Arial" w:hAnsi="Arial"/>
          <w:sz w:val="19"/>
          <w:szCs w:val="19"/>
          <w:color w:val="auto"/>
        </w:rPr>
        <w:t>,</w:t>
      </w:r>
    </w:p>
    <w:p>
      <w:pPr>
        <w:ind w:left="5160"/>
        <w:spacing w:after="0"/>
        <w:rPr>
          <w:sz w:val="20"/>
          <w:szCs w:val="20"/>
          <w:color w:val="auto"/>
        </w:rPr>
      </w:pPr>
      <w:r>
        <w:rPr>
          <w:rFonts w:ascii="Arial" w:cs="Arial" w:eastAsia="Arial" w:hAnsi="Arial"/>
          <w:sz w:val="19"/>
          <w:szCs w:val="19"/>
          <w:color w:val="auto"/>
        </w:rPr>
        <w:t>a Colorado corporation</w:t>
      </w:r>
    </w:p>
    <w:p>
      <w:pPr>
        <w:spacing w:after="0" w:line="375"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By: /S/ Michael W. Fink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-21590</wp:posOffset>
            </wp:positionV>
            <wp:extent cx="11601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148"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Printed Name: Michael W. Fink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-21590</wp:posOffset>
            </wp:positionV>
            <wp:extent cx="9798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spacing w:after="0" w:line="148"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Title: V.P.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-21590</wp:posOffset>
            </wp:positionV>
            <wp:extent cx="8801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880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STORE / RT Logic (Kratos)</w:t>
      </w:r>
    </w:p>
    <w:p>
      <w:pPr>
        <w:ind w:left="1080"/>
        <w:spacing w:after="0" w:line="201" w:lineRule="auto"/>
        <w:rPr>
          <w:sz w:val="20"/>
          <w:szCs w:val="20"/>
          <w:color w:val="auto"/>
        </w:rPr>
      </w:pPr>
      <w:r>
        <w:rPr>
          <w:rFonts w:ascii="Arial" w:cs="Arial" w:eastAsia="Arial" w:hAnsi="Arial"/>
          <w:sz w:val="12"/>
          <w:szCs w:val="12"/>
          <w:color w:val="auto"/>
        </w:rPr>
        <w:t>Second A&amp;R Lease Agreement</w:t>
      </w:r>
    </w:p>
    <w:p>
      <w:pPr>
        <w:ind w:left="108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0139"/>
          </w:cols>
          <w:pgMar w:left="320" w:top="1337"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color w:val="auto"/>
        </w:rPr>
        <w:t>Exhibit A:</w:t>
      </w:r>
      <w:r>
        <w:rPr>
          <w:sz w:val="20"/>
          <w:szCs w:val="20"/>
          <w:color w:val="auto"/>
        </w:rPr>
        <w:tab/>
      </w:r>
      <w:r>
        <w:rPr>
          <w:rFonts w:ascii="Arial" w:cs="Arial" w:eastAsia="Arial" w:hAnsi="Arial"/>
          <w:sz w:val="18"/>
          <w:szCs w:val="18"/>
          <w:color w:val="auto"/>
        </w:rPr>
        <w:t>Defined Terms</w:t>
      </w:r>
    </w:p>
    <w:p>
      <w:pPr>
        <w:spacing w:after="0" w:line="142"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color w:val="auto"/>
        </w:rPr>
        <w:t>Exhibit B:</w:t>
      </w:r>
      <w:r>
        <w:rPr>
          <w:sz w:val="20"/>
          <w:szCs w:val="20"/>
          <w:color w:val="auto"/>
        </w:rPr>
        <w:tab/>
      </w:r>
      <w:r>
        <w:rPr>
          <w:rFonts w:ascii="Arial" w:cs="Arial" w:eastAsia="Arial" w:hAnsi="Arial"/>
          <w:sz w:val="18"/>
          <w:szCs w:val="18"/>
          <w:color w:val="auto"/>
        </w:rPr>
        <w:t>Legal Description and Street Address of the Property</w:t>
      </w:r>
    </w:p>
    <w:p>
      <w:pPr>
        <w:spacing w:after="0" w:line="142"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color w:val="auto"/>
        </w:rPr>
        <w:t>Exhibit C:</w:t>
      </w:r>
      <w:r>
        <w:rPr>
          <w:sz w:val="20"/>
          <w:szCs w:val="20"/>
          <w:color w:val="auto"/>
        </w:rPr>
        <w:tab/>
      </w:r>
      <w:r>
        <w:rPr>
          <w:rFonts w:ascii="Arial" w:cs="Arial" w:eastAsia="Arial" w:hAnsi="Arial"/>
          <w:sz w:val="18"/>
          <w:szCs w:val="18"/>
          <w:color w:val="auto"/>
        </w:rPr>
        <w:t>Wire Instructions</w:t>
      </w:r>
    </w:p>
    <w:p>
      <w:pPr>
        <w:spacing w:after="0" w:line="142"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color w:val="auto"/>
        </w:rPr>
        <w:t>Exhibit D:</w:t>
      </w:r>
      <w:r>
        <w:rPr>
          <w:sz w:val="20"/>
          <w:szCs w:val="20"/>
          <w:color w:val="auto"/>
        </w:rPr>
        <w:tab/>
      </w:r>
      <w:r>
        <w:rPr>
          <w:rFonts w:ascii="Arial" w:cs="Arial" w:eastAsia="Arial" w:hAnsi="Arial"/>
          <w:sz w:val="18"/>
          <w:szCs w:val="18"/>
          <w:color w:val="auto"/>
        </w:rPr>
        <w:t>State-Specific Provisions</w:t>
      </w:r>
    </w:p>
    <w:p>
      <w:pPr>
        <w:spacing w:after="0" w:line="168" w:lineRule="exact"/>
        <w:rPr>
          <w:sz w:val="20"/>
          <w:szCs w:val="20"/>
          <w:color w:val="auto"/>
        </w:rPr>
      </w:pPr>
    </w:p>
    <w:p>
      <w:pPr>
        <w:spacing w:after="0"/>
        <w:tabs>
          <w:tab w:leader="none" w:pos="1400" w:val="left"/>
        </w:tabs>
        <w:rPr>
          <w:sz w:val="20"/>
          <w:szCs w:val="20"/>
          <w:color w:val="auto"/>
        </w:rPr>
      </w:pPr>
      <w:r>
        <w:rPr>
          <w:rFonts w:ascii="Arial" w:cs="Arial" w:eastAsia="Arial" w:hAnsi="Arial"/>
          <w:sz w:val="19"/>
          <w:szCs w:val="19"/>
          <w:color w:val="auto"/>
        </w:rPr>
        <w:t>Schedule 8.01</w:t>
      </w:r>
      <w:r>
        <w:rPr>
          <w:sz w:val="20"/>
          <w:szCs w:val="20"/>
          <w:color w:val="auto"/>
        </w:rPr>
        <w:tab/>
      </w:r>
      <w:r>
        <w:rPr>
          <w:rFonts w:ascii="Arial" w:cs="Arial" w:eastAsia="Arial" w:hAnsi="Arial"/>
          <w:sz w:val="18"/>
          <w:szCs w:val="18"/>
          <w:color w:val="auto"/>
        </w:rPr>
        <w:t>Prohibited 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STORE / RT Logic (Kratos)</w:t>
      </w:r>
    </w:p>
    <w:p>
      <w:pPr>
        <w:ind w:left="1080"/>
        <w:spacing w:after="0" w:line="201" w:lineRule="auto"/>
        <w:rPr>
          <w:sz w:val="20"/>
          <w:szCs w:val="20"/>
          <w:color w:val="auto"/>
        </w:rPr>
      </w:pPr>
      <w:r>
        <w:rPr>
          <w:rFonts w:ascii="Arial" w:cs="Arial" w:eastAsia="Arial" w:hAnsi="Arial"/>
          <w:sz w:val="12"/>
          <w:szCs w:val="12"/>
          <w:color w:val="auto"/>
        </w:rPr>
        <w:t>Second A&amp;R Lease Agreement</w:t>
      </w:r>
    </w:p>
    <w:p>
      <w:pPr>
        <w:ind w:left="108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EXHIBIT A</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DEFINED TERMS</w:t>
      </w:r>
    </w:p>
    <w:p>
      <w:pPr>
        <w:spacing w:after="0" w:line="39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 following terms shall have the following meanings for all purposes of this Lease:</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Additional Rental</w:t>
      </w:r>
      <w:r>
        <w:rPr>
          <w:rFonts w:ascii="Arial" w:cs="Arial" w:eastAsia="Arial" w:hAnsi="Arial"/>
          <w:sz w:val="19"/>
          <w:szCs w:val="19"/>
          <w:color w:val="auto"/>
        </w:rPr>
        <w:t>” has the meaning set forth in Section 4.03.</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Adjustment Date</w:t>
      </w:r>
      <w:r>
        <w:rPr>
          <w:rFonts w:ascii="Arial" w:cs="Arial" w:eastAsia="Arial" w:hAnsi="Arial"/>
          <w:sz w:val="19"/>
          <w:szCs w:val="19"/>
          <w:color w:val="auto"/>
        </w:rPr>
        <w:t>” has the meaning set forth in Section 1.07.</w:t>
      </w:r>
    </w:p>
    <w:p>
      <w:pPr>
        <w:spacing w:after="0" w:line="168"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Affected Party</w:t>
      </w:r>
      <w:r>
        <w:rPr>
          <w:rFonts w:ascii="Arial" w:cs="Arial" w:eastAsia="Arial" w:hAnsi="Arial"/>
          <w:sz w:val="19"/>
          <w:szCs w:val="19"/>
          <w:color w:val="auto"/>
        </w:rPr>
        <w:t>” means each direct or indirect participant or investor in a proposed or completed Securitization, including, without limitation, any prospective owner, any rating agency or any party to any agreement executed in connection with the Securitization.</w:t>
      </w:r>
    </w:p>
    <w:p>
      <w:pPr>
        <w:spacing w:after="0" w:line="141"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Affiliate</w:t>
      </w:r>
      <w:r>
        <w:rPr>
          <w:rFonts w:ascii="Arial" w:cs="Arial" w:eastAsia="Arial" w:hAnsi="Arial"/>
          <w:sz w:val="19"/>
          <w:szCs w:val="19"/>
          <w:color w:val="auto"/>
        </w:rPr>
        <w:t>” means any Person which directly or indirectly controls, is under common control with or is controlled by any other Person. For purposes of this definition, “controls,” “under common control with,” and “controlled by” means the possession, directly or indirectly, of the power to direct or cause the direction of the management and policies of such Person, whether through the ownership of voting securities or otherwise.</w:t>
      </w:r>
    </w:p>
    <w:p>
      <w:pPr>
        <w:spacing w:after="0" w:line="142"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Anti-Money Laundering Laws</w:t>
      </w:r>
      <w:r>
        <w:rPr>
          <w:rFonts w:ascii="Arial" w:cs="Arial" w:eastAsia="Arial" w:hAnsi="Arial"/>
          <w:sz w:val="19"/>
          <w:szCs w:val="19"/>
          <w:color w:val="auto"/>
        </w:rPr>
        <w:t>” means all applicable Laws, regulations and government guidance on the prevention and detection of money laundering, including, without limitation, (a) 18 U.S.C. §§ 1956 and 1957; and (b) the Bank Secrecy Act, 31 U.S.C. §§ 5311 et seq., and its implementing regulations, 31 CFR Part 103.</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Base Annual Rental</w:t>
      </w:r>
      <w:r>
        <w:rPr>
          <w:rFonts w:ascii="Arial" w:cs="Arial" w:eastAsia="Arial" w:hAnsi="Arial"/>
          <w:sz w:val="19"/>
          <w:szCs w:val="19"/>
          <w:color w:val="auto"/>
        </w:rPr>
        <w:t>” has the meaning set forth in Section 1.05.</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Base Monthly Rental</w:t>
      </w:r>
      <w:r>
        <w:rPr>
          <w:rFonts w:ascii="Arial" w:cs="Arial" w:eastAsia="Arial" w:hAnsi="Arial"/>
          <w:sz w:val="19"/>
          <w:szCs w:val="19"/>
          <w:color w:val="auto"/>
        </w:rPr>
        <w:t>” means an amount equal to 1/12 of the applicable Base Annual Rental.</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Business Day</w:t>
      </w:r>
      <w:r>
        <w:rPr>
          <w:rFonts w:ascii="Arial" w:cs="Arial" w:eastAsia="Arial" w:hAnsi="Arial"/>
          <w:sz w:val="19"/>
          <w:szCs w:val="19"/>
          <w:color w:val="auto"/>
        </w:rPr>
        <w:t>” means a day on which banks located in Scottsdale, Arizona are not required or authorized to remain closed.</w:t>
      </w:r>
    </w:p>
    <w:p>
      <w:pPr>
        <w:spacing w:after="0" w:line="168"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Casualty</w:t>
      </w:r>
      <w:r>
        <w:rPr>
          <w:rFonts w:ascii="Arial" w:cs="Arial" w:eastAsia="Arial" w:hAnsi="Arial"/>
          <w:sz w:val="19"/>
          <w:szCs w:val="19"/>
          <w:color w:val="auto"/>
        </w:rPr>
        <w:t>” means any loss of or damage to any property included within or related to the Property or arising from an adjoining property caused by an Act of God, fire, flood or other catastrophe.</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Code</w:t>
      </w:r>
      <w:r>
        <w:rPr>
          <w:rFonts w:ascii="Arial" w:cs="Arial" w:eastAsia="Arial" w:hAnsi="Arial"/>
          <w:sz w:val="19"/>
          <w:szCs w:val="19"/>
          <w:color w:val="auto"/>
        </w:rPr>
        <w:t>” means the Internal Revenue Code of 1986, as the same may be amended from time to time.</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Condemnation</w:t>
      </w:r>
      <w:r>
        <w:rPr>
          <w:rFonts w:ascii="Arial" w:cs="Arial" w:eastAsia="Arial" w:hAnsi="Arial"/>
          <w:sz w:val="19"/>
          <w:szCs w:val="19"/>
          <w:color w:val="auto"/>
        </w:rPr>
        <w:t>” means a Taking and/or a Requisition.</w:t>
      </w:r>
    </w:p>
    <w:p>
      <w:pPr>
        <w:spacing w:after="0" w:line="168"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Costs</w:t>
      </w:r>
      <w:r>
        <w:rPr>
          <w:rFonts w:ascii="Arial" w:cs="Arial" w:eastAsia="Arial" w:hAnsi="Arial"/>
          <w:sz w:val="19"/>
          <w:szCs w:val="19"/>
          <w:color w:val="auto"/>
        </w:rPr>
        <w:t>” means all reasonable costs and expenses incurred by a Person, including, without limitation, reasonable attorneys’ fees and expenses, court costs, expert witness fees, costs of tests and analyses, travel and accommodation expenses, deposition and trial transcripts, copies and other similar costs and fees, brokerage fees, escrow fees, title insurance premiums, appraisal fees, stamp taxes, recording fees and transfer taxes or fees, as the circumstances require.</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Default Rate</w:t>
      </w:r>
      <w:r>
        <w:rPr>
          <w:rFonts w:ascii="Arial" w:cs="Arial" w:eastAsia="Arial" w:hAnsi="Arial"/>
          <w:sz w:val="19"/>
          <w:szCs w:val="19"/>
          <w:color w:val="auto"/>
        </w:rPr>
        <w:t>” means 18% per annum or the highest rate permitted by Law, whichever is less.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Effective Date</w:t>
      </w:r>
      <w:r>
        <w:rPr>
          <w:rFonts w:ascii="Arial" w:cs="Arial" w:eastAsia="Arial" w:hAnsi="Arial"/>
          <w:sz w:val="19"/>
          <w:szCs w:val="19"/>
          <w:color w:val="auto"/>
        </w:rPr>
        <w:t>” has the meaning set forth in the introductory paragraph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A-1</w:t>
      </w:r>
    </w:p>
    <w:p>
      <w:pPr>
        <w:ind w:left="1080"/>
        <w:spacing w:after="0" w:line="221" w:lineRule="auto"/>
        <w:rPr>
          <w:sz w:val="20"/>
          <w:szCs w:val="20"/>
          <w:color w:val="auto"/>
        </w:rPr>
      </w:pPr>
      <w:r>
        <w:rPr>
          <w:rFonts w:ascii="Arial" w:cs="Arial" w:eastAsia="Arial" w:hAnsi="Arial"/>
          <w:sz w:val="12"/>
          <w:szCs w:val="12"/>
          <w:color w:val="auto"/>
        </w:rPr>
        <w:t>STORE / RT Logic (Kratos)</w:t>
      </w:r>
    </w:p>
    <w:p>
      <w:pPr>
        <w:ind w:left="1080"/>
        <w:spacing w:after="0" w:line="202" w:lineRule="auto"/>
        <w:rPr>
          <w:sz w:val="20"/>
          <w:szCs w:val="20"/>
          <w:color w:val="auto"/>
        </w:rPr>
      </w:pPr>
      <w:r>
        <w:rPr>
          <w:rFonts w:ascii="Arial" w:cs="Arial" w:eastAsia="Arial" w:hAnsi="Arial"/>
          <w:sz w:val="12"/>
          <w:szCs w:val="12"/>
          <w:color w:val="auto"/>
        </w:rPr>
        <w:t>Second A&amp;R Lease Agreement</w:t>
      </w:r>
    </w:p>
    <w:p>
      <w:pPr>
        <w:ind w:left="108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619"/>
        <w:spacing w:after="0" w:line="2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Environmental Laws</w:t>
      </w:r>
      <w:r>
        <w:rPr>
          <w:rFonts w:ascii="Arial" w:cs="Arial" w:eastAsia="Arial" w:hAnsi="Arial"/>
          <w:sz w:val="19"/>
          <w:szCs w:val="19"/>
          <w:color w:val="auto"/>
        </w:rPr>
        <w:t>” means federal, state and local Laws, ordinances, common law requirements and regulations and standards, rules, policies and other governmental requirements, administrative rulings and court judgments and decrees having the effect of Law in effect now or in the future and including all amendments, that relate to Hazardous Materials, Regulated Substances, USTs, and/or the protection of human health or the environment, or relating to liability for or Costs of Remediation or prevention of Releases, and apply to Lessee and/or the Property.</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Environmental Liens</w:t>
      </w:r>
      <w:r>
        <w:rPr>
          <w:rFonts w:ascii="Arial" w:cs="Arial" w:eastAsia="Arial" w:hAnsi="Arial"/>
          <w:sz w:val="19"/>
          <w:szCs w:val="19"/>
          <w:color w:val="auto"/>
        </w:rPr>
        <w:t>” means any liens and other encumbrances imposed pursuant to any Environmental Law.</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Event of Default</w:t>
      </w:r>
      <w:r>
        <w:rPr>
          <w:rFonts w:ascii="Arial" w:cs="Arial" w:eastAsia="Arial" w:hAnsi="Arial"/>
          <w:sz w:val="19"/>
          <w:szCs w:val="19"/>
          <w:color w:val="auto"/>
        </w:rPr>
        <w:t>” has the meaning set forth in Section 12.01.</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Exchange Act</w:t>
      </w:r>
      <w:r>
        <w:rPr>
          <w:rFonts w:ascii="Arial" w:cs="Arial" w:eastAsia="Arial" w:hAnsi="Arial"/>
          <w:sz w:val="19"/>
          <w:szCs w:val="19"/>
          <w:color w:val="auto"/>
        </w:rPr>
        <w:t>” means the Securities Exchange Act of 1934, as amended.</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Expenditure Cap</w:t>
      </w:r>
      <w:r>
        <w:rPr>
          <w:rFonts w:ascii="Arial" w:cs="Arial" w:eastAsia="Arial" w:hAnsi="Arial"/>
          <w:sz w:val="19"/>
          <w:szCs w:val="19"/>
          <w:color w:val="auto"/>
        </w:rPr>
        <w:t>” has the meaning set forth in Section 7.01(b).</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Extension Option</w:t>
      </w:r>
      <w:r>
        <w:rPr>
          <w:rFonts w:ascii="Arial" w:cs="Arial" w:eastAsia="Arial" w:hAnsi="Arial"/>
          <w:sz w:val="19"/>
          <w:szCs w:val="19"/>
          <w:color w:val="auto"/>
        </w:rPr>
        <w:t>” has the meaning set forth in Section 3.02.</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Extension Term</w:t>
      </w:r>
      <w:r>
        <w:rPr>
          <w:rFonts w:ascii="Arial" w:cs="Arial" w:eastAsia="Arial" w:hAnsi="Arial"/>
          <w:sz w:val="19"/>
          <w:szCs w:val="19"/>
          <w:color w:val="auto"/>
        </w:rPr>
        <w:t>” has the meaning set forth in Section 3.02.</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First Deposit Return</w:t>
      </w:r>
      <w:r>
        <w:rPr>
          <w:rFonts w:ascii="Arial" w:cs="Arial" w:eastAsia="Arial" w:hAnsi="Arial"/>
          <w:sz w:val="19"/>
          <w:szCs w:val="19"/>
          <w:color w:val="auto"/>
        </w:rPr>
        <w:t>” has the meaning set forth in Section 4.09(c)(i).</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Force Majeure Event</w:t>
      </w:r>
      <w:r>
        <w:rPr>
          <w:rFonts w:ascii="Arial" w:cs="Arial" w:eastAsia="Arial" w:hAnsi="Arial"/>
          <w:sz w:val="19"/>
          <w:szCs w:val="19"/>
          <w:color w:val="auto"/>
        </w:rPr>
        <w:t>” has the meaning set forth in Section 17.01.</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GAAP</w:t>
      </w:r>
      <w:r>
        <w:rPr>
          <w:rFonts w:ascii="Arial" w:cs="Arial" w:eastAsia="Arial" w:hAnsi="Arial"/>
          <w:sz w:val="19"/>
          <w:szCs w:val="19"/>
          <w:color w:val="auto"/>
        </w:rPr>
        <w:t>” means generally accepted accounting principles, consistently applied from period to period.</w:t>
      </w:r>
    </w:p>
    <w:p>
      <w:pPr>
        <w:spacing w:after="0" w:line="168"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Governmental Authority</w:t>
      </w:r>
      <w:r>
        <w:rPr>
          <w:rFonts w:ascii="Arial" w:cs="Arial" w:eastAsia="Arial" w:hAnsi="Arial"/>
          <w:sz w:val="19"/>
          <w:szCs w:val="19"/>
          <w:color w:val="auto"/>
        </w:rPr>
        <w:t>” means any governmental authority, agency, department, commission, bureau, board, instrumentality, court or quasi-governmental authority of the United States, any state or any political subdivision thereof with authority to adopt, modify, amend, interpret, give effect to or enforce any federal, state and local Laws, statutes, ordinances, rules or regulations, including common law, or to issue court orders.</w:t>
      </w:r>
    </w:p>
    <w:p>
      <w:pPr>
        <w:spacing w:after="0" w:line="142"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Guarantor</w:t>
      </w:r>
      <w:r>
        <w:rPr>
          <w:rFonts w:ascii="Arial" w:cs="Arial" w:eastAsia="Arial" w:hAnsi="Arial"/>
          <w:sz w:val="19"/>
          <w:szCs w:val="19"/>
          <w:color w:val="auto"/>
        </w:rPr>
        <w:t>” means Kratos Defense &amp; Security Solutions, Inc., a Delaware corporation, or any additional or replacement guarantor(s) approved by Lessor in its reasonable discretion.</w:t>
      </w:r>
    </w:p>
    <w:p>
      <w:pPr>
        <w:spacing w:after="0" w:line="141"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Guaranty</w:t>
      </w:r>
      <w:r>
        <w:rPr>
          <w:rFonts w:ascii="Arial" w:cs="Arial" w:eastAsia="Arial" w:hAnsi="Arial"/>
          <w:sz w:val="19"/>
          <w:szCs w:val="19"/>
          <w:color w:val="auto"/>
        </w:rPr>
        <w:t>” means that certain Second Amended and Restated Unconditional Guaranty of Payment and Performance dated as of the date hereof given by Guarantor for the benefit of Lessor, as the same may be amended from time to time.</w:t>
      </w:r>
    </w:p>
    <w:p>
      <w:pPr>
        <w:spacing w:after="0" w:line="141" w:lineRule="exact"/>
        <w:rPr>
          <w:sz w:val="20"/>
          <w:szCs w:val="20"/>
          <w:color w:val="auto"/>
        </w:rPr>
      </w:pPr>
    </w:p>
    <w:p>
      <w:pPr>
        <w:jc w:val="both"/>
        <w:ind w:firstLine="619"/>
        <w:spacing w:after="0" w:line="21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w:t>
      </w:r>
      <w:r>
        <w:rPr>
          <w:rFonts w:ascii="Arial" w:cs="Arial" w:eastAsia="Arial" w:hAnsi="Arial"/>
          <w:sz w:val="18"/>
          <w:szCs w:val="18"/>
          <w:color w:val="auto"/>
        </w:rPr>
        <w:t>” includes: (a) oil, petroleum products, flammable substances, explosives, radioactive materials, hazardous wastes or substances, toxic wastes or substances or any other materials, contaminants or pollutants, the presence of which causes the Property to be in violation of any local, state or federal Law or regulation, or Environmental Law, or are defined as or included in the definition of “hazardous substances,” “hazardous wastes,” “hazardous materials,” “toxic substances,” “contaminants,” “pollutants,” or words of similar import under any applicable local, state or federal Law or under the regulations adopted, orders issued, or publications promulgated pursuant thereto, including, but not limited to: (i) the Comprehensive Environmental Response, Compensation and Liability Act of 1980, as amended, 42 U.S.C. § 9601, et seq.; (ii) the Hazardous Materials Transportation Act, as amended, 49 U.S.C. § 5101, et seq.; (iii) the Resource Conservation and Recovery Act, as amended, 42 U.S.C. § 6901, et seq.; and</w:t>
      </w:r>
    </w:p>
    <w:p>
      <w:pPr>
        <w:spacing w:after="0" w:line="1" w:lineRule="exact"/>
        <w:rPr>
          <w:sz w:val="20"/>
          <w:szCs w:val="20"/>
          <w:color w:val="auto"/>
        </w:rPr>
      </w:pPr>
    </w:p>
    <w:p>
      <w:pPr>
        <w:ind w:firstLine="3"/>
        <w:spacing w:after="0" w:line="223" w:lineRule="auto"/>
        <w:tabs>
          <w:tab w:leader="none" w:pos="325" w:val="left"/>
        </w:tabs>
        <w:numPr>
          <w:ilvl w:val="0"/>
          <w:numId w:val="81"/>
        </w:numPr>
        <w:rPr>
          <w:rFonts w:ascii="Arial" w:cs="Arial" w:eastAsia="Arial" w:hAnsi="Arial"/>
          <w:sz w:val="19"/>
          <w:szCs w:val="19"/>
          <w:color w:val="auto"/>
        </w:rPr>
      </w:pPr>
      <w:r>
        <w:rPr>
          <w:rFonts w:ascii="Arial" w:cs="Arial" w:eastAsia="Arial" w:hAnsi="Arial"/>
          <w:sz w:val="19"/>
          <w:szCs w:val="19"/>
          <w:color w:val="auto"/>
        </w:rPr>
        <w:t>regulations adopted and publications promulgated pursuant to the aforesaid Laws; (b) asbestos in any form which is friable, urea formaldehyde foam insulation, transformers or other equipment which contain dielectric fluid containing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A-2</w:t>
      </w:r>
    </w:p>
    <w:p>
      <w:pPr>
        <w:ind w:left="1080"/>
        <w:spacing w:after="0" w:line="221" w:lineRule="auto"/>
        <w:rPr>
          <w:sz w:val="20"/>
          <w:szCs w:val="20"/>
          <w:color w:val="auto"/>
        </w:rPr>
      </w:pPr>
      <w:r>
        <w:rPr>
          <w:rFonts w:ascii="Arial" w:cs="Arial" w:eastAsia="Arial" w:hAnsi="Arial"/>
          <w:sz w:val="12"/>
          <w:szCs w:val="12"/>
          <w:color w:val="auto"/>
        </w:rPr>
        <w:t>STORE / RT Logic (Kratos)</w:t>
      </w:r>
    </w:p>
    <w:p>
      <w:pPr>
        <w:ind w:left="1080"/>
        <w:spacing w:after="0" w:line="202" w:lineRule="auto"/>
        <w:rPr>
          <w:sz w:val="20"/>
          <w:szCs w:val="20"/>
          <w:color w:val="auto"/>
        </w:rPr>
      </w:pPr>
      <w:r>
        <w:rPr>
          <w:rFonts w:ascii="Arial" w:cs="Arial" w:eastAsia="Arial" w:hAnsi="Arial"/>
          <w:sz w:val="12"/>
          <w:szCs w:val="12"/>
          <w:color w:val="auto"/>
        </w:rPr>
        <w:t>Second A&amp;R Lease Agreement</w:t>
      </w:r>
    </w:p>
    <w:p>
      <w:pPr>
        <w:ind w:left="108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23" w:lineRule="auto"/>
        <w:rPr>
          <w:sz w:val="20"/>
          <w:szCs w:val="20"/>
          <w:color w:val="auto"/>
        </w:rPr>
      </w:pPr>
      <w:r>
        <w:rPr>
          <w:rFonts w:ascii="Arial" w:cs="Arial" w:eastAsia="Arial" w:hAnsi="Arial"/>
          <w:sz w:val="19"/>
          <w:szCs w:val="19"/>
          <w:color w:val="auto"/>
        </w:rPr>
        <w:t>of polychlorinated biphenyls in excess of fifty (50) parts per million; (c) underground storage tanks; and (d) any other chemical, material or substance, exposure to which is prohibited, limited or regulated by any Governmental Authority.</w:t>
      </w:r>
    </w:p>
    <w:p>
      <w:pPr>
        <w:spacing w:after="0" w:line="141"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Indemnified Parties</w:t>
      </w:r>
      <w:r>
        <w:rPr>
          <w:rFonts w:ascii="Arial" w:cs="Arial" w:eastAsia="Arial" w:hAnsi="Arial"/>
          <w:sz w:val="19"/>
          <w:szCs w:val="19"/>
          <w:color w:val="auto"/>
        </w:rPr>
        <w:t>” means Lessor, its members, managers, officers, directors, shareholders, partners, employees, affiliates, subsidiaries, successors and assigns, including, but not limited to, any successors by merger, consolidation or acquisition of all or a substantial portion of the assets and business of Lessor.</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Initial Term</w:t>
      </w:r>
      <w:r>
        <w:rPr>
          <w:rFonts w:ascii="Arial" w:cs="Arial" w:eastAsia="Arial" w:hAnsi="Arial"/>
          <w:sz w:val="19"/>
          <w:szCs w:val="19"/>
          <w:color w:val="auto"/>
        </w:rPr>
        <w:t>” has the meaning set forth in Section 3.01.</w:t>
      </w:r>
    </w:p>
    <w:p>
      <w:pPr>
        <w:spacing w:after="0" w:line="168" w:lineRule="exact"/>
        <w:rPr>
          <w:sz w:val="20"/>
          <w:szCs w:val="20"/>
          <w:color w:val="auto"/>
        </w:rPr>
      </w:pPr>
    </w:p>
    <w:p>
      <w:pPr>
        <w:jc w:val="both"/>
        <w:ind w:firstLine="619"/>
        <w:spacing w:after="0" w:line="20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Insolvency Event</w:t>
      </w:r>
      <w:r>
        <w:rPr>
          <w:rFonts w:ascii="Arial" w:cs="Arial" w:eastAsia="Arial" w:hAnsi="Arial"/>
          <w:sz w:val="19"/>
          <w:szCs w:val="19"/>
          <w:color w:val="auto"/>
        </w:rPr>
        <w:t>” means (a) a Person’s making a general assignment for the benefit of creditors; (b) any proceeding being instituted by or against any Person (i) seeking to adjudicate it bankrupt or insolvent; (ii) seeking liquidation, dissolution, winding up, reorganization, arrangement, adjustment, protection, relief, or composition of it or its debts under any Law relating to bankruptcy, insolvency, or reorganization or relief of debtors; or (iii) seeking the entry of an order for relief or the appointment of a receiver, trustee, or other similar official for it or for any substantial part of its property, and in the case of any such proceeding instituted against any Person, either such proceeding shall remain undismissed for a period of one hundred twenty (120) days or any of the actions sought in such proceeding shall occur; or (c) any Person taking any corporate action to authorize any of the actions set forth above in this definition.</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auto"/>
        </w:rPr>
        <w:t xml:space="preserve">“Insurance Premiums” </w:t>
      </w:r>
      <w:r>
        <w:rPr>
          <w:rFonts w:ascii="Arial" w:cs="Arial" w:eastAsia="Arial" w:hAnsi="Arial"/>
          <w:sz w:val="19"/>
          <w:szCs w:val="19"/>
          <w:color w:val="auto"/>
        </w:rPr>
        <w:t>has the meaning in Section 6.04.</w:t>
      </w:r>
    </w:p>
    <w:p>
      <w:pPr>
        <w:spacing w:after="0" w:line="168"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Law(s)</w:t>
      </w:r>
      <w:r>
        <w:rPr>
          <w:rFonts w:ascii="Arial" w:cs="Arial" w:eastAsia="Arial" w:hAnsi="Arial"/>
          <w:sz w:val="19"/>
          <w:szCs w:val="19"/>
          <w:color w:val="auto"/>
        </w:rPr>
        <w:t>” means any constitution, statute, rule of law, code, ordinance, order, judgment, decree, injunction, rule, regulation, policy, requirement or administrative or judicial determination, even if unforeseen or extraordinary, of every duly constituted Governmental Authority, court or agency, now or hereafter enacted or in effect.</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Lease Term</w:t>
      </w:r>
      <w:r>
        <w:rPr>
          <w:rFonts w:ascii="Arial" w:cs="Arial" w:eastAsia="Arial" w:hAnsi="Arial"/>
          <w:sz w:val="19"/>
          <w:szCs w:val="19"/>
          <w:color w:val="auto"/>
        </w:rPr>
        <w:t>” has the meaning described in Section 3.01.</w:t>
      </w:r>
    </w:p>
    <w:p>
      <w:pPr>
        <w:spacing w:after="0" w:line="168" w:lineRule="exact"/>
        <w:rPr>
          <w:sz w:val="20"/>
          <w:szCs w:val="20"/>
          <w:color w:val="auto"/>
        </w:rPr>
      </w:pPr>
    </w:p>
    <w:p>
      <w:pPr>
        <w:jc w:val="both"/>
        <w:ind w:firstLine="619"/>
        <w:spacing w:after="0" w:line="21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Legal Requirements</w:t>
      </w:r>
      <w:r>
        <w:rPr>
          <w:rFonts w:ascii="Arial" w:cs="Arial" w:eastAsia="Arial" w:hAnsi="Arial"/>
          <w:sz w:val="19"/>
          <w:szCs w:val="19"/>
          <w:color w:val="auto"/>
        </w:rPr>
        <w:t>” means the requirements of all present and future Laws (including, without limitation, Environmental Laws and Laws relating to accessibility to, usability by, and discrimination against, disabled individuals), all judicial and administrative interpretations thereof, including any judicial order, consent, decree or judgment, and all covenants, restrictions and conditions now or hereafter of record which may be applicable to Lessee or to the Property, or to the use, manner of use, occupancy, possession, operation, maintenance, alteration, repair or restoration of the Property, even if compliance therewith necessitates structural changes or improvements or results in interference with the use or enjoyment of the Property.</w:t>
      </w:r>
    </w:p>
    <w:p>
      <w:pPr>
        <w:spacing w:after="0" w:line="142"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Lender</w:t>
      </w:r>
      <w:r>
        <w:rPr>
          <w:rFonts w:ascii="Arial" w:cs="Arial" w:eastAsia="Arial" w:hAnsi="Arial"/>
          <w:sz w:val="19"/>
          <w:szCs w:val="19"/>
          <w:color w:val="auto"/>
        </w:rPr>
        <w:t>” means any lender in connection with any loan secured by Lessor’s interest in the Property, and any servicer of any loan secured by Lessor’s interest in the Property.</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auto"/>
        </w:rPr>
        <w:t xml:space="preserve">“Lessee Entity” </w:t>
      </w:r>
      <w:r>
        <w:rPr>
          <w:rFonts w:ascii="Arial" w:cs="Arial" w:eastAsia="Arial" w:hAnsi="Arial"/>
          <w:sz w:val="19"/>
          <w:szCs w:val="19"/>
          <w:color w:val="auto"/>
        </w:rPr>
        <w:t>or “</w:t>
      </w:r>
      <w:r>
        <w:rPr>
          <w:rFonts w:ascii="Arial" w:cs="Arial" w:eastAsia="Arial" w:hAnsi="Arial"/>
          <w:sz w:val="19"/>
          <w:szCs w:val="19"/>
          <w:i w:val="1"/>
          <w:iCs w:val="1"/>
          <w:color w:val="auto"/>
        </w:rPr>
        <w:t>Lessee Entities</w:t>
      </w:r>
      <w:r>
        <w:rPr>
          <w:rFonts w:ascii="Arial" w:cs="Arial" w:eastAsia="Arial" w:hAnsi="Arial"/>
          <w:sz w:val="19"/>
          <w:szCs w:val="19"/>
          <w:color w:val="auto"/>
        </w:rPr>
        <w:t>” means individually or collectively, as the context may require, Lessee and Guarantor.</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auto"/>
        </w:rPr>
        <w:t xml:space="preserve">“Lessee Reporting Entities” </w:t>
      </w:r>
      <w:r>
        <w:rPr>
          <w:rFonts w:ascii="Arial" w:cs="Arial" w:eastAsia="Arial" w:hAnsi="Arial"/>
          <w:sz w:val="19"/>
          <w:szCs w:val="19"/>
          <w:color w:val="auto"/>
        </w:rPr>
        <w:t>means individually or collectively, as the context may require, Lessee and Guarantor.</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auto"/>
        </w:rPr>
        <w:t xml:space="preserve">“Lessee’s Information” </w:t>
      </w:r>
      <w:r>
        <w:rPr>
          <w:rFonts w:ascii="Arial" w:cs="Arial" w:eastAsia="Arial" w:hAnsi="Arial"/>
          <w:sz w:val="19"/>
          <w:szCs w:val="19"/>
          <w:color w:val="auto"/>
        </w:rPr>
        <w:t>has the meaning set forth in Section 17.05(b).</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Lessee’s Institutional Lenders</w:t>
      </w:r>
      <w:r>
        <w:rPr>
          <w:rFonts w:ascii="Arial" w:cs="Arial" w:eastAsia="Arial" w:hAnsi="Arial"/>
          <w:sz w:val="19"/>
          <w:szCs w:val="19"/>
          <w:color w:val="auto"/>
        </w:rPr>
        <w:t>” has the meaning set forth in Section 16.01.</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auto"/>
        </w:rPr>
        <w:t xml:space="preserve">“Lessor Entity” </w:t>
      </w:r>
      <w:r>
        <w:rPr>
          <w:rFonts w:ascii="Arial" w:cs="Arial" w:eastAsia="Arial" w:hAnsi="Arial"/>
          <w:sz w:val="19"/>
          <w:szCs w:val="19"/>
          <w:color w:val="auto"/>
        </w:rPr>
        <w:t>or “</w:t>
      </w:r>
      <w:r>
        <w:rPr>
          <w:rFonts w:ascii="Arial" w:cs="Arial" w:eastAsia="Arial" w:hAnsi="Arial"/>
          <w:sz w:val="19"/>
          <w:szCs w:val="19"/>
          <w:i w:val="1"/>
          <w:iCs w:val="1"/>
          <w:color w:val="auto"/>
        </w:rPr>
        <w:t>Lessor Entities</w:t>
      </w:r>
      <w:r>
        <w:rPr>
          <w:rFonts w:ascii="Arial" w:cs="Arial" w:eastAsia="Arial" w:hAnsi="Arial"/>
          <w:sz w:val="19"/>
          <w:szCs w:val="19"/>
          <w:color w:val="auto"/>
        </w:rPr>
        <w:t>” means individually or collectively, as the context may require, Lessor and all Affiliates of</w:t>
      </w:r>
    </w:p>
    <w:p>
      <w:pPr>
        <w:spacing w:after="0"/>
        <w:rPr>
          <w:sz w:val="20"/>
          <w:szCs w:val="20"/>
          <w:color w:val="auto"/>
        </w:rPr>
      </w:pPr>
      <w:r>
        <w:rPr>
          <w:rFonts w:ascii="Arial" w:cs="Arial" w:eastAsia="Arial" w:hAnsi="Arial"/>
          <w:sz w:val="19"/>
          <w:szCs w:val="19"/>
          <w:color w:val="auto"/>
        </w:rPr>
        <w:t>Lessor.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A-3</w:t>
      </w:r>
    </w:p>
    <w:p>
      <w:pPr>
        <w:ind w:left="1080"/>
        <w:spacing w:after="0" w:line="221" w:lineRule="auto"/>
        <w:rPr>
          <w:sz w:val="20"/>
          <w:szCs w:val="20"/>
          <w:color w:val="auto"/>
        </w:rPr>
      </w:pPr>
      <w:r>
        <w:rPr>
          <w:rFonts w:ascii="Arial" w:cs="Arial" w:eastAsia="Arial" w:hAnsi="Arial"/>
          <w:sz w:val="12"/>
          <w:szCs w:val="12"/>
          <w:color w:val="auto"/>
        </w:rPr>
        <w:t>STORE / RT Logic (Kratos)</w:t>
      </w:r>
    </w:p>
    <w:p>
      <w:pPr>
        <w:ind w:left="1080"/>
        <w:spacing w:after="0" w:line="202" w:lineRule="auto"/>
        <w:rPr>
          <w:sz w:val="20"/>
          <w:szCs w:val="20"/>
          <w:color w:val="auto"/>
        </w:rPr>
      </w:pPr>
      <w:r>
        <w:rPr>
          <w:rFonts w:ascii="Arial" w:cs="Arial" w:eastAsia="Arial" w:hAnsi="Arial"/>
          <w:sz w:val="12"/>
          <w:szCs w:val="12"/>
          <w:color w:val="auto"/>
        </w:rPr>
        <w:t>Second A&amp;R Lease Agreement</w:t>
      </w:r>
    </w:p>
    <w:p>
      <w:pPr>
        <w:ind w:left="108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Lessor Expenditure</w:t>
      </w:r>
      <w:r>
        <w:rPr>
          <w:rFonts w:ascii="Arial" w:cs="Arial" w:eastAsia="Arial" w:hAnsi="Arial"/>
          <w:sz w:val="19"/>
          <w:szCs w:val="19"/>
          <w:color w:val="auto"/>
        </w:rPr>
        <w:t>” has the meaning set forth in Section 7.01(b).</w:t>
      </w:r>
    </w:p>
    <w:p>
      <w:pPr>
        <w:spacing w:after="0" w:line="168"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Losses</w:t>
      </w:r>
      <w:r>
        <w:rPr>
          <w:rFonts w:ascii="Arial" w:cs="Arial" w:eastAsia="Arial" w:hAnsi="Arial"/>
          <w:sz w:val="19"/>
          <w:szCs w:val="19"/>
          <w:color w:val="auto"/>
        </w:rPr>
        <w:t>” means any and all claims, suits, liabilities (including, without limitation, strict liabilities), actions, proceedings, obligations, debts, damages, losses, Costs, diminutions in value, fines, penalties, interest, charges, fees, judgments, awards, amounts paid in settlement and damages of whatever kind or nature, inclusive of bodily injury and property damage to third parties (including, without limitation, attorneys’ fees and other Costs of defense).</w:t>
      </w:r>
    </w:p>
    <w:p>
      <w:pPr>
        <w:spacing w:after="0" w:line="142" w:lineRule="exact"/>
        <w:rPr>
          <w:sz w:val="20"/>
          <w:szCs w:val="20"/>
          <w:color w:val="auto"/>
        </w:rPr>
      </w:pPr>
    </w:p>
    <w:p>
      <w:pPr>
        <w:jc w:val="both"/>
        <w:ind w:firstLine="619"/>
        <w:spacing w:after="0" w:line="20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Material Adverse Effect</w:t>
      </w:r>
      <w:r>
        <w:rPr>
          <w:rFonts w:ascii="Arial" w:cs="Arial" w:eastAsia="Arial" w:hAnsi="Arial"/>
          <w:sz w:val="19"/>
          <w:szCs w:val="19"/>
          <w:color w:val="auto"/>
        </w:rPr>
        <w:t>” means a material adverse effect on (a) the Property, including without limitation, the operation of the Property as a Permitted Facility and/or the value of the Property; (b) Lessee’s ability to perform its obligations under this Lease;</w:t>
      </w:r>
    </w:p>
    <w:p>
      <w:pPr>
        <w:ind w:firstLine="3"/>
        <w:spacing w:after="0" w:line="223" w:lineRule="auto"/>
        <w:tabs>
          <w:tab w:leader="none" w:pos="3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Lessor’s interests in the Property, this Lease or the other Transaction Documents; or (d) Guarantor’s ability to perform its obligations under the Guaranty.</w:t>
      </w:r>
    </w:p>
    <w:p>
      <w:pPr>
        <w:spacing w:after="0" w:line="141"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Monetary Obligations</w:t>
      </w:r>
      <w:r>
        <w:rPr>
          <w:rFonts w:ascii="Arial" w:cs="Arial" w:eastAsia="Arial" w:hAnsi="Arial"/>
          <w:sz w:val="19"/>
          <w:szCs w:val="19"/>
          <w:color w:val="auto"/>
        </w:rPr>
        <w:t>” means all Rental and all other sums payable or reimbursable by Lessee under this Lease to Lessor, to any third party on behalf of Lessor, or to any Indemnified Party.</w:t>
      </w:r>
    </w:p>
    <w:p>
      <w:pPr>
        <w:spacing w:after="0" w:line="141"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Mortgage</w:t>
      </w:r>
      <w:r>
        <w:rPr>
          <w:rFonts w:ascii="Arial" w:cs="Arial" w:eastAsia="Arial" w:hAnsi="Arial"/>
          <w:sz w:val="19"/>
          <w:szCs w:val="19"/>
          <w:color w:val="auto"/>
        </w:rPr>
        <w:t>” means, collectively, the mortgages, deeds of trust or deeds to secure debt, assignments of rents and leases, security agreements and fixture filings executed by Lessor for the benefit of Lender with respect to the Property, as such instruments may be amended, modified, restated or supplemented from time to time and any and all replacements or substitutions.</w:t>
      </w:r>
    </w:p>
    <w:p>
      <w:pPr>
        <w:spacing w:after="0" w:line="141"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Award</w:t>
      </w:r>
      <w:r>
        <w:rPr>
          <w:rFonts w:ascii="Arial" w:cs="Arial" w:eastAsia="Arial" w:hAnsi="Arial"/>
          <w:sz w:val="18"/>
          <w:szCs w:val="18"/>
          <w:color w:val="auto"/>
        </w:rPr>
        <w:t>” means (a) the entire award payable with respect to a Property by reason of a Condemnation whether pursuant to a judgment or by agreement or otherwise; or (b) the entire proceeds of any insurance required under Section 6.03 payable with respect to a Property, as the case may be, and in either case, less any Costs incurred by Lessor in collecting such award or proceeds.</w:t>
      </w:r>
    </w:p>
    <w:p>
      <w:pPr>
        <w:spacing w:after="0" w:line="142"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OFAC Laws</w:t>
      </w:r>
      <w:r>
        <w:rPr>
          <w:rFonts w:ascii="Arial" w:cs="Arial" w:eastAsia="Arial" w:hAnsi="Arial"/>
          <w:sz w:val="18"/>
          <w:szCs w:val="18"/>
          <w:color w:val="auto"/>
        </w:rPr>
        <w:t>” means Executive Order 13224 issued by the President of the United States, and all regulations promulgated thereunder, including, without limitation, the Terrorism Sanctions Regulations (31 CFR Part 595), the Terrorism List Governments Sanctions Regulations (31 CFR Part 596), the Foreign Terrorist Organizations Sanctions Regulations (31 CFR Part 597), and the Cuban Assets Control Regulations (31 CFR Part 515), and all other present and future federal, state and local Laws, ordinances, regulations, policies, lists (including, without limitation, the Specially Designated Nationals and Blocked Persons List) and any other requirements of any Governmental Authority (including without limitation, the U.S. Department of the Treasury Office of Foreign Assets Control) addressing, relating to, or attempting to eliminate, terrorist acts and acts of war, each as supplemented, amended or modified from time to time after the Effective Date, and the present and future rules, regulations and guidance documents promulgated under any of the foregoing, or under similar Laws, ordinances, regulations, policies or requirements of other states or localities.</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Other Agreements</w:t>
      </w:r>
      <w:r>
        <w:rPr>
          <w:rFonts w:ascii="Arial" w:cs="Arial" w:eastAsia="Arial" w:hAnsi="Arial"/>
          <w:sz w:val="19"/>
          <w:szCs w:val="19"/>
          <w:color w:val="auto"/>
        </w:rPr>
        <w:t>” means, collectively, all agreements and instruments now or hereafter entered into between, among or by</w:t>
      </w:r>
    </w:p>
    <w:p>
      <w:pPr>
        <w:ind w:firstLine="3"/>
        <w:spacing w:after="0" w:line="223" w:lineRule="auto"/>
        <w:tabs>
          <w:tab w:leader="none" w:pos="289" w:val="left"/>
        </w:tabs>
        <w:numPr>
          <w:ilvl w:val="0"/>
          <w:numId w:val="83"/>
        </w:numPr>
        <w:rPr>
          <w:rFonts w:ascii="Arial" w:cs="Arial" w:eastAsia="Arial" w:hAnsi="Arial"/>
          <w:sz w:val="19"/>
          <w:szCs w:val="19"/>
          <w:color w:val="auto"/>
        </w:rPr>
      </w:pPr>
      <w:r>
        <w:rPr>
          <w:rFonts w:ascii="Arial" w:cs="Arial" w:eastAsia="Arial" w:hAnsi="Arial"/>
          <w:sz w:val="19"/>
          <w:szCs w:val="19"/>
          <w:color w:val="auto"/>
        </w:rPr>
        <w:t>any of the Lessee Entities; and, or for the benefit of, (b) any of the Lessor Entities, including, without limitation, leases, promissory notes and guaranties, but excluding this Lease and all other Transaction Documents.</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Partial Condemnation</w:t>
      </w:r>
      <w:r>
        <w:rPr>
          <w:rFonts w:ascii="Arial" w:cs="Arial" w:eastAsia="Arial" w:hAnsi="Arial"/>
          <w:sz w:val="19"/>
          <w:szCs w:val="19"/>
          <w:color w:val="auto"/>
        </w:rPr>
        <w:t>” has the meaning set forth in Section 11.03.</w:t>
      </w:r>
    </w:p>
    <w:p>
      <w:pPr>
        <w:spacing w:after="0" w:line="168"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Permitted Amounts</w:t>
      </w:r>
      <w:r>
        <w:rPr>
          <w:rFonts w:ascii="Arial" w:cs="Arial" w:eastAsia="Arial" w:hAnsi="Arial"/>
          <w:sz w:val="19"/>
          <w:szCs w:val="19"/>
          <w:color w:val="auto"/>
        </w:rPr>
        <w:t>” shall mean, with respect to any given level of Hazardous Materials or Regulated Substances, that level or quantity of Hazardous Materials or Regulated Substances in any form or combination of forms which does not constitute a violation of any Environmental Laws and is customarily employed in, or associated with, similar businesses located in the state where the Property is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A-4</w:t>
      </w:r>
    </w:p>
    <w:p>
      <w:pPr>
        <w:ind w:left="1080"/>
        <w:spacing w:after="0" w:line="221" w:lineRule="auto"/>
        <w:rPr>
          <w:sz w:val="20"/>
          <w:szCs w:val="20"/>
          <w:color w:val="auto"/>
        </w:rPr>
      </w:pPr>
      <w:r>
        <w:rPr>
          <w:rFonts w:ascii="Arial" w:cs="Arial" w:eastAsia="Arial" w:hAnsi="Arial"/>
          <w:sz w:val="12"/>
          <w:szCs w:val="12"/>
          <w:color w:val="auto"/>
        </w:rPr>
        <w:t>STORE / RT Logic (Kratos)</w:t>
      </w:r>
    </w:p>
    <w:p>
      <w:pPr>
        <w:ind w:left="1080"/>
        <w:spacing w:after="0" w:line="202" w:lineRule="auto"/>
        <w:rPr>
          <w:sz w:val="20"/>
          <w:szCs w:val="20"/>
          <w:color w:val="auto"/>
        </w:rPr>
      </w:pPr>
      <w:r>
        <w:rPr>
          <w:rFonts w:ascii="Arial" w:cs="Arial" w:eastAsia="Arial" w:hAnsi="Arial"/>
          <w:sz w:val="12"/>
          <w:szCs w:val="12"/>
          <w:color w:val="auto"/>
        </w:rPr>
        <w:t>Second A&amp;R Lease Agreement</w:t>
      </w:r>
    </w:p>
    <w:p>
      <w:pPr>
        <w:ind w:left="108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19"/>
          <w:szCs w:val="19"/>
          <w:i w:val="1"/>
          <w:iCs w:val="1"/>
          <w:color w:val="auto"/>
        </w:rPr>
        <w:t xml:space="preserve">“Permitted Facility” </w:t>
      </w:r>
      <w:r>
        <w:rPr>
          <w:rFonts w:ascii="Arial" w:cs="Arial" w:eastAsia="Arial" w:hAnsi="Arial"/>
          <w:sz w:val="19"/>
          <w:szCs w:val="19"/>
          <w:color w:val="auto"/>
        </w:rPr>
        <w:t>means general office purposes, labs, storage and warehousing and any other lawful purpose common to</w:t>
      </w:r>
      <w:r>
        <w:rPr>
          <w:rFonts w:ascii="Arial" w:cs="Arial" w:eastAsia="Arial" w:hAnsi="Arial"/>
          <w:sz w:val="19"/>
          <w:szCs w:val="19"/>
          <w:i w:val="1"/>
          <w:iCs w:val="1"/>
          <w:color w:val="auto"/>
        </w:rPr>
        <w:t xml:space="preserve"> </w:t>
      </w:r>
      <w:r>
        <w:rPr>
          <w:rFonts w:ascii="Arial" w:cs="Arial" w:eastAsia="Arial" w:hAnsi="Arial"/>
          <w:sz w:val="19"/>
          <w:szCs w:val="19"/>
          <w:color w:val="auto"/>
        </w:rPr>
        <w:t>and suitable for modern suburban office buildings in Colorado Springs, CO, except for the “Prohibited Uses” described in Schedule 8.01 attached hereto.</w:t>
      </w:r>
    </w:p>
    <w:p>
      <w:pPr>
        <w:spacing w:after="0" w:line="141"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Person</w:t>
      </w:r>
      <w:r>
        <w:rPr>
          <w:rFonts w:ascii="Arial" w:cs="Arial" w:eastAsia="Arial" w:hAnsi="Arial"/>
          <w:sz w:val="19"/>
          <w:szCs w:val="19"/>
          <w:color w:val="auto"/>
        </w:rPr>
        <w:t>” means any individual, partnership, corporation, limited liability company, trust, unincorporated organization, Governmental Authority or any other form of entity.</w:t>
      </w:r>
    </w:p>
    <w:p>
      <w:pPr>
        <w:spacing w:after="0" w:line="141" w:lineRule="exact"/>
        <w:rPr>
          <w:sz w:val="20"/>
          <w:szCs w:val="20"/>
          <w:color w:val="auto"/>
        </w:rPr>
      </w:pPr>
    </w:p>
    <w:p>
      <w:pPr>
        <w:jc w:val="both"/>
        <w:ind w:firstLine="619"/>
        <w:spacing w:after="0" w:line="20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Personalty</w:t>
      </w:r>
      <w:r>
        <w:rPr>
          <w:rFonts w:ascii="Arial" w:cs="Arial" w:eastAsia="Arial" w:hAnsi="Arial"/>
          <w:sz w:val="19"/>
          <w:szCs w:val="19"/>
          <w:color w:val="auto"/>
        </w:rPr>
        <w:t>” means any and all “goods” (excluding “inventory,” and including, without limitation, all “equipment,” “fixtures,” appliances and furniture (as “goods,” “inventory,” “equipment” and “fixtures” are defined in the applicable Uniform Commercial Code then in effect in the applicable jurisdiction)) from time to time situated on or used in connection with the Property, whether now owned or held or hereafter arising or acquired, together with all replacements and substitutions therefore and all cash and non-cash proceeds (including insurance proceeds and any title and UCC insurance proceeds) and products thereof, and, in the case of tangible collateral, together with all additions, attachments, accessions, parts, equipment and repairs now or hereafter attached or affixed thereto or used in connection therewith.</w:t>
      </w:r>
    </w:p>
    <w:p>
      <w:pPr>
        <w:spacing w:after="0" w:line="144" w:lineRule="exact"/>
        <w:rPr>
          <w:sz w:val="20"/>
          <w:szCs w:val="20"/>
          <w:color w:val="auto"/>
        </w:rPr>
      </w:pPr>
    </w:p>
    <w:p>
      <w:pPr>
        <w:jc w:val="both"/>
        <w:ind w:firstLine="619"/>
        <w:spacing w:after="0" w:line="20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Price Index</w:t>
      </w:r>
      <w:r>
        <w:rPr>
          <w:rFonts w:ascii="Arial" w:cs="Arial" w:eastAsia="Arial" w:hAnsi="Arial"/>
          <w:sz w:val="19"/>
          <w:szCs w:val="19"/>
          <w:color w:val="auto"/>
        </w:rPr>
        <w:t>” means the Consumer Price Index which is designated for the applicable month of determination as the United States City Average for All Urban Consumers, All Items, Not Seasonally Adjusted, with a base period equaling 100 in 1982 - 1984, as published by the United States Department of Labor’s Bureau of Labor Statistics or any successor agency. In the event that the Price Index ceases to be published, its successor index measuring cost of living as published by the same Governmental Authority which published the Price Index shall be substituted and any necessary reasonable adjustments shall be made by Lessor and Lessee in order to carry out the intent of Section 4.02. In the event there is no successor index measuring cost of living, Lessor shall reasonably select an alternative price index measuring cost of living that will constitute a reasonable substitute for the Price Index.</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Previous Lease</w:t>
      </w:r>
      <w:r>
        <w:rPr>
          <w:rFonts w:ascii="Arial" w:cs="Arial" w:eastAsia="Arial" w:hAnsi="Arial"/>
          <w:sz w:val="19"/>
          <w:szCs w:val="19"/>
          <w:color w:val="auto"/>
        </w:rPr>
        <w:t>” has the meaning set forth in the introductory paragraph of this Lease.</w:t>
      </w:r>
    </w:p>
    <w:p>
      <w:pPr>
        <w:spacing w:after="0" w:line="168"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Property”</w:t>
      </w:r>
      <w:r>
        <w:rPr>
          <w:rFonts w:ascii="Arial" w:cs="Arial" w:eastAsia="Arial" w:hAnsi="Arial"/>
          <w:sz w:val="19"/>
          <w:szCs w:val="19"/>
          <w:color w:val="auto"/>
        </w:rPr>
        <w:t xml:space="preserve"> means that parcel or parcels of real estate legally described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all rights, privileges, and appurtenances associated therewith, and all buildings, fixtures and other improvements now or hereafter located on such real estate (whether or not affixed to such real estate), but excluding Personalty.</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auto"/>
        </w:rPr>
        <w:t xml:space="preserve">“Purchase Closing Date” </w:t>
      </w:r>
      <w:r>
        <w:rPr>
          <w:rFonts w:ascii="Arial" w:cs="Arial" w:eastAsia="Arial" w:hAnsi="Arial"/>
          <w:sz w:val="19"/>
          <w:szCs w:val="19"/>
          <w:color w:val="auto"/>
        </w:rPr>
        <w:t>has the meaning set forth in Section 18.02(b).</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auto"/>
        </w:rPr>
        <w:t xml:space="preserve">“Purchase Offer” </w:t>
      </w:r>
      <w:r>
        <w:rPr>
          <w:rFonts w:ascii="Arial" w:cs="Arial" w:eastAsia="Arial" w:hAnsi="Arial"/>
          <w:sz w:val="19"/>
          <w:szCs w:val="19"/>
          <w:color w:val="auto"/>
        </w:rPr>
        <w:t>has the meaning set forth in Section 18.01.</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auto"/>
        </w:rPr>
        <w:t xml:space="preserve">“Real Estate Taxes” </w:t>
      </w:r>
      <w:r>
        <w:rPr>
          <w:rFonts w:ascii="Arial" w:cs="Arial" w:eastAsia="Arial" w:hAnsi="Arial"/>
          <w:sz w:val="19"/>
          <w:szCs w:val="19"/>
          <w:color w:val="auto"/>
        </w:rPr>
        <w:t>has the meaning set forth in Section 6.04.</w:t>
      </w:r>
    </w:p>
    <w:p>
      <w:pPr>
        <w:spacing w:after="0" w:line="168"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Regulated Substances</w:t>
      </w:r>
      <w:r>
        <w:rPr>
          <w:rFonts w:ascii="Arial" w:cs="Arial" w:eastAsia="Arial" w:hAnsi="Arial"/>
          <w:sz w:val="19"/>
          <w:szCs w:val="19"/>
          <w:color w:val="auto"/>
        </w:rPr>
        <w:t>” means “petroleum” and “petroleum-based substances” or any similar terms described or defined in any of the Environmental Laws and any applicable federal, state, county or local Laws applicable to or regulating USTs.</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REIT</w:t>
      </w:r>
      <w:r>
        <w:rPr>
          <w:rFonts w:ascii="Arial" w:cs="Arial" w:eastAsia="Arial" w:hAnsi="Arial"/>
          <w:sz w:val="19"/>
          <w:szCs w:val="19"/>
          <w:color w:val="auto"/>
        </w:rPr>
        <w:t>” means a real estate investment trust as defined under Section 856 of the Code.</w:t>
      </w:r>
    </w:p>
    <w:p>
      <w:pPr>
        <w:spacing w:after="0" w:line="168"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Release</w:t>
      </w:r>
      <w:r>
        <w:rPr>
          <w:rFonts w:ascii="Arial" w:cs="Arial" w:eastAsia="Arial" w:hAnsi="Arial"/>
          <w:sz w:val="19"/>
          <w:szCs w:val="19"/>
          <w:color w:val="auto"/>
        </w:rPr>
        <w:t>” means any presence, release, deposit, discharge, emission, leaking, spilling, seeping, migrating, injecting, pumping, pouring, emptying, escaping, dumping, disposing or other movement of Hazardous Materials, Regulated Substances or USTs or any Threatened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A-5</w:t>
      </w:r>
    </w:p>
    <w:p>
      <w:pPr>
        <w:ind w:left="1080"/>
        <w:spacing w:after="0" w:line="221" w:lineRule="auto"/>
        <w:rPr>
          <w:sz w:val="20"/>
          <w:szCs w:val="20"/>
          <w:color w:val="auto"/>
        </w:rPr>
      </w:pPr>
      <w:r>
        <w:rPr>
          <w:rFonts w:ascii="Arial" w:cs="Arial" w:eastAsia="Arial" w:hAnsi="Arial"/>
          <w:sz w:val="12"/>
          <w:szCs w:val="12"/>
          <w:color w:val="auto"/>
        </w:rPr>
        <w:t>STORE / RT Logic (Kratos)</w:t>
      </w:r>
    </w:p>
    <w:p>
      <w:pPr>
        <w:ind w:left="1080"/>
        <w:spacing w:after="0" w:line="202" w:lineRule="auto"/>
        <w:rPr>
          <w:sz w:val="20"/>
          <w:szCs w:val="20"/>
          <w:color w:val="auto"/>
        </w:rPr>
      </w:pPr>
      <w:r>
        <w:rPr>
          <w:rFonts w:ascii="Arial" w:cs="Arial" w:eastAsia="Arial" w:hAnsi="Arial"/>
          <w:sz w:val="12"/>
          <w:szCs w:val="12"/>
          <w:color w:val="auto"/>
        </w:rPr>
        <w:t>Second A&amp;R Lease Agreement</w:t>
      </w:r>
    </w:p>
    <w:p>
      <w:pPr>
        <w:ind w:left="108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48" w:name="page149"/>
    <w:bookmarkEnd w:id="148"/>
    <w:p>
      <w:pPr>
        <w:ind w:left="10080"/>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19"/>
        <w:spacing w:after="0" w:line="2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Remediation</w:t>
      </w:r>
      <w:r>
        <w:rPr>
          <w:rFonts w:ascii="Arial" w:cs="Arial" w:eastAsia="Arial" w:hAnsi="Arial"/>
          <w:sz w:val="19"/>
          <w:szCs w:val="19"/>
          <w:color w:val="auto"/>
        </w:rPr>
        <w:t>” means any response, remedial, removal, or corrective action, any activity to cleanup, detoxify, decontaminate, contain or otherwise remediate any Hazardous Materials, Regulated Substances or USTs, any actions to prevent, cure or mitigate any Release, any action to comply with any Environmental Laws or with any permits issued pursuant thereto, any inspection, investigation, study, monitoring, assessment, audit, sampling and testing, laboratory or other analysis, or any evaluation relating to any Hazardous Materials, Regulated Substances or USTs.</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Rental</w:t>
      </w:r>
      <w:r>
        <w:rPr>
          <w:rFonts w:ascii="Arial" w:cs="Arial" w:eastAsia="Arial" w:hAnsi="Arial"/>
          <w:sz w:val="19"/>
          <w:szCs w:val="19"/>
          <w:color w:val="auto"/>
        </w:rPr>
        <w:t>” means, collectively, the Base Annual Rental and the Additional Rental.</w:t>
      </w:r>
    </w:p>
    <w:p>
      <w:pPr>
        <w:spacing w:after="0" w:line="168"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Rental Adjustment</w:t>
      </w:r>
      <w:r>
        <w:rPr>
          <w:rFonts w:ascii="Arial" w:cs="Arial" w:eastAsia="Arial" w:hAnsi="Arial"/>
          <w:sz w:val="19"/>
          <w:szCs w:val="19"/>
          <w:color w:val="auto"/>
        </w:rPr>
        <w:t>” means an amount equal to the lesser of (a) 2% of the Base Annual Rental in effect immediately prior to the applicable Adjustment Date, or (b) the product of (i) the percentage change between the Price Index for the month which is two months prior to the June 1, 2018, or the Price Index used for the immediately preceding Adjustment Date, as applicable, and the Price Index for the month which is two months prior to the applicable Adjustment Date; and (ii) the then current Base Annual Rental.</w:t>
      </w:r>
    </w:p>
    <w:p>
      <w:pPr>
        <w:spacing w:after="0" w:line="142"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Requisition</w:t>
      </w:r>
      <w:r>
        <w:rPr>
          <w:rFonts w:ascii="Arial" w:cs="Arial" w:eastAsia="Arial" w:hAnsi="Arial"/>
          <w:sz w:val="19"/>
          <w:szCs w:val="19"/>
          <w:color w:val="auto"/>
        </w:rPr>
        <w:t>” means any temporary requisition or confiscation of the use or occupancy of the Property by any Governmental Authority, civil or military, whether pursuant to an agreement with such Governmental Authority in settlement of or under threat of any such requisition or confiscation, or otherwise.</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auto"/>
        </w:rPr>
        <w:t xml:space="preserve">“Reserve” </w:t>
      </w:r>
      <w:r>
        <w:rPr>
          <w:rFonts w:ascii="Arial" w:cs="Arial" w:eastAsia="Arial" w:hAnsi="Arial"/>
          <w:sz w:val="19"/>
          <w:szCs w:val="19"/>
          <w:color w:val="auto"/>
        </w:rPr>
        <w:t>has the meaning in Section 6.04.</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Securities</w:t>
      </w:r>
      <w:r>
        <w:rPr>
          <w:rFonts w:ascii="Arial" w:cs="Arial" w:eastAsia="Arial" w:hAnsi="Arial"/>
          <w:sz w:val="19"/>
          <w:szCs w:val="19"/>
          <w:color w:val="auto"/>
        </w:rPr>
        <w:t>” has the meaning set forth in Section 17.10.</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Securities Act</w:t>
      </w:r>
      <w:r>
        <w:rPr>
          <w:rFonts w:ascii="Arial" w:cs="Arial" w:eastAsia="Arial" w:hAnsi="Arial"/>
          <w:sz w:val="19"/>
          <w:szCs w:val="19"/>
          <w:color w:val="auto"/>
        </w:rPr>
        <w:t>” means of the Securities Act of 1933, as amended.</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Securitization</w:t>
      </w:r>
      <w:r>
        <w:rPr>
          <w:rFonts w:ascii="Arial" w:cs="Arial" w:eastAsia="Arial" w:hAnsi="Arial"/>
          <w:sz w:val="19"/>
          <w:szCs w:val="19"/>
          <w:color w:val="auto"/>
        </w:rPr>
        <w:t>” has the meaning set forth in Section 17.10.</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Security Deposit</w:t>
      </w:r>
      <w:r>
        <w:rPr>
          <w:rFonts w:ascii="Arial" w:cs="Arial" w:eastAsia="Arial" w:hAnsi="Arial"/>
          <w:sz w:val="19"/>
          <w:szCs w:val="19"/>
          <w:color w:val="auto"/>
        </w:rPr>
        <w:t>” has the meaning set forth in Section 4.09(a).</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auto"/>
        </w:rPr>
        <w:t xml:space="preserve">“Subject Purchase Price” </w:t>
      </w:r>
      <w:r>
        <w:rPr>
          <w:rFonts w:ascii="Arial" w:cs="Arial" w:eastAsia="Arial" w:hAnsi="Arial"/>
          <w:sz w:val="19"/>
          <w:szCs w:val="19"/>
          <w:color w:val="auto"/>
        </w:rPr>
        <w:t>has the meaning set forth in Section 18.01.</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Successor Lessor</w:t>
      </w:r>
      <w:r>
        <w:rPr>
          <w:rFonts w:ascii="Arial" w:cs="Arial" w:eastAsia="Arial" w:hAnsi="Arial"/>
          <w:sz w:val="19"/>
          <w:szCs w:val="19"/>
          <w:color w:val="auto"/>
        </w:rPr>
        <w:t>” has the meaning set forth in Section 13.03.</w:t>
      </w:r>
    </w:p>
    <w:p>
      <w:pPr>
        <w:spacing w:after="0" w:line="168" w:lineRule="exact"/>
        <w:rPr>
          <w:sz w:val="20"/>
          <w:szCs w:val="20"/>
          <w:color w:val="auto"/>
        </w:rPr>
      </w:pPr>
    </w:p>
    <w:p>
      <w:pPr>
        <w:jc w:val="both"/>
        <w:ind w:firstLine="619"/>
        <w:spacing w:after="0" w:line="2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Taking</w:t>
      </w:r>
      <w:r>
        <w:rPr>
          <w:rFonts w:ascii="Arial" w:cs="Arial" w:eastAsia="Arial" w:hAnsi="Arial"/>
          <w:sz w:val="19"/>
          <w:szCs w:val="19"/>
          <w:color w:val="auto"/>
        </w:rPr>
        <w:t>” means (a) any taking or damaging of all or a portion of the Property (i) in or by condemnation or other eminent domain proceedings pursuant to any Law, general or special; (ii) by reason of any agreement with any condemnor in settlement of or under threat of any such condemnation or other eminent domain proceeding; or (iii) by any other means; or (b) any de facto condemnation. The Taking shall be considered to have taken place as of the later of the date actual physical possession is taken by the condemnor, or the date on which the right to compensation and damages accrues under the Law applicable to the Property.</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Temporary Taking</w:t>
      </w:r>
      <w:r>
        <w:rPr>
          <w:rFonts w:ascii="Arial" w:cs="Arial" w:eastAsia="Arial" w:hAnsi="Arial"/>
          <w:sz w:val="19"/>
          <w:szCs w:val="19"/>
          <w:color w:val="auto"/>
        </w:rPr>
        <w:t>” has the meaning set forth in Section 11.04.</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auto"/>
        </w:rPr>
        <w:t xml:space="preserve">“Third Party Offer” </w:t>
      </w:r>
      <w:r>
        <w:rPr>
          <w:rFonts w:ascii="Arial" w:cs="Arial" w:eastAsia="Arial" w:hAnsi="Arial"/>
          <w:sz w:val="19"/>
          <w:szCs w:val="19"/>
          <w:color w:val="auto"/>
        </w:rPr>
        <w:t>has the meaning set forth in Section 18.01.</w:t>
      </w:r>
    </w:p>
    <w:p>
      <w:pPr>
        <w:spacing w:after="0" w:line="168"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Threatened Release</w:t>
      </w:r>
      <w:r>
        <w:rPr>
          <w:rFonts w:ascii="Arial" w:cs="Arial" w:eastAsia="Arial" w:hAnsi="Arial"/>
          <w:sz w:val="19"/>
          <w:szCs w:val="19"/>
          <w:color w:val="auto"/>
        </w:rPr>
        <w:t>” means a substantial likelihood of a Release which requires action to prevent or mitigate damage to the soil, surface waters, groundwaters, land, stream sediments, surface or subsurface strata, ambient air or any other environmental medium comprising or surrounding the Property which may result from such Release.</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Total Condemnation</w:t>
      </w:r>
      <w:r>
        <w:rPr>
          <w:rFonts w:ascii="Arial" w:cs="Arial" w:eastAsia="Arial" w:hAnsi="Arial"/>
          <w:sz w:val="19"/>
          <w:szCs w:val="19"/>
          <w:color w:val="auto"/>
        </w:rPr>
        <w:t>” has the meaning set forth in Section 11.02.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A-6</w:t>
      </w:r>
    </w:p>
    <w:p>
      <w:pPr>
        <w:ind w:left="1080"/>
        <w:spacing w:after="0" w:line="221" w:lineRule="auto"/>
        <w:rPr>
          <w:sz w:val="20"/>
          <w:szCs w:val="20"/>
          <w:color w:val="auto"/>
        </w:rPr>
      </w:pPr>
      <w:r>
        <w:rPr>
          <w:rFonts w:ascii="Arial" w:cs="Arial" w:eastAsia="Arial" w:hAnsi="Arial"/>
          <w:sz w:val="12"/>
          <w:szCs w:val="12"/>
          <w:color w:val="auto"/>
        </w:rPr>
        <w:t>STORE / RT Logic (Kratos)</w:t>
      </w:r>
    </w:p>
    <w:p>
      <w:pPr>
        <w:ind w:left="1080"/>
        <w:spacing w:after="0" w:line="202" w:lineRule="auto"/>
        <w:rPr>
          <w:sz w:val="20"/>
          <w:szCs w:val="20"/>
          <w:color w:val="auto"/>
        </w:rPr>
      </w:pPr>
      <w:r>
        <w:rPr>
          <w:rFonts w:ascii="Arial" w:cs="Arial" w:eastAsia="Arial" w:hAnsi="Arial"/>
          <w:sz w:val="12"/>
          <w:szCs w:val="12"/>
          <w:color w:val="auto"/>
        </w:rPr>
        <w:t>Second A&amp;R Lease Agreement</w:t>
      </w:r>
    </w:p>
    <w:p>
      <w:pPr>
        <w:ind w:left="108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49" w:name="page150"/>
    <w:bookmarkEnd w:id="149"/>
    <w:p>
      <w:pPr>
        <w:ind w:left="10080"/>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Transaction</w:t>
      </w:r>
      <w:r>
        <w:rPr>
          <w:rFonts w:ascii="Arial" w:cs="Arial" w:eastAsia="Arial" w:hAnsi="Arial"/>
          <w:sz w:val="19"/>
          <w:szCs w:val="19"/>
          <w:color w:val="auto"/>
        </w:rPr>
        <w:t>” has the meaning set forth in Section 14.01.</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Transaction Documents</w:t>
      </w:r>
      <w:r>
        <w:rPr>
          <w:rFonts w:ascii="Arial" w:cs="Arial" w:eastAsia="Arial" w:hAnsi="Arial"/>
          <w:sz w:val="19"/>
          <w:szCs w:val="19"/>
          <w:color w:val="auto"/>
        </w:rPr>
        <w:t>” means this Lease, the Guaranty and all documents related thereto.</w:t>
      </w:r>
    </w:p>
    <w:p>
      <w:pPr>
        <w:spacing w:after="0" w:line="168" w:lineRule="exact"/>
        <w:rPr>
          <w:sz w:val="20"/>
          <w:szCs w:val="20"/>
          <w:color w:val="auto"/>
        </w:rPr>
      </w:pPr>
    </w:p>
    <w:p>
      <w:pPr>
        <w:ind w:firstLine="619"/>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U.S. Publicly Traded Entity</w:t>
      </w:r>
      <w:r>
        <w:rPr>
          <w:rFonts w:ascii="Arial" w:cs="Arial" w:eastAsia="Arial" w:hAnsi="Arial"/>
          <w:sz w:val="19"/>
          <w:szCs w:val="19"/>
          <w:color w:val="auto"/>
        </w:rPr>
        <w:t>” means an entity whose securities are listed on a national securities exchange or quoted on an automated quotation system in the United States or a wholly-owned subsidiary of such an entity.</w:t>
      </w:r>
    </w:p>
    <w:p>
      <w:pPr>
        <w:spacing w:after="0" w:line="141" w:lineRule="exact"/>
        <w:rPr>
          <w:sz w:val="20"/>
          <w:szCs w:val="20"/>
          <w:color w:val="auto"/>
        </w:rPr>
      </w:pPr>
    </w:p>
    <w:p>
      <w:pPr>
        <w:ind w:firstLine="619"/>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USTs</w:t>
      </w:r>
      <w:r>
        <w:rPr>
          <w:rFonts w:ascii="Arial" w:cs="Arial" w:eastAsia="Arial" w:hAnsi="Arial"/>
          <w:sz w:val="19"/>
          <w:szCs w:val="19"/>
          <w:color w:val="auto"/>
        </w:rPr>
        <w:t>” means any one or combination of tanks and associated product piping systems used in connection with storage, dispensing and general use of Regulated Substances.</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Warranties</w:t>
      </w:r>
      <w:r>
        <w:rPr>
          <w:rFonts w:ascii="Arial" w:cs="Arial" w:eastAsia="Arial" w:hAnsi="Arial"/>
          <w:sz w:val="19"/>
          <w:szCs w:val="19"/>
          <w:color w:val="auto"/>
        </w:rPr>
        <w:t>” has the meaning set forth in Section 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A-7</w:t>
      </w:r>
    </w:p>
    <w:p>
      <w:pPr>
        <w:ind w:left="1080"/>
        <w:spacing w:after="0" w:line="221" w:lineRule="auto"/>
        <w:rPr>
          <w:sz w:val="20"/>
          <w:szCs w:val="20"/>
          <w:color w:val="auto"/>
        </w:rPr>
      </w:pPr>
      <w:r>
        <w:rPr>
          <w:rFonts w:ascii="Arial" w:cs="Arial" w:eastAsia="Arial" w:hAnsi="Arial"/>
          <w:sz w:val="12"/>
          <w:szCs w:val="12"/>
          <w:color w:val="auto"/>
        </w:rPr>
        <w:t>STORE / RT Logic (Kratos)</w:t>
      </w:r>
    </w:p>
    <w:p>
      <w:pPr>
        <w:ind w:left="1080"/>
        <w:spacing w:after="0" w:line="202" w:lineRule="auto"/>
        <w:rPr>
          <w:sz w:val="20"/>
          <w:szCs w:val="20"/>
          <w:color w:val="auto"/>
        </w:rPr>
      </w:pPr>
      <w:r>
        <w:rPr>
          <w:rFonts w:ascii="Arial" w:cs="Arial" w:eastAsia="Arial" w:hAnsi="Arial"/>
          <w:sz w:val="12"/>
          <w:szCs w:val="12"/>
          <w:color w:val="auto"/>
        </w:rPr>
        <w:t>Second A&amp;R Lease Agreement</w:t>
      </w:r>
    </w:p>
    <w:p>
      <w:pPr>
        <w:ind w:left="108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9"/>
          <w:szCs w:val="19"/>
          <w:b w:val="1"/>
          <w:bCs w:val="1"/>
          <w:color w:val="auto"/>
        </w:rPr>
        <w:t>EXHIBIT B</w:t>
      </w:r>
    </w:p>
    <w:p>
      <w:pPr>
        <w:spacing w:after="0" w:line="128" w:lineRule="exact"/>
        <w:rPr>
          <w:sz w:val="20"/>
          <w:szCs w:val="20"/>
          <w:color w:val="auto"/>
        </w:rPr>
      </w:pPr>
    </w:p>
    <w:p>
      <w:pPr>
        <w:ind w:left="4400"/>
        <w:spacing w:after="0"/>
        <w:rPr>
          <w:sz w:val="20"/>
          <w:szCs w:val="20"/>
          <w:color w:val="auto"/>
        </w:rPr>
      </w:pPr>
      <w:r>
        <w:rPr>
          <w:rFonts w:ascii="Arial" w:cs="Arial" w:eastAsia="Arial" w:hAnsi="Arial"/>
          <w:sz w:val="19"/>
          <w:szCs w:val="19"/>
          <w:b w:val="1"/>
          <w:bCs w:val="1"/>
          <w:color w:val="auto"/>
        </w:rPr>
        <w:t>LEGAL DESCRIPTION AND</w:t>
      </w:r>
    </w:p>
    <w:p>
      <w:pPr>
        <w:jc w:val="center"/>
        <w:spacing w:after="0"/>
        <w:rPr>
          <w:sz w:val="20"/>
          <w:szCs w:val="20"/>
          <w:color w:val="auto"/>
        </w:rPr>
      </w:pPr>
      <w:r>
        <w:rPr>
          <w:rFonts w:ascii="Arial" w:cs="Arial" w:eastAsia="Arial" w:hAnsi="Arial"/>
          <w:sz w:val="19"/>
          <w:szCs w:val="19"/>
          <w:b w:val="1"/>
          <w:bCs w:val="1"/>
          <w:color w:val="auto"/>
        </w:rPr>
        <w:t>STREET ADDRESS OF THE PROPERTY</w:t>
      </w: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Address</w:t>
      </w:r>
      <w:r>
        <w:rPr>
          <w:rFonts w:ascii="Arial" w:cs="Arial" w:eastAsia="Arial" w:hAnsi="Arial"/>
          <w:sz w:val="19"/>
          <w:szCs w:val="19"/>
          <w:color w:val="auto"/>
        </w:rPr>
        <w:t>: 12515 and 12575 Academy Ridge View, Colorado Springs, CO 80921</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Legal Description</w:t>
      </w:r>
      <w:r>
        <w:rPr>
          <w:rFonts w:ascii="Arial" w:cs="Arial" w:eastAsia="Arial" w:hAnsi="Arial"/>
          <w:sz w:val="19"/>
          <w:szCs w:val="19"/>
          <w:color w:val="auto"/>
        </w:rPr>
        <w:t>:</w:t>
      </w:r>
    </w:p>
    <w:p>
      <w:pPr>
        <w:spacing w:after="0" w:line="218"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Lot 1 in RT Logic Subdivision Filing No. 1, as amended by Affidavit of Correction, recorded October 17, 2005 at Reception No. 205165253 and Affidavit of Agreement recorded November 9, 2005 at Reception No. 205180227 in the City of Colorado Springs, County of El Paso, State of Colorado.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B-1</w:t>
      </w:r>
    </w:p>
    <w:p>
      <w:pPr>
        <w:ind w:left="1080"/>
        <w:spacing w:after="0" w:line="221" w:lineRule="auto"/>
        <w:rPr>
          <w:sz w:val="20"/>
          <w:szCs w:val="20"/>
          <w:color w:val="auto"/>
        </w:rPr>
      </w:pPr>
      <w:r>
        <w:rPr>
          <w:rFonts w:ascii="Arial" w:cs="Arial" w:eastAsia="Arial" w:hAnsi="Arial"/>
          <w:sz w:val="12"/>
          <w:szCs w:val="12"/>
          <w:color w:val="auto"/>
        </w:rPr>
        <w:t>STORE / RT Logic (Kratos)</w:t>
      </w:r>
    </w:p>
    <w:p>
      <w:pPr>
        <w:ind w:left="1080"/>
        <w:spacing w:after="0" w:line="202" w:lineRule="auto"/>
        <w:rPr>
          <w:sz w:val="20"/>
          <w:szCs w:val="20"/>
          <w:color w:val="auto"/>
        </w:rPr>
      </w:pPr>
      <w:r>
        <w:rPr>
          <w:rFonts w:ascii="Arial" w:cs="Arial" w:eastAsia="Arial" w:hAnsi="Arial"/>
          <w:sz w:val="12"/>
          <w:szCs w:val="12"/>
          <w:color w:val="auto"/>
        </w:rPr>
        <w:t>Second A&amp;R Lease Agreement</w:t>
      </w:r>
    </w:p>
    <w:p>
      <w:pPr>
        <w:ind w:left="108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EXHIBIT 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INCOMING WIRE INSTRUCTIONS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Please give these instructions to your bank when you initiate a wire payment to STORE CAPITAL ACQUISITIONS, LLC:</w:t>
      </w:r>
    </w:p>
    <w:p>
      <w:pPr>
        <w:spacing w:after="0" w:line="130" w:lineRule="exact"/>
        <w:rPr>
          <w:sz w:val="20"/>
          <w:szCs w:val="20"/>
          <w:color w:val="auto"/>
        </w:rPr>
      </w:pPr>
    </w:p>
    <w:p>
      <w:pPr>
        <w:ind w:left="1460"/>
        <w:spacing w:after="0"/>
        <w:tabs>
          <w:tab w:leader="none" w:pos="2900" w:val="left"/>
        </w:tabs>
        <w:rPr>
          <w:sz w:val="20"/>
          <w:szCs w:val="20"/>
          <w:color w:val="auto"/>
        </w:rPr>
      </w:pPr>
      <w:r>
        <w:rPr>
          <w:rFonts w:ascii="Arial" w:cs="Arial" w:eastAsia="Arial" w:hAnsi="Arial"/>
          <w:sz w:val="19"/>
          <w:szCs w:val="19"/>
          <w:color w:val="auto"/>
        </w:rPr>
        <w:t>Bank Name:</w:t>
      </w:r>
      <w:r>
        <w:rPr>
          <w:sz w:val="20"/>
          <w:szCs w:val="20"/>
          <w:color w:val="auto"/>
        </w:rPr>
        <w:tab/>
      </w:r>
      <w:r>
        <w:rPr>
          <w:rFonts w:ascii="Arial" w:cs="Arial" w:eastAsia="Arial" w:hAnsi="Arial"/>
          <w:sz w:val="18"/>
          <w:szCs w:val="18"/>
          <w:color w:val="auto"/>
        </w:rPr>
        <w:t>KeyBank, National Association</w:t>
      </w:r>
    </w:p>
    <w:p>
      <w:pPr>
        <w:ind w:left="1440"/>
        <w:spacing w:after="0" w:line="198" w:lineRule="auto"/>
        <w:tabs>
          <w:tab w:leader="none" w:pos="2480" w:val="left"/>
        </w:tabs>
        <w:rPr>
          <w:sz w:val="20"/>
          <w:szCs w:val="20"/>
          <w:color w:val="auto"/>
        </w:rPr>
      </w:pPr>
      <w:r>
        <w:rPr>
          <w:rFonts w:ascii="Arial" w:cs="Arial" w:eastAsia="Arial" w:hAnsi="Arial"/>
          <w:sz w:val="19"/>
          <w:szCs w:val="19"/>
          <w:color w:val="auto"/>
        </w:rPr>
        <w:t>ABA:</w:t>
      </w:r>
      <w:r>
        <w:rPr>
          <w:sz w:val="20"/>
          <w:szCs w:val="20"/>
          <w:color w:val="auto"/>
        </w:rPr>
        <w:tab/>
      </w:r>
      <w:r>
        <w:rPr>
          <w:rFonts w:ascii="Arial" w:cs="Arial" w:eastAsia="Arial" w:hAnsi="Arial"/>
          <w:sz w:val="19"/>
          <w:szCs w:val="19"/>
          <w:color w:val="auto"/>
        </w:rPr>
        <w:t>041-001-039</w:t>
      </w:r>
    </w:p>
    <w:p>
      <w:pPr>
        <w:ind w:left="1440"/>
        <w:spacing w:after="0" w:line="209" w:lineRule="auto"/>
        <w:tabs>
          <w:tab w:leader="none" w:pos="2980" w:val="left"/>
        </w:tabs>
        <w:rPr>
          <w:sz w:val="20"/>
          <w:szCs w:val="20"/>
          <w:color w:val="auto"/>
        </w:rPr>
      </w:pPr>
      <w:r>
        <w:rPr>
          <w:rFonts w:ascii="Arial" w:cs="Arial" w:eastAsia="Arial" w:hAnsi="Arial"/>
          <w:sz w:val="19"/>
          <w:szCs w:val="19"/>
          <w:color w:val="auto"/>
        </w:rPr>
        <w:t>Account Name:</w:t>
      </w:r>
      <w:r>
        <w:rPr>
          <w:sz w:val="20"/>
          <w:szCs w:val="20"/>
          <w:color w:val="auto"/>
        </w:rPr>
        <w:tab/>
      </w:r>
      <w:r>
        <w:rPr>
          <w:rFonts w:ascii="Arial" w:cs="Arial" w:eastAsia="Arial" w:hAnsi="Arial"/>
          <w:sz w:val="18"/>
          <w:szCs w:val="18"/>
          <w:color w:val="auto"/>
        </w:rPr>
        <w:t>KBREC Payment Clearing Account</w:t>
      </w:r>
    </w:p>
    <w:p>
      <w:pPr>
        <w:ind w:left="1860"/>
        <w:spacing w:after="0" w:line="209" w:lineRule="auto"/>
        <w:tabs>
          <w:tab w:leader="none" w:pos="3340" w:val="left"/>
        </w:tabs>
        <w:rPr>
          <w:sz w:val="20"/>
          <w:szCs w:val="20"/>
          <w:color w:val="auto"/>
        </w:rPr>
      </w:pPr>
      <w:r>
        <w:rPr>
          <w:rFonts w:ascii="Arial" w:cs="Arial" w:eastAsia="Arial" w:hAnsi="Arial"/>
          <w:sz w:val="19"/>
          <w:szCs w:val="19"/>
          <w:color w:val="auto"/>
        </w:rPr>
        <w:t>Account No.:</w:t>
      </w:r>
      <w:r>
        <w:rPr>
          <w:sz w:val="20"/>
          <w:szCs w:val="20"/>
          <w:color w:val="auto"/>
        </w:rPr>
        <w:tab/>
      </w:r>
      <w:r>
        <w:rPr>
          <w:rFonts w:ascii="Arial" w:cs="Arial" w:eastAsia="Arial" w:hAnsi="Arial"/>
          <w:sz w:val="18"/>
          <w:szCs w:val="18"/>
          <w:color w:val="auto"/>
        </w:rPr>
        <w:t>359951013036</w:t>
      </w:r>
    </w:p>
    <w:p>
      <w:pPr>
        <w:ind w:left="1860"/>
        <w:spacing w:after="0" w:line="199" w:lineRule="auto"/>
        <w:tabs>
          <w:tab w:leader="none" w:pos="3180" w:val="left"/>
        </w:tabs>
        <w:rPr>
          <w:sz w:val="20"/>
          <w:szCs w:val="20"/>
          <w:color w:val="auto"/>
        </w:rPr>
      </w:pPr>
      <w:r>
        <w:rPr>
          <w:rFonts w:ascii="Arial" w:cs="Arial" w:eastAsia="Arial" w:hAnsi="Arial"/>
          <w:sz w:val="19"/>
          <w:szCs w:val="19"/>
          <w:color w:val="auto"/>
        </w:rPr>
        <w:t>Reference:</w:t>
      </w:r>
      <w:r>
        <w:rPr>
          <w:sz w:val="20"/>
          <w:szCs w:val="20"/>
          <w:color w:val="auto"/>
        </w:rPr>
        <w:tab/>
      </w:r>
      <w:r>
        <w:rPr>
          <w:rFonts w:ascii="Arial" w:cs="Arial" w:eastAsia="Arial" w:hAnsi="Arial"/>
          <w:sz w:val="19"/>
          <w:szCs w:val="19"/>
          <w:color w:val="auto"/>
        </w:rPr>
        <w:t>Contract ID#: L0000836</w:t>
      </w:r>
    </w:p>
    <w:p>
      <w:pPr>
        <w:jc w:val="center"/>
        <w:ind w:left="360"/>
        <w:spacing w:after="0"/>
        <w:rPr>
          <w:sz w:val="20"/>
          <w:szCs w:val="20"/>
          <w:color w:val="auto"/>
        </w:rPr>
      </w:pPr>
      <w:r>
        <w:rPr>
          <w:rFonts w:ascii="Arial" w:cs="Arial" w:eastAsia="Arial" w:hAnsi="Arial"/>
          <w:sz w:val="19"/>
          <w:szCs w:val="19"/>
          <w:color w:val="auto"/>
        </w:rPr>
        <w:t>Property Name: RT Logic – Colorado Springs, CO</w:t>
      </w:r>
    </w:p>
    <w:p>
      <w:pPr>
        <w:spacing w:after="0" w:line="400" w:lineRule="exact"/>
        <w:rPr>
          <w:sz w:val="20"/>
          <w:szCs w:val="20"/>
          <w:color w:val="auto"/>
        </w:rPr>
      </w:pPr>
    </w:p>
    <w:p>
      <w:pPr>
        <w:ind w:left="3060" w:right="2820" w:hanging="277"/>
        <w:spacing w:after="0" w:line="236" w:lineRule="auto"/>
        <w:tabs>
          <w:tab w:leader="none" w:pos="290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information must be completed fully and accurately to ensure that there is no delay in crediting funds to the proper account.</w:t>
      </w: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19"/>
          <w:szCs w:val="19"/>
          <w:color w:val="auto"/>
        </w:rPr>
        <w:t>C-1</w:t>
      </w:r>
    </w:p>
    <w:p>
      <w:pPr>
        <w:ind w:left="1080"/>
        <w:spacing w:after="0" w:line="221" w:lineRule="auto"/>
        <w:rPr>
          <w:sz w:val="20"/>
          <w:szCs w:val="20"/>
          <w:color w:val="auto"/>
        </w:rPr>
      </w:pPr>
      <w:r>
        <w:rPr>
          <w:rFonts w:ascii="Arial" w:cs="Arial" w:eastAsia="Arial" w:hAnsi="Arial"/>
          <w:sz w:val="12"/>
          <w:szCs w:val="12"/>
          <w:color w:val="auto"/>
        </w:rPr>
        <w:t>STORE / RT Logic (Kratos)</w:t>
      </w:r>
    </w:p>
    <w:p>
      <w:pPr>
        <w:ind w:left="1080"/>
        <w:spacing w:after="0" w:line="202" w:lineRule="auto"/>
        <w:rPr>
          <w:sz w:val="20"/>
          <w:szCs w:val="20"/>
          <w:color w:val="auto"/>
        </w:rPr>
      </w:pPr>
      <w:r>
        <w:rPr>
          <w:rFonts w:ascii="Arial" w:cs="Arial" w:eastAsia="Arial" w:hAnsi="Arial"/>
          <w:sz w:val="12"/>
          <w:szCs w:val="12"/>
          <w:color w:val="auto"/>
        </w:rPr>
        <w:t>Second A&amp;R Lease Agreement</w:t>
      </w:r>
    </w:p>
    <w:p>
      <w:pPr>
        <w:ind w:left="108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EXHIBIT 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STATE-SPECIFIC PROVISIONS</w:t>
      </w: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19"/>
          <w:szCs w:val="19"/>
          <w:color w:val="auto"/>
        </w:rPr>
        <w:t>D-1</w:t>
      </w:r>
    </w:p>
    <w:p>
      <w:pPr>
        <w:ind w:left="1080"/>
        <w:spacing w:after="0" w:line="221" w:lineRule="auto"/>
        <w:rPr>
          <w:sz w:val="20"/>
          <w:szCs w:val="20"/>
          <w:color w:val="auto"/>
        </w:rPr>
      </w:pPr>
      <w:r>
        <w:rPr>
          <w:rFonts w:ascii="Arial" w:cs="Arial" w:eastAsia="Arial" w:hAnsi="Arial"/>
          <w:sz w:val="12"/>
          <w:szCs w:val="12"/>
          <w:color w:val="auto"/>
        </w:rPr>
        <w:t>STORE / RT Logic (Kratos)</w:t>
      </w:r>
    </w:p>
    <w:p>
      <w:pPr>
        <w:ind w:left="1080"/>
        <w:spacing w:after="0" w:line="202" w:lineRule="auto"/>
        <w:rPr>
          <w:sz w:val="20"/>
          <w:szCs w:val="20"/>
          <w:color w:val="auto"/>
        </w:rPr>
      </w:pPr>
      <w:r>
        <w:rPr>
          <w:rFonts w:ascii="Arial" w:cs="Arial" w:eastAsia="Arial" w:hAnsi="Arial"/>
          <w:sz w:val="12"/>
          <w:szCs w:val="12"/>
          <w:color w:val="auto"/>
        </w:rPr>
        <w:t>Second A&amp;R Lease Agreement</w:t>
      </w:r>
    </w:p>
    <w:p>
      <w:pPr>
        <w:ind w:left="108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SCHEDULE 8.01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PROHIBITED USES</w:t>
      </w:r>
    </w:p>
    <w:p>
      <w:pPr>
        <w:spacing w:after="0" w:line="221" w:lineRule="exact"/>
        <w:rPr>
          <w:sz w:val="20"/>
          <w:szCs w:val="20"/>
          <w:color w:val="auto"/>
        </w:rPr>
      </w:pPr>
    </w:p>
    <w:p>
      <w:pPr>
        <w:jc w:val="both"/>
        <w:ind w:firstLine="3"/>
        <w:spacing w:after="0" w:line="210" w:lineRule="auto"/>
        <w:tabs>
          <w:tab w:leader="none" w:pos="329" w:val="left"/>
        </w:tabs>
        <w:numPr>
          <w:ilvl w:val="0"/>
          <w:numId w:val="85"/>
        </w:numPr>
        <w:rPr>
          <w:rFonts w:ascii="Arial" w:cs="Arial" w:eastAsia="Arial" w:hAnsi="Arial"/>
          <w:sz w:val="17"/>
          <w:szCs w:val="17"/>
          <w:color w:val="auto"/>
        </w:rPr>
      </w:pPr>
      <w:r>
        <w:rPr>
          <w:rFonts w:ascii="Arial" w:cs="Arial" w:eastAsia="Arial" w:hAnsi="Arial"/>
          <w:sz w:val="17"/>
          <w:szCs w:val="17"/>
          <w:color w:val="auto"/>
        </w:rPr>
        <w:t>Adult bookstore, video store or other establishment engaged in the business of selling, renting, exhibiting or delivering pornographic or obscene materials, except that this provision shall not prohibit (a) book stores that are not perceived to be and do not hold themselves out as an “adult book store” and are primarily engaged in the sale of general audience books notwithstanding the incidental concurrent sale of books. magazines and/or periodicals that may contain pornographic materials, or (b) video stores primarily selling or renting video media that on the date of this Lease would be “G” “PG-13” or “R” rated (or an equivalent rating under any rating system that hereafter replaces the current system and is in general use), notwithstanding the incidental concurrent rental of “X-rated” or “Not Rated” video media solely for off premises viewing and without means of on premises review in connection with its selection; provided that such bookstore or video store does not engage in any promotion, advertising, depiction or description of any aspect of the X-rated or Not Rated” material of any kind, that the sale or rental thereof is not from any special or segregated section of the store, and that the sale or rental of such material to minors is prohibited;</w:t>
      </w:r>
    </w:p>
    <w:p>
      <w:pPr>
        <w:spacing w:after="0" w:line="201" w:lineRule="exact"/>
        <w:rPr>
          <w:rFonts w:ascii="Arial" w:cs="Arial" w:eastAsia="Arial" w:hAnsi="Arial"/>
          <w:sz w:val="17"/>
          <w:szCs w:val="17"/>
          <w:color w:val="auto"/>
        </w:rPr>
      </w:pPr>
    </w:p>
    <w:p>
      <w:pPr>
        <w:ind w:firstLine="3"/>
        <w:spacing w:after="0" w:line="229" w:lineRule="auto"/>
        <w:tabs>
          <w:tab w:leader="none" w:pos="511" w:val="left"/>
        </w:tabs>
        <w:numPr>
          <w:ilvl w:val="0"/>
          <w:numId w:val="85"/>
        </w:numPr>
        <w:rPr>
          <w:rFonts w:ascii="Arial" w:cs="Arial" w:eastAsia="Arial" w:hAnsi="Arial"/>
          <w:sz w:val="17"/>
          <w:szCs w:val="17"/>
          <w:color w:val="auto"/>
        </w:rPr>
      </w:pPr>
      <w:r>
        <w:rPr>
          <w:rFonts w:ascii="Arial" w:cs="Arial" w:eastAsia="Arial" w:hAnsi="Arial"/>
          <w:sz w:val="17"/>
          <w:szCs w:val="17"/>
          <w:color w:val="auto"/>
        </w:rPr>
        <w:t>So-called “head shops” or other establishments primarily engaged in the sale of merchandise that facilitates enhances, promotes or encourages the use of illegal drugs under federal, state and/or local law;</w:t>
      </w:r>
    </w:p>
    <w:p>
      <w:pPr>
        <w:spacing w:after="0" w:line="194" w:lineRule="exact"/>
        <w:rPr>
          <w:rFonts w:ascii="Arial" w:cs="Arial" w:eastAsia="Arial" w:hAnsi="Arial"/>
          <w:sz w:val="17"/>
          <w:szCs w:val="17"/>
          <w:color w:val="auto"/>
        </w:rPr>
      </w:pPr>
    </w:p>
    <w:p>
      <w:pPr>
        <w:ind w:left="340" w:hanging="337"/>
        <w:spacing w:after="0"/>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Off-track betting parlor;</w:t>
      </w:r>
    </w:p>
    <w:p>
      <w:pPr>
        <w:spacing w:after="0" w:line="204" w:lineRule="exact"/>
        <w:rPr>
          <w:rFonts w:ascii="Arial" w:cs="Arial" w:eastAsia="Arial" w:hAnsi="Arial"/>
          <w:sz w:val="17"/>
          <w:szCs w:val="17"/>
          <w:color w:val="auto"/>
        </w:rPr>
      </w:pPr>
    </w:p>
    <w:p>
      <w:pPr>
        <w:ind w:left="340" w:hanging="337"/>
        <w:spacing w:after="0"/>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Pawn shop;</w:t>
      </w:r>
    </w:p>
    <w:p>
      <w:pPr>
        <w:spacing w:after="0" w:line="204" w:lineRule="exact"/>
        <w:rPr>
          <w:rFonts w:ascii="Arial" w:cs="Arial" w:eastAsia="Arial" w:hAnsi="Arial"/>
          <w:sz w:val="17"/>
          <w:szCs w:val="17"/>
          <w:color w:val="auto"/>
        </w:rPr>
      </w:pPr>
    </w:p>
    <w:p>
      <w:pPr>
        <w:ind w:left="340" w:hanging="337"/>
        <w:spacing w:after="0"/>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“Second hand,” “slightly used” or other businesses or activities primarily engaged in the sale of used merchandise;</w:t>
      </w:r>
    </w:p>
    <w:p>
      <w:pPr>
        <w:spacing w:after="0" w:line="204" w:lineRule="exact"/>
        <w:rPr>
          <w:rFonts w:ascii="Arial" w:cs="Arial" w:eastAsia="Arial" w:hAnsi="Arial"/>
          <w:sz w:val="17"/>
          <w:szCs w:val="17"/>
          <w:color w:val="auto"/>
        </w:rPr>
      </w:pPr>
    </w:p>
    <w:p>
      <w:pPr>
        <w:ind w:left="340" w:hanging="337"/>
        <w:spacing w:after="0"/>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Junk yard or flea market;</w:t>
      </w:r>
    </w:p>
    <w:p>
      <w:pPr>
        <w:spacing w:after="0" w:line="204" w:lineRule="exact"/>
        <w:rPr>
          <w:rFonts w:ascii="Arial" w:cs="Arial" w:eastAsia="Arial" w:hAnsi="Arial"/>
          <w:sz w:val="17"/>
          <w:szCs w:val="17"/>
          <w:color w:val="auto"/>
        </w:rPr>
      </w:pPr>
    </w:p>
    <w:p>
      <w:pPr>
        <w:ind w:left="340" w:hanging="337"/>
        <w:spacing w:after="0"/>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Stockyard or recycling facility;</w:t>
      </w:r>
    </w:p>
    <w:p>
      <w:pPr>
        <w:spacing w:after="0" w:line="204" w:lineRule="exact"/>
        <w:rPr>
          <w:rFonts w:ascii="Arial" w:cs="Arial" w:eastAsia="Arial" w:hAnsi="Arial"/>
          <w:sz w:val="17"/>
          <w:szCs w:val="17"/>
          <w:color w:val="auto"/>
        </w:rPr>
      </w:pPr>
    </w:p>
    <w:p>
      <w:pPr>
        <w:ind w:left="340" w:hanging="337"/>
        <w:spacing w:after="0"/>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Motor vehicle or boat storage facility;</w:t>
      </w:r>
    </w:p>
    <w:p>
      <w:pPr>
        <w:spacing w:after="0" w:line="204" w:lineRule="exact"/>
        <w:rPr>
          <w:rFonts w:ascii="Arial" w:cs="Arial" w:eastAsia="Arial" w:hAnsi="Arial"/>
          <w:sz w:val="17"/>
          <w:szCs w:val="17"/>
          <w:color w:val="auto"/>
        </w:rPr>
      </w:pPr>
    </w:p>
    <w:p>
      <w:pPr>
        <w:ind w:left="340" w:hanging="337"/>
        <w:spacing w:after="0"/>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Billiard parlor;</w:t>
      </w:r>
    </w:p>
    <w:p>
      <w:pPr>
        <w:spacing w:after="0" w:line="204" w:lineRule="exact"/>
        <w:rPr>
          <w:rFonts w:ascii="Arial" w:cs="Arial" w:eastAsia="Arial" w:hAnsi="Arial"/>
          <w:sz w:val="17"/>
          <w:szCs w:val="17"/>
          <w:color w:val="auto"/>
        </w:rPr>
      </w:pPr>
    </w:p>
    <w:p>
      <w:pPr>
        <w:ind w:left="440" w:hanging="437"/>
        <w:spacing w:after="0"/>
        <w:tabs>
          <w:tab w:leader="none" w:pos="4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Dry cleaning or laundry plant (which shall not preclude a dry cleaning or laundry business);</w:t>
      </w:r>
    </w:p>
    <w:p>
      <w:pPr>
        <w:spacing w:after="0" w:line="204" w:lineRule="exact"/>
        <w:rPr>
          <w:rFonts w:ascii="Arial" w:cs="Arial" w:eastAsia="Arial" w:hAnsi="Arial"/>
          <w:sz w:val="17"/>
          <w:szCs w:val="17"/>
          <w:color w:val="auto"/>
        </w:rPr>
      </w:pPr>
    </w:p>
    <w:p>
      <w:pPr>
        <w:ind w:left="440" w:hanging="437"/>
        <w:spacing w:after="0"/>
        <w:tabs>
          <w:tab w:leader="none" w:pos="4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Living quarters, sleeping apartments, or lodging rooms;</w:t>
      </w:r>
    </w:p>
    <w:p>
      <w:pPr>
        <w:spacing w:after="0" w:line="204" w:lineRule="exact"/>
        <w:rPr>
          <w:rFonts w:ascii="Arial" w:cs="Arial" w:eastAsia="Arial" w:hAnsi="Arial"/>
          <w:sz w:val="17"/>
          <w:szCs w:val="17"/>
          <w:color w:val="auto"/>
        </w:rPr>
      </w:pPr>
    </w:p>
    <w:p>
      <w:pPr>
        <w:ind w:left="480" w:hanging="477"/>
        <w:spacing w:after="0"/>
        <w:tabs>
          <w:tab w:leader="none" w:pos="4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Mortuary;</w:t>
      </w:r>
    </w:p>
    <w:p>
      <w:pPr>
        <w:spacing w:after="0" w:line="204" w:lineRule="exact"/>
        <w:rPr>
          <w:rFonts w:ascii="Arial" w:cs="Arial" w:eastAsia="Arial" w:hAnsi="Arial"/>
          <w:sz w:val="17"/>
          <w:szCs w:val="17"/>
          <w:color w:val="auto"/>
        </w:rPr>
      </w:pPr>
    </w:p>
    <w:p>
      <w:pPr>
        <w:ind w:left="440" w:hanging="437"/>
        <w:spacing w:after="0"/>
        <w:tabs>
          <w:tab w:leader="none" w:pos="4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Massage parlor; or</w:t>
      </w:r>
    </w:p>
    <w:p>
      <w:pPr>
        <w:spacing w:after="0" w:line="204" w:lineRule="exact"/>
        <w:rPr>
          <w:rFonts w:ascii="Arial" w:cs="Arial" w:eastAsia="Arial" w:hAnsi="Arial"/>
          <w:sz w:val="17"/>
          <w:szCs w:val="17"/>
          <w:color w:val="auto"/>
        </w:rPr>
      </w:pPr>
    </w:p>
    <w:p>
      <w:pPr>
        <w:ind w:left="440" w:hanging="437"/>
        <w:spacing w:after="0"/>
        <w:tabs>
          <w:tab w:leader="none" w:pos="4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Refining, quarrying or mining operations of any kind.</w:t>
      </w:r>
    </w:p>
    <w:p>
      <w:pPr>
        <w:spacing w:after="0" w:line="200" w:lineRule="exact"/>
        <w:rPr>
          <w:sz w:val="20"/>
          <w:szCs w:val="20"/>
          <w:color w:val="auto"/>
        </w:rPr>
      </w:pPr>
    </w:p>
    <w:p>
      <w:pPr>
        <w:spacing w:after="0" w:line="28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STORE / RT Logic (Kratos)</w:t>
      </w:r>
    </w:p>
    <w:p>
      <w:pPr>
        <w:ind w:left="1080"/>
        <w:spacing w:after="0" w:line="201" w:lineRule="auto"/>
        <w:rPr>
          <w:sz w:val="20"/>
          <w:szCs w:val="20"/>
          <w:color w:val="auto"/>
        </w:rPr>
      </w:pPr>
      <w:r>
        <w:rPr>
          <w:rFonts w:ascii="Arial" w:cs="Arial" w:eastAsia="Arial" w:hAnsi="Arial"/>
          <w:sz w:val="12"/>
          <w:szCs w:val="12"/>
          <w:color w:val="auto"/>
        </w:rPr>
        <w:t>Second A&amp;R Lease Agreement</w:t>
      </w:r>
    </w:p>
    <w:p>
      <w:pPr>
        <w:ind w:left="1080"/>
        <w:spacing w:after="0"/>
        <w:rPr>
          <w:sz w:val="20"/>
          <w:szCs w:val="20"/>
          <w:color w:val="auto"/>
        </w:rPr>
      </w:pPr>
      <w:r>
        <w:rPr>
          <w:rFonts w:ascii="Arial" w:cs="Arial" w:eastAsia="Arial" w:hAnsi="Arial"/>
          <w:sz w:val="12"/>
          <w:szCs w:val="12"/>
          <w:color w:val="auto"/>
        </w:rPr>
        <w:t>File No. 7210/02-525.1</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4816-6651-1278.2</w:t>
      </w:r>
    </w:p>
    <w:p>
      <w:pPr>
        <w:sectPr>
          <w:pgSz w:w="11900" w:h="16838" w:orient="portrait"/>
          <w:cols w:equalWidth="0" w:num="1">
            <w:col w:w="11240"/>
          </w:cols>
          <w:pgMar w:left="320" w:top="100"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1"/>
          <w:szCs w:val="21"/>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FIRST AMENDMENT TO</w:t>
      </w:r>
    </w:p>
    <w:p>
      <w:pPr>
        <w:jc w:val="center"/>
        <w:spacing w:after="0"/>
        <w:rPr>
          <w:sz w:val="20"/>
          <w:szCs w:val="20"/>
          <w:color w:val="auto"/>
        </w:rPr>
      </w:pPr>
      <w:r>
        <w:rPr>
          <w:rFonts w:ascii="Arial" w:cs="Arial" w:eastAsia="Arial" w:hAnsi="Arial"/>
          <w:sz w:val="21"/>
          <w:szCs w:val="21"/>
          <w:b w:val="1"/>
          <w:bCs w:val="1"/>
          <w:color w:val="auto"/>
        </w:rPr>
        <w:t>EXCHANGE AGREEMENT</w:t>
      </w:r>
    </w:p>
    <w:p>
      <w:pPr>
        <w:spacing w:after="0" w:line="173" w:lineRule="exact"/>
        <w:rPr>
          <w:sz w:val="20"/>
          <w:szCs w:val="20"/>
          <w:color w:val="auto"/>
        </w:rPr>
      </w:pPr>
    </w:p>
    <w:p>
      <w:pPr>
        <w:jc w:val="both"/>
        <w:ind w:firstLine="337"/>
        <w:spacing w:after="0" w:line="231"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FIRST AMENDMENT TO EXCHANGE AGREEMENT</w:t>
      </w:r>
      <w:r>
        <w:rPr>
          <w:rFonts w:ascii="Arial" w:cs="Arial" w:eastAsia="Arial" w:hAnsi="Arial"/>
          <w:sz w:val="19"/>
          <w:szCs w:val="19"/>
          <w:color w:val="auto"/>
        </w:rPr>
        <w:t>, dated as of February 18, 2022 (this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xml:space="preserve">”), to the Exchange Agreement, dated as of February 27, 2019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Agreement</w:t>
      </w:r>
      <w:r>
        <w:rPr>
          <w:rFonts w:ascii="Arial" w:cs="Arial" w:eastAsia="Arial" w:hAnsi="Arial"/>
          <w:sz w:val="19"/>
          <w:szCs w:val="19"/>
          <w:i w:val="1"/>
          <w:iCs w:val="1"/>
          <w:color w:val="auto"/>
        </w:rPr>
        <w:t>”</w:t>
      </w:r>
      <w:r>
        <w:rPr>
          <w:rFonts w:ascii="Arial" w:cs="Arial" w:eastAsia="Arial" w:hAnsi="Arial"/>
          <w:sz w:val="19"/>
          <w:szCs w:val="19"/>
          <w:color w:val="auto"/>
        </w:rPr>
        <w:t>), is made by and among Kratos Defense &amp; Security Solutions, Inc., a Delaware corporation (“</w:t>
      </w:r>
      <w:r>
        <w:rPr>
          <w:rFonts w:ascii="Arial" w:cs="Arial" w:eastAsia="Arial" w:hAnsi="Arial"/>
          <w:sz w:val="19"/>
          <w:szCs w:val="19"/>
          <w:b w:val="1"/>
          <w:bCs w:val="1"/>
          <w:i w:val="1"/>
          <w:iCs w:val="1"/>
          <w:color w:val="auto"/>
        </w:rPr>
        <w:t>Acquiror</w:t>
      </w:r>
      <w:r>
        <w:rPr>
          <w:rFonts w:ascii="Arial" w:cs="Arial" w:eastAsia="Arial" w:hAnsi="Arial"/>
          <w:sz w:val="19"/>
          <w:szCs w:val="19"/>
          <w:color w:val="auto"/>
        </w:rPr>
        <w:t>”), KTT CORE, Inc., a Delaware corporation formerly known as FTT CORE, LLC (“</w:t>
      </w:r>
      <w:r>
        <w:rPr>
          <w:rFonts w:ascii="Arial" w:cs="Arial" w:eastAsia="Arial" w:hAnsi="Arial"/>
          <w:sz w:val="19"/>
          <w:szCs w:val="19"/>
          <w:b w:val="1"/>
          <w:bCs w:val="1"/>
          <w:i w:val="1"/>
          <w:iCs w:val="1"/>
          <w:color w:val="auto"/>
        </w:rPr>
        <w:t>KTT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Core</w:t>
      </w:r>
      <w:r>
        <w:rPr>
          <w:rFonts w:ascii="Arial" w:cs="Arial" w:eastAsia="Arial" w:hAnsi="Arial"/>
          <w:sz w:val="19"/>
          <w:szCs w:val="19"/>
          <w:color w:val="auto"/>
        </w:rPr>
        <w:t>”), Florida Turbine Technologies Inc., a Florida corporation (“</w:t>
      </w:r>
      <w:r>
        <w:rPr>
          <w:rFonts w:ascii="Arial" w:cs="Arial" w:eastAsia="Arial" w:hAnsi="Arial"/>
          <w:sz w:val="19"/>
          <w:szCs w:val="19"/>
          <w:b w:val="1"/>
          <w:bCs w:val="1"/>
          <w:i w:val="1"/>
          <w:iCs w:val="1"/>
          <w:color w:val="auto"/>
        </w:rPr>
        <w:t>FTT Inc.</w:t>
      </w:r>
      <w:r>
        <w:rPr>
          <w:rFonts w:ascii="Arial" w:cs="Arial" w:eastAsia="Arial" w:hAnsi="Arial"/>
          <w:sz w:val="19"/>
          <w:szCs w:val="19"/>
          <w:color w:val="auto"/>
        </w:rPr>
        <w:t>”), Shirley C. Brostmeyer and Joseph D. Brostmeyer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Trustees of The Shirley C. Brostmeyer Revocable Trust, u/a/d August 25, 2002, as amended and restated August 13, 2014, a Florida revocable trust (“</w:t>
      </w:r>
      <w:r>
        <w:rPr>
          <w:rFonts w:ascii="Arial" w:cs="Arial" w:eastAsia="Arial" w:hAnsi="Arial"/>
          <w:sz w:val="19"/>
          <w:szCs w:val="19"/>
          <w:b w:val="1"/>
          <w:bCs w:val="1"/>
          <w:i w:val="1"/>
          <w:iCs w:val="1"/>
          <w:color w:val="auto"/>
        </w:rPr>
        <w:t>SB Trust</w:t>
      </w:r>
      <w:r>
        <w:rPr>
          <w:rFonts w:ascii="Arial" w:cs="Arial" w:eastAsia="Arial" w:hAnsi="Arial"/>
          <w:sz w:val="19"/>
          <w:szCs w:val="19"/>
          <w:color w:val="auto"/>
        </w:rPr>
        <w:t>”), Joseph D. Brostmeyer and Sara J. Brostmeyer as Trustees of The Shirley Brostmeyer 2018 Family Trust, u/a/d December 17, 2018, a Florida irrevocable trust (“</w:t>
      </w:r>
      <w:r>
        <w:rPr>
          <w:rFonts w:ascii="Arial" w:cs="Arial" w:eastAsia="Arial" w:hAnsi="Arial"/>
          <w:sz w:val="19"/>
          <w:szCs w:val="19"/>
          <w:b w:val="1"/>
          <w:bCs w:val="1"/>
          <w:i w:val="1"/>
          <w:iCs w:val="1"/>
          <w:color w:val="auto"/>
        </w:rPr>
        <w:t>2018 SB Trust</w:t>
      </w:r>
      <w:r>
        <w:rPr>
          <w:rFonts w:ascii="Arial" w:cs="Arial" w:eastAsia="Arial" w:hAnsi="Arial"/>
          <w:sz w:val="19"/>
          <w:szCs w:val="19"/>
          <w:color w:val="auto"/>
        </w:rPr>
        <w:t>”), Joseph D. Brostmeyer and Shirley C. Brostmeyer as Trustees of The Joseph D. Brostmeyer Revocable Trust, u/a/d August 25, 2002, as amended and restated August 13, 2014, a Florida revocable trust (“</w:t>
      </w:r>
      <w:r>
        <w:rPr>
          <w:rFonts w:ascii="Arial" w:cs="Arial" w:eastAsia="Arial" w:hAnsi="Arial"/>
          <w:sz w:val="19"/>
          <w:szCs w:val="19"/>
          <w:b w:val="1"/>
          <w:bCs w:val="1"/>
          <w:i w:val="1"/>
          <w:iCs w:val="1"/>
          <w:color w:val="auto"/>
        </w:rPr>
        <w:t>JB Trust</w:t>
      </w:r>
      <w:r>
        <w:rPr>
          <w:rFonts w:ascii="Arial" w:cs="Arial" w:eastAsia="Arial" w:hAnsi="Arial"/>
          <w:sz w:val="19"/>
          <w:szCs w:val="19"/>
          <w:color w:val="auto"/>
        </w:rPr>
        <w:t>”), and Shirley C. Brostmeyer and Julia A. Brostmeyer as Trustees of The Joseph D. Brostmeyer 2018 Irrevocable Trust, u/a/d December 17, 2018, a Florida irrevocable trust (“</w:t>
      </w:r>
      <w:r>
        <w:rPr>
          <w:rFonts w:ascii="Arial" w:cs="Arial" w:eastAsia="Arial" w:hAnsi="Arial"/>
          <w:sz w:val="19"/>
          <w:szCs w:val="19"/>
          <w:b w:val="1"/>
          <w:bCs w:val="1"/>
          <w:i w:val="1"/>
          <w:iCs w:val="1"/>
          <w:color w:val="auto"/>
        </w:rPr>
        <w:t>2018 JB Trust</w:t>
      </w:r>
      <w:r>
        <w:rPr>
          <w:rFonts w:ascii="Arial" w:cs="Arial" w:eastAsia="Arial" w:hAnsi="Arial"/>
          <w:sz w:val="19"/>
          <w:szCs w:val="19"/>
          <w:color w:val="auto"/>
        </w:rPr>
        <w:t>”), and Pegasus Residual, LLC, a Delaware limited liability company (“</w:t>
      </w:r>
      <w:r>
        <w:rPr>
          <w:rFonts w:ascii="Arial" w:cs="Arial" w:eastAsia="Arial" w:hAnsi="Arial"/>
          <w:sz w:val="19"/>
          <w:szCs w:val="19"/>
          <w:b w:val="1"/>
          <w:bCs w:val="1"/>
          <w:i w:val="1"/>
          <w:iCs w:val="1"/>
          <w:color w:val="auto"/>
        </w:rPr>
        <w:t>Pegasus Residual</w:t>
      </w:r>
      <w:r>
        <w:rPr>
          <w:rFonts w:ascii="Arial" w:cs="Arial" w:eastAsia="Arial" w:hAnsi="Arial"/>
          <w:sz w:val="19"/>
          <w:szCs w:val="19"/>
          <w:color w:val="auto"/>
        </w:rPr>
        <w:t>” and, together with Acquiror, KTT Core, FTT Inc., SB Trust, 2018 SB Trust, JB Trust and 2018 JB Trust, each a “</w:t>
      </w:r>
      <w:r>
        <w:rPr>
          <w:rFonts w:ascii="Arial" w:cs="Arial" w:eastAsia="Arial" w:hAnsi="Arial"/>
          <w:sz w:val="19"/>
          <w:szCs w:val="19"/>
          <w:b w:val="1"/>
          <w:bCs w:val="1"/>
          <w:i w:val="1"/>
          <w:iCs w:val="1"/>
          <w:color w:val="auto"/>
        </w:rPr>
        <w:t>Party</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Parties</w:t>
      </w:r>
      <w:r>
        <w:rPr>
          <w:rFonts w:ascii="Arial" w:cs="Arial" w:eastAsia="Arial" w:hAnsi="Arial"/>
          <w:sz w:val="19"/>
          <w:szCs w:val="19"/>
          <w:color w:val="auto"/>
        </w:rPr>
        <w:t>”). Capitalized terms not defined in this Amendment have the respective meanings specified in the Agreement, which will remain in full force and effect as amended hereby.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197"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each of SB Trust, 2018 SB Trust, JB Trust and 2018 JB Trust (collectively, the “</w:t>
      </w:r>
      <w:r>
        <w:rPr>
          <w:rFonts w:ascii="Arial" w:cs="Arial" w:eastAsia="Arial" w:hAnsi="Arial"/>
          <w:sz w:val="21"/>
          <w:szCs w:val="21"/>
          <w:b w:val="1"/>
          <w:bCs w:val="1"/>
          <w:i w:val="1"/>
          <w:iCs w:val="1"/>
          <w:color w:val="auto"/>
        </w:rPr>
        <w:t>Trusts</w:t>
      </w:r>
      <w:r>
        <w:rPr>
          <w:rFonts w:ascii="Arial" w:cs="Arial" w:eastAsia="Arial" w:hAnsi="Arial"/>
          <w:sz w:val="21"/>
          <w:szCs w:val="21"/>
          <w:color w:val="auto"/>
        </w:rPr>
        <w:t>”) was an original party to the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w:t>
      </w:r>
    </w:p>
    <w:p>
      <w:pPr>
        <w:spacing w:after="0" w:line="170"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pursuant to a Contribution and Exchange Agreement, dated as of October 15, 2020, between and among the Trusts</w:t>
      </w:r>
      <w:r>
        <w:rPr>
          <w:rFonts w:ascii="Arial" w:cs="Arial" w:eastAsia="Arial" w:hAnsi="Arial"/>
          <w:sz w:val="21"/>
          <w:szCs w:val="21"/>
          <w:b w:val="1"/>
          <w:bCs w:val="1"/>
          <w:color w:val="auto"/>
        </w:rPr>
        <w:t xml:space="preserve"> </w:t>
      </w:r>
      <w:r>
        <w:rPr>
          <w:rFonts w:ascii="Arial" w:cs="Arial" w:eastAsia="Arial" w:hAnsi="Arial"/>
          <w:sz w:val="21"/>
          <w:szCs w:val="21"/>
          <w:color w:val="auto"/>
        </w:rPr>
        <w:t>and Pegasus Residual, the Trusts contributed to Pegasus Residual all of the Trusts’ interests in all shares of stock of FTT Inc. and KTT Core owned by the Trusts;</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a Joinder Agreement dated as of October 15, 2020, Pegasus Residual became a party to the Agreement;</w:t>
      </w:r>
    </w:p>
    <w:p>
      <w:pPr>
        <w:spacing w:after="0" w:line="231"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Acquiror, KTT Core, FTT Inc. and Pegasus Residual have entered into that certain Contribution Agreement, dated as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date first set forth above (as the same may be amended or modified from time to time in accordance with its terms, the “</w:t>
      </w:r>
      <w:r>
        <w:rPr>
          <w:rFonts w:ascii="Arial" w:cs="Arial" w:eastAsia="Arial" w:hAnsi="Arial"/>
          <w:sz w:val="20"/>
          <w:szCs w:val="20"/>
          <w:b w:val="1"/>
          <w:bCs w:val="1"/>
          <w:i w:val="1"/>
          <w:iCs w:val="1"/>
          <w:color w:val="auto"/>
        </w:rPr>
        <w:t>Contribution Agreement</w:t>
      </w:r>
      <w:r>
        <w:rPr>
          <w:rFonts w:ascii="Arial" w:cs="Arial" w:eastAsia="Arial" w:hAnsi="Arial"/>
          <w:sz w:val="20"/>
          <w:szCs w:val="20"/>
          <w:color w:val="auto"/>
        </w:rPr>
        <w:t>”), pursuant to which the Transferors (as defined in the Contribution Agreement) have agreed to contribute all of the outstanding capital stock of FTT Inc. held by the Transferors to KTT Core (the “</w:t>
      </w:r>
      <w:r>
        <w:rPr>
          <w:rFonts w:ascii="Arial" w:cs="Arial" w:eastAsia="Arial" w:hAnsi="Arial"/>
          <w:sz w:val="20"/>
          <w:szCs w:val="20"/>
          <w:b w:val="1"/>
          <w:bCs w:val="1"/>
          <w:i w:val="1"/>
          <w:iCs w:val="1"/>
          <w:color w:val="auto"/>
        </w:rPr>
        <w:t>Contribution</w:t>
      </w:r>
      <w:r>
        <w:rPr>
          <w:rFonts w:ascii="Arial" w:cs="Arial" w:eastAsia="Arial" w:hAnsi="Arial"/>
          <w:sz w:val="20"/>
          <w:szCs w:val="20"/>
          <w:color w:val="auto"/>
        </w:rPr>
        <w:t>”);</w:t>
      </w:r>
    </w:p>
    <w:p>
      <w:pPr>
        <w:spacing w:after="0" w:line="172"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execution and delivery of this Amendment was a material inducement to the Transferors to enter into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Contribution Agreement and to consummate the Contribution;</w:t>
      </w:r>
    </w:p>
    <w:p>
      <w:pPr>
        <w:spacing w:after="0" w:line="170"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pursuant to Section 4.8 of the Agreement, the Agreement may be amended only by a written instrument executed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and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desire to enter into this Amendment to amend the Agreement as set forth herein.</w:t>
      </w:r>
    </w:p>
    <w:p>
      <w:pPr>
        <w:spacing w:after="0" w:line="197"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and agreements hereinafter set forth, and for other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is</w:t>
      </w: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LEGAL_US_W # 106336933.2</w:t>
      </w:r>
    </w:p>
    <w:p>
      <w:pPr>
        <w:spacing w:after="0" w:line="99" w:lineRule="exact"/>
        <w:rPr>
          <w:sz w:val="20"/>
          <w:szCs w:val="20"/>
          <w:color w:val="auto"/>
        </w:rPr>
      </w:pPr>
    </w:p>
    <w:p>
      <w:pPr>
        <w:ind w:left="4820"/>
        <w:spacing w:after="0"/>
        <w:rPr>
          <w:sz w:val="20"/>
          <w:szCs w:val="20"/>
          <w:color w:val="auto"/>
        </w:rPr>
      </w:pPr>
      <w:r>
        <w:rPr>
          <w:rFonts w:ascii="Arial" w:cs="Arial" w:eastAsia="Arial" w:hAnsi="Arial"/>
          <w:sz w:val="21"/>
          <w:szCs w:val="21"/>
          <w:color w:val="auto"/>
        </w:rPr>
        <w:t>1</w:t>
      </w:r>
    </w:p>
    <w:p>
      <w:pPr>
        <w:spacing w:after="0"/>
        <w:rPr>
          <w:sz w:val="20"/>
          <w:szCs w:val="20"/>
          <w:color w:val="auto"/>
        </w:rPr>
      </w:pPr>
      <w:r>
        <w:rPr>
          <w:rFonts w:ascii="Arial" w:cs="Arial" w:eastAsia="Arial" w:hAnsi="Arial"/>
          <w:sz w:val="14"/>
          <w:szCs w:val="14"/>
          <w:color w:val="auto"/>
        </w:rPr>
        <w:t>LEGAL02/40550677v2</w:t>
      </w:r>
    </w:p>
    <w:p>
      <w:pPr>
        <w:sectPr>
          <w:pgSz w:w="11900" w:h="16838" w:orient="portrait"/>
          <w:cols w:equalWidth="0" w:num="1">
            <w:col w:w="11240"/>
          </w:cols>
          <w:pgMar w:left="320" w:top="100"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1"/>
          <w:szCs w:val="21"/>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hereby acknowledged by the Parties, the Parties hereto, intending legally to be bound, agree as follows: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AGREEMENT</w:t>
      </w:r>
    </w:p>
    <w:p>
      <w:pPr>
        <w:spacing w:after="0" w:line="197" w:lineRule="exact"/>
        <w:rPr>
          <w:sz w:val="20"/>
          <w:szCs w:val="20"/>
          <w:color w:val="auto"/>
        </w:rPr>
      </w:pPr>
    </w:p>
    <w:p>
      <w:pPr>
        <w:ind w:firstLine="3"/>
        <w:spacing w:after="0" w:line="236" w:lineRule="auto"/>
        <w:tabs>
          <w:tab w:leader="none" w:pos="619" w:val="left"/>
        </w:tabs>
        <w:numPr>
          <w:ilvl w:val="0"/>
          <w:numId w:val="8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Definition of Minority Interests. </w:t>
      </w:r>
      <w:r>
        <w:rPr>
          <w:rFonts w:ascii="Arial" w:cs="Arial" w:eastAsia="Arial" w:hAnsi="Arial"/>
          <w:sz w:val="21"/>
          <w:szCs w:val="21"/>
          <w:color w:val="auto"/>
        </w:rPr>
        <w:t>Effective as of the date of this Amendment, the term “</w:t>
      </w:r>
      <w:r>
        <w:rPr>
          <w:rFonts w:ascii="Arial" w:cs="Arial" w:eastAsia="Arial" w:hAnsi="Arial"/>
          <w:sz w:val="21"/>
          <w:szCs w:val="21"/>
          <w:b w:val="1"/>
          <w:bCs w:val="1"/>
          <w:i w:val="1"/>
          <w:iCs w:val="1"/>
          <w:color w:val="auto"/>
        </w:rPr>
        <w:t>Minority Interests</w:t>
      </w:r>
      <w:r>
        <w:rPr>
          <w:rFonts w:ascii="Arial" w:cs="Arial" w:eastAsia="Arial" w:hAnsi="Arial"/>
          <w:sz w:val="21"/>
          <w:szCs w:val="21"/>
          <w:color w:val="auto"/>
        </w:rPr>
        <w:t>”, for all purposes</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Agreement, shall mean the Class B common stock, par value $0.001, of KTT Core.</w:t>
      </w:r>
    </w:p>
    <w:p>
      <w:pPr>
        <w:spacing w:after="0" w:line="143" w:lineRule="exact"/>
        <w:rPr>
          <w:rFonts w:ascii="Arial" w:cs="Arial" w:eastAsia="Arial" w:hAnsi="Arial"/>
          <w:sz w:val="21"/>
          <w:szCs w:val="21"/>
          <w:b w:val="1"/>
          <w:bCs w:val="1"/>
          <w:color w:val="auto"/>
        </w:rPr>
      </w:pPr>
    </w:p>
    <w:p>
      <w:pPr>
        <w:ind w:left="620" w:hanging="617"/>
        <w:spacing w:after="0"/>
        <w:tabs>
          <w:tab w:leader="none" w:pos="620"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Section 3.2(a). </w:t>
      </w:r>
      <w:r>
        <w:rPr>
          <w:rFonts w:ascii="Arial" w:cs="Arial" w:eastAsia="Arial" w:hAnsi="Arial"/>
          <w:sz w:val="19"/>
          <w:szCs w:val="19"/>
          <w:color w:val="auto"/>
        </w:rPr>
        <w:t>Section 3.2(a) of the Agreement is hereby amended to include the following sentence at the end of Section</w:t>
      </w:r>
    </w:p>
    <w:p>
      <w:pPr>
        <w:spacing w:after="0" w:line="1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3.2(a):</w:t>
      </w:r>
    </w:p>
    <w:p>
      <w:pPr>
        <w:spacing w:after="0" w:line="153" w:lineRule="exact"/>
        <w:rPr>
          <w:sz w:val="20"/>
          <w:szCs w:val="20"/>
          <w:color w:val="auto"/>
        </w:rPr>
      </w:pPr>
    </w:p>
    <w:p>
      <w:pPr>
        <w:ind w:left="620" w:right="40"/>
        <w:spacing w:after="0" w:line="245" w:lineRule="auto"/>
        <w:rPr>
          <w:sz w:val="20"/>
          <w:szCs w:val="20"/>
          <w:color w:val="auto"/>
        </w:rPr>
      </w:pPr>
      <w:r>
        <w:rPr>
          <w:rFonts w:ascii="Arial" w:cs="Arial" w:eastAsia="Arial" w:hAnsi="Arial"/>
          <w:sz w:val="18"/>
          <w:szCs w:val="18"/>
          <w:color w:val="auto"/>
        </w:rPr>
        <w:t>“For the avoidance of doubt, the Minority Interest Purchase Price will not be decreased or otherwise modified in any way by the contribution of Shares of FTT Inc. owned by the Holders in accordance with the terms of that certain Contribution Agreement, dated as of February 18, 2022 (as the same may be amended or modified from time to time in accordance with its terms, the “</w:t>
      </w:r>
      <w:r>
        <w:rPr>
          <w:rFonts w:ascii="Arial" w:cs="Arial" w:eastAsia="Arial" w:hAnsi="Arial"/>
          <w:sz w:val="18"/>
          <w:szCs w:val="18"/>
          <w:b w:val="1"/>
          <w:bCs w:val="1"/>
          <w:i w:val="1"/>
          <w:iCs w:val="1"/>
          <w:color w:val="auto"/>
        </w:rPr>
        <w:t>Contribution Agreement</w:t>
      </w:r>
      <w:r>
        <w:rPr>
          <w:rFonts w:ascii="Arial" w:cs="Arial" w:eastAsia="Arial" w:hAnsi="Arial"/>
          <w:sz w:val="18"/>
          <w:szCs w:val="18"/>
          <w:color w:val="auto"/>
        </w:rPr>
        <w:t>”). In furtherance of the foregoing, to the extent that, prior to the calculation of the Minority Interest Purchase Price, either (a) KTT Core has transferred or otherwise disposed of more than eighty percent (80%) of the issued and outstanding shares of Class A capital stock of FTT Inc., whether by merger, consolidation, sale or other transfer (other than a merger or consolidation where the stockholders of FTT Inc. prior to the merger or consolidation are the holders of a majority of the voting securities of the entity or entities that survives such merger or consolidation), or (b) there has been a sale of all or substantially all of the assets of FTT Inc., which in either case does not also constitute an FTT Change of Control (an “</w:t>
      </w:r>
      <w:r>
        <w:rPr>
          <w:rFonts w:ascii="Arial" w:cs="Arial" w:eastAsia="Arial" w:hAnsi="Arial"/>
          <w:sz w:val="18"/>
          <w:szCs w:val="18"/>
          <w:b w:val="1"/>
          <w:bCs w:val="1"/>
          <w:i w:val="1"/>
          <w:iCs w:val="1"/>
          <w:color w:val="auto"/>
        </w:rPr>
        <w:t>FTT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Only Sale</w:t>
      </w:r>
      <w:r>
        <w:rPr>
          <w:rFonts w:ascii="Arial" w:cs="Arial" w:eastAsia="Arial" w:hAnsi="Arial"/>
          <w:sz w:val="18"/>
          <w:szCs w:val="18"/>
          <w:color w:val="auto"/>
        </w:rPr>
        <w:t>”), then Acquiror and Pegasus Residual shall negotiate in good faith an equitable adjustment to EBITDA for purposes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calculating the Minority Interest Purchase Price to reasonably take into account the FTT Only Sale.”</w:t>
      </w:r>
    </w:p>
    <w:p>
      <w:pPr>
        <w:spacing w:after="0" w:line="145" w:lineRule="exact"/>
        <w:rPr>
          <w:sz w:val="20"/>
          <w:szCs w:val="20"/>
          <w:color w:val="auto"/>
        </w:rPr>
      </w:pPr>
    </w:p>
    <w:p>
      <w:pPr>
        <w:ind w:left="620" w:hanging="617"/>
        <w:spacing w:after="0"/>
        <w:tabs>
          <w:tab w:leader="none" w:pos="620"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Section 3.2(c). </w:t>
      </w:r>
      <w:r>
        <w:rPr>
          <w:rFonts w:ascii="Arial" w:cs="Arial" w:eastAsia="Arial" w:hAnsi="Arial"/>
          <w:sz w:val="21"/>
          <w:szCs w:val="21"/>
          <w:color w:val="auto"/>
        </w:rPr>
        <w:t>The last sentence of Section 3.2(c) is hereby amended and restated in its entirety as follows:</w:t>
      </w:r>
    </w:p>
    <w:p>
      <w:pPr>
        <w:spacing w:after="0" w:line="177" w:lineRule="exact"/>
        <w:rPr>
          <w:rFonts w:ascii="Arial" w:cs="Arial" w:eastAsia="Arial" w:hAnsi="Arial"/>
          <w:sz w:val="21"/>
          <w:szCs w:val="21"/>
          <w:b w:val="1"/>
          <w:bCs w:val="1"/>
          <w:color w:val="auto"/>
        </w:rPr>
      </w:pPr>
    </w:p>
    <w:p>
      <w:pPr>
        <w:jc w:val="both"/>
        <w:ind w:left="620"/>
        <w:spacing w:after="0" w:line="235" w:lineRule="auto"/>
        <w:rPr>
          <w:rFonts w:ascii="Arial" w:cs="Arial" w:eastAsia="Arial" w:hAnsi="Arial"/>
          <w:sz w:val="21"/>
          <w:szCs w:val="21"/>
          <w:b w:val="1"/>
          <w:bCs w:val="1"/>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FTT Change of Control</w:t>
      </w:r>
      <w:r>
        <w:rPr>
          <w:rFonts w:ascii="Arial" w:cs="Arial" w:eastAsia="Arial" w:hAnsi="Arial"/>
          <w:sz w:val="19"/>
          <w:szCs w:val="19"/>
          <w:color w:val="auto"/>
        </w:rPr>
        <w:t>” means the occurrence of any one or more of the following: (a) the acquisition of direct or indirect ownership or voting control, beneficially (within the meaning of Rules 13d-3 and 13d-5 of the Exchange Act) or of record, by any Person or group (within the meaning of Sections 13d and 14d of the Exchange Act), of more than eighty percent (80%) of the issued and outstanding shares of Class A common stock of KTT Core, whether by merger, consolidation, sale or other transfer (other than a merger or consolidation where the stockholders of KTT Core prior to the merger or consolidation are the holders of a majority of the voting securities of the entity or entities that survives such merger or consolidation), or (b) a sale of all or substantially all of the assets of KTT Core.”</w:t>
      </w:r>
    </w:p>
    <w:p>
      <w:pPr>
        <w:spacing w:after="0" w:line="172" w:lineRule="exact"/>
        <w:rPr>
          <w:rFonts w:ascii="Arial" w:cs="Arial" w:eastAsia="Arial" w:hAnsi="Arial"/>
          <w:sz w:val="21"/>
          <w:szCs w:val="21"/>
          <w:b w:val="1"/>
          <w:bCs w:val="1"/>
          <w:color w:val="auto"/>
        </w:rPr>
      </w:pPr>
    </w:p>
    <w:p>
      <w:pPr>
        <w:ind w:left="620" w:hanging="617"/>
        <w:spacing w:after="0"/>
        <w:tabs>
          <w:tab w:leader="none" w:pos="620"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Section 3.2(c). </w:t>
      </w:r>
      <w:r>
        <w:rPr>
          <w:rFonts w:ascii="Arial" w:cs="Arial" w:eastAsia="Arial" w:hAnsi="Arial"/>
          <w:sz w:val="19"/>
          <w:szCs w:val="19"/>
          <w:color w:val="auto"/>
        </w:rPr>
        <w:t>Section 3.2(c) of the Agreement is hereby amended to include the following sentence at the end of Section</w:t>
      </w:r>
    </w:p>
    <w:p>
      <w:pPr>
        <w:spacing w:after="0" w:line="1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3.2(c):</w:t>
      </w:r>
    </w:p>
    <w:p>
      <w:pPr>
        <w:spacing w:after="0" w:line="153" w:lineRule="exact"/>
        <w:rPr>
          <w:sz w:val="20"/>
          <w:szCs w:val="20"/>
          <w:color w:val="auto"/>
        </w:rPr>
      </w:pPr>
    </w:p>
    <w:p>
      <w:pPr>
        <w:ind w:left="620"/>
        <w:spacing w:after="0" w:line="213" w:lineRule="auto"/>
        <w:rPr>
          <w:sz w:val="20"/>
          <w:szCs w:val="20"/>
          <w:color w:val="auto"/>
        </w:rPr>
      </w:pPr>
      <w:r>
        <w:rPr>
          <w:rFonts w:ascii="Arial" w:cs="Arial" w:eastAsia="Arial" w:hAnsi="Arial"/>
          <w:sz w:val="21"/>
          <w:szCs w:val="21"/>
          <w:color w:val="auto"/>
        </w:rPr>
        <w:t>“For the avoidance of doubt, the Contribution (as defined in the Contribution Agreement), will not itself constitute an FTT Change of Control.”</w:t>
      </w:r>
    </w:p>
    <w:p>
      <w:pPr>
        <w:spacing w:after="0" w:line="2" w:lineRule="exact"/>
        <w:rPr>
          <w:sz w:val="20"/>
          <w:szCs w:val="20"/>
          <w:color w:val="auto"/>
        </w:rPr>
      </w:pPr>
    </w:p>
    <w:p>
      <w:pPr>
        <w:ind w:left="620" w:hanging="617"/>
        <w:spacing w:after="0"/>
        <w:tabs>
          <w:tab w:leader="none" w:pos="620" w:val="left"/>
        </w:tabs>
        <w:numPr>
          <w:ilvl w:val="0"/>
          <w:numId w:val="8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Schedule A. </w:t>
      </w:r>
      <w:r>
        <w:rPr>
          <w:rFonts w:ascii="Arial" w:cs="Arial" w:eastAsia="Arial" w:hAnsi="Arial"/>
          <w:sz w:val="19"/>
          <w:szCs w:val="19"/>
          <w:color w:val="auto"/>
        </w:rPr>
        <w:t>Pursuant to Sections 3.1 of the Agreement,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A</w:t>
      </w:r>
      <w:r>
        <w:rPr>
          <w:rFonts w:ascii="Arial" w:cs="Arial" w:eastAsia="Arial" w:hAnsi="Arial"/>
          <w:sz w:val="19"/>
          <w:szCs w:val="19"/>
          <w:b w:val="1"/>
          <w:bCs w:val="1"/>
          <w:color w:val="auto"/>
        </w:rPr>
        <w:t xml:space="preserve"> </w:t>
      </w:r>
      <w:r>
        <w:rPr>
          <w:rFonts w:ascii="Arial" w:cs="Arial" w:eastAsia="Arial" w:hAnsi="Arial"/>
          <w:sz w:val="19"/>
          <w:szCs w:val="19"/>
          <w:color w:val="auto"/>
        </w:rPr>
        <w:t>to the Agreement shall be updated as attached hereto.</w:t>
      </w:r>
    </w:p>
    <w:p>
      <w:pPr>
        <w:spacing w:after="0" w:line="170" w:lineRule="exact"/>
        <w:rPr>
          <w:rFonts w:ascii="Arial" w:cs="Arial" w:eastAsia="Arial" w:hAnsi="Arial"/>
          <w:sz w:val="19"/>
          <w:szCs w:val="19"/>
          <w:b w:val="1"/>
          <w:bCs w:val="1"/>
          <w:color w:val="auto"/>
        </w:rPr>
      </w:pPr>
    </w:p>
    <w:p>
      <w:pPr>
        <w:ind w:firstLine="3"/>
        <w:spacing w:after="0" w:line="236" w:lineRule="auto"/>
        <w:tabs>
          <w:tab w:leader="none" w:pos="619" w:val="left"/>
        </w:tabs>
        <w:numPr>
          <w:ilvl w:val="0"/>
          <w:numId w:val="8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Other Amendments. </w:t>
      </w:r>
      <w:r>
        <w:rPr>
          <w:rFonts w:ascii="Arial" w:cs="Arial" w:eastAsia="Arial" w:hAnsi="Arial"/>
          <w:sz w:val="21"/>
          <w:szCs w:val="21"/>
          <w:color w:val="auto"/>
        </w:rPr>
        <w:t>Except as expressly amended by this Amendment, all of the provisions of the Agreement will remain</w:t>
      </w:r>
      <w:r>
        <w:rPr>
          <w:rFonts w:ascii="Arial" w:cs="Arial" w:eastAsia="Arial" w:hAnsi="Arial"/>
          <w:sz w:val="21"/>
          <w:szCs w:val="21"/>
          <w:b w:val="1"/>
          <w:bCs w:val="1"/>
          <w:color w:val="auto"/>
        </w:rPr>
        <w:t xml:space="preserve"> </w:t>
      </w:r>
      <w:r>
        <w:rPr>
          <w:rFonts w:ascii="Arial" w:cs="Arial" w:eastAsia="Arial" w:hAnsi="Arial"/>
          <w:sz w:val="21"/>
          <w:szCs w:val="21"/>
          <w:color w:val="auto"/>
        </w:rPr>
        <w:t>unchanged and in full force and effect.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LEGAL_US_W # 106336933.2</w:t>
      </w:r>
    </w:p>
    <w:p>
      <w:pPr>
        <w:spacing w:after="0" w:line="99" w:lineRule="exact"/>
        <w:rPr>
          <w:sz w:val="20"/>
          <w:szCs w:val="20"/>
          <w:color w:val="auto"/>
        </w:rPr>
      </w:pPr>
    </w:p>
    <w:p>
      <w:pPr>
        <w:ind w:left="4820"/>
        <w:spacing w:after="0"/>
        <w:rPr>
          <w:sz w:val="20"/>
          <w:szCs w:val="20"/>
          <w:color w:val="auto"/>
        </w:rPr>
      </w:pPr>
      <w:r>
        <w:rPr>
          <w:rFonts w:ascii="Arial" w:cs="Arial" w:eastAsia="Arial" w:hAnsi="Arial"/>
          <w:sz w:val="21"/>
          <w:szCs w:val="21"/>
          <w:color w:val="auto"/>
        </w:rPr>
        <w:t>2</w:t>
      </w:r>
    </w:p>
    <w:p>
      <w:pPr>
        <w:spacing w:after="0"/>
        <w:rPr>
          <w:sz w:val="20"/>
          <w:szCs w:val="20"/>
          <w:color w:val="auto"/>
        </w:rPr>
      </w:pPr>
      <w:r>
        <w:rPr>
          <w:rFonts w:ascii="Arial" w:cs="Arial" w:eastAsia="Arial" w:hAnsi="Arial"/>
          <w:sz w:val="14"/>
          <w:szCs w:val="14"/>
          <w:color w:val="auto"/>
        </w:rPr>
        <w:t>LEGAL02/40550677v2</w:t>
      </w:r>
    </w:p>
    <w:p>
      <w:pPr>
        <w:sectPr>
          <w:pgSz w:w="11900" w:h="16838" w:orient="portrait"/>
          <w:cols w:equalWidth="0" w:num="1">
            <w:col w:w="11240"/>
          </w:cols>
          <w:pgMar w:left="320" w:top="100"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1"/>
          <w:szCs w:val="21"/>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firstLine="3"/>
        <w:spacing w:after="0" w:line="236" w:lineRule="auto"/>
        <w:tabs>
          <w:tab w:leader="none" w:pos="619" w:val="left"/>
        </w:tabs>
        <w:numPr>
          <w:ilvl w:val="0"/>
          <w:numId w:val="8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Consent. </w:t>
      </w:r>
      <w:r>
        <w:rPr>
          <w:rFonts w:ascii="Arial" w:cs="Arial" w:eastAsia="Arial" w:hAnsi="Arial"/>
          <w:sz w:val="21"/>
          <w:szCs w:val="21"/>
          <w:color w:val="auto"/>
        </w:rPr>
        <w:t>As required by Section 3.1 of the Agreement, Acquiror hereby consents to the Contribution (as defined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Contribution Agreement).</w:t>
      </w:r>
    </w:p>
    <w:p>
      <w:pPr>
        <w:spacing w:after="0" w:line="143" w:lineRule="exact"/>
        <w:rPr>
          <w:rFonts w:ascii="Arial" w:cs="Arial" w:eastAsia="Arial" w:hAnsi="Arial"/>
          <w:sz w:val="21"/>
          <w:szCs w:val="21"/>
          <w:b w:val="1"/>
          <w:bCs w:val="1"/>
          <w:color w:val="auto"/>
        </w:rPr>
      </w:pPr>
    </w:p>
    <w:p>
      <w:pPr>
        <w:ind w:left="620" w:hanging="617"/>
        <w:spacing w:after="0"/>
        <w:tabs>
          <w:tab w:leader="none" w:pos="620" w:val="left"/>
        </w:tabs>
        <w:numPr>
          <w:ilvl w:val="0"/>
          <w:numId w:val="89"/>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w:t>
      </w:r>
    </w:p>
    <w:p>
      <w:pPr>
        <w:spacing w:after="0" w:line="171" w:lineRule="exact"/>
        <w:rPr>
          <w:rFonts w:ascii="Arial" w:cs="Arial" w:eastAsia="Arial" w:hAnsi="Arial"/>
          <w:sz w:val="21"/>
          <w:szCs w:val="21"/>
          <w:b w:val="1"/>
          <w:bCs w:val="1"/>
          <w:color w:val="auto"/>
        </w:rPr>
      </w:pPr>
    </w:p>
    <w:p>
      <w:pPr>
        <w:ind w:left="620" w:firstLine="2"/>
        <w:spacing w:after="0" w:line="236" w:lineRule="auto"/>
        <w:tabs>
          <w:tab w:leader="none" w:pos="1236" w:val="left"/>
        </w:tabs>
        <w:numPr>
          <w:ilvl w:val="1"/>
          <w:numId w:val="89"/>
        </w:numPr>
        <w:rPr>
          <w:rFonts w:ascii="Arial" w:cs="Arial" w:eastAsia="Arial" w:hAnsi="Arial"/>
          <w:sz w:val="21"/>
          <w:szCs w:val="21"/>
          <w:color w:val="auto"/>
        </w:rPr>
      </w:pPr>
      <w:r>
        <w:rPr>
          <w:rFonts w:ascii="Arial" w:cs="Arial" w:eastAsia="Arial" w:hAnsi="Arial"/>
          <w:sz w:val="21"/>
          <w:szCs w:val="21"/>
          <w:b w:val="1"/>
          <w:bCs w:val="1"/>
          <w:color w:val="auto"/>
        </w:rPr>
        <w:t xml:space="preserve">Governing Law. </w:t>
      </w:r>
      <w:r>
        <w:rPr>
          <w:rFonts w:ascii="Arial" w:cs="Arial" w:eastAsia="Arial" w:hAnsi="Arial"/>
          <w:sz w:val="21"/>
          <w:szCs w:val="21"/>
          <w:color w:val="auto"/>
        </w:rPr>
        <w:t>This Amendment shall be governed by and construed in accordance with the laws of the State of</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w:t>
      </w:r>
    </w:p>
    <w:p>
      <w:pPr>
        <w:spacing w:after="0" w:line="143" w:lineRule="exact"/>
        <w:rPr>
          <w:rFonts w:ascii="Arial" w:cs="Arial" w:eastAsia="Arial" w:hAnsi="Arial"/>
          <w:sz w:val="21"/>
          <w:szCs w:val="21"/>
          <w:color w:val="auto"/>
        </w:rPr>
      </w:pPr>
    </w:p>
    <w:p>
      <w:pPr>
        <w:ind w:left="620" w:firstLine="2"/>
        <w:spacing w:after="0" w:line="236" w:lineRule="auto"/>
        <w:tabs>
          <w:tab w:leader="none" w:pos="1234" w:val="left"/>
        </w:tabs>
        <w:numPr>
          <w:ilvl w:val="1"/>
          <w:numId w:val="89"/>
        </w:numPr>
        <w:rPr>
          <w:rFonts w:ascii="Arial" w:cs="Arial" w:eastAsia="Arial" w:hAnsi="Arial"/>
          <w:sz w:val="21"/>
          <w:szCs w:val="21"/>
          <w:color w:val="auto"/>
        </w:rPr>
      </w:pPr>
      <w:r>
        <w:rPr>
          <w:rFonts w:ascii="Arial" w:cs="Arial" w:eastAsia="Arial" w:hAnsi="Arial"/>
          <w:sz w:val="21"/>
          <w:szCs w:val="21"/>
          <w:b w:val="1"/>
          <w:bCs w:val="1"/>
          <w:color w:val="auto"/>
        </w:rPr>
        <w:t xml:space="preserve">Execution. </w:t>
      </w:r>
      <w:r>
        <w:rPr>
          <w:rFonts w:ascii="Arial" w:cs="Arial" w:eastAsia="Arial" w:hAnsi="Arial"/>
          <w:sz w:val="21"/>
          <w:szCs w:val="21"/>
          <w:color w:val="auto"/>
        </w:rPr>
        <w:t>This Amendment may be executed in one or more counterparts, each of which when executed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to be an original, and such counterparts shall together constitute one and the same instrument.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[Signatures follow]</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LEGAL_US_W # 106336933.2</w:t>
      </w:r>
    </w:p>
    <w:p>
      <w:pPr>
        <w:spacing w:after="0" w:line="99" w:lineRule="exact"/>
        <w:rPr>
          <w:sz w:val="20"/>
          <w:szCs w:val="20"/>
          <w:color w:val="auto"/>
        </w:rPr>
      </w:pPr>
    </w:p>
    <w:p>
      <w:pPr>
        <w:ind w:left="4820"/>
        <w:spacing w:after="0"/>
        <w:rPr>
          <w:sz w:val="20"/>
          <w:szCs w:val="20"/>
          <w:color w:val="auto"/>
        </w:rPr>
      </w:pPr>
      <w:r>
        <w:rPr>
          <w:rFonts w:ascii="Arial" w:cs="Arial" w:eastAsia="Arial" w:hAnsi="Arial"/>
          <w:sz w:val="21"/>
          <w:szCs w:val="21"/>
          <w:color w:val="auto"/>
        </w:rPr>
        <w:t>3</w:t>
      </w:r>
    </w:p>
    <w:p>
      <w:pPr>
        <w:spacing w:after="0"/>
        <w:rPr>
          <w:sz w:val="20"/>
          <w:szCs w:val="20"/>
          <w:color w:val="auto"/>
        </w:rPr>
      </w:pPr>
      <w:r>
        <w:rPr>
          <w:rFonts w:ascii="Arial" w:cs="Arial" w:eastAsia="Arial" w:hAnsi="Arial"/>
          <w:sz w:val="14"/>
          <w:szCs w:val="14"/>
          <w:color w:val="auto"/>
        </w:rPr>
        <w:t>LEGAL02/40550677v2</w:t>
      </w:r>
    </w:p>
    <w:p>
      <w:pPr>
        <w:sectPr>
          <w:pgSz w:w="11900" w:h="16838" w:orient="portrait"/>
          <w:cols w:equalWidth="0" w:num="1">
            <w:col w:w="11240"/>
          </w:cols>
          <w:pgMar w:left="320" w:top="100"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1"/>
          <w:szCs w:val="21"/>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60" w:firstLine="619"/>
        <w:spacing w:after="0" w:line="233" w:lineRule="auto"/>
        <w:rPr>
          <w:sz w:val="20"/>
          <w:szCs w:val="20"/>
          <w:color w:val="auto"/>
        </w:rPr>
      </w:pPr>
      <w:r>
        <w:rPr>
          <w:rFonts w:ascii="Arial" w:cs="Arial" w:eastAsia="Arial" w:hAnsi="Arial"/>
          <w:sz w:val="21"/>
          <w:szCs w:val="21"/>
          <w:color w:val="auto"/>
        </w:rPr>
        <w:t>IN WITNESS WHEREOF, the parties hereto have duly executed this First Amendment to Exchange Agreement as of the day and year first above written.</w:t>
      </w:r>
    </w:p>
    <w:p>
      <w:pPr>
        <w:spacing w:after="0" w:line="144" w:lineRule="exact"/>
        <w:rPr>
          <w:sz w:val="20"/>
          <w:szCs w:val="20"/>
          <w:color w:val="auto"/>
        </w:rPr>
      </w:pPr>
    </w:p>
    <w:p>
      <w:pPr>
        <w:ind w:left="3720"/>
        <w:spacing w:after="0"/>
        <w:rPr>
          <w:sz w:val="20"/>
          <w:szCs w:val="20"/>
          <w:color w:val="auto"/>
        </w:rPr>
      </w:pPr>
      <w:r>
        <w:rPr>
          <w:rFonts w:ascii="Arial" w:cs="Arial" w:eastAsia="Arial" w:hAnsi="Arial"/>
          <w:sz w:val="21"/>
          <w:szCs w:val="21"/>
          <w:b w:val="1"/>
          <w:bCs w:val="1"/>
          <w:color w:val="auto"/>
        </w:rPr>
        <w:t xml:space="preserve">Kratos Defense &amp; Security Solutions, Inc., </w:t>
      </w:r>
      <w:r>
        <w:rPr>
          <w:rFonts w:ascii="Arial" w:cs="Arial" w:eastAsia="Arial" w:hAnsi="Arial"/>
          <w:sz w:val="21"/>
          <w:szCs w:val="21"/>
          <w:color w:val="auto"/>
        </w:rPr>
        <w:t>a Delaware corporation</w:t>
      </w:r>
    </w:p>
    <w:p>
      <w:pPr>
        <w:spacing w:after="0" w:line="186" w:lineRule="exact"/>
        <w:rPr>
          <w:sz w:val="20"/>
          <w:szCs w:val="20"/>
          <w:color w:val="auto"/>
        </w:rPr>
      </w:pPr>
    </w:p>
    <w:p>
      <w:pPr>
        <w:ind w:left="3720"/>
        <w:spacing w:after="0"/>
        <w:rPr>
          <w:sz w:val="20"/>
          <w:szCs w:val="20"/>
          <w:color w:val="auto"/>
        </w:rPr>
      </w:pPr>
      <w:r>
        <w:rPr>
          <w:rFonts w:ascii="Arial" w:cs="Arial" w:eastAsia="Arial" w:hAnsi="Arial"/>
          <w:sz w:val="21"/>
          <w:szCs w:val="21"/>
          <w:color w:val="auto"/>
          <w:highlight w:val="yellow"/>
        </w:rPr>
        <w:t>By: ______________________________</w:t>
      </w:r>
    </w:p>
    <w:p>
      <w:pPr>
        <w:ind w:left="3720"/>
        <w:spacing w:after="0" w:line="205" w:lineRule="auto"/>
        <w:rPr>
          <w:sz w:val="20"/>
          <w:szCs w:val="20"/>
          <w:color w:val="auto"/>
        </w:rPr>
      </w:pPr>
      <w:r>
        <w:rPr>
          <w:rFonts w:ascii="Arial" w:cs="Arial" w:eastAsia="Arial" w:hAnsi="Arial"/>
          <w:sz w:val="21"/>
          <w:szCs w:val="21"/>
          <w:color w:val="auto"/>
          <w:highlight w:val="yellow"/>
        </w:rPr>
        <w:t>Name:</w:t>
      </w:r>
    </w:p>
    <w:p>
      <w:pPr>
        <w:ind w:left="3720"/>
        <w:spacing w:after="0"/>
        <w:rPr>
          <w:sz w:val="20"/>
          <w:szCs w:val="20"/>
          <w:color w:val="auto"/>
        </w:rPr>
      </w:pPr>
      <w:r>
        <w:rPr>
          <w:rFonts w:ascii="Arial" w:cs="Arial" w:eastAsia="Arial" w:hAnsi="Arial"/>
          <w:sz w:val="21"/>
          <w:szCs w:val="21"/>
          <w:color w:val="auto"/>
          <w:highlight w:val="yellow"/>
        </w:rPr>
        <w:t>Title:</w:t>
      </w:r>
    </w:p>
    <w:p>
      <w:pPr>
        <w:spacing w:after="0" w:line="173" w:lineRule="exact"/>
        <w:rPr>
          <w:sz w:val="20"/>
          <w:szCs w:val="20"/>
          <w:color w:val="auto"/>
        </w:rPr>
      </w:pPr>
    </w:p>
    <w:p>
      <w:pPr>
        <w:ind w:left="3720"/>
        <w:spacing w:after="0"/>
        <w:rPr>
          <w:sz w:val="20"/>
          <w:szCs w:val="20"/>
          <w:color w:val="auto"/>
        </w:rPr>
      </w:pPr>
      <w:r>
        <w:rPr>
          <w:rFonts w:ascii="Arial" w:cs="Arial" w:eastAsia="Arial" w:hAnsi="Arial"/>
          <w:sz w:val="21"/>
          <w:szCs w:val="21"/>
          <w:b w:val="1"/>
          <w:bCs w:val="1"/>
          <w:color w:val="auto"/>
        </w:rPr>
        <w:t xml:space="preserve">KTT CORE, Inc., </w:t>
      </w:r>
      <w:r>
        <w:rPr>
          <w:rFonts w:ascii="Arial" w:cs="Arial" w:eastAsia="Arial" w:hAnsi="Arial"/>
          <w:sz w:val="21"/>
          <w:szCs w:val="21"/>
          <w:color w:val="auto"/>
        </w:rPr>
        <w:t>a Delaware corporation</w:t>
      </w:r>
    </w:p>
    <w:p>
      <w:pPr>
        <w:spacing w:after="0" w:line="186" w:lineRule="exact"/>
        <w:rPr>
          <w:sz w:val="20"/>
          <w:szCs w:val="20"/>
          <w:color w:val="auto"/>
        </w:rPr>
      </w:pPr>
    </w:p>
    <w:p>
      <w:pPr>
        <w:ind w:left="3720"/>
        <w:spacing w:after="0"/>
        <w:rPr>
          <w:sz w:val="20"/>
          <w:szCs w:val="20"/>
          <w:color w:val="auto"/>
        </w:rPr>
      </w:pPr>
      <w:r>
        <w:rPr>
          <w:rFonts w:ascii="Arial" w:cs="Arial" w:eastAsia="Arial" w:hAnsi="Arial"/>
          <w:sz w:val="21"/>
          <w:szCs w:val="21"/>
          <w:color w:val="auto"/>
          <w:highlight w:val="yellow"/>
        </w:rPr>
        <w:t>By: ______________________________</w:t>
      </w:r>
    </w:p>
    <w:p>
      <w:pPr>
        <w:ind w:left="3720"/>
        <w:spacing w:after="0" w:line="205" w:lineRule="auto"/>
        <w:rPr>
          <w:sz w:val="20"/>
          <w:szCs w:val="20"/>
          <w:color w:val="auto"/>
        </w:rPr>
      </w:pPr>
      <w:r>
        <w:rPr>
          <w:rFonts w:ascii="Arial" w:cs="Arial" w:eastAsia="Arial" w:hAnsi="Arial"/>
          <w:sz w:val="21"/>
          <w:szCs w:val="21"/>
          <w:color w:val="auto"/>
          <w:highlight w:val="yellow"/>
        </w:rPr>
        <w:t>Name:</w:t>
      </w:r>
    </w:p>
    <w:p>
      <w:pPr>
        <w:ind w:left="3720"/>
        <w:spacing w:after="0"/>
        <w:rPr>
          <w:sz w:val="20"/>
          <w:szCs w:val="20"/>
          <w:color w:val="auto"/>
        </w:rPr>
      </w:pPr>
      <w:r>
        <w:rPr>
          <w:rFonts w:ascii="Arial" w:cs="Arial" w:eastAsia="Arial" w:hAnsi="Arial"/>
          <w:sz w:val="21"/>
          <w:szCs w:val="21"/>
          <w:color w:val="auto"/>
          <w:highlight w:val="yellow"/>
        </w:rPr>
        <w:t>Title:</w:t>
      </w:r>
    </w:p>
    <w:p>
      <w:pPr>
        <w:spacing w:after="0" w:line="173" w:lineRule="exact"/>
        <w:rPr>
          <w:sz w:val="20"/>
          <w:szCs w:val="20"/>
          <w:color w:val="auto"/>
        </w:rPr>
      </w:pPr>
    </w:p>
    <w:p>
      <w:pPr>
        <w:ind w:left="3720"/>
        <w:spacing w:after="0"/>
        <w:rPr>
          <w:sz w:val="20"/>
          <w:szCs w:val="20"/>
          <w:color w:val="auto"/>
        </w:rPr>
      </w:pPr>
      <w:r>
        <w:rPr>
          <w:rFonts w:ascii="Arial" w:cs="Arial" w:eastAsia="Arial" w:hAnsi="Arial"/>
          <w:sz w:val="21"/>
          <w:szCs w:val="21"/>
          <w:b w:val="1"/>
          <w:bCs w:val="1"/>
          <w:color w:val="auto"/>
        </w:rPr>
        <w:t xml:space="preserve">Florida Turbine Technologies, Inc., </w:t>
      </w:r>
      <w:r>
        <w:rPr>
          <w:rFonts w:ascii="Arial" w:cs="Arial" w:eastAsia="Arial" w:hAnsi="Arial"/>
          <w:sz w:val="21"/>
          <w:szCs w:val="21"/>
          <w:color w:val="auto"/>
        </w:rPr>
        <w:t>a Florida corporation</w:t>
      </w:r>
    </w:p>
    <w:p>
      <w:pPr>
        <w:spacing w:after="0" w:line="186" w:lineRule="exact"/>
        <w:rPr>
          <w:sz w:val="20"/>
          <w:szCs w:val="20"/>
          <w:color w:val="auto"/>
        </w:rPr>
      </w:pPr>
    </w:p>
    <w:p>
      <w:pPr>
        <w:ind w:left="3720"/>
        <w:spacing w:after="0"/>
        <w:rPr>
          <w:sz w:val="20"/>
          <w:szCs w:val="20"/>
          <w:color w:val="auto"/>
        </w:rPr>
      </w:pPr>
      <w:r>
        <w:rPr>
          <w:rFonts w:ascii="Arial" w:cs="Arial" w:eastAsia="Arial" w:hAnsi="Arial"/>
          <w:sz w:val="21"/>
          <w:szCs w:val="21"/>
          <w:color w:val="auto"/>
          <w:highlight w:val="yellow"/>
        </w:rPr>
        <w:t>By: ______________________________</w:t>
      </w:r>
    </w:p>
    <w:p>
      <w:pPr>
        <w:ind w:left="3720"/>
        <w:spacing w:after="0" w:line="205" w:lineRule="auto"/>
        <w:rPr>
          <w:sz w:val="20"/>
          <w:szCs w:val="20"/>
          <w:color w:val="auto"/>
        </w:rPr>
      </w:pPr>
      <w:r>
        <w:rPr>
          <w:rFonts w:ascii="Arial" w:cs="Arial" w:eastAsia="Arial" w:hAnsi="Arial"/>
          <w:sz w:val="21"/>
          <w:szCs w:val="21"/>
          <w:color w:val="auto"/>
          <w:highlight w:val="yellow"/>
        </w:rPr>
        <w:t>Name:</w:t>
      </w:r>
    </w:p>
    <w:p>
      <w:pPr>
        <w:ind w:left="3720"/>
        <w:spacing w:after="0"/>
        <w:rPr>
          <w:sz w:val="20"/>
          <w:szCs w:val="20"/>
          <w:color w:val="auto"/>
        </w:rPr>
      </w:pPr>
      <w:r>
        <w:rPr>
          <w:rFonts w:ascii="Arial" w:cs="Arial" w:eastAsia="Arial" w:hAnsi="Arial"/>
          <w:sz w:val="21"/>
          <w:szCs w:val="21"/>
          <w:color w:val="auto"/>
          <w:highlight w:val="yellow"/>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to First Amendment to Exchange Agreement]</w:t>
      </w:r>
    </w:p>
    <w:p>
      <w:pPr>
        <w:spacing w:after="0"/>
        <w:rPr>
          <w:sz w:val="20"/>
          <w:szCs w:val="20"/>
          <w:color w:val="auto"/>
        </w:rPr>
      </w:pPr>
      <w:r>
        <w:rPr>
          <w:rFonts w:ascii="Arial" w:cs="Arial" w:eastAsia="Arial" w:hAnsi="Arial"/>
          <w:sz w:val="14"/>
          <w:szCs w:val="14"/>
          <w:color w:val="auto"/>
        </w:rPr>
        <w:t>LEGAL02/40550677v2</w:t>
      </w:r>
    </w:p>
    <w:p>
      <w:pPr>
        <w:sectPr>
          <w:pgSz w:w="11900" w:h="16838" w:orient="portrait"/>
          <w:cols w:equalWidth="0" w:num="1">
            <w:col w:w="11240"/>
          </w:cols>
          <w:pgMar w:left="320" w:top="100"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1"/>
          <w:szCs w:val="21"/>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60" w:firstLine="619"/>
        <w:spacing w:after="0" w:line="233" w:lineRule="auto"/>
        <w:rPr>
          <w:sz w:val="20"/>
          <w:szCs w:val="20"/>
          <w:color w:val="auto"/>
        </w:rPr>
      </w:pPr>
      <w:r>
        <w:rPr>
          <w:rFonts w:ascii="Arial" w:cs="Arial" w:eastAsia="Arial" w:hAnsi="Arial"/>
          <w:sz w:val="21"/>
          <w:szCs w:val="21"/>
          <w:color w:val="auto"/>
        </w:rPr>
        <w:t>IN WITNESS WHEREOF, the parties hereto have duly executed this First Amendment to Exchange Agreement as of the day and year first above written.</w:t>
      </w:r>
    </w:p>
    <w:p>
      <w:pPr>
        <w:spacing w:after="0" w:line="382" w:lineRule="exact"/>
        <w:rPr>
          <w:sz w:val="20"/>
          <w:szCs w:val="20"/>
          <w:color w:val="auto"/>
        </w:rPr>
      </w:pPr>
    </w:p>
    <w:p>
      <w:pPr>
        <w:ind w:left="3720" w:right="600"/>
        <w:spacing w:after="0" w:line="233" w:lineRule="auto"/>
        <w:rPr>
          <w:sz w:val="20"/>
          <w:szCs w:val="20"/>
          <w:color w:val="auto"/>
        </w:rPr>
      </w:pPr>
      <w:r>
        <w:rPr>
          <w:rFonts w:ascii="Arial" w:cs="Arial" w:eastAsia="Arial" w:hAnsi="Arial"/>
          <w:sz w:val="21"/>
          <w:szCs w:val="21"/>
          <w:color w:val="auto"/>
        </w:rPr>
        <w:t>The Shirley C. Brostmeyer Revocable Trust u/a/d August 25, 2002, as amended and restated August 13, 2014</w:t>
      </w:r>
    </w:p>
    <w:p>
      <w:pPr>
        <w:spacing w:after="0" w:line="133"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18"/>
          <w:szCs w:val="18"/>
          <w:u w:val="single" w:color="auto"/>
          <w:color w:val="auto"/>
        </w:rPr>
        <w:t>/S/ SHIRLEY C. BROSTMEYER</w:t>
      </w:r>
    </w:p>
    <w:p>
      <w:pPr>
        <w:ind w:left="3720"/>
        <w:spacing w:after="0" w:line="205" w:lineRule="auto"/>
        <w:rPr>
          <w:sz w:val="20"/>
          <w:szCs w:val="20"/>
          <w:color w:val="auto"/>
        </w:rPr>
      </w:pPr>
      <w:r>
        <w:rPr>
          <w:rFonts w:ascii="Arial" w:cs="Arial" w:eastAsia="Arial" w:hAnsi="Arial"/>
          <w:sz w:val="21"/>
          <w:szCs w:val="21"/>
          <w:color w:val="auto"/>
        </w:rPr>
        <w:t>Name: Shirley C. Brostmeyer</w:t>
      </w:r>
    </w:p>
    <w:p>
      <w:pPr>
        <w:ind w:left="3720"/>
        <w:spacing w:after="0"/>
        <w:rPr>
          <w:sz w:val="20"/>
          <w:szCs w:val="20"/>
          <w:color w:val="auto"/>
        </w:rPr>
      </w:pPr>
      <w:r>
        <w:rPr>
          <w:rFonts w:ascii="Arial" w:cs="Arial" w:eastAsia="Arial" w:hAnsi="Arial"/>
          <w:sz w:val="21"/>
          <w:szCs w:val="21"/>
          <w:color w:val="auto"/>
        </w:rPr>
        <w:t>Title: Trustee</w:t>
      </w:r>
    </w:p>
    <w:p>
      <w:pPr>
        <w:spacing w:after="0" w:line="136"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18"/>
          <w:szCs w:val="18"/>
          <w:u w:val="single" w:color="auto"/>
          <w:color w:val="auto"/>
        </w:rPr>
        <w:t>/S/ JOSEPH D. BROSTMEYER</w:t>
      </w:r>
    </w:p>
    <w:p>
      <w:pPr>
        <w:ind w:left="3720"/>
        <w:spacing w:after="0" w:line="205" w:lineRule="auto"/>
        <w:rPr>
          <w:sz w:val="20"/>
          <w:szCs w:val="20"/>
          <w:color w:val="auto"/>
        </w:rPr>
      </w:pPr>
      <w:r>
        <w:rPr>
          <w:rFonts w:ascii="Arial" w:cs="Arial" w:eastAsia="Arial" w:hAnsi="Arial"/>
          <w:sz w:val="21"/>
          <w:szCs w:val="21"/>
          <w:color w:val="auto"/>
        </w:rPr>
        <w:t>Name: Joseph D. Brostmeyer</w:t>
      </w:r>
    </w:p>
    <w:p>
      <w:pPr>
        <w:ind w:left="3720"/>
        <w:spacing w:after="0"/>
        <w:rPr>
          <w:sz w:val="20"/>
          <w:szCs w:val="20"/>
          <w:color w:val="auto"/>
        </w:rPr>
      </w:pPr>
      <w:r>
        <w:rPr>
          <w:rFonts w:ascii="Arial" w:cs="Arial" w:eastAsia="Arial" w:hAnsi="Arial"/>
          <w:sz w:val="21"/>
          <w:szCs w:val="21"/>
          <w:color w:val="auto"/>
        </w:rPr>
        <w:t>Title: Trustee</w:t>
      </w:r>
    </w:p>
    <w:p>
      <w:pPr>
        <w:spacing w:after="0" w:line="200" w:lineRule="exact"/>
        <w:rPr>
          <w:sz w:val="20"/>
          <w:szCs w:val="20"/>
          <w:color w:val="auto"/>
        </w:rPr>
      </w:pPr>
    </w:p>
    <w:p>
      <w:pPr>
        <w:spacing w:after="0" w:line="314" w:lineRule="exact"/>
        <w:rPr>
          <w:sz w:val="20"/>
          <w:szCs w:val="20"/>
          <w:color w:val="auto"/>
        </w:rPr>
      </w:pPr>
    </w:p>
    <w:p>
      <w:pPr>
        <w:ind w:left="3720" w:right="620"/>
        <w:spacing w:after="0" w:line="233" w:lineRule="auto"/>
        <w:rPr>
          <w:sz w:val="20"/>
          <w:szCs w:val="20"/>
          <w:color w:val="auto"/>
        </w:rPr>
      </w:pPr>
      <w:r>
        <w:rPr>
          <w:rFonts w:ascii="Arial" w:cs="Arial" w:eastAsia="Arial" w:hAnsi="Arial"/>
          <w:sz w:val="21"/>
          <w:szCs w:val="21"/>
          <w:color w:val="auto"/>
        </w:rPr>
        <w:t>The Joseph D. Brostmeyer Revocable Trust u/a/d August 25, 2002, as amended and restated August 13, 2014</w:t>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18"/>
          <w:szCs w:val="18"/>
          <w:u w:val="single" w:color="auto"/>
          <w:color w:val="auto"/>
        </w:rPr>
        <w:t>/S/ JOSEPH D. BROSTMEYER</w:t>
      </w:r>
    </w:p>
    <w:p>
      <w:pPr>
        <w:ind w:left="3720"/>
        <w:spacing w:after="0" w:line="205" w:lineRule="auto"/>
        <w:rPr>
          <w:sz w:val="20"/>
          <w:szCs w:val="20"/>
          <w:color w:val="auto"/>
        </w:rPr>
      </w:pPr>
      <w:r>
        <w:rPr>
          <w:rFonts w:ascii="Arial" w:cs="Arial" w:eastAsia="Arial" w:hAnsi="Arial"/>
          <w:sz w:val="21"/>
          <w:szCs w:val="21"/>
          <w:color w:val="auto"/>
        </w:rPr>
        <w:t>Name: Joseph D. Brostmeyer</w:t>
      </w:r>
    </w:p>
    <w:p>
      <w:pPr>
        <w:ind w:left="3720"/>
        <w:spacing w:after="0"/>
        <w:rPr>
          <w:sz w:val="20"/>
          <w:szCs w:val="20"/>
          <w:color w:val="auto"/>
        </w:rPr>
      </w:pPr>
      <w:r>
        <w:rPr>
          <w:rFonts w:ascii="Arial" w:cs="Arial" w:eastAsia="Arial" w:hAnsi="Arial"/>
          <w:sz w:val="21"/>
          <w:szCs w:val="21"/>
          <w:color w:val="auto"/>
        </w:rPr>
        <w:t>Title: Trustee</w:t>
      </w:r>
    </w:p>
    <w:p>
      <w:pPr>
        <w:spacing w:after="0" w:line="136"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18"/>
          <w:szCs w:val="18"/>
          <w:u w:val="single" w:color="auto"/>
          <w:color w:val="auto"/>
        </w:rPr>
        <w:t>/S/ SHIRLEY C. BROSTMEYER</w:t>
      </w:r>
    </w:p>
    <w:p>
      <w:pPr>
        <w:ind w:left="3720"/>
        <w:spacing w:after="0" w:line="205" w:lineRule="auto"/>
        <w:rPr>
          <w:sz w:val="20"/>
          <w:szCs w:val="20"/>
          <w:color w:val="auto"/>
        </w:rPr>
      </w:pPr>
      <w:r>
        <w:rPr>
          <w:rFonts w:ascii="Arial" w:cs="Arial" w:eastAsia="Arial" w:hAnsi="Arial"/>
          <w:sz w:val="21"/>
          <w:szCs w:val="21"/>
          <w:color w:val="auto"/>
        </w:rPr>
        <w:t>Name: Shirley C. Brostmeyer</w:t>
      </w:r>
    </w:p>
    <w:p>
      <w:pPr>
        <w:ind w:left="3720"/>
        <w:spacing w:after="0"/>
        <w:rPr>
          <w:sz w:val="20"/>
          <w:szCs w:val="20"/>
          <w:color w:val="auto"/>
        </w:rPr>
      </w:pPr>
      <w:r>
        <w:rPr>
          <w:rFonts w:ascii="Arial" w:cs="Arial" w:eastAsia="Arial" w:hAnsi="Arial"/>
          <w:sz w:val="21"/>
          <w:szCs w:val="21"/>
          <w:color w:val="auto"/>
        </w:rPr>
        <w:t>Title: Trustee</w:t>
      </w:r>
    </w:p>
    <w:p>
      <w:pPr>
        <w:spacing w:after="0" w:line="179"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The Shirley Brostmeyer 2018 Family Trust u/a/d December 17, 2018</w:t>
      </w:r>
    </w:p>
    <w:p>
      <w:pPr>
        <w:spacing w:after="0" w:line="154"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18"/>
          <w:szCs w:val="18"/>
          <w:u w:val="single" w:color="auto"/>
          <w:color w:val="auto"/>
        </w:rPr>
        <w:t>/S/ JOSEPH D. BROSTMEYER</w:t>
      </w:r>
    </w:p>
    <w:p>
      <w:pPr>
        <w:ind w:left="3720"/>
        <w:spacing w:after="0" w:line="205" w:lineRule="auto"/>
        <w:rPr>
          <w:sz w:val="20"/>
          <w:szCs w:val="20"/>
          <w:color w:val="auto"/>
        </w:rPr>
      </w:pPr>
      <w:r>
        <w:rPr>
          <w:rFonts w:ascii="Arial" w:cs="Arial" w:eastAsia="Arial" w:hAnsi="Arial"/>
          <w:sz w:val="21"/>
          <w:szCs w:val="21"/>
          <w:color w:val="auto"/>
        </w:rPr>
        <w:t>Name: Joseph D. Brostmeyer</w:t>
      </w:r>
    </w:p>
    <w:p>
      <w:pPr>
        <w:ind w:left="3720"/>
        <w:spacing w:after="0"/>
        <w:rPr>
          <w:sz w:val="20"/>
          <w:szCs w:val="20"/>
          <w:color w:val="auto"/>
        </w:rPr>
      </w:pPr>
      <w:r>
        <w:rPr>
          <w:rFonts w:ascii="Arial" w:cs="Arial" w:eastAsia="Arial" w:hAnsi="Arial"/>
          <w:sz w:val="21"/>
          <w:szCs w:val="21"/>
          <w:color w:val="auto"/>
        </w:rPr>
        <w:t>Title: Trustee</w:t>
      </w:r>
    </w:p>
    <w:p>
      <w:pPr>
        <w:spacing w:after="0" w:line="162"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18"/>
          <w:szCs w:val="18"/>
          <w:u w:val="single" w:color="auto"/>
          <w:color w:val="auto"/>
        </w:rPr>
        <w:t>/S/ SARA J. BROSTMEYER</w:t>
      </w:r>
    </w:p>
    <w:p>
      <w:pPr>
        <w:ind w:left="3720"/>
        <w:spacing w:after="0" w:line="205" w:lineRule="auto"/>
        <w:rPr>
          <w:sz w:val="20"/>
          <w:szCs w:val="20"/>
          <w:color w:val="auto"/>
        </w:rPr>
      </w:pPr>
      <w:r>
        <w:rPr>
          <w:rFonts w:ascii="Arial" w:cs="Arial" w:eastAsia="Arial" w:hAnsi="Arial"/>
          <w:sz w:val="21"/>
          <w:szCs w:val="21"/>
          <w:color w:val="auto"/>
        </w:rPr>
        <w:t>Name: Sara J. Brostmeyer</w:t>
      </w:r>
    </w:p>
    <w:p>
      <w:pPr>
        <w:ind w:left="3720"/>
        <w:spacing w:after="0"/>
        <w:rPr>
          <w:sz w:val="20"/>
          <w:szCs w:val="20"/>
          <w:color w:val="auto"/>
        </w:rPr>
      </w:pPr>
      <w:r>
        <w:rPr>
          <w:rFonts w:ascii="Arial" w:cs="Arial" w:eastAsia="Arial" w:hAnsi="Arial"/>
          <w:sz w:val="21"/>
          <w:szCs w:val="21"/>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to First Amendment to Exchange Agreement]</w:t>
      </w:r>
    </w:p>
    <w:p>
      <w:pPr>
        <w:spacing w:after="0"/>
        <w:rPr>
          <w:sz w:val="20"/>
          <w:szCs w:val="20"/>
          <w:color w:val="auto"/>
        </w:rPr>
      </w:pPr>
      <w:r>
        <w:rPr>
          <w:rFonts w:ascii="Arial" w:cs="Arial" w:eastAsia="Arial" w:hAnsi="Arial"/>
          <w:sz w:val="14"/>
          <w:szCs w:val="14"/>
          <w:color w:val="auto"/>
        </w:rPr>
        <w:t>LEGAL02/40550677v2</w:t>
      </w:r>
    </w:p>
    <w:p>
      <w:pPr>
        <w:sectPr>
          <w:pgSz w:w="11900" w:h="16838" w:orient="portrait"/>
          <w:cols w:equalWidth="0" w:num="1">
            <w:col w:w="11240"/>
          </w:cols>
          <w:pgMar w:left="320" w:top="100"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1"/>
          <w:szCs w:val="21"/>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60" w:firstLine="619"/>
        <w:spacing w:after="0" w:line="233" w:lineRule="auto"/>
        <w:rPr>
          <w:sz w:val="20"/>
          <w:szCs w:val="20"/>
          <w:color w:val="auto"/>
        </w:rPr>
      </w:pPr>
      <w:r>
        <w:rPr>
          <w:rFonts w:ascii="Arial" w:cs="Arial" w:eastAsia="Arial" w:hAnsi="Arial"/>
          <w:sz w:val="21"/>
          <w:szCs w:val="21"/>
          <w:color w:val="auto"/>
        </w:rPr>
        <w:t>IN WITNESS WHEREOF, the parties hereto have duly executed this First Amendment to Exchange Agreement as of the day and year first above written.</w:t>
      </w:r>
    </w:p>
    <w:p>
      <w:pPr>
        <w:spacing w:after="0" w:line="200" w:lineRule="exact"/>
        <w:rPr>
          <w:sz w:val="20"/>
          <w:szCs w:val="20"/>
          <w:color w:val="auto"/>
        </w:rPr>
      </w:pPr>
    </w:p>
    <w:p>
      <w:pPr>
        <w:spacing w:after="0" w:line="388"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PEGASUS RESIDUAL, LLC</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18"/>
          <w:szCs w:val="18"/>
          <w:u w:val="single" w:color="auto"/>
          <w:color w:val="auto"/>
        </w:rPr>
        <w:t>/S/ JOSEPH D. BROSTMEYER</w:t>
      </w:r>
    </w:p>
    <w:p>
      <w:pPr>
        <w:spacing w:after="0" w:line="171"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Name: Joseph Brostmeyer</w:t>
      </w:r>
    </w:p>
    <w:p>
      <w:pPr>
        <w:spacing w:after="0" w:line="171"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Its: Manager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The Joseph D Brostmeyer 2018 Irrevocable Trust u/a/d December 17, 2018</w:t>
      </w:r>
    </w:p>
    <w:p>
      <w:pPr>
        <w:spacing w:after="0" w:line="154"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18"/>
          <w:szCs w:val="18"/>
          <w:u w:val="single" w:color="auto"/>
          <w:color w:val="auto"/>
        </w:rPr>
        <w:t>/S/ SHIRLEY C. BROSTMEYER</w:t>
      </w:r>
    </w:p>
    <w:p>
      <w:pPr>
        <w:ind w:left="3720"/>
        <w:spacing w:after="0" w:line="205" w:lineRule="auto"/>
        <w:rPr>
          <w:sz w:val="20"/>
          <w:szCs w:val="20"/>
          <w:color w:val="auto"/>
        </w:rPr>
      </w:pPr>
      <w:r>
        <w:rPr>
          <w:rFonts w:ascii="Arial" w:cs="Arial" w:eastAsia="Arial" w:hAnsi="Arial"/>
          <w:sz w:val="21"/>
          <w:szCs w:val="21"/>
          <w:color w:val="auto"/>
        </w:rPr>
        <w:t>Name: Shirley C. Brostmeyer</w:t>
      </w:r>
    </w:p>
    <w:p>
      <w:pPr>
        <w:ind w:left="3720"/>
        <w:spacing w:after="0"/>
        <w:rPr>
          <w:sz w:val="20"/>
          <w:szCs w:val="20"/>
          <w:color w:val="auto"/>
        </w:rPr>
      </w:pPr>
      <w:r>
        <w:rPr>
          <w:rFonts w:ascii="Arial" w:cs="Arial" w:eastAsia="Arial" w:hAnsi="Arial"/>
          <w:sz w:val="21"/>
          <w:szCs w:val="21"/>
          <w:color w:val="auto"/>
        </w:rPr>
        <w:t>Title: Trustee</w:t>
      </w:r>
    </w:p>
    <w:p>
      <w:pPr>
        <w:spacing w:after="0" w:line="162"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18"/>
          <w:szCs w:val="18"/>
          <w:u w:val="single" w:color="auto"/>
          <w:color w:val="auto"/>
        </w:rPr>
        <w:t>/S/ JULIA A. BROSTMEYER</w:t>
      </w:r>
    </w:p>
    <w:p>
      <w:pPr>
        <w:ind w:left="3720"/>
        <w:spacing w:after="0" w:line="205" w:lineRule="auto"/>
        <w:rPr>
          <w:sz w:val="20"/>
          <w:szCs w:val="20"/>
          <w:color w:val="auto"/>
        </w:rPr>
      </w:pPr>
      <w:r>
        <w:rPr>
          <w:rFonts w:ascii="Arial" w:cs="Arial" w:eastAsia="Arial" w:hAnsi="Arial"/>
          <w:sz w:val="21"/>
          <w:szCs w:val="21"/>
          <w:color w:val="auto"/>
        </w:rPr>
        <w:t>Name: Julia A. Brostmeyer</w:t>
      </w:r>
    </w:p>
    <w:p>
      <w:pPr>
        <w:ind w:left="3720"/>
        <w:spacing w:after="0"/>
        <w:rPr>
          <w:sz w:val="20"/>
          <w:szCs w:val="20"/>
          <w:color w:val="auto"/>
        </w:rPr>
      </w:pPr>
      <w:r>
        <w:rPr>
          <w:rFonts w:ascii="Arial" w:cs="Arial" w:eastAsia="Arial" w:hAnsi="Arial"/>
          <w:sz w:val="21"/>
          <w:szCs w:val="21"/>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to First Amendment to Exchange Agreement]</w:t>
      </w:r>
    </w:p>
    <w:p>
      <w:pPr>
        <w:spacing w:after="0"/>
        <w:rPr>
          <w:sz w:val="20"/>
          <w:szCs w:val="20"/>
          <w:color w:val="auto"/>
        </w:rPr>
      </w:pPr>
      <w:r>
        <w:rPr>
          <w:rFonts w:ascii="Arial" w:cs="Arial" w:eastAsia="Arial" w:hAnsi="Arial"/>
          <w:sz w:val="14"/>
          <w:szCs w:val="14"/>
          <w:color w:val="auto"/>
        </w:rPr>
        <w:t>LEGAL02/40550677v2</w:t>
      </w:r>
    </w:p>
    <w:p>
      <w:pPr>
        <w:sectPr>
          <w:pgSz w:w="11900" w:h="16838" w:orient="portrait"/>
          <w:cols w:equalWidth="0" w:num="1">
            <w:col w:w="11240"/>
          </w:cols>
          <w:pgMar w:left="320" w:top="100" w:right="339" w:bottom="1440" w:gutter="0" w:footer="0" w:header="0"/>
        </w:sectPr>
      </w:pPr>
    </w:p>
    <w:bookmarkStart w:id="160" w:name="page161"/>
    <w:bookmarkEnd w:id="160"/>
    <w:p>
      <w:pPr>
        <w:ind w:left="10080"/>
        <w:spacing w:after="0"/>
        <w:rPr>
          <w:sz w:val="20"/>
          <w:szCs w:val="20"/>
          <w:color w:val="auto"/>
        </w:rPr>
      </w:pPr>
      <w:r>
        <w:rPr>
          <w:rFonts w:ascii="Arial" w:cs="Arial" w:eastAsia="Arial" w:hAnsi="Arial"/>
          <w:sz w:val="19"/>
          <w:szCs w:val="19"/>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760" w:type="dxa"/>
            <w:vAlign w:val="bottom"/>
          </w:tcPr>
          <w:p>
            <w:pPr>
              <w:spacing w:after="0"/>
              <w:rPr>
                <w:sz w:val="23"/>
                <w:szCs w:val="23"/>
                <w:color w:val="auto"/>
              </w:rPr>
            </w:pPr>
          </w:p>
        </w:tc>
        <w:tc>
          <w:tcPr>
            <w:tcW w:w="6500" w:type="dxa"/>
            <w:vAlign w:val="bottom"/>
            <w:gridSpan w:val="2"/>
          </w:tcPr>
          <w:p>
            <w:pPr>
              <w:ind w:left="200"/>
              <w:spacing w:after="0"/>
              <w:rPr>
                <w:sz w:val="20"/>
                <w:szCs w:val="20"/>
                <w:color w:val="auto"/>
              </w:rPr>
            </w:pPr>
            <w:r>
              <w:rPr>
                <w:rFonts w:ascii="Arial" w:cs="Arial" w:eastAsia="Arial" w:hAnsi="Arial"/>
                <w:sz w:val="21"/>
                <w:szCs w:val="21"/>
                <w:b w:val="1"/>
                <w:bCs w:val="1"/>
                <w:color w:val="auto"/>
              </w:rPr>
              <w:t>SCHEDULE A</w:t>
            </w:r>
          </w:p>
        </w:tc>
      </w:tr>
      <w:tr>
        <w:trPr>
          <w:trHeight w:val="670"/>
        </w:trPr>
        <w:tc>
          <w:tcPr>
            <w:tcW w:w="4760" w:type="dxa"/>
            <w:vAlign w:val="bottom"/>
          </w:tcPr>
          <w:p>
            <w:pPr>
              <w:spacing w:after="0"/>
              <w:rPr>
                <w:sz w:val="20"/>
                <w:szCs w:val="20"/>
                <w:color w:val="auto"/>
              </w:rPr>
            </w:pPr>
            <w:r>
              <w:rPr>
                <w:rFonts w:ascii="Arial" w:cs="Arial" w:eastAsia="Arial" w:hAnsi="Arial"/>
                <w:sz w:val="21"/>
                <w:szCs w:val="21"/>
                <w:color w:val="auto"/>
                <w:w w:val="93"/>
              </w:rPr>
              <w:t>Schedule A from October 15, 2020 to the Contribution:</w:t>
            </w:r>
          </w:p>
        </w:tc>
        <w:tc>
          <w:tcPr>
            <w:tcW w:w="88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35"/>
        </w:trPr>
        <w:tc>
          <w:tcPr>
            <w:tcW w:w="47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p>
        </w:tc>
      </w:tr>
      <w:tr>
        <w:trPr>
          <w:trHeight w:val="186"/>
        </w:trPr>
        <w:tc>
          <w:tcPr>
            <w:tcW w:w="4760" w:type="dxa"/>
            <w:vAlign w:val="bottom"/>
            <w:tcBorders>
              <w:left w:val="single" w:sz="8" w:color="auto"/>
            </w:tcBorders>
          </w:tcPr>
          <w:p>
            <w:pPr>
              <w:ind w:left="80"/>
              <w:spacing w:after="0" w:line="187" w:lineRule="exact"/>
              <w:rPr>
                <w:sz w:val="20"/>
                <w:szCs w:val="20"/>
                <w:color w:val="auto"/>
              </w:rPr>
            </w:pPr>
            <w:r>
              <w:rPr>
                <w:rFonts w:ascii="Arial" w:cs="Arial" w:eastAsia="Arial" w:hAnsi="Arial"/>
                <w:sz w:val="21"/>
                <w:szCs w:val="21"/>
                <w:b w:val="1"/>
                <w:bCs w:val="1"/>
                <w:color w:val="auto"/>
              </w:rPr>
              <w:t>Stockholder</w:t>
            </w:r>
          </w:p>
        </w:tc>
        <w:tc>
          <w:tcPr>
            <w:tcW w:w="8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60"/>
              <w:spacing w:after="0" w:line="187" w:lineRule="exact"/>
              <w:rPr>
                <w:sz w:val="20"/>
                <w:szCs w:val="20"/>
                <w:color w:val="auto"/>
              </w:rPr>
            </w:pPr>
            <w:r>
              <w:rPr>
                <w:rFonts w:ascii="Arial" w:cs="Arial" w:eastAsia="Arial" w:hAnsi="Arial"/>
                <w:sz w:val="21"/>
                <w:szCs w:val="21"/>
                <w:b w:val="1"/>
                <w:bCs w:val="1"/>
                <w:color w:val="auto"/>
              </w:rPr>
              <w:t>Shares of Florida Turbine Technologies, Inc. Owned by</w:t>
            </w:r>
          </w:p>
        </w:tc>
      </w:tr>
      <w:tr>
        <w:trPr>
          <w:trHeight w:val="270"/>
        </w:trPr>
        <w:tc>
          <w:tcPr>
            <w:tcW w:w="4760" w:type="dxa"/>
            <w:vAlign w:val="bottom"/>
            <w:tcBorders>
              <w:left w:val="single" w:sz="8" w:color="auto"/>
              <w:bottom w:val="single" w:sz="8" w:color="auto"/>
            </w:tcBorders>
          </w:tcPr>
          <w:p>
            <w:pPr>
              <w:spacing w:after="0"/>
              <w:rPr>
                <w:sz w:val="23"/>
                <w:szCs w:val="23"/>
                <w:color w:val="auto"/>
              </w:rPr>
            </w:pPr>
          </w:p>
        </w:tc>
        <w:tc>
          <w:tcPr>
            <w:tcW w:w="880" w:type="dxa"/>
            <w:vAlign w:val="bottom"/>
            <w:tcBorders>
              <w:bottom w:val="single" w:sz="8" w:color="auto"/>
              <w:right w:val="single" w:sz="8" w:color="auto"/>
            </w:tcBorders>
          </w:tcPr>
          <w:p>
            <w:pPr>
              <w:spacing w:after="0"/>
              <w:rPr>
                <w:sz w:val="23"/>
                <w:szCs w:val="23"/>
                <w:color w:val="auto"/>
              </w:rPr>
            </w:pP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b w:val="1"/>
                <w:bCs w:val="1"/>
                <w:color w:val="auto"/>
              </w:rPr>
              <w:t>Stockholder</w:t>
            </w:r>
          </w:p>
        </w:tc>
      </w:tr>
      <w:tr>
        <w:trPr>
          <w:trHeight w:val="251"/>
        </w:trPr>
        <w:tc>
          <w:tcPr>
            <w:tcW w:w="47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1"/>
                <w:szCs w:val="21"/>
                <w:color w:val="auto"/>
              </w:rPr>
              <w:t>Kratos Defense &amp; Security Solutions, Inc.</w:t>
            </w:r>
          </w:p>
        </w:tc>
        <w:tc>
          <w:tcPr>
            <w:tcW w:w="880" w:type="dxa"/>
            <w:vAlign w:val="bottom"/>
            <w:tcBorders>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8,431.33 shares Class A Capital Stock</w:t>
            </w:r>
          </w:p>
        </w:tc>
      </w:tr>
      <w:tr>
        <w:trPr>
          <w:trHeight w:val="251"/>
        </w:trPr>
        <w:tc>
          <w:tcPr>
            <w:tcW w:w="47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1"/>
                <w:szCs w:val="21"/>
                <w:color w:val="auto"/>
              </w:rPr>
              <w:t>Pegasus Residual, LLC</w:t>
            </w:r>
          </w:p>
        </w:tc>
        <w:tc>
          <w:tcPr>
            <w:tcW w:w="880" w:type="dxa"/>
            <w:vAlign w:val="bottom"/>
            <w:tcBorders>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2,094.67 shares Class B Capital Stock</w:t>
            </w:r>
          </w:p>
        </w:tc>
      </w:tr>
      <w:tr>
        <w:trPr>
          <w:trHeight w:val="341"/>
        </w:trPr>
        <w:tc>
          <w:tcPr>
            <w:tcW w:w="47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r>
        <w:trPr>
          <w:trHeight w:val="251"/>
        </w:trPr>
        <w:tc>
          <w:tcPr>
            <w:tcW w:w="47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1"/>
                <w:szCs w:val="21"/>
                <w:b w:val="1"/>
                <w:bCs w:val="1"/>
                <w:color w:val="auto"/>
              </w:rPr>
              <w:t>Stockholder</w:t>
            </w:r>
          </w:p>
        </w:tc>
        <w:tc>
          <w:tcPr>
            <w:tcW w:w="880" w:type="dxa"/>
            <w:vAlign w:val="bottom"/>
            <w:tcBorders>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b w:val="1"/>
                <w:bCs w:val="1"/>
                <w:color w:val="auto"/>
              </w:rPr>
              <w:t>Shares of KTT CORE, Inc. Owned by Stockholder</w:t>
            </w:r>
          </w:p>
        </w:tc>
      </w:tr>
      <w:tr>
        <w:trPr>
          <w:trHeight w:val="251"/>
        </w:trPr>
        <w:tc>
          <w:tcPr>
            <w:tcW w:w="47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1"/>
                <w:szCs w:val="21"/>
                <w:color w:val="auto"/>
              </w:rPr>
              <w:t>Kratos Defense &amp; Security Solutions, Inc.</w:t>
            </w:r>
          </w:p>
        </w:tc>
        <w:tc>
          <w:tcPr>
            <w:tcW w:w="880" w:type="dxa"/>
            <w:vAlign w:val="bottom"/>
            <w:tcBorders>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8,431.33 shares Class A Capital Stock</w:t>
            </w:r>
          </w:p>
        </w:tc>
      </w:tr>
      <w:tr>
        <w:trPr>
          <w:trHeight w:val="251"/>
        </w:trPr>
        <w:tc>
          <w:tcPr>
            <w:tcW w:w="47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1"/>
                <w:szCs w:val="21"/>
                <w:color w:val="auto"/>
              </w:rPr>
              <w:t>Pegasus Residual, LLC</w:t>
            </w:r>
          </w:p>
        </w:tc>
        <w:tc>
          <w:tcPr>
            <w:tcW w:w="880" w:type="dxa"/>
            <w:vAlign w:val="bottom"/>
            <w:tcBorders>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2,094.67 shares Class B Capital Stock</w:t>
            </w:r>
          </w:p>
        </w:tc>
      </w:tr>
      <w:tr>
        <w:trPr>
          <w:trHeight w:val="764"/>
        </w:trPr>
        <w:tc>
          <w:tcPr>
            <w:tcW w:w="4760" w:type="dxa"/>
            <w:vAlign w:val="bottom"/>
          </w:tcPr>
          <w:p>
            <w:pPr>
              <w:spacing w:after="0"/>
              <w:rPr>
                <w:sz w:val="20"/>
                <w:szCs w:val="20"/>
                <w:color w:val="auto"/>
              </w:rPr>
            </w:pPr>
            <w:r>
              <w:rPr>
                <w:rFonts w:ascii="Arial" w:cs="Arial" w:eastAsia="Arial" w:hAnsi="Arial"/>
                <w:sz w:val="21"/>
                <w:szCs w:val="21"/>
                <w:color w:val="auto"/>
              </w:rPr>
              <w:t>Schedule A as of the Contribution:</w:t>
            </w:r>
          </w:p>
        </w:tc>
        <w:tc>
          <w:tcPr>
            <w:tcW w:w="88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35"/>
        </w:trPr>
        <w:tc>
          <w:tcPr>
            <w:tcW w:w="47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p>
        </w:tc>
      </w:tr>
      <w:tr>
        <w:trPr>
          <w:trHeight w:val="186"/>
        </w:trPr>
        <w:tc>
          <w:tcPr>
            <w:tcW w:w="4760" w:type="dxa"/>
            <w:vAlign w:val="bottom"/>
            <w:tcBorders>
              <w:left w:val="single" w:sz="8" w:color="auto"/>
            </w:tcBorders>
          </w:tcPr>
          <w:p>
            <w:pPr>
              <w:ind w:left="80"/>
              <w:spacing w:after="0" w:line="187" w:lineRule="exact"/>
              <w:rPr>
                <w:sz w:val="20"/>
                <w:szCs w:val="20"/>
                <w:color w:val="auto"/>
              </w:rPr>
            </w:pPr>
            <w:r>
              <w:rPr>
                <w:rFonts w:ascii="Arial" w:cs="Arial" w:eastAsia="Arial" w:hAnsi="Arial"/>
                <w:sz w:val="21"/>
                <w:szCs w:val="21"/>
                <w:b w:val="1"/>
                <w:bCs w:val="1"/>
                <w:color w:val="auto"/>
              </w:rPr>
              <w:t>Stockholder</w:t>
            </w:r>
          </w:p>
        </w:tc>
        <w:tc>
          <w:tcPr>
            <w:tcW w:w="8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60"/>
              <w:spacing w:after="0" w:line="187" w:lineRule="exact"/>
              <w:rPr>
                <w:sz w:val="20"/>
                <w:szCs w:val="20"/>
                <w:color w:val="auto"/>
              </w:rPr>
            </w:pPr>
            <w:r>
              <w:rPr>
                <w:rFonts w:ascii="Arial" w:cs="Arial" w:eastAsia="Arial" w:hAnsi="Arial"/>
                <w:sz w:val="21"/>
                <w:szCs w:val="21"/>
                <w:b w:val="1"/>
                <w:bCs w:val="1"/>
                <w:color w:val="auto"/>
              </w:rPr>
              <w:t>Shares of Florida Turbine Technologies, Inc. Owned by</w:t>
            </w:r>
          </w:p>
        </w:tc>
      </w:tr>
      <w:tr>
        <w:trPr>
          <w:trHeight w:val="270"/>
        </w:trPr>
        <w:tc>
          <w:tcPr>
            <w:tcW w:w="4760" w:type="dxa"/>
            <w:vAlign w:val="bottom"/>
            <w:tcBorders>
              <w:left w:val="single" w:sz="8" w:color="auto"/>
              <w:bottom w:val="single" w:sz="8" w:color="auto"/>
            </w:tcBorders>
          </w:tcPr>
          <w:p>
            <w:pPr>
              <w:spacing w:after="0"/>
              <w:rPr>
                <w:sz w:val="23"/>
                <w:szCs w:val="23"/>
                <w:color w:val="auto"/>
              </w:rPr>
            </w:pPr>
          </w:p>
        </w:tc>
        <w:tc>
          <w:tcPr>
            <w:tcW w:w="880" w:type="dxa"/>
            <w:vAlign w:val="bottom"/>
            <w:tcBorders>
              <w:bottom w:val="single" w:sz="8" w:color="auto"/>
              <w:right w:val="single" w:sz="8" w:color="auto"/>
            </w:tcBorders>
          </w:tcPr>
          <w:p>
            <w:pPr>
              <w:spacing w:after="0"/>
              <w:rPr>
                <w:sz w:val="23"/>
                <w:szCs w:val="23"/>
                <w:color w:val="auto"/>
              </w:rPr>
            </w:pP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b w:val="1"/>
                <w:bCs w:val="1"/>
                <w:color w:val="auto"/>
              </w:rPr>
              <w:t>Stockholder</w:t>
            </w:r>
          </w:p>
        </w:tc>
      </w:tr>
      <w:tr>
        <w:trPr>
          <w:trHeight w:val="191"/>
        </w:trPr>
        <w:tc>
          <w:tcPr>
            <w:tcW w:w="4760" w:type="dxa"/>
            <w:vAlign w:val="bottom"/>
            <w:tcBorders>
              <w:left w:val="single" w:sz="8" w:color="auto"/>
            </w:tcBorders>
          </w:tcPr>
          <w:p>
            <w:pPr>
              <w:ind w:left="80"/>
              <w:spacing w:after="0" w:line="192" w:lineRule="exact"/>
              <w:rPr>
                <w:sz w:val="20"/>
                <w:szCs w:val="20"/>
                <w:color w:val="auto"/>
              </w:rPr>
            </w:pPr>
            <w:r>
              <w:rPr>
                <w:rFonts w:ascii="Arial" w:cs="Arial" w:eastAsia="Arial" w:hAnsi="Arial"/>
                <w:sz w:val="21"/>
                <w:szCs w:val="21"/>
                <w:color w:val="auto"/>
              </w:rPr>
              <w:t>KTT CORE, Inc.</w:t>
            </w:r>
          </w:p>
        </w:tc>
        <w:tc>
          <w:tcPr>
            <w:tcW w:w="8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60"/>
              <w:spacing w:after="0" w:line="192" w:lineRule="exact"/>
              <w:rPr>
                <w:sz w:val="20"/>
                <w:szCs w:val="20"/>
                <w:color w:val="auto"/>
              </w:rPr>
            </w:pPr>
            <w:r>
              <w:rPr>
                <w:rFonts w:ascii="Arial" w:cs="Arial" w:eastAsia="Arial" w:hAnsi="Arial"/>
                <w:sz w:val="21"/>
                <w:szCs w:val="21"/>
                <w:color w:val="auto"/>
              </w:rPr>
              <w:t>8,431.33 shares Class A Capital Stock</w:t>
            </w:r>
          </w:p>
        </w:tc>
      </w:tr>
      <w:tr>
        <w:trPr>
          <w:trHeight w:val="265"/>
        </w:trPr>
        <w:tc>
          <w:tcPr>
            <w:tcW w:w="4760" w:type="dxa"/>
            <w:vAlign w:val="bottom"/>
            <w:tcBorders>
              <w:left w:val="single" w:sz="8" w:color="auto"/>
              <w:bottom w:val="single" w:sz="8" w:color="auto"/>
            </w:tcBorders>
          </w:tcPr>
          <w:p>
            <w:pPr>
              <w:spacing w:after="0"/>
              <w:rPr>
                <w:sz w:val="23"/>
                <w:szCs w:val="23"/>
                <w:color w:val="auto"/>
              </w:rPr>
            </w:pPr>
          </w:p>
        </w:tc>
        <w:tc>
          <w:tcPr>
            <w:tcW w:w="880" w:type="dxa"/>
            <w:vAlign w:val="bottom"/>
            <w:tcBorders>
              <w:bottom w:val="single" w:sz="8" w:color="auto"/>
              <w:right w:val="single" w:sz="8" w:color="auto"/>
            </w:tcBorders>
          </w:tcPr>
          <w:p>
            <w:pPr>
              <w:spacing w:after="0"/>
              <w:rPr>
                <w:sz w:val="23"/>
                <w:szCs w:val="23"/>
                <w:color w:val="auto"/>
              </w:rPr>
            </w:pP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2,094.67 shares Class B Capital Stock</w:t>
            </w:r>
          </w:p>
        </w:tc>
      </w:tr>
      <w:tr>
        <w:trPr>
          <w:trHeight w:val="342"/>
        </w:trPr>
        <w:tc>
          <w:tcPr>
            <w:tcW w:w="47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r>
        <w:trPr>
          <w:trHeight w:val="251"/>
        </w:trPr>
        <w:tc>
          <w:tcPr>
            <w:tcW w:w="47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1"/>
                <w:szCs w:val="21"/>
                <w:b w:val="1"/>
                <w:bCs w:val="1"/>
                <w:color w:val="auto"/>
              </w:rPr>
              <w:t>Stockholder</w:t>
            </w:r>
          </w:p>
        </w:tc>
        <w:tc>
          <w:tcPr>
            <w:tcW w:w="880" w:type="dxa"/>
            <w:vAlign w:val="bottom"/>
            <w:tcBorders>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b w:val="1"/>
                <w:bCs w:val="1"/>
                <w:color w:val="auto"/>
              </w:rPr>
              <w:t>Shares of KTT CORE, Inc. Owned by Stockholder</w:t>
            </w:r>
          </w:p>
        </w:tc>
      </w:tr>
      <w:tr>
        <w:trPr>
          <w:trHeight w:val="251"/>
        </w:trPr>
        <w:tc>
          <w:tcPr>
            <w:tcW w:w="47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1"/>
                <w:szCs w:val="21"/>
                <w:color w:val="auto"/>
              </w:rPr>
              <w:t>Kratos Defense &amp; Security Solutions, Inc.</w:t>
            </w:r>
          </w:p>
        </w:tc>
        <w:tc>
          <w:tcPr>
            <w:tcW w:w="880" w:type="dxa"/>
            <w:vAlign w:val="bottom"/>
            <w:tcBorders>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8,431.33 shares Class A Capital Stock</w:t>
            </w:r>
          </w:p>
        </w:tc>
      </w:tr>
      <w:tr>
        <w:trPr>
          <w:trHeight w:val="251"/>
        </w:trPr>
        <w:tc>
          <w:tcPr>
            <w:tcW w:w="47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1"/>
                <w:szCs w:val="21"/>
                <w:color w:val="auto"/>
              </w:rPr>
              <w:t>Pegasus Residual, LLC</w:t>
            </w:r>
          </w:p>
        </w:tc>
        <w:tc>
          <w:tcPr>
            <w:tcW w:w="880" w:type="dxa"/>
            <w:vAlign w:val="bottom"/>
            <w:tcBorders>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2,094.67 shares Class B Capital Stock</w:t>
            </w:r>
          </w:p>
        </w:tc>
      </w:tr>
    </w:tbl>
    <w:p>
      <w:pPr>
        <w:sectPr>
          <w:pgSz w:w="11900" w:h="16838" w:orient="portrait"/>
          <w:cols w:equalWidth="0" w:num="1">
            <w:col w:w="11260"/>
          </w:cols>
          <w:pgMar w:left="320" w:top="100" w:right="3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7"/>
          <w:szCs w:val="17"/>
          <w:b w:val="1"/>
          <w:bCs w:val="1"/>
          <w:color w:val="auto"/>
        </w:rPr>
        <w:t>Exhibit 21.1</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4300" w:type="dxa"/>
            <w:vAlign w:val="bottom"/>
          </w:tcPr>
          <w:p>
            <w:pPr>
              <w:spacing w:after="0"/>
              <w:rPr>
                <w:sz w:val="19"/>
                <w:szCs w:val="19"/>
                <w:color w:val="auto"/>
              </w:rPr>
            </w:pPr>
          </w:p>
        </w:tc>
        <w:tc>
          <w:tcPr>
            <w:tcW w:w="6420" w:type="dxa"/>
            <w:vAlign w:val="bottom"/>
            <w:gridSpan w:val="2"/>
          </w:tcPr>
          <w:p>
            <w:pPr>
              <w:ind w:left="340"/>
              <w:spacing w:after="0"/>
              <w:rPr>
                <w:sz w:val="20"/>
                <w:szCs w:val="20"/>
                <w:color w:val="auto"/>
              </w:rPr>
            </w:pPr>
            <w:r>
              <w:rPr>
                <w:rFonts w:ascii="Arial" w:cs="Arial" w:eastAsia="Arial" w:hAnsi="Arial"/>
                <w:sz w:val="17"/>
                <w:szCs w:val="17"/>
                <w:b w:val="1"/>
                <w:bCs w:val="1"/>
                <w:color w:val="auto"/>
              </w:rPr>
              <w:t>List of Subsidiaries</w:t>
            </w:r>
          </w:p>
        </w:tc>
      </w:tr>
      <w:tr>
        <w:trPr>
          <w:trHeight w:val="620"/>
        </w:trPr>
        <w:tc>
          <w:tcPr>
            <w:tcW w:w="4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5-D Systems, Inc.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Texas</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Ai Metrix, Inc.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Avtec Systems, Inc.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Virginia</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BSC Partners, LLC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New York</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Carlsbad ISI, Inc.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Maryland</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Charleston Marine Containers, Inc.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Consolidated Turbine Specialists, LLC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Oklahoma</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Consolidated Turbine Specialists Canada, LLP</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Canada</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Consolidated Turbine Specialists Canada, Ltd.</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Canada</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CTT Inc.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California</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Dallastown Realty I, LLC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Dallastown Realty II, LLC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DEI Services Corporation</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Florida</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DFI Realty, LLC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Florida</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Digital Fusion Solutions, Inc.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Florida</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Digital Fusion, Inc.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DTI Associates, Inc.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Virginia</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Elwood Investments, LLC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Florida</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Florida Turbine PR, LLC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Puerto Rico</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Florida Turbine Technologies, Inc.*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Florida</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FTT America, LLC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FTT UK Limited</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United Kingdom</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FTT Deutschland GmbH</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Germany</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General Microwave Israel (1987) Ltd.</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Israel</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General Microwave Israel Corporation</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General Microwave Corporation</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New York</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Gichner Systems Group, Inc.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Gichner Systems International, Inc.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Haverstick Consulting, Inc.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Indiana</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Haverstick Government Solutions, Inc.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Ohio</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HGS Holdings, Inc.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Indiana</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Kratos Antenna Holdings Division, Inc.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Kratos Antenna Solutions Corporation</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Kratos Antenna Solutions Global Corporation</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w w:val="99"/>
              </w:rPr>
              <w:t>Kratos Antenna Solutions International Corporation</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Kratos Antenna Solutions Canada Corporation</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Canada</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Kratos Arabia, Ltd.</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Saudi Arabia</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Kratos Communications, Inc.</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Kratos Communications Ltd.</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United Kingdom</w:t>
            </w:r>
          </w:p>
        </w:tc>
      </w:tr>
      <w:tr>
        <w:trPr>
          <w:trHeight w:val="225"/>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Kratos Communications S.A.S.</w:t>
            </w:r>
          </w:p>
        </w:tc>
        <w:tc>
          <w:tcPr>
            <w:tcW w:w="1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France</w:t>
            </w:r>
          </w:p>
        </w:tc>
      </w:tr>
    </w:tbl>
    <w:p>
      <w:pPr>
        <w:sectPr>
          <w:pgSz w:w="11900" w:h="16838" w:orient="portrait"/>
          <w:cols w:equalWidth="0" w:num="1">
            <w:col w:w="10960"/>
          </w:cols>
          <w:pgMar w:left="600" w:top="869" w:right="339" w:bottom="1440" w:gutter="0" w:footer="0" w:header="0"/>
        </w:sectPr>
      </w:pPr>
    </w:p>
    <w:bookmarkStart w:id="162" w:name="page163"/>
    <w:bookmarkEnd w:id="162"/>
    <w:p>
      <w:pPr>
        <w:spacing w:after="0" w:line="1" w:lineRule="exact"/>
        <w:rPr>
          <w:sz w:val="20"/>
          <w:szCs w:val="20"/>
          <w:color w:val="auto"/>
        </w:rPr>
      </w:pPr>
    </w:p>
    <w:tbl>
      <w:tblPr>
        <w:tblLayout w:type="fixed"/>
        <w:tblInd w:w="287" w:type="dxa"/>
        <w:tblCellMar>
          <w:top w:w="0" w:type="dxa"/>
          <w:left w:w="0" w:type="dxa"/>
          <w:bottom w:w="0" w:type="dxa"/>
          <w:right w:w="0" w:type="dxa"/>
        </w:tblCellMar>
      </w:tblPr>
      <w:tr>
        <w:trPr>
          <w:trHeight w:val="245"/>
        </w:trPr>
        <w:tc>
          <w:tcPr>
            <w:tcW w:w="59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Kratos Communications Japan, Inc.</w:t>
            </w:r>
          </w:p>
        </w:tc>
        <w:tc>
          <w:tcPr>
            <w:tcW w:w="47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9"/>
                <w:szCs w:val="19"/>
                <w:color w:val="auto"/>
              </w:rPr>
              <w:t>Japan</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Kratos Defence (Australia) Pty Limited</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Australia</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Kratos Defense &amp; Rocket Support Services,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Kratos Holdings UK Ltd.</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United Kingdom</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Kratos Integral Holdings, LLC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Maryland</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Kratos Integral Systems International,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California</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Kratos GMI Eyal Ltd.</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Israel</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Kratos Norway AS</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Norway</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Kratos RT Logic,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Colorado</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Kratos Technology &amp; Training Solutions,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California</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Kratos Unmanned Aerial Systems,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California</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Kratos Unmanned Systems Solutions,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Kratos Space &amp; Missile Defense Systems,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Kratos SRE,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Kratos Systems and Solutions,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Virginia</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KTT CORE,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LVDM,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Nevada</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Madison Research Corporation</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Alabama</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Micro Systems,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Florida</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MSI Acquisition Corp.</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Optimized Performance Machining,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Pennsylvania</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Polexis,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California</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Reality Based IT Services Ltd.</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Maryland</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Rocket Support Services, LLC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Indiana</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S &amp; J Design, LLC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SAT Corporation</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California</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SCT Acquisition, LLC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SCT Real Estate, LLC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SecureInfo Corporation</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Shadow I,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California</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Shadow II,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California</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Summit Research Corporation</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Alabama</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Technical Directions,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Michigan</w:t>
            </w:r>
          </w:p>
        </w:tc>
      </w:tr>
      <w:tr>
        <w:trPr>
          <w:trHeight w:val="22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Turbine Export,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Florida</w:t>
            </w:r>
          </w:p>
        </w:tc>
      </w:tr>
    </w:tbl>
    <w:p>
      <w:pPr>
        <w:spacing w:after="0" w:line="200" w:lineRule="exact"/>
        <w:rPr>
          <w:sz w:val="20"/>
          <w:szCs w:val="20"/>
          <w:color w:val="auto"/>
        </w:rPr>
      </w:pPr>
    </w:p>
    <w:p>
      <w:pPr>
        <w:spacing w:after="0" w:line="381" w:lineRule="exact"/>
        <w:rPr>
          <w:sz w:val="20"/>
          <w:szCs w:val="20"/>
          <w:color w:val="auto"/>
        </w:rPr>
      </w:pPr>
    </w:p>
    <w:p>
      <w:pPr>
        <w:ind w:left="137" w:hanging="137"/>
        <w:spacing w:after="0"/>
        <w:tabs>
          <w:tab w:leader="none" w:pos="137" w:val="left"/>
        </w:tabs>
        <w:numPr>
          <w:ilvl w:val="0"/>
          <w:numId w:val="90"/>
        </w:numPr>
        <w:rPr>
          <w:rFonts w:ascii="Arial" w:cs="Arial" w:eastAsia="Arial" w:hAnsi="Arial"/>
          <w:sz w:val="17"/>
          <w:szCs w:val="17"/>
          <w:b w:val="1"/>
          <w:bCs w:val="1"/>
          <w:color w:val="auto"/>
        </w:rPr>
      </w:pPr>
      <w:r>
        <w:rPr>
          <w:rFonts w:ascii="Arial" w:cs="Arial" w:eastAsia="Arial" w:hAnsi="Arial"/>
          <w:sz w:val="17"/>
          <w:szCs w:val="17"/>
          <w:color w:val="auto"/>
        </w:rPr>
        <w:t>80.1% owned by Kratos Defense &amp; Security Solutions, Inc.</w:t>
      </w:r>
    </w:p>
    <w:p>
      <w:pPr>
        <w:sectPr>
          <w:pgSz w:w="11900" w:h="16838" w:orient="portrait"/>
          <w:cols w:equalWidth="0" w:num="1">
            <w:col w:w="10997"/>
          </w:cols>
          <w:pgMar w:left="323" w:top="880" w:right="579" w:bottom="1440" w:gutter="0" w:footer="0" w:header="0"/>
        </w:sectPr>
      </w:pPr>
    </w:p>
    <w:bookmarkStart w:id="163" w:name="page164"/>
    <w:bookmarkEnd w:id="163"/>
    <w:p>
      <w:pPr>
        <w:jc w:val="right"/>
        <w:spacing w:after="0"/>
        <w:rPr>
          <w:sz w:val="20"/>
          <w:szCs w:val="20"/>
          <w:color w:val="auto"/>
        </w:rPr>
      </w:pPr>
      <w:r>
        <w:rPr>
          <w:rFonts w:ascii="Arial" w:cs="Arial" w:eastAsia="Arial" w:hAnsi="Arial"/>
          <w:sz w:val="17"/>
          <w:szCs w:val="17"/>
          <w:b w:val="1"/>
          <w:bCs w:val="1"/>
          <w:color w:val="747678"/>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6"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We consent to the incorporation by reference in Registration Statement Nos. 333-53014, 333-71618, 333-74108, 333-161340, 333-172103, 333-252921, and 333-252914 on Form S-3; Registration Statement Nos. 333-150165, 333-155604, 333-167840, 333-174745, 333-174760, 333-177493, and 333-198265 on Form S-4; and Registration Statement Nos. 333-90455, 333-54818, 333-71702, 333-91852, 333-116903, 333-124957, 333-127060, 333-155317, 333-157826, 333-167839, 333-171257, 333-173383, 333-177494, 333-179977, 333-182910, 333-191156, 333-198268, 333-206620, 333-219595, and 333-240343 on Form S -8 of our report dated February 22, 2022, relating to the financial statements of Kratos Defense &amp; Security Solutions, Inc. and subsidiaries, and the effectiveness of Kratos Defense</w:t>
      </w:r>
    </w:p>
    <w:p>
      <w:pPr>
        <w:ind w:right="120" w:firstLine="3"/>
        <w:spacing w:after="0" w:line="235" w:lineRule="auto"/>
        <w:tabs>
          <w:tab w:leader="none" w:pos="177" w:val="left"/>
        </w:tabs>
        <w:numPr>
          <w:ilvl w:val="0"/>
          <w:numId w:val="91"/>
        </w:numPr>
        <w:rPr>
          <w:rFonts w:ascii="Arial" w:cs="Arial" w:eastAsia="Arial" w:hAnsi="Arial"/>
          <w:sz w:val="17"/>
          <w:szCs w:val="17"/>
          <w:color w:val="auto"/>
        </w:rPr>
      </w:pPr>
      <w:r>
        <w:rPr>
          <w:rFonts w:ascii="Arial" w:cs="Arial" w:eastAsia="Arial" w:hAnsi="Arial"/>
          <w:sz w:val="17"/>
          <w:szCs w:val="17"/>
          <w:color w:val="auto"/>
        </w:rPr>
        <w:t>Security Solutions, Inc. and subsidiaries’ internal control over financial reporting appearing in this Annual Report on Form 10-K of Kratos Defense &amp; Security Solutions, Inc. for the fiscal year ended December 26,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 </w:t>
      </w:r>
      <w:r>
        <w:rPr>
          <w:rFonts w:ascii="Arial" w:cs="Arial" w:eastAsia="Arial" w:hAnsi="Arial"/>
          <w:sz w:val="17"/>
          <w:szCs w:val="17"/>
          <w:color w:val="auto"/>
        </w:rPr>
        <w:t>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San Diego, California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22, 2022</w:t>
      </w:r>
    </w:p>
    <w:p>
      <w:pPr>
        <w:sectPr>
          <w:pgSz w:w="11900" w:h="16838" w:orient="portrait"/>
          <w:cols w:equalWidth="0" w:num="1">
            <w:col w:w="11240"/>
          </w:cols>
          <w:pgMar w:left="320" w:top="121"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5"/>
          <w:szCs w:val="15"/>
          <w:b w:val="1"/>
          <w:bCs w:val="1"/>
          <w:color w:val="auto"/>
        </w:rPr>
        <w:t>EXHIBIT 31.1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PRINCIPAL EXECUTIVE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I, Eric M. DeMarco, certify that:</w:t>
      </w:r>
    </w:p>
    <w:p>
      <w:pPr>
        <w:spacing w:after="0" w:line="188" w:lineRule="exact"/>
        <w:rPr>
          <w:sz w:val="20"/>
          <w:szCs w:val="20"/>
          <w:color w:val="auto"/>
        </w:rPr>
      </w:pPr>
    </w:p>
    <w:p>
      <w:pPr>
        <w:ind w:left="620" w:hanging="617"/>
        <w:spacing w:after="0"/>
        <w:tabs>
          <w:tab w:leader="none" w:pos="6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Kratos Defense &amp; Security Solutions, Inc.;</w:t>
      </w:r>
    </w:p>
    <w:p>
      <w:pPr>
        <w:spacing w:after="0" w:line="20" w:lineRule="exact"/>
        <w:rPr>
          <w:rFonts w:ascii="Arial" w:cs="Arial" w:eastAsia="Arial" w:hAnsi="Arial"/>
          <w:sz w:val="15"/>
          <w:szCs w:val="15"/>
          <w:color w:val="auto"/>
        </w:rPr>
      </w:pPr>
    </w:p>
    <w:p>
      <w:pPr>
        <w:ind w:left="620" w:right="40" w:hanging="617"/>
        <w:spacing w:after="0" w:line="251" w:lineRule="auto"/>
        <w:tabs>
          <w:tab w:leader="none" w:pos="6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right="340" w:hanging="617"/>
        <w:spacing w:after="0" w:line="251" w:lineRule="auto"/>
        <w:tabs>
          <w:tab w:leader="none" w:pos="6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20" w:hanging="617"/>
        <w:spacing w:after="0" w:line="303" w:lineRule="auto"/>
        <w:tabs>
          <w:tab w:leader="none" w:pos="6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4"/>
          <w:szCs w:val="14"/>
          <w:color w:val="auto"/>
        </w:rPr>
      </w:pPr>
    </w:p>
    <w:p>
      <w:pPr>
        <w:ind w:left="1240" w:right="60" w:hanging="618"/>
        <w:spacing w:after="0" w:line="256" w:lineRule="auto"/>
        <w:tabs>
          <w:tab w:leader="none" w:pos="1231" w:val="left"/>
        </w:tabs>
        <w:numPr>
          <w:ilvl w:val="1"/>
          <w:numId w:val="9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ind w:left="1240" w:hanging="618"/>
        <w:spacing w:after="0" w:line="251" w:lineRule="auto"/>
        <w:tabs>
          <w:tab w:leader="none" w:pos="1240" w:val="left"/>
        </w:tabs>
        <w:numPr>
          <w:ilvl w:val="1"/>
          <w:numId w:val="92"/>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right="420" w:hanging="618"/>
        <w:spacing w:after="0" w:line="251" w:lineRule="auto"/>
        <w:tabs>
          <w:tab w:leader="none" w:pos="1231" w:val="left"/>
        </w:tabs>
        <w:numPr>
          <w:ilvl w:val="1"/>
          <w:numId w:val="9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40" w:right="40" w:hanging="618"/>
        <w:spacing w:after="0" w:line="259" w:lineRule="auto"/>
        <w:tabs>
          <w:tab w:leader="none" w:pos="1278" w:val="left"/>
        </w:tabs>
        <w:numPr>
          <w:ilvl w:val="1"/>
          <w:numId w:val="9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5"/>
          <w:szCs w:val="15"/>
          <w:color w:val="auto"/>
        </w:rPr>
      </w:pPr>
    </w:p>
    <w:p>
      <w:pPr>
        <w:ind w:left="620" w:right="100" w:hanging="617"/>
        <w:spacing w:after="0" w:line="283" w:lineRule="auto"/>
        <w:tabs>
          <w:tab w:leader="none" w:pos="6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5"/>
          <w:szCs w:val="15"/>
          <w:color w:val="auto"/>
        </w:rPr>
      </w:pPr>
    </w:p>
    <w:p>
      <w:pPr>
        <w:ind w:left="1240" w:right="600" w:hanging="618"/>
        <w:spacing w:after="0" w:line="259" w:lineRule="auto"/>
        <w:tabs>
          <w:tab w:leader="none" w:pos="1231" w:val="left"/>
        </w:tabs>
        <w:numPr>
          <w:ilvl w:val="1"/>
          <w:numId w:val="9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right="200" w:hanging="618"/>
        <w:spacing w:after="0" w:line="266" w:lineRule="auto"/>
        <w:tabs>
          <w:tab w:leader="none" w:pos="1240" w:val="left"/>
        </w:tabs>
        <w:numPr>
          <w:ilvl w:val="1"/>
          <w:numId w:val="92"/>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22, 2022</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KRATOS DEFENSE &amp; SECURITY SOLUTIONS, INC.</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18415</wp:posOffset>
            </wp:positionV>
            <wp:extent cx="34626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Eric M. DeMarco</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auto"/>
        </w:rPr>
        <w:t>Chief Executive Officer, President</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40"/>
          </w:cols>
          <w:pgMar w:left="320" w:top="860"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5"/>
          <w:szCs w:val="15"/>
          <w:b w:val="1"/>
          <w:bCs w:val="1"/>
          <w:color w:val="auto"/>
        </w:rPr>
        <w:t>EXHIBIT 31.2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PRINCIPAL FINANCIAL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I, Deanna H. Lund, certify that:</w:t>
      </w:r>
    </w:p>
    <w:p>
      <w:pPr>
        <w:spacing w:after="0" w:line="201" w:lineRule="exact"/>
        <w:rPr>
          <w:sz w:val="20"/>
          <w:szCs w:val="20"/>
          <w:color w:val="auto"/>
        </w:rPr>
      </w:pPr>
    </w:p>
    <w:p>
      <w:pPr>
        <w:ind w:left="620" w:hanging="617"/>
        <w:spacing w:after="0"/>
        <w:tabs>
          <w:tab w:leader="none" w:pos="620" w:val="left"/>
        </w:tabs>
        <w:numPr>
          <w:ilvl w:val="0"/>
          <w:numId w:val="93"/>
        </w:numPr>
        <w:rPr>
          <w:rFonts w:ascii="Arial" w:cs="Arial" w:eastAsia="Arial" w:hAnsi="Arial"/>
          <w:sz w:val="17"/>
          <w:szCs w:val="17"/>
          <w:color w:val="auto"/>
        </w:rPr>
      </w:pPr>
      <w:r>
        <w:rPr>
          <w:rFonts w:ascii="Arial" w:cs="Arial" w:eastAsia="Arial" w:hAnsi="Arial"/>
          <w:sz w:val="15"/>
          <w:szCs w:val="15"/>
          <w:color w:val="auto"/>
        </w:rPr>
        <w:t>I have reviewed this Annual report on Form 10-K of Kratos Defense &amp; Security Solutions, Inc.;</w:t>
      </w:r>
    </w:p>
    <w:p>
      <w:pPr>
        <w:spacing w:after="0" w:line="10" w:lineRule="exact"/>
        <w:rPr>
          <w:rFonts w:ascii="Arial" w:cs="Arial" w:eastAsia="Arial" w:hAnsi="Arial"/>
          <w:sz w:val="17"/>
          <w:szCs w:val="17"/>
          <w:color w:val="auto"/>
        </w:rPr>
      </w:pPr>
    </w:p>
    <w:p>
      <w:pPr>
        <w:ind w:left="620" w:right="40" w:hanging="617"/>
        <w:spacing w:after="0" w:line="253" w:lineRule="auto"/>
        <w:tabs>
          <w:tab w:leader="none" w:pos="620" w:val="left"/>
        </w:tabs>
        <w:numPr>
          <w:ilvl w:val="0"/>
          <w:numId w:val="93"/>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7"/>
          <w:szCs w:val="17"/>
          <w:color w:val="auto"/>
        </w:rPr>
      </w:pPr>
    </w:p>
    <w:p>
      <w:pPr>
        <w:ind w:left="620" w:right="340" w:hanging="617"/>
        <w:spacing w:after="0" w:line="252" w:lineRule="auto"/>
        <w:tabs>
          <w:tab w:leader="none" w:pos="620" w:val="left"/>
        </w:tabs>
        <w:numPr>
          <w:ilvl w:val="0"/>
          <w:numId w:val="93"/>
        </w:numPr>
        <w:rPr>
          <w:rFonts w:ascii="Arial" w:cs="Arial" w:eastAsia="Arial" w:hAnsi="Arial"/>
          <w:sz w:val="17"/>
          <w:szCs w:val="17"/>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20" w:hanging="617"/>
        <w:spacing w:after="0" w:line="319" w:lineRule="auto"/>
        <w:tabs>
          <w:tab w:leader="none" w:pos="620" w:val="left"/>
        </w:tabs>
        <w:numPr>
          <w:ilvl w:val="0"/>
          <w:numId w:val="93"/>
        </w:numPr>
        <w:rPr>
          <w:rFonts w:ascii="Arial" w:cs="Arial" w:eastAsia="Arial" w:hAnsi="Arial"/>
          <w:sz w:val="15"/>
          <w:szCs w:val="15"/>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5"/>
          <w:szCs w:val="15"/>
          <w:color w:val="auto"/>
        </w:rPr>
      </w:pPr>
    </w:p>
    <w:p>
      <w:pPr>
        <w:ind w:left="1240" w:right="60" w:hanging="618"/>
        <w:spacing w:after="0" w:line="252" w:lineRule="auto"/>
        <w:tabs>
          <w:tab w:leader="none" w:pos="1237" w:val="left"/>
        </w:tabs>
        <w:numPr>
          <w:ilvl w:val="1"/>
          <w:numId w:val="93"/>
        </w:numPr>
        <w:rPr>
          <w:rFonts w:ascii="Arial" w:cs="Arial" w:eastAsia="Arial" w:hAnsi="Arial"/>
          <w:sz w:val="17"/>
          <w:szCs w:val="17"/>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7"/>
          <w:szCs w:val="17"/>
          <w:color w:val="auto"/>
        </w:rPr>
      </w:pPr>
    </w:p>
    <w:p>
      <w:pPr>
        <w:ind w:left="1240" w:hanging="618"/>
        <w:spacing w:after="0" w:line="251" w:lineRule="auto"/>
        <w:tabs>
          <w:tab w:leader="none" w:pos="1234" w:val="left"/>
        </w:tabs>
        <w:numPr>
          <w:ilvl w:val="1"/>
          <w:numId w:val="93"/>
        </w:numPr>
        <w:rPr>
          <w:rFonts w:ascii="Arial" w:cs="Arial" w:eastAsia="Arial" w:hAnsi="Arial"/>
          <w:sz w:val="17"/>
          <w:szCs w:val="17"/>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7"/>
          <w:szCs w:val="17"/>
          <w:color w:val="auto"/>
        </w:rPr>
      </w:pPr>
    </w:p>
    <w:p>
      <w:pPr>
        <w:ind w:left="1240" w:right="420" w:hanging="618"/>
        <w:spacing w:after="0" w:line="252" w:lineRule="auto"/>
        <w:tabs>
          <w:tab w:leader="none" w:pos="1237" w:val="left"/>
        </w:tabs>
        <w:numPr>
          <w:ilvl w:val="1"/>
          <w:numId w:val="93"/>
        </w:numPr>
        <w:rPr>
          <w:rFonts w:ascii="Arial" w:cs="Arial" w:eastAsia="Arial" w:hAnsi="Arial"/>
          <w:sz w:val="17"/>
          <w:szCs w:val="17"/>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40" w:right="60" w:hanging="618"/>
        <w:spacing w:after="0" w:line="257" w:lineRule="auto"/>
        <w:tabs>
          <w:tab w:leader="none" w:pos="1273" w:val="left"/>
        </w:tabs>
        <w:numPr>
          <w:ilvl w:val="1"/>
          <w:numId w:val="93"/>
        </w:numPr>
        <w:rPr>
          <w:rFonts w:ascii="Arial" w:cs="Arial" w:eastAsia="Arial" w:hAnsi="Arial"/>
          <w:sz w:val="17"/>
          <w:szCs w:val="17"/>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7"/>
          <w:szCs w:val="17"/>
          <w:color w:val="auto"/>
        </w:rPr>
      </w:pPr>
    </w:p>
    <w:p>
      <w:pPr>
        <w:ind w:left="620" w:right="100" w:hanging="617"/>
        <w:spacing w:after="0" w:line="269" w:lineRule="auto"/>
        <w:tabs>
          <w:tab w:leader="none" w:pos="620" w:val="left"/>
        </w:tabs>
        <w:numPr>
          <w:ilvl w:val="0"/>
          <w:numId w:val="93"/>
        </w:numPr>
        <w:rPr>
          <w:rFonts w:ascii="Arial" w:cs="Arial" w:eastAsia="Arial" w:hAnsi="Arial"/>
          <w:sz w:val="17"/>
          <w:szCs w:val="17"/>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7"/>
          <w:szCs w:val="17"/>
          <w:color w:val="auto"/>
        </w:rPr>
      </w:pPr>
    </w:p>
    <w:p>
      <w:pPr>
        <w:ind w:left="1240" w:right="580" w:hanging="618"/>
        <w:spacing w:after="0" w:line="253" w:lineRule="auto"/>
        <w:tabs>
          <w:tab w:leader="none" w:pos="1237" w:val="left"/>
        </w:tabs>
        <w:numPr>
          <w:ilvl w:val="1"/>
          <w:numId w:val="93"/>
        </w:numPr>
        <w:rPr>
          <w:rFonts w:ascii="Arial" w:cs="Arial" w:eastAsia="Arial" w:hAnsi="Arial"/>
          <w:sz w:val="17"/>
          <w:szCs w:val="17"/>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40" w:right="220" w:hanging="618"/>
        <w:spacing w:after="0" w:line="266" w:lineRule="auto"/>
        <w:tabs>
          <w:tab w:leader="none" w:pos="1234" w:val="left"/>
        </w:tabs>
        <w:numPr>
          <w:ilvl w:val="1"/>
          <w:numId w:val="93"/>
        </w:numPr>
        <w:rPr>
          <w:rFonts w:ascii="Arial" w:cs="Arial" w:eastAsia="Arial" w:hAnsi="Arial"/>
          <w:sz w:val="17"/>
          <w:szCs w:val="17"/>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22, 2022</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KRATOS DEFENSE &amp; SECURITY SOLUTIONS, INC.</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18415</wp:posOffset>
            </wp:positionV>
            <wp:extent cx="34626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Deanna H. Lund</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auto"/>
        </w:rPr>
        <w:t>Executive Vice President, Chief Financial Officer</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auto"/>
        </w:rPr>
        <w:t>(Principal Financial Officer)</w:t>
      </w:r>
    </w:p>
    <w:p>
      <w:pPr>
        <w:sectPr>
          <w:pgSz w:w="11900" w:h="16838" w:orient="portrait"/>
          <w:cols w:equalWidth="0" w:num="1">
            <w:col w:w="11240"/>
          </w:cols>
          <w:pgMar w:left="320" w:top="861"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5"/>
          <w:szCs w:val="15"/>
          <w:b w:val="1"/>
          <w:bCs w:val="1"/>
          <w:color w:val="auto"/>
        </w:rPr>
        <w:t>EXHIBIT 32.1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SECTION 906 OF THE SARBANES-OXLEY ACT OF 2002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176" w:lineRule="exact"/>
        <w:rPr>
          <w:sz w:val="20"/>
          <w:szCs w:val="20"/>
          <w:color w:val="auto"/>
        </w:rPr>
      </w:pPr>
    </w:p>
    <w:p>
      <w:pPr>
        <w:ind w:right="80" w:firstLine="155"/>
        <w:spacing w:after="0" w:line="267" w:lineRule="auto"/>
        <w:rPr>
          <w:sz w:val="20"/>
          <w:szCs w:val="20"/>
          <w:color w:val="auto"/>
        </w:rPr>
      </w:pPr>
      <w:r>
        <w:rPr>
          <w:rFonts w:ascii="Arial" w:cs="Arial" w:eastAsia="Arial" w:hAnsi="Arial"/>
          <w:sz w:val="15"/>
          <w:szCs w:val="15"/>
          <w:color w:val="auto"/>
        </w:rPr>
        <w:t>In connection with the accompanying Annual Report of Kratos Defense &amp; Security Solutions, Inc. (the “Company”) on Form 10-K for the year ended December 26, 2021 (the “Report”), I, Eric M. DeMarco, Chief Executive Officer of the Company, certify, pursuant to 18 U.S.C. Section 1350, as adopted pursuant to Section 906 of the Sarbanes-Oxley Act of 2002, that:</w:t>
      </w:r>
    </w:p>
    <w:p>
      <w:pPr>
        <w:spacing w:after="0" w:line="146" w:lineRule="exact"/>
        <w:rPr>
          <w:sz w:val="20"/>
          <w:szCs w:val="20"/>
          <w:color w:val="auto"/>
        </w:rPr>
      </w:pPr>
    </w:p>
    <w:p>
      <w:pPr>
        <w:ind w:left="1240" w:hanging="618"/>
        <w:spacing w:after="0"/>
        <w:tabs>
          <w:tab w:leader="none" w:pos="12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20" w:lineRule="exact"/>
        <w:rPr>
          <w:rFonts w:ascii="Arial" w:cs="Arial" w:eastAsia="Arial" w:hAnsi="Arial"/>
          <w:sz w:val="15"/>
          <w:szCs w:val="15"/>
          <w:color w:val="auto"/>
        </w:rPr>
      </w:pPr>
    </w:p>
    <w:p>
      <w:pPr>
        <w:ind w:left="1280" w:hanging="658"/>
        <w:spacing w:after="0"/>
        <w:tabs>
          <w:tab w:leader="none" w:pos="128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22, 2022</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KRATOS DEFENSE &amp; SECURITY SOLUTIONS, INC.</w:t>
      </w:r>
    </w:p>
    <w:p>
      <w:pPr>
        <w:spacing w:after="0" w:line="317" w:lineRule="exact"/>
        <w:rPr>
          <w:sz w:val="20"/>
          <w:szCs w:val="20"/>
          <w:color w:val="auto"/>
        </w:rPr>
      </w:pPr>
    </w:p>
    <w:p>
      <w:pPr>
        <w:ind w:left="60"/>
        <w:spacing w:after="0"/>
        <w:rPr>
          <w:sz w:val="20"/>
          <w:szCs w:val="20"/>
          <w:color w:val="auto"/>
        </w:rPr>
      </w:pPr>
      <w:r>
        <w:rPr>
          <w:rFonts w:ascii="Arial" w:cs="Arial" w:eastAsia="Arial" w:hAnsi="Arial"/>
          <w:sz w:val="15"/>
          <w:szCs w:val="15"/>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18415</wp:posOffset>
            </wp:positionV>
            <wp:extent cx="35445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Arial" w:cs="Arial" w:eastAsia="Arial" w:hAnsi="Arial"/>
          <w:sz w:val="15"/>
          <w:szCs w:val="15"/>
          <w:color w:val="auto"/>
        </w:rPr>
        <w:t>Eric M. DeMarco</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5"/>
          <w:szCs w:val="15"/>
          <w:i w:val="1"/>
          <w:iCs w:val="1"/>
          <w:color w:val="auto"/>
        </w:rPr>
        <w:t>Chief Executive Officer, President</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40"/>
          </w:cols>
          <w:pgMar w:left="320" w:top="860"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5"/>
          <w:szCs w:val="15"/>
          <w:b w:val="1"/>
          <w:bCs w:val="1"/>
          <w:color w:val="auto"/>
        </w:rPr>
        <w:t>EXHIBIT 32.2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SECTION 906 OF THE SARBANES-OXLEY ACT OF 2002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176" w:lineRule="exact"/>
        <w:rPr>
          <w:sz w:val="20"/>
          <w:szCs w:val="20"/>
          <w:color w:val="auto"/>
        </w:rPr>
      </w:pPr>
    </w:p>
    <w:p>
      <w:pPr>
        <w:ind w:right="20" w:firstLine="155"/>
        <w:spacing w:after="0" w:line="267" w:lineRule="auto"/>
        <w:rPr>
          <w:sz w:val="20"/>
          <w:szCs w:val="20"/>
          <w:color w:val="auto"/>
        </w:rPr>
      </w:pPr>
      <w:r>
        <w:rPr>
          <w:rFonts w:ascii="Arial" w:cs="Arial" w:eastAsia="Arial" w:hAnsi="Arial"/>
          <w:sz w:val="15"/>
          <w:szCs w:val="15"/>
          <w:color w:val="auto"/>
        </w:rPr>
        <w:t>In connection with the accompanying Annual Report of Kratos Defense &amp; Security Solutions, Inc. (the “Company”) on Form 10-K for the year ended December 26, 2021 (the “Report”), I, Deanna H. Lund, Chief Financial Officer of the Company, certify, pursuant to 18 U.S.C. Section 1350, as adopted pursuant to Section 906 of the Sarbanes-Oxley Act of 2002, that:</w:t>
      </w:r>
    </w:p>
    <w:p>
      <w:pPr>
        <w:spacing w:after="0" w:line="146" w:lineRule="exact"/>
        <w:rPr>
          <w:sz w:val="20"/>
          <w:szCs w:val="20"/>
          <w:color w:val="auto"/>
        </w:rPr>
      </w:pPr>
    </w:p>
    <w:p>
      <w:pPr>
        <w:ind w:left="1240" w:hanging="618"/>
        <w:spacing w:after="0"/>
        <w:tabs>
          <w:tab w:leader="none" w:pos="12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20" w:lineRule="exact"/>
        <w:rPr>
          <w:rFonts w:ascii="Arial" w:cs="Arial" w:eastAsia="Arial" w:hAnsi="Arial"/>
          <w:sz w:val="15"/>
          <w:szCs w:val="15"/>
          <w:color w:val="auto"/>
        </w:rPr>
      </w:pPr>
    </w:p>
    <w:p>
      <w:pPr>
        <w:ind w:left="1280" w:hanging="658"/>
        <w:spacing w:after="0"/>
        <w:tabs>
          <w:tab w:leader="none" w:pos="12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22, 2022</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KRATOS DEFENSE &amp; SECURITY SOLUTIONS, INC.</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5"/>
          <w:szCs w:val="15"/>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18415</wp:posOffset>
            </wp:positionV>
            <wp:extent cx="35445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Arial" w:cs="Arial" w:eastAsia="Arial" w:hAnsi="Arial"/>
          <w:sz w:val="15"/>
          <w:szCs w:val="15"/>
          <w:color w:val="auto"/>
        </w:rPr>
        <w:t>Deanna H. Lund</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5"/>
          <w:szCs w:val="15"/>
          <w:i w:val="1"/>
          <w:iCs w:val="1"/>
          <w:color w:val="auto"/>
        </w:rPr>
        <w:t>Executive Vice President, Chief Financial Officer</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5"/>
          <w:szCs w:val="15"/>
          <w:i w:val="1"/>
          <w:iCs w:val="1"/>
          <w:color w:val="auto"/>
        </w:rPr>
        <w:t>(Principal Financial Officer)</w:t>
      </w:r>
    </w:p>
    <w:sectPr>
      <w:pgSz w:w="11900" w:h="16838" w:orient="portrait"/>
      <w:cols w:equalWidth="0" w:num="1">
        <w:col w:w="11240"/>
      </w:cols>
      <w:pgMar w:left="320" w:top="8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1)"/>
      <w:numFmt w:val="lowerLetter"/>
      <w:start w:val="3"/>
    </w:lvl>
  </w:abstractNum>
  <w:abstractNum w:abstractNumId="29">
    <w:nsid w:val="7E0C57B1"/>
    <w:multiLevelType w:val="hybridMultilevel"/>
    <w:lvl w:ilvl="0">
      <w:lvlJc w:val="left"/>
      <w:lvlText w:val="•"/>
      <w:numFmt w:val="bullet"/>
      <w:start w:val="1"/>
    </w:lvl>
    <w:lvl w:ilvl="1">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1)"/>
      <w:numFmt w:val="decimal"/>
      <w:start w:val="1"/>
    </w:lvl>
  </w:abstractNum>
  <w:abstractNum w:abstractNumId="32">
    <w:nsid w:val="310C50B3"/>
    <w:multiLevelType w:val="hybridMultilevel"/>
    <w:lvl w:ilvl="0">
      <w:lvlJc w:val="left"/>
      <w:lvlText w:val="1"/>
      <w:numFmt w:val="bullet"/>
      <w:start w:val="1"/>
    </w:lvl>
  </w:abstractNum>
  <w:abstractNum w:abstractNumId="33">
    <w:nsid w:val="5FF87E05"/>
    <w:multiLevelType w:val="hybridMultilevel"/>
    <w:lvl w:ilvl="0">
      <w:lvlJc w:val="left"/>
      <w:lvlText w:val="(%1)"/>
      <w:numFmt w:val="lowerLetter"/>
      <w:start w:val="1"/>
    </w:lvl>
  </w:abstractNum>
  <w:abstractNum w:abstractNumId="34">
    <w:nsid w:val="2F305DEF"/>
    <w:multiLevelType w:val="hybridMultilevel"/>
    <w:lvl w:ilvl="0">
      <w:lvlJc w:val="left"/>
      <w:lvlText w:val="(%1)"/>
      <w:numFmt w:val="lowerLetter"/>
      <w:start w:val="1"/>
    </w:lvl>
  </w:abstractNum>
  <w:abstractNum w:abstractNumId="35">
    <w:nsid w:val="25A70BF7"/>
    <w:multiLevelType w:val="hybridMultilevel"/>
    <w:lvl w:ilvl="0">
      <w:lvlJc w:val="left"/>
      <w:lvlText w:val="(%1)"/>
      <w:numFmt w:val="lowerLetter"/>
      <w:start w:val="1"/>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1)"/>
      <w:numFmt w:val="decimal"/>
      <w:start w:val="1"/>
    </w:lvl>
  </w:abstractNum>
  <w:abstractNum w:abstractNumId="38">
    <w:nsid w:val="1F48EAA1"/>
    <w:multiLevelType w:val="hybridMultilevel"/>
    <w:lvl w:ilvl="0">
      <w:lvlJc w:val="left"/>
      <w:lvlText w:val="%1"/>
      <w:numFmt w:val="lowerLetter"/>
      <w:start w:val="1"/>
    </w:lvl>
    <w:lvl w:ilvl="1">
      <w:lvlJc w:val="left"/>
      <w:lvlText w:val="(%2)"/>
      <w:numFmt w:val="lowerLetter"/>
      <w:start w:val="1"/>
    </w:lvl>
  </w:abstractNum>
  <w:abstractNum w:abstractNumId="39">
    <w:nsid w:val="1381823A"/>
    <w:multiLevelType w:val="hybridMultilevel"/>
    <w:lvl w:ilvl="0">
      <w:lvlJc w:val="left"/>
      <w:lvlText w:val="(%1)"/>
      <w:numFmt w:val="lowerLetter"/>
      <w:start w:val="1"/>
    </w:lvl>
    <w:lvl w:ilvl="1">
      <w:lvlJc w:val="left"/>
      <w:lvlText w:val="(%2)"/>
      <w:numFmt w:val="lowerLetter"/>
      <w:start w:val="2"/>
    </w:lvl>
  </w:abstractNum>
  <w:abstractNum w:abstractNumId="40">
    <w:nsid w:val="5DB70AE5"/>
    <w:multiLevelType w:val="hybridMultilevel"/>
    <w:lvl w:ilvl="0">
      <w:lvlJc w:val="left"/>
      <w:lvlText w:val="%1"/>
      <w:numFmt w:val="lowerLetter"/>
      <w:start w:val="1"/>
    </w:lvl>
    <w:lvl w:ilvl="1">
      <w:lvlJc w:val="left"/>
      <w:lvlText w:val="(%2)"/>
      <w:numFmt w:val="lowerLetter"/>
      <w:start w:val="1"/>
    </w:lvl>
  </w:abstractNum>
  <w:abstractNum w:abstractNumId="41">
    <w:nsid w:val="100F8FCA"/>
    <w:multiLevelType w:val="hybridMultilevel"/>
    <w:lvl w:ilvl="0">
      <w:lvlJc w:val="left"/>
      <w:lvlText w:val="(%1)"/>
      <w:numFmt w:val="lowerLetter"/>
      <w:start w:val="35"/>
    </w:lvl>
    <w:lvl w:ilvl="1">
      <w:lvlJc w:val="left"/>
      <w:lvlText w:val="%2"/>
      <w:numFmt w:val="lowerLetter"/>
      <w:start w:val="1"/>
    </w:lvl>
  </w:abstractNum>
  <w:abstractNum w:abstractNumId="42">
    <w:nsid w:val="6590700B"/>
    <w:multiLevelType w:val="hybridMultilevel"/>
    <w:lvl w:ilvl="0">
      <w:lvlJc w:val="left"/>
      <w:lvlText w:val="(%1)"/>
      <w:numFmt w:val="lowerLetter"/>
      <w:start w:val="1"/>
    </w:lvl>
    <w:lvl w:ilvl="1">
      <w:lvlJc w:val="left"/>
      <w:lvlText w:val="(%2)"/>
      <w:numFmt w:val="lowerRoman"/>
      <w:start w:val="1"/>
    </w:lvl>
  </w:abstractNum>
  <w:abstractNum w:abstractNumId="43">
    <w:nsid w:val="15014ACB"/>
    <w:multiLevelType w:val="hybridMultilevel"/>
    <w:lvl w:ilvl="0">
      <w:lvlJc w:val="left"/>
      <w:lvlText w:val="%1"/>
      <w:numFmt w:val="lowerLetter"/>
      <w:start w:val="1"/>
    </w:lvl>
    <w:lvl w:ilvl="1">
      <w:lvlJc w:val="left"/>
      <w:lvlText w:val="(%2)"/>
      <w:numFmt w:val="lowerRoman"/>
      <w:start w:val="5"/>
    </w:lvl>
  </w:abstractNum>
  <w:abstractNum w:abstractNumId="44">
    <w:nsid w:val="5F5E7FD0"/>
    <w:multiLevelType w:val="hybridMultilevel"/>
    <w:lvl w:ilvl="0">
      <w:lvlJc w:val="left"/>
      <w:lvlText w:val="(%1)"/>
      <w:numFmt w:val="lowerLetter"/>
      <w:start w:val="2"/>
    </w:lvl>
    <w:lvl w:ilvl="1">
      <w:lvlJc w:val="left"/>
      <w:lvlText w:val="(%2)"/>
      <w:numFmt w:val="lowerRoman"/>
      <w:start w:val="1"/>
    </w:lvl>
  </w:abstractNum>
  <w:abstractNum w:abstractNumId="45">
    <w:nsid w:val="98A314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4"/>
    </w:lvl>
  </w:abstractNum>
  <w:abstractNum w:abstractNumId="46">
    <w:nsid w:val="799D0247"/>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47">
    <w:nsid w:val="6B94764"/>
    <w:multiLevelType w:val="hybridMultilevel"/>
    <w:lvl w:ilvl="0">
      <w:lvlJc w:val="left"/>
      <w:lvlText w:val="(%1)"/>
      <w:numFmt w:val="lowerLetter"/>
      <w:start w:val="61"/>
    </w:lvl>
    <w:lvl w:ilvl="1">
      <w:lvlJc w:val="left"/>
      <w:lvlText w:val="(%2)"/>
      <w:numFmt w:val="lowerLetter"/>
      <w:start w:val="4"/>
    </w:lvl>
    <w:lvl w:ilvl="2">
      <w:lvlJc w:val="left"/>
      <w:lvlText w:val="%3"/>
      <w:numFmt w:val="lowerLetter"/>
      <w:start w:val="1"/>
    </w:lvl>
  </w:abstractNum>
  <w:abstractNum w:abstractNumId="48">
    <w:nsid w:val="42C296BD"/>
    <w:multiLevelType w:val="hybridMultilevel"/>
    <w:lvl w:ilvl="0">
      <w:lvlJc w:val="left"/>
      <w:lvlText w:val="%1"/>
      <w:numFmt w:val="lowerRoman"/>
      <w:start w:val="1"/>
    </w:lvl>
    <w:lvl w:ilvl="1">
      <w:lvlJc w:val="left"/>
      <w:lvlText w:val="(%2)"/>
      <w:numFmt w:val="lowerLetter"/>
      <w:start w:val="1"/>
    </w:lvl>
  </w:abstractNum>
  <w:abstractNum w:abstractNumId="49">
    <w:nsid w:val="168E121F"/>
    <w:multiLevelType w:val="hybridMultilevel"/>
    <w:lvl w:ilvl="0">
      <w:lvlJc w:val="left"/>
      <w:lvlText w:val="(%1)"/>
      <w:numFmt w:val="lowerRoman"/>
      <w:start w:val="4"/>
    </w:lvl>
    <w:lvl w:ilvl="1">
      <w:lvlJc w:val="left"/>
      <w:lvlText w:val="(%2)"/>
      <w:numFmt w:val="lowerLetter"/>
      <w:start w:val="2"/>
    </w:lvl>
  </w:abstractNum>
  <w:abstractNum w:abstractNumId="50">
    <w:nsid w:val="1EBA5D23"/>
    <w:multiLevelType w:val="hybridMultilevel"/>
    <w:lvl w:ilvl="0">
      <w:lvlJc w:val="left"/>
      <w:lvlText w:val="(%1)"/>
      <w:numFmt w:val="lowerLetter"/>
      <w:start w:val="1"/>
    </w:lvl>
  </w:abstractNum>
  <w:abstractNum w:abstractNumId="51">
    <w:nsid w:val="661E3F1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2">
    <w:nsid w:val="5DC79EA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4"/>
    </w:lvl>
  </w:abstractNum>
  <w:abstractNum w:abstractNumId="53">
    <w:nsid w:val="540A471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54">
    <w:nsid w:val="7BD3EE7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55">
    <w:nsid w:val="51D9C564"/>
    <w:multiLevelType w:val="hybridMultilevel"/>
    <w:lvl w:ilvl="0">
      <w:lvlJc w:val="left"/>
      <w:lvlText w:val="(%1)"/>
      <w:numFmt w:val="lowerLetter"/>
      <w:start w:val="61"/>
    </w:lvl>
    <w:lvl w:ilvl="1">
      <w:lvlJc w:val="left"/>
      <w:lvlText w:val="(%2)"/>
      <w:numFmt w:val="lowerLetter"/>
      <w:start w:val="3"/>
    </w:lvl>
    <w:lvl w:ilvl="2">
      <w:lvlJc w:val="left"/>
      <w:lvlText w:val="%3"/>
      <w:numFmt w:val="lowerLetter"/>
      <w:start w:val="1"/>
    </w:lvl>
    <w:lvl w:ilvl="3">
      <w:lvlJc w:val="left"/>
      <w:lvlText w:val="%4"/>
      <w:numFmt w:val="upperLetter"/>
      <w:start w:val="1"/>
    </w:lvl>
  </w:abstractNum>
  <w:abstractNum w:abstractNumId="56">
    <w:nsid w:val="613EFDC5"/>
    <w:multiLevelType w:val="hybridMultilevel"/>
    <w:lvl w:ilvl="0">
      <w:lvlJc w:val="left"/>
      <w:lvlText w:val="(%1)"/>
      <w:numFmt w:val="lowerLetter"/>
      <w:start w:val="4"/>
    </w:lvl>
  </w:abstractNum>
  <w:abstractNum w:abstractNumId="57">
    <w:nsid w:val="BF72B14"/>
    <w:multiLevelType w:val="hybridMultilevel"/>
    <w:lvl w:ilvl="0">
      <w:lvlJc w:val="left"/>
      <w:lvlText w:val="(%1)"/>
      <w:numFmt w:val="lowerLetter"/>
      <w:start w:val="1"/>
    </w:lvl>
  </w:abstractNum>
  <w:abstractNum w:abstractNumId="58">
    <w:nsid w:val="11447B73"/>
    <w:multiLevelType w:val="hybridMultilevel"/>
    <w:lvl w:ilvl="0">
      <w:lvlJc w:val="left"/>
      <w:lvlText w:val="(%1)"/>
      <w:numFmt w:val="decimal"/>
      <w:start w:val="10"/>
    </w:lvl>
  </w:abstractNum>
  <w:abstractNum w:abstractNumId="59">
    <w:nsid w:val="42963E5A"/>
    <w:multiLevelType w:val="hybridMultilevel"/>
    <w:lvl w:ilvl="0">
      <w:lvlJc w:val="left"/>
      <w:lvlText w:val="(%1)"/>
      <w:numFmt w:val="lowerLetter"/>
      <w:start w:val="3"/>
    </w:lvl>
  </w:abstractNum>
  <w:abstractNum w:abstractNumId="60">
    <w:nsid w:val="A0382C5"/>
    <w:multiLevelType w:val="hybridMultilevel"/>
    <w:lvl w:ilvl="0">
      <w:lvlJc w:val="left"/>
      <w:lvlText w:val="(%1)"/>
      <w:numFmt w:val="lowerLetter"/>
      <w:start w:val="1"/>
    </w:lvl>
  </w:abstractNum>
  <w:abstractNum w:abstractNumId="61">
    <w:nsid w:val="8F2B15E"/>
    <w:multiLevelType w:val="hybridMultilevel"/>
    <w:lvl w:ilvl="0">
      <w:lvlJc w:val="left"/>
      <w:lvlText w:val="(%1)"/>
      <w:numFmt w:val="lowerLetter"/>
      <w:start w:val="1"/>
    </w:lvl>
    <w:lvl w:ilvl="1">
      <w:lvlJc w:val="left"/>
      <w:lvlText w:val="(%2)"/>
      <w:numFmt w:val="lowerRoman"/>
      <w:start w:val="1"/>
    </w:lvl>
  </w:abstractNum>
  <w:abstractNum w:abstractNumId="62">
    <w:nsid w:val="1A32234B"/>
    <w:multiLevelType w:val="hybridMultilevel"/>
    <w:lvl w:ilvl="0">
      <w:lvlJc w:val="left"/>
      <w:lvlText w:val="(%1)"/>
      <w:numFmt w:val="lowerRoman"/>
      <w:start w:val="4"/>
    </w:lvl>
  </w:abstractNum>
  <w:abstractNum w:abstractNumId="63">
    <w:nsid w:val="3B0FD379"/>
    <w:multiLevelType w:val="hybridMultilevel"/>
    <w:lvl w:ilvl="0">
      <w:lvlJc w:val="left"/>
      <w:lvlText w:val="(%1)"/>
      <w:numFmt w:val="lowerLetter"/>
      <w:start w:val="1"/>
    </w:lvl>
  </w:abstractNum>
  <w:abstractNum w:abstractNumId="64">
    <w:nsid w:val="68EB2F63"/>
    <w:multiLevelType w:val="hybridMultilevel"/>
    <w:lvl w:ilvl="0">
      <w:lvlJc w:val="left"/>
      <w:lvlText w:val="(%1)"/>
      <w:numFmt w:val="lowerLetter"/>
      <w:start w:val="7"/>
    </w:lvl>
  </w:abstractNum>
  <w:abstractNum w:abstractNumId="65">
    <w:nsid w:val="4962813B"/>
    <w:multiLevelType w:val="hybridMultilevel"/>
    <w:lvl w:ilvl="0">
      <w:lvlJc w:val="left"/>
      <w:lvlText w:val="(%1)"/>
      <w:numFmt w:val="lowerLetter"/>
      <w:start w:val="1"/>
    </w:lvl>
  </w:abstractNum>
  <w:abstractNum w:abstractNumId="66">
    <w:nsid w:val="60B6DF70"/>
    <w:multiLevelType w:val="hybridMultilevel"/>
    <w:lvl w:ilvl="0">
      <w:lvlJc w:val="left"/>
      <w:lvlText w:val="(%1)"/>
      <w:numFmt w:val="lowerLetter"/>
      <w:start w:val="3"/>
    </w:lvl>
  </w:abstractNum>
  <w:abstractNum w:abstractNumId="67">
    <w:nsid w:val="6A5EE64"/>
    <w:multiLevelType w:val="hybridMultilevel"/>
    <w:lvl w:ilvl="0">
      <w:lvlJc w:val="left"/>
      <w:lvlText w:val="(%1)"/>
      <w:numFmt w:val="lowerLetter"/>
      <w:start w:val="8"/>
    </w:lvl>
  </w:abstractNum>
  <w:abstractNum w:abstractNumId="68">
    <w:nsid w:val="14330624"/>
    <w:multiLevelType w:val="hybridMultilevel"/>
    <w:lvl w:ilvl="0">
      <w:lvlJc w:val="left"/>
      <w:lvlText w:val="(%1)"/>
      <w:numFmt w:val="lowerLetter"/>
      <w:start w:val="1"/>
    </w:lvl>
  </w:abstractNum>
  <w:abstractNum w:abstractNumId="69">
    <w:nsid w:val="7FFFCA11"/>
    <w:multiLevelType w:val="hybridMultilevel"/>
    <w:lvl w:ilvl="0">
      <w:lvlJc w:val="left"/>
      <w:lvlText w:val="(%1)"/>
      <w:numFmt w:val="lowerLetter"/>
      <w:start w:val="2"/>
    </w:lvl>
  </w:abstractNum>
  <w:abstractNum w:abstractNumId="70">
    <w:nsid w:val="1A27709E"/>
    <w:multiLevelType w:val="hybridMultilevel"/>
    <w:lvl w:ilvl="0">
      <w:lvlJc w:val="left"/>
      <w:lvlText w:val="(%1)"/>
      <w:numFmt w:val="lowerRoman"/>
      <w:start w:val="1"/>
    </w:lvl>
    <w:lvl w:ilvl="1">
      <w:lvlJc w:val="left"/>
      <w:lvlText w:val="(%2)"/>
      <w:numFmt w:val="upperLetter"/>
      <w:start w:val="1"/>
    </w:lvl>
  </w:abstractNum>
  <w:abstractNum w:abstractNumId="71">
    <w:nsid w:val="71EA1109"/>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72">
    <w:nsid w:val="100F59DC"/>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73">
    <w:nsid w:val="7FB7E0AA"/>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74">
    <w:nsid w:val="6EB5BD4"/>
    <w:multiLevelType w:val="hybridMultilevel"/>
    <w:lvl w:ilvl="0">
      <w:lvlJc w:val="left"/>
      <w:lvlText w:val="(%1)"/>
      <w:numFmt w:val="lowerRoman"/>
      <w:start w:val="5"/>
    </w:lvl>
  </w:abstractNum>
  <w:abstractNum w:abstractNumId="75">
    <w:nsid w:val="6F6DD9AC"/>
    <w:multiLevelType w:val="hybridMultilevel"/>
    <w:lvl w:ilvl="0">
      <w:lvlJc w:val="left"/>
      <w:lvlText w:val="(%1)"/>
      <w:numFmt w:val="lowerLetter"/>
      <w:start w:val="2"/>
    </w:lvl>
  </w:abstractNum>
  <w:abstractNum w:abstractNumId="76">
    <w:nsid w:val="94211F2"/>
    <w:multiLevelType w:val="hybridMultilevel"/>
    <w:lvl w:ilvl="0">
      <w:lvlJc w:val="left"/>
      <w:lvlText w:val="(%1)"/>
      <w:numFmt w:val="lowerLetter"/>
      <w:start w:val="1"/>
    </w:lvl>
  </w:abstractNum>
  <w:abstractNum w:abstractNumId="77">
    <w:nsid w:val="885E1B"/>
    <w:multiLevelType w:val="hybridMultilevel"/>
    <w:lvl w:ilvl="0">
      <w:lvlJc w:val="left"/>
      <w:lvlText w:val="(%1)"/>
      <w:numFmt w:val="lowerLetter"/>
      <w:start w:val="3"/>
    </w:lvl>
  </w:abstractNum>
  <w:abstractNum w:abstractNumId="78">
    <w:nsid w:val="76272110"/>
    <w:multiLevelType w:val="hybridMultilevel"/>
    <w:lvl w:ilvl="0">
      <w:lvlJc w:val="left"/>
      <w:lvlText w:val="(%1)"/>
      <w:numFmt w:val="lowerLetter"/>
      <w:start w:val="1"/>
    </w:lvl>
  </w:abstractNum>
  <w:abstractNum w:abstractNumId="79">
    <w:nsid w:val="4C04A8AF"/>
    <w:multiLevelType w:val="hybridMultilevel"/>
    <w:lvl w:ilvl="0">
      <w:lvlJc w:val="left"/>
      <w:lvlText w:val="(%1)"/>
      <w:numFmt w:val="lowerLetter"/>
      <w:start w:val="1"/>
    </w:lvl>
  </w:abstractNum>
  <w:abstractNum w:abstractNumId="80">
    <w:nsid w:val="1716703B"/>
    <w:multiLevelType w:val="hybridMultilevel"/>
    <w:lvl w:ilvl="0">
      <w:lvlJc w:val="left"/>
      <w:lvlText w:val="(%1)"/>
      <w:numFmt w:val="lowerRoman"/>
      <w:start w:val="4"/>
    </w:lvl>
  </w:abstractNum>
  <w:abstractNum w:abstractNumId="81">
    <w:nsid w:val="14E17E33"/>
    <w:multiLevelType w:val="hybridMultilevel"/>
    <w:lvl w:ilvl="0">
      <w:lvlJc w:val="left"/>
      <w:lvlText w:val="(%1)"/>
      <w:numFmt w:val="lowerLetter"/>
      <w:start w:val="3"/>
    </w:lvl>
  </w:abstractNum>
  <w:abstractNum w:abstractNumId="82">
    <w:nsid w:val="3222E7CD"/>
    <w:multiLevelType w:val="hybridMultilevel"/>
    <w:lvl w:ilvl="0">
      <w:lvlJc w:val="left"/>
      <w:lvlText w:val="(%1)"/>
      <w:numFmt w:val="lowerLetter"/>
      <w:start w:val="1"/>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1."/>
      <w:numFmt w:val="decimal"/>
      <w:start w:val="1"/>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decimal"/>
      <w:start w:val="3"/>
    </w:lvl>
  </w:abstractNum>
  <w:abstractNum w:abstractNumId="87">
    <w:nsid w:val="4A2AC315"/>
    <w:multiLevelType w:val="hybridMultilevel"/>
    <w:lvl w:ilvl="0">
      <w:lvlJc w:val="left"/>
      <w:lvlText w:val="%1."/>
      <w:numFmt w:val="decimal"/>
      <w:start w:val="5"/>
    </w:lvl>
  </w:abstractNum>
  <w:abstractNum w:abstractNumId="88">
    <w:nsid w:val="39EE015C"/>
    <w:multiLevelType w:val="hybridMultilevel"/>
    <w:lvl w:ilvl="0">
      <w:lvlJc w:val="left"/>
      <w:lvlText w:val="%1."/>
      <w:numFmt w:val="decimal"/>
      <w:start w:val="7"/>
    </w:lvl>
    <w:lvl w:ilvl="1">
      <w:lvlJc w:val="left"/>
      <w:lvlText w:val="(%2)"/>
      <w:numFmt w:val="lowerLetter"/>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amp;"/>
      <w:numFmt w:val="bullet"/>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95"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79" Type="http://schemas.openxmlformats.org/officeDocument/2006/relationships/hyperlink" Target="http://www.sec.gov/Archives/edgar/data/1069258/000106925818000021/ktos20180401ex-22.htm" TargetMode="External"/><Relationship Id="rId80" Type="http://schemas.openxmlformats.org/officeDocument/2006/relationships/hyperlink" Target="http://www.sec.gov/Archives/edgar/data/1069258/000106925819000017/exhibit23redacted.htm" TargetMode="External"/><Relationship Id="rId81" Type="http://schemas.openxmlformats.org/officeDocument/2006/relationships/hyperlink" Target="http://www.sec.gov/Archives/edgar/data/1069258/000106925817000009/ktos20161225ex-31.htm" TargetMode="External"/><Relationship Id="rId82" Type="http://schemas.openxmlformats.org/officeDocument/2006/relationships/hyperlink" Target="http://www.sec.gov/Archives/edgar/data/1069258/000106925817000009/ktos20161225ex-32.htm" TargetMode="External"/><Relationship Id="rId83" Type="http://schemas.openxmlformats.org/officeDocument/2006/relationships/hyperlink" Target="http://www.sec.gov/Archives/edgar/data/1069258/000106925817000009/kratoscommonformofcertif.htm" TargetMode="External"/><Relationship Id="rId84" Type="http://schemas.openxmlformats.org/officeDocument/2006/relationships/hyperlink" Target="http://www.sec.gov/Archives/edgar/data/1069258/000110465917069690/a17-27375_1ex4d1.htm" TargetMode="External"/><Relationship Id="rId85" Type="http://schemas.openxmlformats.org/officeDocument/2006/relationships/hyperlink" Target="http://www.sec.gov/Archives/edgar/data/1069258/000106925818000006/ktos20171231ex-45.htm" TargetMode="External"/><Relationship Id="rId86" Type="http://schemas.openxmlformats.org/officeDocument/2006/relationships/hyperlink" Target="http://www.sec.gov/Archives/edgar/data/1069258/000106925820000006/ktos20191229ex-44.htm" TargetMode="External"/><Relationship Id="rId87" Type="http://schemas.openxmlformats.org/officeDocument/2006/relationships/hyperlink" Target="http://www.sec.gov/Archives/edgar/data/1069258/000110465911043760/a11-14022_1ex10d8.htm" TargetMode="External"/><Relationship Id="rId88" Type="http://schemas.openxmlformats.org/officeDocument/2006/relationships/hyperlink" Target="http://www.sec.gov/Archives/edgar/data/1069258/000106925817000033/exhibit9911999espp.htm" TargetMode="External"/><Relationship Id="rId89" Type="http://schemas.openxmlformats.org/officeDocument/2006/relationships/hyperlink" Target="http://www.sec.gov/Archives/edgar/data/1069258/000110465905035184/a05-12199_1ex99d2.htm" TargetMode="External"/><Relationship Id="rId90" Type="http://schemas.openxmlformats.org/officeDocument/2006/relationships/hyperlink" Target="http://www.sec.gov/Archives/edgar/data/1069258/000110465905035184/a05-12199_1ex99d1.htm" TargetMode="External"/><Relationship Id="rId91" Type="http://schemas.openxmlformats.org/officeDocument/2006/relationships/hyperlink" Target="http://www.sec.gov/Archives/edgar/data/1069258/000110465907002926/a07-2027_1ex99d3.htm" TargetMode="External"/><Relationship Id="rId92" Type="http://schemas.openxmlformats.org/officeDocument/2006/relationships/hyperlink" Target="http://www.sec.gov/Archives/edgar/data/1069258/000104746911003699/a2203337zdef14a.htm" TargetMode="External"/><Relationship Id="rId93" Type="http://schemas.openxmlformats.org/officeDocument/2006/relationships/hyperlink" Target="http://www.sec.gov/Archives/edgar/data/1069258/000106925811000053/form8k1stamendto726credagrmt.htm" TargetMode="External"/><Relationship Id="rId94" Type="http://schemas.openxmlformats.org/officeDocument/2006/relationships/hyperlink" Target="http://www.sec.gov/Archives/edgar/data/1069258/000106925820000025/exhibit1012014equityin.htm" TargetMode="External"/><Relationship Id="rId96" Type="http://schemas.openxmlformats.org/officeDocument/2006/relationships/hyperlink" Target="http://www.sec.gov/Archives/edgar/data/1069258/000106925820000006/ktos20191229ex-1015.htm" TargetMode="External"/><Relationship Id="rId97" Type="http://schemas.openxmlformats.org/officeDocument/2006/relationships/hyperlink" Target="http://www.sec.gov/Archives/edgar/data/1069258/000110465911043760/a11-14022_1ex10d3.htm" TargetMode="External"/><Relationship Id="rId98" Type="http://schemas.openxmlformats.org/officeDocument/2006/relationships/hyperlink" Target="http://www.sec.gov/Archives/edgar/data/1069258/000110465911043760/a11-14022_1ex10d4.htm" TargetMode="External"/><Relationship Id="rId99" Type="http://schemas.openxmlformats.org/officeDocument/2006/relationships/hyperlink" Target="http://www.sec.gov/Archives/edgar/data/1069258/000110465917069690/a17-27375_1ex10d1.htm" TargetMode="External"/><Relationship Id="rId100" Type="http://schemas.openxmlformats.org/officeDocument/2006/relationships/hyperlink" Target="http://www.sec.gov/Archives/edgar/data/1069258/000106925818000025/ktos201806118kexhibit101.htm" TargetMode="External"/><Relationship Id="rId101" Type="http://schemas.openxmlformats.org/officeDocument/2006/relationships/hyperlink" Target="http://www.sec.gov/Archives/edgar/data/1069258/000106925817000015/ktos20170326ex-102.htm" TargetMode="External"/><Relationship Id="rId102" Type="http://schemas.openxmlformats.org/officeDocument/2006/relationships/hyperlink" Target="http://www.sec.gov/Archives/edgar/data/1069258/000106925819000017/exchangeagreement.htm" TargetMode="External"/><Relationship Id="rId103" Type="http://schemas.openxmlformats.org/officeDocument/2006/relationships/hyperlink" Target="http://www.sec.gov/Archives/edgar/data/1069258/000106925820000018/ktos20200329ex102.htm" TargetMode="External"/><Relationship Id="rId104" Type="http://schemas.openxmlformats.org/officeDocument/2006/relationships/hyperlink" Target="http://www.sec.gov/Archives/edgar/data/1069258/000106925821000009/ktos20201227ex-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2022-02-22T15:51:45Z</dcterms:created>
  <dcterms:modified xsi:type="dcterms:W3CDTF">2022-02-22T15:51:45Z</dcterms:modified>
</cp:coreProperties>
</file>