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332105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349250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163830</wp:posOffset>
            </wp:positionV>
            <wp:extent cx="3764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9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97155</wp:posOffset>
            </wp:positionV>
            <wp:extent cx="3764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1320"/>
        <w:spacing w:after="0"/>
        <w:rPr>
          <w:sz w:val="20"/>
          <w:szCs w:val="20"/>
          <w:color w:val="auto"/>
        </w:rPr>
      </w:pPr>
      <w:r>
        <w:rPr>
          <w:rFonts w:ascii="Arial" w:cs="Arial" w:eastAsia="Arial" w:hAnsi="Arial"/>
          <w:sz w:val="14"/>
          <w:szCs w:val="14"/>
          <w:b w:val="1"/>
          <w:bCs w:val="1"/>
          <w:color w:val="auto"/>
        </w:rPr>
        <w:t>(Mark One)</w:t>
      </w:r>
    </w:p>
    <w:p>
      <w:pPr>
        <w:spacing w:after="0" w:line="50"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9" w:lineRule="exact"/>
        <w:rPr>
          <w:sz w:val="24"/>
          <w:szCs w:val="24"/>
          <w:color w:val="auto"/>
        </w:rPr>
      </w:pPr>
    </w:p>
    <w:p>
      <w:pPr>
        <w:ind w:left="2220" w:hanging="1023"/>
        <w:spacing w:after="0"/>
        <w:tabs>
          <w:tab w:leader="none" w:pos="22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2017</w:t>
      </w:r>
    </w:p>
    <w:p>
      <w:pPr>
        <w:spacing w:after="0" w:line="68"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TRANSITION REPORT PURSUANT TO SECTION 13 OR 15(d) OF THE SECURITIES AND EXCHANGE ACT</w:t>
      </w:r>
    </w:p>
    <w:p>
      <w:pPr>
        <w:spacing w:after="0" w:line="19" w:lineRule="exact"/>
        <w:rPr>
          <w:sz w:val="24"/>
          <w:szCs w:val="24"/>
          <w:color w:val="auto"/>
        </w:rPr>
      </w:pPr>
    </w:p>
    <w:p>
      <w:pPr>
        <w:ind w:left="2220" w:hanging="1023"/>
        <w:spacing w:after="0"/>
        <w:tabs>
          <w:tab w:leader="none" w:pos="22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OF 1934</w:t>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001-34460</w:t>
      </w:r>
    </w:p>
    <w:p>
      <w:pPr>
        <w:spacing w:after="0" w:line="11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KRATOS DEFENSE &amp; SECURITY SOLUTIONS, INC.</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r>
        <w:rPr>
          <w:rFonts w:ascii="Arial" w:cs="Arial" w:eastAsia="Arial" w:hAnsi="Arial"/>
          <w:sz w:val="18"/>
          <w:szCs w:val="18"/>
          <w:color w:val="auto"/>
        </w:rPr>
        <w:t>)</w:t>
      </w:r>
    </w:p>
    <w:p>
      <w:pPr>
        <w:spacing w:after="0" w:line="165" w:lineRule="exact"/>
        <w:rPr>
          <w:sz w:val="24"/>
          <w:szCs w:val="24"/>
          <w:color w:val="auto"/>
        </w:rPr>
      </w:pPr>
    </w:p>
    <w:tbl>
      <w:tblPr>
        <w:tblLayout w:type="fixed"/>
        <w:tblInd w:w="2460" w:type="dxa"/>
        <w:tblCellMar>
          <w:top w:w="0" w:type="dxa"/>
          <w:left w:w="0" w:type="dxa"/>
          <w:bottom w:w="0" w:type="dxa"/>
          <w:right w:w="0" w:type="dxa"/>
        </w:tblCellMar>
      </w:tblPr>
      <w:tr>
        <w:trPr>
          <w:trHeight w:val="234"/>
        </w:trPr>
        <w:tc>
          <w:tcPr>
            <w:tcW w:w="1920" w:type="dxa"/>
            <w:vAlign w:val="bottom"/>
          </w:tcPr>
          <w:p>
            <w:pPr>
              <w:jc w:val="center"/>
              <w:ind w:right="102"/>
              <w:spacing w:after="0"/>
              <w:rPr>
                <w:sz w:val="20"/>
                <w:szCs w:val="20"/>
                <w:color w:val="auto"/>
              </w:rPr>
            </w:pPr>
            <w:r>
              <w:rPr>
                <w:rFonts w:ascii="Arial" w:cs="Arial" w:eastAsia="Arial" w:hAnsi="Arial"/>
                <w:sz w:val="18"/>
                <w:szCs w:val="18"/>
                <w:b w:val="1"/>
                <w:bCs w:val="1"/>
                <w:color w:val="auto"/>
                <w:w w:val="93"/>
              </w:rPr>
              <w:t>Delaware</w:t>
            </w:r>
          </w:p>
        </w:tc>
        <w:tc>
          <w:tcPr>
            <w:tcW w:w="4660" w:type="dxa"/>
            <w:vAlign w:val="bottom"/>
          </w:tcPr>
          <w:p>
            <w:pPr>
              <w:jc w:val="right"/>
              <w:ind w:right="514"/>
              <w:spacing w:after="0"/>
              <w:rPr>
                <w:sz w:val="20"/>
                <w:szCs w:val="20"/>
                <w:color w:val="auto"/>
              </w:rPr>
            </w:pPr>
            <w:r>
              <w:rPr>
                <w:rFonts w:ascii="Arial" w:cs="Arial" w:eastAsia="Arial" w:hAnsi="Arial"/>
                <w:sz w:val="18"/>
                <w:szCs w:val="18"/>
                <w:b w:val="1"/>
                <w:bCs w:val="1"/>
                <w:color w:val="auto"/>
              </w:rPr>
              <w:t>13-3818604</w:t>
            </w:r>
          </w:p>
        </w:tc>
        <w:tc>
          <w:tcPr>
            <w:tcW w:w="0" w:type="dxa"/>
            <w:vAlign w:val="bottom"/>
          </w:tcPr>
          <w:p>
            <w:pPr>
              <w:spacing w:after="0"/>
              <w:rPr>
                <w:sz w:val="1"/>
                <w:szCs w:val="1"/>
                <w:color w:val="auto"/>
              </w:rPr>
            </w:pPr>
          </w:p>
        </w:tc>
      </w:tr>
      <w:tr>
        <w:trPr>
          <w:trHeight w:val="184"/>
        </w:trPr>
        <w:tc>
          <w:tcPr>
            <w:tcW w:w="1920" w:type="dxa"/>
            <w:vAlign w:val="bottom"/>
          </w:tcPr>
          <w:p>
            <w:pPr>
              <w:jc w:val="center"/>
              <w:ind w:right="102"/>
              <w:spacing w:after="0"/>
              <w:rPr>
                <w:sz w:val="20"/>
                <w:szCs w:val="20"/>
                <w:color w:val="auto"/>
              </w:rPr>
            </w:pPr>
            <w:r>
              <w:rPr>
                <w:rFonts w:ascii="Arial" w:cs="Arial" w:eastAsia="Arial" w:hAnsi="Arial"/>
                <w:sz w:val="14"/>
                <w:szCs w:val="14"/>
                <w:color w:val="auto"/>
                <w:w w:val="94"/>
              </w:rPr>
              <w:t>(State or other jurisdiction of</w:t>
            </w:r>
          </w:p>
        </w:tc>
        <w:tc>
          <w:tcPr>
            <w:tcW w:w="4660" w:type="dxa"/>
            <w:vAlign w:val="bottom"/>
          </w:tcPr>
          <w:p>
            <w:pPr>
              <w:jc w:val="center"/>
              <w:ind w:left="2494"/>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82"/>
        </w:trPr>
        <w:tc>
          <w:tcPr>
            <w:tcW w:w="1920" w:type="dxa"/>
            <w:vAlign w:val="bottom"/>
          </w:tcPr>
          <w:p>
            <w:pPr>
              <w:jc w:val="center"/>
              <w:ind w:right="102"/>
              <w:spacing w:after="0"/>
              <w:rPr>
                <w:sz w:val="20"/>
                <w:szCs w:val="20"/>
                <w:color w:val="auto"/>
              </w:rPr>
            </w:pPr>
            <w:r>
              <w:rPr>
                <w:rFonts w:ascii="Arial" w:cs="Arial" w:eastAsia="Arial" w:hAnsi="Arial"/>
                <w:sz w:val="14"/>
                <w:szCs w:val="14"/>
                <w:color w:val="auto"/>
                <w:w w:val="95"/>
              </w:rPr>
              <w:t>incorporation or organization)</w:t>
            </w:r>
          </w:p>
        </w:tc>
        <w:tc>
          <w:tcPr>
            <w:tcW w:w="4660" w:type="dxa"/>
            <w:vAlign w:val="bottom"/>
            <w:vMerge w:val="restart"/>
          </w:tcPr>
          <w:p>
            <w:pPr>
              <w:jc w:val="center"/>
              <w:ind w:right="1914"/>
              <w:spacing w:after="0"/>
              <w:rPr>
                <w:sz w:val="20"/>
                <w:szCs w:val="20"/>
                <w:color w:val="auto"/>
              </w:rPr>
            </w:pPr>
            <w:r>
              <w:rPr>
                <w:rFonts w:ascii="Arial" w:cs="Arial" w:eastAsia="Arial" w:hAnsi="Arial"/>
                <w:sz w:val="18"/>
                <w:szCs w:val="18"/>
                <w:b w:val="1"/>
                <w:bCs w:val="1"/>
                <w:color w:val="auto"/>
                <w:w w:val="90"/>
              </w:rPr>
              <w:t>4820 Eastgate Mall, Suite 200</w:t>
            </w:r>
          </w:p>
        </w:tc>
        <w:tc>
          <w:tcPr>
            <w:tcW w:w="0" w:type="dxa"/>
            <w:vAlign w:val="bottom"/>
          </w:tcPr>
          <w:p>
            <w:pPr>
              <w:spacing w:after="0"/>
              <w:rPr>
                <w:sz w:val="1"/>
                <w:szCs w:val="1"/>
                <w:color w:val="auto"/>
              </w:rPr>
            </w:pPr>
          </w:p>
        </w:tc>
      </w:tr>
      <w:tr>
        <w:trPr>
          <w:trHeight w:val="210"/>
        </w:trPr>
        <w:tc>
          <w:tcPr>
            <w:tcW w:w="192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4660" w:type="dxa"/>
            <w:vAlign w:val="bottom"/>
          </w:tcPr>
          <w:p>
            <w:pPr>
              <w:jc w:val="center"/>
              <w:ind w:right="1914"/>
              <w:spacing w:after="0"/>
              <w:rPr>
                <w:sz w:val="20"/>
                <w:szCs w:val="20"/>
                <w:color w:val="auto"/>
              </w:rPr>
            </w:pPr>
            <w:r>
              <w:rPr>
                <w:rFonts w:ascii="Arial" w:cs="Arial" w:eastAsia="Arial" w:hAnsi="Arial"/>
                <w:sz w:val="18"/>
                <w:szCs w:val="18"/>
                <w:b w:val="1"/>
                <w:bCs w:val="1"/>
                <w:color w:val="auto"/>
                <w:w w:val="90"/>
              </w:rPr>
              <w:t>San Diego, CA 92121</w:t>
            </w:r>
          </w:p>
        </w:tc>
        <w:tc>
          <w:tcPr>
            <w:tcW w:w="0" w:type="dxa"/>
            <w:vAlign w:val="bottom"/>
          </w:tcPr>
          <w:p>
            <w:pPr>
              <w:spacing w:after="0"/>
              <w:rPr>
                <w:sz w:val="1"/>
                <w:szCs w:val="1"/>
                <w:color w:val="auto"/>
              </w:rPr>
            </w:pPr>
          </w:p>
        </w:tc>
      </w:tr>
    </w:tbl>
    <w:p>
      <w:pPr>
        <w:jc w:val="center"/>
        <w:ind w:right="-39"/>
        <w:spacing w:after="0"/>
        <w:rPr>
          <w:sz w:val="20"/>
          <w:szCs w:val="20"/>
          <w:color w:val="auto"/>
        </w:rPr>
      </w:pPr>
      <w:r>
        <w:rPr>
          <w:rFonts w:ascii="Arial" w:cs="Arial" w:eastAsia="Arial" w:hAnsi="Arial"/>
          <w:sz w:val="18"/>
          <w:szCs w:val="18"/>
          <w:b w:val="1"/>
          <w:bCs w:val="1"/>
          <w:color w:val="auto"/>
        </w:rPr>
        <w:t>(858) 812-7300</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including zip code, and telephone number, including</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area code, of Registrant’s principal executive offices)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1" w:lineRule="exact"/>
        <w:rPr>
          <w:sz w:val="24"/>
          <w:szCs w:val="24"/>
          <w:color w:val="auto"/>
        </w:rPr>
      </w:pPr>
    </w:p>
    <w:tbl>
      <w:tblPr>
        <w:tblLayout w:type="fixed"/>
        <w:tblInd w:w="23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900" w:type="dxa"/>
            <w:vAlign w:val="bottom"/>
            <w:gridSpan w:val="2"/>
          </w:tcPr>
          <w:p>
            <w:pPr>
              <w:jc w:val="center"/>
              <w:ind w:right="2760"/>
              <w:spacing w:after="0"/>
              <w:rPr>
                <w:sz w:val="20"/>
                <w:szCs w:val="20"/>
                <w:color w:val="auto"/>
              </w:rPr>
            </w:pPr>
            <w:r>
              <w:rPr>
                <w:rFonts w:ascii="Arial" w:cs="Arial" w:eastAsia="Arial" w:hAnsi="Arial"/>
                <w:sz w:val="14"/>
                <w:szCs w:val="14"/>
                <w:b w:val="1"/>
                <w:bCs w:val="1"/>
                <w:color w:val="auto"/>
                <w:w w:val="91"/>
              </w:rPr>
              <w:t>Title of Each Class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79"/>
        </w:trPr>
        <w:tc>
          <w:tcPr>
            <w:tcW w:w="4300" w:type="dxa"/>
            <w:vAlign w:val="bottom"/>
            <w:gridSpan w:val="3"/>
          </w:tcPr>
          <w:p>
            <w:pPr>
              <w:jc w:val="center"/>
              <w:ind w:right="2360"/>
              <w:spacing w:after="0"/>
              <w:rPr>
                <w:sz w:val="20"/>
                <w:szCs w:val="20"/>
                <w:color w:val="auto"/>
              </w:rPr>
            </w:pPr>
            <w:r>
              <w:rPr>
                <w:rFonts w:ascii="Arial" w:cs="Arial" w:eastAsia="Arial" w:hAnsi="Arial"/>
                <w:sz w:val="14"/>
                <w:szCs w:val="14"/>
                <w:color w:val="auto"/>
                <w:w w:val="93"/>
              </w:rPr>
              <w:t>Common Stock, par value $0.001</w:t>
            </w:r>
          </w:p>
        </w:tc>
        <w:tc>
          <w:tcPr>
            <w:tcW w:w="2680" w:type="dxa"/>
            <w:vAlign w:val="bottom"/>
          </w:tcPr>
          <w:p>
            <w:pPr>
              <w:jc w:val="center"/>
              <w:spacing w:after="0"/>
              <w:rPr>
                <w:sz w:val="20"/>
                <w:szCs w:val="20"/>
                <w:color w:val="auto"/>
              </w:rPr>
            </w:pPr>
            <w:r>
              <w:rPr>
                <w:rFonts w:ascii="Arial" w:cs="Arial" w:eastAsia="Arial" w:hAnsi="Arial"/>
                <w:sz w:val="14"/>
                <w:szCs w:val="14"/>
                <w:color w:val="auto"/>
                <w:w w:val="95"/>
              </w:rPr>
              <w:t>The NASDAQ Global Select Market</w:t>
            </w:r>
          </w:p>
        </w:tc>
      </w:tr>
    </w:tbl>
    <w:p>
      <w:pPr>
        <w:spacing w:after="0" w:line="10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None</w:t>
      </w:r>
    </w:p>
    <w:p>
      <w:pPr>
        <w:ind w:left="340" w:right="3380"/>
        <w:spacing w:after="0" w:line="23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3"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ind w:right="40" w:firstLine="324"/>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9" w:lineRule="exact"/>
        <w:rPr>
          <w:sz w:val="24"/>
          <w:szCs w:val="24"/>
          <w:color w:val="auto"/>
        </w:rPr>
      </w:pPr>
    </w:p>
    <w:p>
      <w:pPr>
        <w:ind w:right="300" w:firstLine="324"/>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93" w:lineRule="exact"/>
        <w:rPr>
          <w:sz w:val="24"/>
          <w:szCs w:val="24"/>
          <w:color w:val="auto"/>
        </w:rPr>
      </w:pPr>
    </w:p>
    <w:p>
      <w:pPr>
        <w:ind w:right="260" w:firstLine="324"/>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1980" w:type="dxa"/>
        <w:tblCellMar>
          <w:top w:w="0" w:type="dxa"/>
          <w:left w:w="0" w:type="dxa"/>
          <w:bottom w:w="0" w:type="dxa"/>
          <w:right w:w="0" w:type="dxa"/>
        </w:tblCellMar>
      </w:tblPr>
      <w:tr>
        <w:trPr>
          <w:trHeight w:val="226"/>
        </w:trPr>
        <w:tc>
          <w:tcPr>
            <w:tcW w:w="3920" w:type="dxa"/>
            <w:vAlign w:val="bottom"/>
          </w:tcPr>
          <w:p>
            <w:pPr>
              <w:jc w:val="center"/>
              <w:ind w:right="1188"/>
              <w:spacing w:after="0" w:line="161" w:lineRule="exact"/>
              <w:rPr>
                <w:sz w:val="20"/>
                <w:szCs w:val="20"/>
                <w:color w:val="auto"/>
              </w:rPr>
            </w:pPr>
            <w:r>
              <w:rPr>
                <w:rFonts w:ascii="Arial" w:cs="Arial" w:eastAsia="Arial" w:hAnsi="Arial"/>
                <w:sz w:val="14"/>
                <w:szCs w:val="14"/>
                <w:color w:val="auto"/>
                <w:w w:val="93"/>
              </w:rPr>
              <w:t xml:space="preserve">Large accelerated filer </w:t>
            </w:r>
            <w:r>
              <w:rPr>
                <w:rFonts w:ascii="MS PGothic" w:cs="MS PGothic" w:eastAsia="MS PGothic" w:hAnsi="MS PGothic"/>
                <w:sz w:val="14"/>
                <w:szCs w:val="14"/>
                <w:color w:val="auto"/>
                <w:w w:val="93"/>
              </w:rPr>
              <w:t>☒</w:t>
            </w:r>
          </w:p>
        </w:tc>
        <w:tc>
          <w:tcPr>
            <w:tcW w:w="2920" w:type="dxa"/>
            <w:vAlign w:val="bottom"/>
          </w:tcPr>
          <w:p>
            <w:pPr>
              <w:jc w:val="center"/>
              <w:ind w:left="1168"/>
              <w:spacing w:after="0"/>
              <w:rPr>
                <w:sz w:val="20"/>
                <w:szCs w:val="20"/>
                <w:color w:val="auto"/>
              </w:rPr>
            </w:pPr>
            <w:r>
              <w:rPr>
                <w:rFonts w:ascii="Arial" w:cs="Arial" w:eastAsia="Arial" w:hAnsi="Arial"/>
                <w:sz w:val="14"/>
                <w:szCs w:val="14"/>
                <w:color w:val="auto"/>
                <w:w w:val="96"/>
              </w:rPr>
              <w:t>Accelerated filer o</w:t>
            </w:r>
          </w:p>
        </w:tc>
        <w:tc>
          <w:tcPr>
            <w:tcW w:w="0" w:type="dxa"/>
            <w:vAlign w:val="bottom"/>
          </w:tcPr>
          <w:p>
            <w:pPr>
              <w:spacing w:after="0"/>
              <w:rPr>
                <w:sz w:val="1"/>
                <w:szCs w:val="1"/>
                <w:color w:val="auto"/>
              </w:rPr>
            </w:pPr>
          </w:p>
        </w:tc>
      </w:tr>
      <w:tr>
        <w:trPr>
          <w:trHeight w:val="268"/>
        </w:trPr>
        <w:tc>
          <w:tcPr>
            <w:tcW w:w="3920" w:type="dxa"/>
            <w:vAlign w:val="bottom"/>
          </w:tcPr>
          <w:p>
            <w:pPr>
              <w:jc w:val="center"/>
              <w:ind w:right="1168"/>
              <w:spacing w:after="0"/>
              <w:rPr>
                <w:sz w:val="20"/>
                <w:szCs w:val="20"/>
                <w:color w:val="auto"/>
              </w:rPr>
            </w:pPr>
            <w:r>
              <w:rPr>
                <w:rFonts w:ascii="Arial" w:cs="Arial" w:eastAsia="Arial" w:hAnsi="Arial"/>
                <w:sz w:val="14"/>
                <w:szCs w:val="14"/>
                <w:color w:val="auto"/>
                <w:w w:val="93"/>
              </w:rPr>
              <w:t>Non-accelerated filer o</w:t>
            </w:r>
          </w:p>
        </w:tc>
        <w:tc>
          <w:tcPr>
            <w:tcW w:w="2920" w:type="dxa"/>
            <w:vAlign w:val="bottom"/>
          </w:tcPr>
          <w:p>
            <w:pPr>
              <w:jc w:val="center"/>
              <w:ind w:left="1168"/>
              <w:spacing w:after="0"/>
              <w:rPr>
                <w:sz w:val="20"/>
                <w:szCs w:val="20"/>
                <w:color w:val="auto"/>
              </w:rPr>
            </w:pPr>
            <w:r>
              <w:rPr>
                <w:rFonts w:ascii="Arial" w:cs="Arial" w:eastAsia="Arial" w:hAnsi="Arial"/>
                <w:sz w:val="14"/>
                <w:szCs w:val="14"/>
                <w:color w:val="auto"/>
                <w:w w:val="93"/>
              </w:rPr>
              <w:t>Smaller reporting company o</w:t>
            </w:r>
          </w:p>
        </w:tc>
        <w:tc>
          <w:tcPr>
            <w:tcW w:w="0" w:type="dxa"/>
            <w:vAlign w:val="bottom"/>
          </w:tcPr>
          <w:p>
            <w:pPr>
              <w:spacing w:after="0"/>
              <w:rPr>
                <w:sz w:val="1"/>
                <w:szCs w:val="1"/>
                <w:color w:val="auto"/>
              </w:rPr>
            </w:pPr>
          </w:p>
        </w:tc>
      </w:tr>
      <w:tr>
        <w:trPr>
          <w:trHeight w:val="203"/>
        </w:trPr>
        <w:tc>
          <w:tcPr>
            <w:tcW w:w="3920" w:type="dxa"/>
            <w:vAlign w:val="bottom"/>
          </w:tcPr>
          <w:p>
            <w:pPr>
              <w:jc w:val="center"/>
              <w:ind w:right="1168"/>
              <w:spacing w:after="0"/>
              <w:rPr>
                <w:sz w:val="20"/>
                <w:szCs w:val="20"/>
                <w:color w:val="auto"/>
              </w:rPr>
            </w:pPr>
            <w:r>
              <w:rPr>
                <w:rFonts w:ascii="Arial" w:cs="Arial" w:eastAsia="Arial" w:hAnsi="Arial"/>
                <w:sz w:val="14"/>
                <w:szCs w:val="14"/>
                <w:color w:val="auto"/>
                <w:w w:val="94"/>
              </w:rPr>
              <w:t>(Do not check if a smaller reporting company)</w:t>
            </w:r>
          </w:p>
        </w:tc>
        <w:tc>
          <w:tcPr>
            <w:tcW w:w="2920" w:type="dxa"/>
            <w:vAlign w:val="bottom"/>
            <w:vMerge w:val="restart"/>
          </w:tcPr>
          <w:p>
            <w:pPr>
              <w:jc w:val="center"/>
              <w:ind w:left="1168"/>
              <w:spacing w:after="0"/>
              <w:rPr>
                <w:sz w:val="20"/>
                <w:szCs w:val="20"/>
                <w:color w:val="auto"/>
              </w:rPr>
            </w:pPr>
            <w:r>
              <w:rPr>
                <w:rFonts w:ascii="Arial" w:cs="Arial" w:eastAsia="Arial" w:hAnsi="Arial"/>
                <w:sz w:val="14"/>
                <w:szCs w:val="14"/>
                <w:color w:val="auto"/>
                <w:w w:val="94"/>
              </w:rPr>
              <w:t>Emerging growth company o</w:t>
            </w:r>
          </w:p>
        </w:tc>
        <w:tc>
          <w:tcPr>
            <w:tcW w:w="0" w:type="dxa"/>
            <w:vAlign w:val="bottom"/>
          </w:tcPr>
          <w:p>
            <w:pPr>
              <w:spacing w:after="0"/>
              <w:rPr>
                <w:sz w:val="1"/>
                <w:szCs w:val="1"/>
                <w:color w:val="auto"/>
              </w:rPr>
            </w:pPr>
          </w:p>
        </w:tc>
      </w:tr>
      <w:tr>
        <w:trPr>
          <w:trHeight w:val="68"/>
        </w:trPr>
        <w:tc>
          <w:tcPr>
            <w:tcW w:w="3920" w:type="dxa"/>
            <w:vAlign w:val="bottom"/>
          </w:tcPr>
          <w:p>
            <w:pPr>
              <w:spacing w:after="0"/>
              <w:rPr>
                <w:sz w:val="5"/>
                <w:szCs w:val="5"/>
                <w:color w:val="auto"/>
              </w:rPr>
            </w:pPr>
          </w:p>
        </w:tc>
        <w:tc>
          <w:tcPr>
            <w:tcW w:w="2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400" w:firstLine="324"/>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Yes o No o</w:t>
      </w:r>
    </w:p>
    <w:p>
      <w:pPr>
        <w:spacing w:after="0" w:line="39"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136" w:lineRule="exact"/>
        <w:rPr>
          <w:sz w:val="24"/>
          <w:szCs w:val="24"/>
          <w:color w:val="auto"/>
        </w:rPr>
      </w:pPr>
    </w:p>
    <w:p>
      <w:pPr>
        <w:jc w:val="both"/>
        <w:ind w:right="20" w:firstLine="324"/>
        <w:spacing w:after="0" w:line="277" w:lineRule="auto"/>
        <w:rPr>
          <w:sz w:val="20"/>
          <w:szCs w:val="20"/>
          <w:color w:val="auto"/>
        </w:rPr>
      </w:pPr>
      <w:r>
        <w:rPr>
          <w:rFonts w:ascii="Arial" w:cs="Arial" w:eastAsia="Arial" w:hAnsi="Arial"/>
          <w:sz w:val="13"/>
          <w:szCs w:val="13"/>
          <w:color w:val="auto"/>
        </w:rPr>
        <w:t>The aggregate market value of the registrant’s voting and non-voting common stock held by non-affiliates as of June 23, 2017, the last business day of the registrant’s most recently completed second fiscal quarter, was approximately $822.4 million, based on the closing sale price for shares of the registrant’s common stock as reported by the NASDAQ Global Select Market on such date. This disclosure excludes shares of common stock held by executive officers, directors and stockholders whose individual ownership exceeds 10% of the common stock outstanding on June 23, 2017 because such persons may be deemed to be affiliates. This determination of affiliate status is not necessarily a conclusive determination for any other purpose.</w:t>
      </w:r>
    </w:p>
    <w:p>
      <w:pPr>
        <w:spacing w:after="0" w:line="66"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23, 2018, 103,513,103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243840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260985</wp:posOffset>
            </wp:positionV>
            <wp:extent cx="7229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Items 10, 11, 12, 13 and 14 of Part III of this annual report on Form 10-K incorporate information by reference from the registrant’s definitive proxy statement filed pursuant to Regulation 14A in connection with the registrant’s 2018 Annual Meeting of Stockholders or an amendment to this annual report on Form 10-K to be filed with the Securities and Exchange Commission within 120 days after the close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125"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20" w:type="dxa"/>
            <w:vAlign w:val="bottom"/>
            <w:gridSpan w:val="11"/>
          </w:tcPr>
          <w:p>
            <w:pPr>
              <w:jc w:val="center"/>
              <w:ind w:right="1640"/>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80" w:type="dxa"/>
            <w:vAlign w:val="bottom"/>
            <w:gridSpan w:val="7"/>
          </w:tcPr>
          <w:p>
            <w:pPr>
              <w:jc w:val="center"/>
              <w:ind w:right="3640"/>
              <w:spacing w:after="0"/>
              <w:rPr>
                <w:sz w:val="20"/>
                <w:szCs w:val="20"/>
                <w:color w:val="auto"/>
              </w:rPr>
            </w:pPr>
            <w:r>
              <w:rPr>
                <w:rFonts w:ascii="Arial" w:cs="Arial" w:eastAsia="Arial" w:hAnsi="Arial"/>
                <w:sz w:val="18"/>
                <w:szCs w:val="18"/>
                <w:b w:val="1"/>
                <w:bCs w:val="1"/>
                <w:color w:val="auto"/>
              </w:rPr>
              <w:t>FORM 10-K</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20" w:type="dxa"/>
            <w:vAlign w:val="bottom"/>
            <w:gridSpan w:val="11"/>
          </w:tcPr>
          <w:p>
            <w:pPr>
              <w:jc w:val="center"/>
              <w:ind w:right="1600"/>
              <w:spacing w:after="0"/>
              <w:rPr>
                <w:sz w:val="20"/>
                <w:szCs w:val="20"/>
                <w:color w:val="auto"/>
              </w:rPr>
            </w:pPr>
            <w:r>
              <w:rPr>
                <w:rFonts w:ascii="Arial" w:cs="Arial" w:eastAsia="Arial" w:hAnsi="Arial"/>
                <w:sz w:val="18"/>
                <w:szCs w:val="18"/>
                <w:b w:val="1"/>
                <w:bCs w:val="1"/>
                <w:color w:val="auto"/>
                <w:w w:val="98"/>
              </w:rPr>
              <w:t>FOR THE FISCAL YEAR ENDED DECEMBER 31, 2017</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40" w:type="dxa"/>
            <w:vAlign w:val="bottom"/>
            <w:gridSpan w:val="8"/>
          </w:tcPr>
          <w:p>
            <w:pPr>
              <w:jc w:val="center"/>
              <w:ind w:right="290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80" w:type="dxa"/>
            <w:vAlign w:val="bottom"/>
            <w:gridSpan w:val="4"/>
          </w:tcPr>
          <w:p>
            <w:pPr>
              <w:ind w:left="5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40" w:type="dxa"/>
            <w:vAlign w:val="bottom"/>
            <w:gridSpan w:val="6"/>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40" w:type="dxa"/>
            <w:vAlign w:val="bottom"/>
            <w:gridSpan w:val="6"/>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80" w:type="dxa"/>
            <w:vAlign w:val="bottom"/>
            <w:tcBorders>
              <w:top w:val="single" w:sz="8" w:color="0000EE"/>
            </w:tcBorders>
          </w:tcPr>
          <w:p>
            <w:pPr>
              <w:spacing w:after="0"/>
              <w:rPr>
                <w:sz w:val="21"/>
                <w:szCs w:val="21"/>
                <w:color w:val="auto"/>
              </w:rPr>
            </w:pPr>
          </w:p>
        </w:tc>
        <w:tc>
          <w:tcPr>
            <w:tcW w:w="460" w:type="dxa"/>
            <w:vAlign w:val="bottom"/>
            <w:gridSpan w:val="4"/>
          </w:tcPr>
          <w:p>
            <w:pPr>
              <w:spacing w:after="0"/>
              <w:rPr>
                <w:sz w:val="21"/>
                <w:szCs w:val="21"/>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220" w:type="dxa"/>
            <w:vAlign w:val="bottom"/>
            <w:gridSpan w:val="18"/>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3">
              <w:r>
                <w:rPr>
                  <w:rFonts w:ascii="Arial" w:cs="Arial" w:eastAsia="Arial" w:hAnsi="Arial"/>
                  <w:sz w:val="18"/>
                  <w:szCs w:val="18"/>
                  <w:color w:val="0000EE"/>
                  <w:w w:val="80"/>
                </w:rPr>
                <w:t>Item 1A.</w:t>
              </w:r>
            </w:hyperlink>
          </w:p>
        </w:tc>
        <w:tc>
          <w:tcPr>
            <w:tcW w:w="460" w:type="dxa"/>
            <w:vAlign w:val="bottom"/>
            <w:gridSpan w:val="4"/>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7960" w:type="dxa"/>
            <w:vAlign w:val="bottom"/>
            <w:gridSpan w:val="16"/>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13">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32">
              <w:r>
                <w:rPr>
                  <w:rFonts w:ascii="Arial" w:cs="Arial" w:eastAsia="Arial" w:hAnsi="Arial"/>
                  <w:sz w:val="18"/>
                  <w:szCs w:val="18"/>
                  <w:color w:val="0000EE"/>
                  <w:w w:val="80"/>
                </w:rPr>
                <w:t>Item 1B.</w:t>
              </w:r>
            </w:hyperlink>
          </w:p>
        </w:tc>
        <w:tc>
          <w:tcPr>
            <w:tcW w:w="460" w:type="dxa"/>
            <w:vAlign w:val="bottom"/>
            <w:gridSpan w:val="4"/>
          </w:tcPr>
          <w:p>
            <w:pPr>
              <w:spacing w:after="0"/>
              <w:rPr>
                <w:sz w:val="21"/>
                <w:szCs w:val="21"/>
                <w:color w:val="auto"/>
              </w:rPr>
            </w:pPr>
          </w:p>
        </w:tc>
        <w:tc>
          <w:tcPr>
            <w:tcW w:w="886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2">
              <w:r>
                <w:rPr>
                  <w:rFonts w:ascii="Arial" w:cs="Arial" w:eastAsia="Arial" w:hAnsi="Arial"/>
                  <w:sz w:val="18"/>
                  <w:szCs w:val="18"/>
                  <w:color w:val="0000EE"/>
                  <w:w w:val="83"/>
                </w:rPr>
                <w:t>Item 2.</w:t>
              </w:r>
            </w:hyperlink>
          </w:p>
        </w:tc>
        <w:tc>
          <w:tcPr>
            <w:tcW w:w="80" w:type="dxa"/>
            <w:vAlign w:val="bottom"/>
          </w:tcPr>
          <w:p>
            <w:pPr>
              <w:spacing w:after="0"/>
              <w:rPr>
                <w:sz w:val="21"/>
                <w:szCs w:val="21"/>
                <w:color w:val="auto"/>
              </w:rPr>
            </w:pPr>
          </w:p>
        </w:tc>
        <w:tc>
          <w:tcPr>
            <w:tcW w:w="460" w:type="dxa"/>
            <w:vAlign w:val="bottom"/>
            <w:gridSpan w:val="4"/>
          </w:tcPr>
          <w:p>
            <w:pPr>
              <w:spacing w:after="0"/>
              <w:rPr>
                <w:sz w:val="21"/>
                <w:szCs w:val="21"/>
                <w:color w:val="auto"/>
              </w:rPr>
            </w:pPr>
          </w:p>
        </w:tc>
        <w:tc>
          <w:tcPr>
            <w:tcW w:w="2040" w:type="dxa"/>
            <w:vAlign w:val="bottom"/>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682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3">
              <w:r>
                <w:rPr>
                  <w:rFonts w:ascii="Arial" w:cs="Arial" w:eastAsia="Arial" w:hAnsi="Arial"/>
                  <w:sz w:val="18"/>
                  <w:szCs w:val="18"/>
                  <w:color w:val="0000EE"/>
                  <w:w w:val="83"/>
                </w:rPr>
                <w:t>Item 3.</w:t>
              </w:r>
            </w:hyperlink>
          </w:p>
        </w:tc>
        <w:tc>
          <w:tcPr>
            <w:tcW w:w="540" w:type="dxa"/>
            <w:vAlign w:val="bottom"/>
            <w:gridSpan w:val="5"/>
          </w:tcPr>
          <w:p>
            <w:pPr>
              <w:spacing w:after="0"/>
              <w:rPr>
                <w:sz w:val="21"/>
                <w:szCs w:val="21"/>
                <w:color w:val="auto"/>
              </w:rPr>
            </w:pPr>
          </w:p>
        </w:tc>
        <w:tc>
          <w:tcPr>
            <w:tcW w:w="886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3">
              <w:r>
                <w:rPr>
                  <w:rFonts w:ascii="Arial" w:cs="Arial" w:eastAsia="Arial" w:hAnsi="Arial"/>
                  <w:sz w:val="18"/>
                  <w:szCs w:val="18"/>
                  <w:color w:val="0000EE"/>
                  <w:w w:val="83"/>
                </w:rPr>
                <w:t>Item 4.</w:t>
              </w:r>
            </w:hyperlink>
          </w:p>
        </w:tc>
        <w:tc>
          <w:tcPr>
            <w:tcW w:w="540" w:type="dxa"/>
            <w:vAlign w:val="bottom"/>
            <w:gridSpan w:val="5"/>
          </w:tcPr>
          <w:p>
            <w:pPr>
              <w:spacing w:after="0"/>
              <w:rPr>
                <w:sz w:val="21"/>
                <w:szCs w:val="21"/>
                <w:color w:val="auto"/>
              </w:rPr>
            </w:pPr>
          </w:p>
        </w:tc>
        <w:tc>
          <w:tcPr>
            <w:tcW w:w="886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33">
              <w:r>
                <w:rPr>
                  <w:rFonts w:ascii="Arial" w:cs="Arial" w:eastAsia="Arial" w:hAnsi="Arial"/>
                  <w:sz w:val="18"/>
                  <w:szCs w:val="18"/>
                  <w:b w:val="1"/>
                  <w:bCs w:val="1"/>
                  <w:color w:val="0000EE"/>
                  <w:w w:val="99"/>
                </w:rPr>
                <w:t>PART II</w:t>
              </w:r>
            </w:hyperlink>
          </w:p>
        </w:tc>
        <w:tc>
          <w:tcPr>
            <w:tcW w:w="380" w:type="dxa"/>
            <w:vAlign w:val="bottom"/>
            <w:gridSpan w:val="3"/>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3">
              <w:r>
                <w:rPr>
                  <w:rFonts w:ascii="Arial" w:cs="Arial" w:eastAsia="Arial" w:hAnsi="Arial"/>
                  <w:sz w:val="18"/>
                  <w:szCs w:val="18"/>
                  <w:color w:val="0000EE"/>
                  <w:w w:val="83"/>
                </w:rPr>
                <w:t>Item 5.</w:t>
              </w:r>
            </w:hyperlink>
          </w:p>
        </w:tc>
        <w:tc>
          <w:tcPr>
            <w:tcW w:w="540" w:type="dxa"/>
            <w:vAlign w:val="bottom"/>
            <w:gridSpan w:val="5"/>
          </w:tcPr>
          <w:p>
            <w:pPr>
              <w:spacing w:after="0"/>
              <w:rPr>
                <w:sz w:val="21"/>
                <w:szCs w:val="21"/>
                <w:color w:val="auto"/>
              </w:rPr>
            </w:pPr>
          </w:p>
        </w:tc>
        <w:tc>
          <w:tcPr>
            <w:tcW w:w="8340" w:type="dxa"/>
            <w:vAlign w:val="bottom"/>
            <w:gridSpan w:val="18"/>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Market for the Registrant’s Common Equity, Related Stockholder Matters and Issuer Purchases of Equity Securities</w:t>
              </w:r>
            </w:hyperlink>
          </w:p>
        </w:tc>
        <w:tc>
          <w:tcPr>
            <w:tcW w:w="52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6">
              <w:r>
                <w:rPr>
                  <w:rFonts w:ascii="Arial" w:cs="Arial" w:eastAsia="Arial" w:hAnsi="Arial"/>
                  <w:sz w:val="18"/>
                  <w:szCs w:val="18"/>
                  <w:color w:val="0000EE"/>
                  <w:w w:val="83"/>
                </w:rPr>
                <w:t>Item 6.</w:t>
              </w:r>
            </w:hyperlink>
          </w:p>
        </w:tc>
        <w:tc>
          <w:tcPr>
            <w:tcW w:w="540" w:type="dxa"/>
            <w:vAlign w:val="bottom"/>
            <w:gridSpan w:val="5"/>
          </w:tcPr>
          <w:p>
            <w:pPr>
              <w:spacing w:after="0"/>
              <w:rPr>
                <w:sz w:val="21"/>
                <w:szCs w:val="21"/>
                <w:color w:val="auto"/>
              </w:rPr>
            </w:pPr>
          </w:p>
        </w:tc>
        <w:tc>
          <w:tcPr>
            <w:tcW w:w="8340" w:type="dxa"/>
            <w:vAlign w:val="bottom"/>
            <w:gridSpan w:val="1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52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37">
              <w:r>
                <w:rPr>
                  <w:rFonts w:ascii="Arial" w:cs="Arial" w:eastAsia="Arial" w:hAnsi="Arial"/>
                  <w:sz w:val="18"/>
                  <w:szCs w:val="18"/>
                  <w:color w:val="0000EE"/>
                  <w:w w:val="83"/>
                </w:rPr>
                <w:t>Item 7.</w:t>
              </w:r>
            </w:hyperlink>
          </w:p>
        </w:tc>
        <w:tc>
          <w:tcPr>
            <w:tcW w:w="540" w:type="dxa"/>
            <w:vAlign w:val="bottom"/>
            <w:gridSpan w:val="5"/>
          </w:tcPr>
          <w:p>
            <w:pPr>
              <w:spacing w:after="0"/>
              <w:rPr>
                <w:sz w:val="21"/>
                <w:szCs w:val="21"/>
                <w:color w:val="auto"/>
              </w:rPr>
            </w:pPr>
          </w:p>
        </w:tc>
        <w:tc>
          <w:tcPr>
            <w:tcW w:w="6460" w:type="dxa"/>
            <w:vAlign w:val="bottom"/>
            <w:gridSpan w:val="15"/>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2400" w:type="dxa"/>
            <w:vAlign w:val="bottom"/>
            <w:gridSpan w:val="4"/>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58">
              <w:r>
                <w:rPr>
                  <w:rFonts w:ascii="Arial" w:cs="Arial" w:eastAsia="Arial" w:hAnsi="Arial"/>
                  <w:sz w:val="18"/>
                  <w:szCs w:val="18"/>
                  <w:color w:val="0000EE"/>
                  <w:w w:val="80"/>
                </w:rPr>
                <w:t>Item 7A.</w:t>
              </w:r>
            </w:hyperlink>
          </w:p>
        </w:tc>
        <w:tc>
          <w:tcPr>
            <w:tcW w:w="460" w:type="dxa"/>
            <w:vAlign w:val="bottom"/>
            <w:gridSpan w:val="4"/>
          </w:tcPr>
          <w:p>
            <w:pPr>
              <w:spacing w:after="0"/>
              <w:rPr>
                <w:sz w:val="21"/>
                <w:szCs w:val="21"/>
                <w:color w:val="auto"/>
              </w:rPr>
            </w:pPr>
          </w:p>
        </w:tc>
        <w:tc>
          <w:tcPr>
            <w:tcW w:w="4360" w:type="dxa"/>
            <w:vAlign w:val="bottom"/>
            <w:gridSpan w:val="13"/>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Quantitative and Qualitative Disclosures About Market Risk</w:t>
              </w:r>
            </w:hyperlink>
          </w:p>
        </w:tc>
        <w:tc>
          <w:tcPr>
            <w:tcW w:w="4500" w:type="dxa"/>
            <w:vAlign w:val="bottom"/>
            <w:gridSpan w:val="6"/>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58">
              <w:r>
                <w:rPr>
                  <w:rFonts w:ascii="Arial" w:cs="Arial" w:eastAsia="Arial" w:hAnsi="Arial"/>
                  <w:sz w:val="18"/>
                  <w:szCs w:val="18"/>
                  <w:color w:val="0000EE"/>
                  <w:w w:val="83"/>
                </w:rPr>
                <w:t>Item 8.</w:t>
              </w:r>
            </w:hyperlink>
          </w:p>
        </w:tc>
        <w:tc>
          <w:tcPr>
            <w:tcW w:w="80" w:type="dxa"/>
            <w:vAlign w:val="bottom"/>
          </w:tcPr>
          <w:p>
            <w:pPr>
              <w:spacing w:after="0"/>
              <w:rPr>
                <w:sz w:val="21"/>
                <w:szCs w:val="21"/>
                <w:color w:val="auto"/>
              </w:rPr>
            </w:pPr>
          </w:p>
        </w:tc>
        <w:tc>
          <w:tcPr>
            <w:tcW w:w="460" w:type="dxa"/>
            <w:vAlign w:val="bottom"/>
            <w:gridSpan w:val="4"/>
          </w:tcPr>
          <w:p>
            <w:pPr>
              <w:spacing w:after="0"/>
              <w:rPr>
                <w:sz w:val="21"/>
                <w:szCs w:val="21"/>
                <w:color w:val="auto"/>
              </w:rPr>
            </w:pPr>
          </w:p>
        </w:tc>
        <w:tc>
          <w:tcPr>
            <w:tcW w:w="4360" w:type="dxa"/>
            <w:vAlign w:val="bottom"/>
            <w:gridSpan w:val="1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Financial Statements and Supplementary Data</w:t>
              </w:r>
            </w:hyperlink>
          </w:p>
        </w:tc>
        <w:tc>
          <w:tcPr>
            <w:tcW w:w="4500" w:type="dxa"/>
            <w:vAlign w:val="bottom"/>
            <w:gridSpan w:val="6"/>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 w:type="dxa"/>
            <w:vAlign w:val="bottom"/>
          </w:tcPr>
          <w:p>
            <w:pPr>
              <w:spacing w:after="0"/>
              <w:rPr>
                <w:rFonts w:ascii="Arial" w:cs="Arial" w:eastAsia="Arial" w:hAnsi="Arial"/>
                <w:sz w:val="18"/>
                <w:szCs w:val="18"/>
                <w:color w:val="0000EE"/>
                <w:w w:val="83"/>
              </w:rPr>
            </w:pPr>
            <w:hyperlink w:anchor="page58">
              <w:r>
                <w:rPr>
                  <w:rFonts w:ascii="Arial" w:cs="Arial" w:eastAsia="Arial" w:hAnsi="Arial"/>
                  <w:sz w:val="18"/>
                  <w:szCs w:val="18"/>
                  <w:color w:val="0000EE"/>
                  <w:w w:val="83"/>
                </w:rPr>
                <w:t>Item 9.</w:t>
              </w:r>
            </w:hyperlink>
          </w:p>
        </w:tc>
        <w:tc>
          <w:tcPr>
            <w:tcW w:w="540" w:type="dxa"/>
            <w:vAlign w:val="bottom"/>
            <w:gridSpan w:val="5"/>
          </w:tcPr>
          <w:p>
            <w:pPr>
              <w:spacing w:after="0"/>
              <w:rPr>
                <w:sz w:val="21"/>
                <w:szCs w:val="21"/>
                <w:color w:val="auto"/>
              </w:rPr>
            </w:pPr>
          </w:p>
        </w:tc>
        <w:tc>
          <w:tcPr>
            <w:tcW w:w="6480" w:type="dxa"/>
            <w:vAlign w:val="bottom"/>
            <w:gridSpan w:val="16"/>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Changes in and Disagreements with Accountants on Accounting and Financial Disclosure</w:t>
              </w:r>
            </w:hyperlink>
          </w:p>
        </w:tc>
        <w:tc>
          <w:tcPr>
            <w:tcW w:w="2380" w:type="dxa"/>
            <w:vAlign w:val="bottom"/>
            <w:gridSpan w:val="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58">
              <w:r>
                <w:rPr>
                  <w:rFonts w:ascii="Arial" w:cs="Arial" w:eastAsia="Arial" w:hAnsi="Arial"/>
                  <w:sz w:val="18"/>
                  <w:szCs w:val="18"/>
                  <w:color w:val="0000EE"/>
                  <w:w w:val="80"/>
                </w:rPr>
                <w:t>Item 9A.</w:t>
              </w:r>
            </w:hyperlink>
          </w:p>
        </w:tc>
        <w:tc>
          <w:tcPr>
            <w:tcW w:w="460" w:type="dxa"/>
            <w:vAlign w:val="bottom"/>
            <w:gridSpan w:val="4"/>
          </w:tcPr>
          <w:p>
            <w:pPr>
              <w:spacing w:after="0"/>
              <w:rPr>
                <w:sz w:val="21"/>
                <w:szCs w:val="21"/>
                <w:color w:val="auto"/>
              </w:rPr>
            </w:pPr>
          </w:p>
        </w:tc>
        <w:tc>
          <w:tcPr>
            <w:tcW w:w="8860" w:type="dxa"/>
            <w:vAlign w:val="bottom"/>
            <w:gridSpan w:val="1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59">
              <w:r>
                <w:rPr>
                  <w:rFonts w:ascii="Arial" w:cs="Arial" w:eastAsia="Arial" w:hAnsi="Arial"/>
                  <w:sz w:val="18"/>
                  <w:szCs w:val="18"/>
                  <w:color w:val="0000EE"/>
                  <w:w w:val="80"/>
                </w:rPr>
                <w:t>Item 9B.</w:t>
              </w:r>
            </w:hyperlink>
          </w:p>
        </w:tc>
        <w:tc>
          <w:tcPr>
            <w:tcW w:w="460" w:type="dxa"/>
            <w:vAlign w:val="bottom"/>
            <w:gridSpan w:val="4"/>
          </w:tcPr>
          <w:p>
            <w:pPr>
              <w:spacing w:after="0"/>
              <w:rPr>
                <w:sz w:val="21"/>
                <w:szCs w:val="21"/>
                <w:color w:val="auto"/>
              </w:rPr>
            </w:pPr>
          </w:p>
        </w:tc>
        <w:tc>
          <w:tcPr>
            <w:tcW w:w="1700" w:type="dxa"/>
            <w:vAlign w:val="bottom"/>
            <w:gridSpan w:val="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7160" w:type="dxa"/>
            <w:vAlign w:val="bottom"/>
            <w:gridSpan w:val="1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III</w:t>
              </w:r>
            </w:hyperlink>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9">
              <w:r>
                <w:rPr>
                  <w:rFonts w:ascii="Arial" w:cs="Arial" w:eastAsia="Arial" w:hAnsi="Arial"/>
                  <w:sz w:val="18"/>
                  <w:szCs w:val="18"/>
                  <w:color w:val="0000EE"/>
                  <w:w w:val="82"/>
                </w:rPr>
                <w:t>Item 10.</w:t>
              </w:r>
            </w:hyperlink>
          </w:p>
        </w:tc>
        <w:tc>
          <w:tcPr>
            <w:tcW w:w="460" w:type="dxa"/>
            <w:vAlign w:val="bottom"/>
            <w:gridSpan w:val="4"/>
          </w:tcPr>
          <w:p>
            <w:pPr>
              <w:spacing w:after="0"/>
              <w:rPr>
                <w:sz w:val="21"/>
                <w:szCs w:val="21"/>
                <w:color w:val="auto"/>
              </w:rPr>
            </w:pPr>
          </w:p>
        </w:tc>
        <w:tc>
          <w:tcPr>
            <w:tcW w:w="8860" w:type="dxa"/>
            <w:vAlign w:val="bottom"/>
            <w:gridSpan w:val="1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Directors, Executive Officers and Corporate Governance</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9">
              <w:r>
                <w:rPr>
                  <w:rFonts w:ascii="Arial" w:cs="Arial" w:eastAsia="Arial" w:hAnsi="Arial"/>
                  <w:sz w:val="18"/>
                  <w:szCs w:val="18"/>
                  <w:color w:val="0000EE"/>
                  <w:w w:val="82"/>
                </w:rPr>
                <w:t>Item 11.</w:t>
              </w:r>
            </w:hyperlink>
          </w:p>
        </w:tc>
        <w:tc>
          <w:tcPr>
            <w:tcW w:w="460" w:type="dxa"/>
            <w:vAlign w:val="bottom"/>
            <w:gridSpan w:val="4"/>
          </w:tcPr>
          <w:p>
            <w:pPr>
              <w:spacing w:after="0"/>
              <w:rPr>
                <w:sz w:val="21"/>
                <w:szCs w:val="21"/>
                <w:color w:val="auto"/>
              </w:rPr>
            </w:pPr>
          </w:p>
        </w:tc>
        <w:tc>
          <w:tcPr>
            <w:tcW w:w="4080" w:type="dxa"/>
            <w:vAlign w:val="bottom"/>
            <w:gridSpan w:val="12"/>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Executive Compensation</w:t>
              </w:r>
            </w:hyperlink>
          </w:p>
        </w:tc>
        <w:tc>
          <w:tcPr>
            <w:tcW w:w="4780" w:type="dxa"/>
            <w:vAlign w:val="bottom"/>
            <w:gridSpan w:val="7"/>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59">
              <w:r>
                <w:rPr>
                  <w:rFonts w:ascii="Arial" w:cs="Arial" w:eastAsia="Arial" w:hAnsi="Arial"/>
                  <w:sz w:val="18"/>
                  <w:szCs w:val="18"/>
                  <w:color w:val="0000EE"/>
                  <w:w w:val="82"/>
                </w:rPr>
                <w:t>Item 12.</w:t>
              </w:r>
            </w:hyperlink>
          </w:p>
        </w:tc>
        <w:tc>
          <w:tcPr>
            <w:tcW w:w="460" w:type="dxa"/>
            <w:vAlign w:val="bottom"/>
            <w:gridSpan w:val="4"/>
          </w:tcPr>
          <w:p>
            <w:pPr>
              <w:spacing w:after="0"/>
              <w:rPr>
                <w:sz w:val="21"/>
                <w:szCs w:val="21"/>
                <w:color w:val="auto"/>
              </w:rPr>
            </w:pPr>
          </w:p>
        </w:tc>
        <w:tc>
          <w:tcPr>
            <w:tcW w:w="8860" w:type="dxa"/>
            <w:vAlign w:val="bottom"/>
            <w:gridSpan w:val="1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Security Ownership of Certain Beneficial Owners and Management and Related Stockholder Matters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60">
              <w:r>
                <w:rPr>
                  <w:rFonts w:ascii="Arial" w:cs="Arial" w:eastAsia="Arial" w:hAnsi="Arial"/>
                  <w:sz w:val="18"/>
                  <w:szCs w:val="18"/>
                  <w:color w:val="0000EE"/>
                  <w:w w:val="82"/>
                </w:rPr>
                <w:t>Item 13.</w:t>
              </w:r>
            </w:hyperlink>
          </w:p>
        </w:tc>
        <w:tc>
          <w:tcPr>
            <w:tcW w:w="460" w:type="dxa"/>
            <w:vAlign w:val="bottom"/>
            <w:gridSpan w:val="4"/>
          </w:tcPr>
          <w:p>
            <w:pPr>
              <w:spacing w:after="0"/>
              <w:rPr>
                <w:sz w:val="21"/>
                <w:szCs w:val="21"/>
                <w:color w:val="auto"/>
              </w:rPr>
            </w:pPr>
          </w:p>
        </w:tc>
        <w:tc>
          <w:tcPr>
            <w:tcW w:w="7280" w:type="dxa"/>
            <w:vAlign w:val="bottom"/>
            <w:gridSpan w:val="1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Director Independence</w:t>
              </w:r>
            </w:hyperlink>
          </w:p>
        </w:tc>
        <w:tc>
          <w:tcPr>
            <w:tcW w:w="158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60">
              <w:r>
                <w:rPr>
                  <w:rFonts w:ascii="Arial" w:cs="Arial" w:eastAsia="Arial" w:hAnsi="Arial"/>
                  <w:sz w:val="18"/>
                  <w:szCs w:val="18"/>
                  <w:color w:val="0000EE"/>
                  <w:w w:val="82"/>
                </w:rPr>
                <w:t>Item 14.</w:t>
              </w:r>
            </w:hyperlink>
          </w:p>
        </w:tc>
        <w:tc>
          <w:tcPr>
            <w:tcW w:w="460" w:type="dxa"/>
            <w:vAlign w:val="bottom"/>
            <w:gridSpan w:val="4"/>
          </w:tcPr>
          <w:p>
            <w:pPr>
              <w:spacing w:after="0"/>
              <w:rPr>
                <w:sz w:val="21"/>
                <w:szCs w:val="21"/>
                <w:color w:val="auto"/>
              </w:rPr>
            </w:pPr>
          </w:p>
        </w:tc>
        <w:tc>
          <w:tcPr>
            <w:tcW w:w="5440" w:type="dxa"/>
            <w:vAlign w:val="bottom"/>
            <w:gridSpan w:val="1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Principal Accounting Fees and Services</w:t>
              </w:r>
            </w:hyperlink>
          </w:p>
        </w:tc>
        <w:tc>
          <w:tcPr>
            <w:tcW w:w="342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60">
              <w:r>
                <w:rPr>
                  <w:rFonts w:ascii="Arial" w:cs="Arial" w:eastAsia="Arial" w:hAnsi="Arial"/>
                  <w:sz w:val="18"/>
                  <w:szCs w:val="18"/>
                  <w:b w:val="1"/>
                  <w:bCs w:val="1"/>
                  <w:color w:val="0000EE"/>
                  <w:w w:val="98"/>
                </w:rPr>
                <w:t>PART IV</w:t>
              </w:r>
            </w:hyperlink>
          </w:p>
        </w:tc>
        <w:tc>
          <w:tcPr>
            <w:tcW w:w="320" w:type="dxa"/>
            <w:vAlign w:val="bottom"/>
            <w:gridSpan w:val="2"/>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60">
              <w:r>
                <w:rPr>
                  <w:rFonts w:ascii="Arial" w:cs="Arial" w:eastAsia="Arial" w:hAnsi="Arial"/>
                  <w:sz w:val="18"/>
                  <w:szCs w:val="18"/>
                  <w:color w:val="0000EE"/>
                  <w:w w:val="82"/>
                </w:rPr>
                <w:t>Item 15.</w:t>
              </w:r>
            </w:hyperlink>
          </w:p>
        </w:tc>
        <w:tc>
          <w:tcPr>
            <w:tcW w:w="460" w:type="dxa"/>
            <w:vAlign w:val="bottom"/>
            <w:gridSpan w:val="4"/>
          </w:tcPr>
          <w:p>
            <w:pPr>
              <w:spacing w:after="0"/>
              <w:rPr>
                <w:sz w:val="21"/>
                <w:szCs w:val="21"/>
                <w:color w:val="auto"/>
              </w:rPr>
            </w:pPr>
          </w:p>
        </w:tc>
        <w:tc>
          <w:tcPr>
            <w:tcW w:w="2900" w:type="dxa"/>
            <w:vAlign w:val="bottom"/>
            <w:gridSpan w:val="10"/>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Exhibits, Financial Statement Schedules</w:t>
              </w:r>
            </w:hyperlink>
          </w:p>
        </w:tc>
        <w:tc>
          <w:tcPr>
            <w:tcW w:w="5960" w:type="dxa"/>
            <w:vAlign w:val="bottom"/>
            <w:gridSpan w:val="9"/>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596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64">
              <w:r>
                <w:rPr>
                  <w:rFonts w:ascii="Arial" w:cs="Arial" w:eastAsia="Arial" w:hAnsi="Arial"/>
                  <w:sz w:val="18"/>
                  <w:szCs w:val="18"/>
                  <w:color w:val="0000EE"/>
                  <w:w w:val="82"/>
                </w:rPr>
                <w:t>Item 16.</w:t>
              </w:r>
            </w:hyperlink>
          </w:p>
        </w:tc>
        <w:tc>
          <w:tcPr>
            <w:tcW w:w="460" w:type="dxa"/>
            <w:vAlign w:val="bottom"/>
            <w:gridSpan w:val="4"/>
          </w:tcPr>
          <w:p>
            <w:pPr>
              <w:spacing w:after="0"/>
              <w:rPr>
                <w:sz w:val="21"/>
                <w:szCs w:val="21"/>
                <w:color w:val="auto"/>
              </w:rPr>
            </w:pPr>
          </w:p>
        </w:tc>
        <w:tc>
          <w:tcPr>
            <w:tcW w:w="2900" w:type="dxa"/>
            <w:vAlign w:val="bottom"/>
            <w:gridSpan w:val="1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Form 10-K Summary</w:t>
              </w:r>
            </w:hyperlink>
          </w:p>
        </w:tc>
        <w:tc>
          <w:tcPr>
            <w:tcW w:w="5960" w:type="dxa"/>
            <w:vAlign w:val="bottom"/>
            <w:gridSpan w:val="9"/>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507"/>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Borders>
              <w:top w:val="single" w:sz="8" w:color="0000EE"/>
            </w:tcBorders>
            <w:gridSpan w:val="5"/>
          </w:tcPr>
          <w:p>
            <w:pPr>
              <w:spacing w:after="0"/>
              <w:rPr>
                <w:sz w:val="24"/>
                <w:szCs w:val="24"/>
                <w:color w:val="auto"/>
              </w:rPr>
            </w:pPr>
          </w:p>
        </w:tc>
        <w:tc>
          <w:tcPr>
            <w:tcW w:w="3900" w:type="dxa"/>
            <w:vAlign w:val="bottom"/>
            <w:gridSpan w:val="9"/>
          </w:tcPr>
          <w:p>
            <w:pPr>
              <w:jc w:val="center"/>
              <w:ind w:left="2190"/>
              <w:spacing w:after="0"/>
              <w:rPr>
                <w:sz w:val="20"/>
                <w:szCs w:val="20"/>
                <w:color w:val="auto"/>
              </w:rPr>
            </w:pPr>
            <w:r>
              <w:rPr>
                <w:rFonts w:ascii="Arial" w:cs="Arial" w:eastAsia="Arial" w:hAnsi="Arial"/>
                <w:sz w:val="18"/>
                <w:szCs w:val="18"/>
                <w:color w:val="auto"/>
                <w:w w:val="99"/>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references to “us,” “we,” “our,” the “Company” and “Kratos” refer to Kratos Defense &amp; Security Solutions, Inc., a Delaware corporation, and its subsidiaries.</w:t>
      </w:r>
    </w:p>
    <w:p>
      <w:pPr>
        <w:spacing w:after="0" w:line="166"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229"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i w:val="1"/>
          <w:iCs w:val="1"/>
          <w:color w:val="auto"/>
        </w:rPr>
        <w:t>This Annual Report on Form 10-K (this “Annual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The most important risks and uncertainties that could cause our actual results or achievements to differ materially from the results or achievements expressed in or implied by our forward-looking statements, include, but are not limited to those specifically addressed in Item 1A “Risk Factors” in this Annual Report, as well as those discussed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Kratos is a government contractor at the forefront of the U.S. Department of Defense’s (the “DoD”) Third Offset Strategy and Rapid Innovation Initiatives. Kratos is a leading technology, intellectual property, proprietary product and system solution company focused on the U.S. and its allies’ national security. Kratos is a recognized industry leader in the rapid development, demonstration and fielding of high technology systems and products at an affordable cost. A key element of our business plan is to make Company-funded investments related to key platforms, products and systems, so that we own the related intellectual property, providing us designed in, sole and single source positions with our offerings. We are an industry leader in high performance, jet powered, unmanned aerial drone target systems used to test weapon systems and to train the warfighter and a provider of high performance unmanned combat aerial systems for force multiplication and amplification. We are also an industry leader in satellite communications, microwave electronics, cyber security/warfare, missile defense and combat and training systems. Our workforce is primarily engineering and technically oriented with a significant number of employees holding national security clearances. Substantially all of our work is performed at customer locations, in a secure facility or at a critical infrastructure location. Our primary end customers are national and homeland security related agencies. We believe that our technology, intellectual property, proprietary products and designed-in positions on our customers’ programs, platforms and systems gives us a competitive advantage and creates a high barrier to entry into our markets. Our entire organization is focused on executing our strategy of becoming the leading technology and intellectual property based company in our industry.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In May 2017, the President signed into law the fiscal year (“FY”) 2017 Consolidated Appropriations Act. In total for 2017, Congress appropriated $524 billion in base discretionary funding for the DoD, consistent with the Budget Control Act of 2011 (the “BCA”). Congress also appropriated approximately $68 billion in Overseas Contingency Operations (“OCO”) funding and approximately $15 billion in additional DoD appropriations.</w:t>
      </w:r>
    </w:p>
    <w:p>
      <w:pPr>
        <w:spacing w:after="0" w:line="147"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In May 2017, the President released a revised FY 2018 budget request, which seeks $575 billion for the DoD’s base budget, approximately $52 billion above the statutory caps provided for in the BCA. The President’s budget request also seeks an additional $65 billion in OCO funding for expeditionary needs, not capped by the BCA.</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September 8, 2017, the President signed a continuing resolution which generally funded the government at FY 2017 levels through December 8, 2017. The continuing resolution was extended to December 22, 2017 and further extended to January 19, 2018. As Congress did not enact appropriations legislation or a new continuing resolution by January 19, 2018, on January 20, 2018, the U.S. Government temporarily shut down. On January 22, 2018, a fourth continuing resolution was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enacted, which funded the government through February 8,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111111"/>
        </w:rPr>
        <w:t>On February 9, 2018, the Congress approved and the President signed the Bipartisan Budget Act of 2018, which provides that:</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111111"/>
        </w:rPr>
        <w:t>spending limits created by the BCA will be increased by approximately $300 billion over the next two years;</w:t>
      </w:r>
    </w:p>
    <w:p>
      <w:pPr>
        <w:spacing w:after="0" w:line="23"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111111"/>
        </w:rPr>
        <w:t>defense spending will be increased by $80 billion in the current FY and by $85 billion next year, to approximately $700 billion and $705 billion, respectively;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111111"/>
        </w:rPr>
        <w:t>domestic spending will be increased by $63 billion this year and by $68 billion next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111111"/>
        </w:rPr>
        <w:t>Congress will suspend the debt limit through March 2019, putting the next debt limit vote past the 2018 midterm elections.</w:t>
      </w:r>
    </w:p>
    <w:p>
      <w:pPr>
        <w:spacing w:after="0" w:line="21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111111"/>
        </w:rPr>
        <w:t>The Congress and the President also executed a fifth continuing resolution authorization through March 23, 2018, to provide congressional appropriators the time required to appropriately document and allocate the authorized spending.</w:t>
      </w:r>
    </w:p>
    <w:p>
      <w:pPr>
        <w:spacing w:after="0" w:line="23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federal budget and debt ceiling are expected to continue to be the subject of considerable debate, which could have a significant impact on defense spending broadly and the Company’s programs in particular in the future. If a prolonged government shutdown were to occur, it could result in program cancellations and/or stop work orders and could limit our ability to perform on our U.S. Government contracts and the U.S. Government’s ability to make timely payments.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Reporting Segments</w:t>
      </w:r>
    </w:p>
    <w:p>
      <w:pPr>
        <w:spacing w:after="0" w:line="22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Company operates in three reportable segments. The Kratos Government Solutions (“KGS”) reportable segment which is comprised of an aggregation of KGS operating segments, the Unmanned Systems (“US”) reportable segment, and the Public Safety &amp; Security (“PSS”) reportable segment.</w:t>
      </w:r>
    </w:p>
    <w:p>
      <w:pPr>
        <w:spacing w:after="0" w:line="12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KGS has four operating segments: Defense Rocket Support Services (“DRSS”), Microwave Electronics Division (“ME”), Technical and Training Solutions (“TTS”), and Modular Systems (“MS”) that provide technology-based defense solutions, involving products and services, primarily for mission critical U.S. National Security priorities, with the primary focus relating to the nation’s Command, Control, Communications, Computing, Combat Systems, Intelligence, Surveillance and Reconnaissance requirements. The US reportable segment provides unmanned aerial systems and unmanned ground and seaborne systems. The PSS reportable segment provides integrated solutions for advanced homeland security, public safety, critical infrastructure security, and security and surveillance systems for government, industrial and commercial customers.</w:t>
      </w:r>
    </w:p>
    <w:p>
      <w:pPr>
        <w:spacing w:after="0" w:line="17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13 of the Notes to Consolidated Financial Statements. From a customer and solutions perspective, we view our business as an integrated whole, leveraging skills and assets wherever possible.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We believe that our intellectual property, proprietary products, and technology are strongly aligned with certain of the highest priority spending areas of the DoD, and the DoD’s focus on leveraging technology to defeat or deter peer and near-peer adversaries. We also believe that our proven ability to rapidly design, develop, demonstrate and field leading technology products and systems at an affordable cost differentiates us from our competitors. When combined with our longstanding customer relationships, and the designed-in position of our systems, technology and products into our customers’ platforms, programs, and systems, we believe these factors provide a unique competitive advantage and position us well for accelerated growth.</w:t>
      </w:r>
    </w:p>
    <w:p>
      <w:pPr>
        <w:spacing w:after="0" w:line="15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Specialized national security focus aligned with mission-critical national security priorities. </w:t>
      </w:r>
      <w:r>
        <w:rPr>
          <w:rFonts w:ascii="Arial" w:cs="Arial" w:eastAsia="Arial" w:hAnsi="Arial"/>
          <w:sz w:val="17"/>
          <w:szCs w:val="17"/>
          <w:color w:val="auto"/>
        </w:rPr>
        <w:t>Continued concerns related to the threats posed by</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foreign nations, including nations with peer or near peer capabilities and terrorists have caused the U.S. Government to identify national security as an area of functional and spending priority. Budget pressures, particularly related to DoD spending, have placed a premium on developing and fielding low-cost, high-technology solutions to assist in national security missions. While recent budget pressures have at times caused delays in orders for our business, current budget projections, including the pending fiscal 2018 and 2019 DoD budgets, suggest defense spending will increase over the next few years. The improving outlook for defense spending is primarily focused on enhanced power projection,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warfighting readiness, lethality, and recapitalization of key strategic defense systems to address peer and near peer threats. Our primary capabilities and areas of focus, listed below, are strongly aligned with the objectives of the U.S. Government:</w:t>
      </w:r>
    </w:p>
    <w:p>
      <w:pPr>
        <w:spacing w:after="0" w:line="170"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Unmanned aerial drone, unmanned ground and unmanned seaborne systems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Satellite communications and radio frequency interference detection location and mitigation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Microwave electronics supporting warfare, missile, radar and communication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Electronic warfare, attack, missile, and radar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Intelligence, surveillance and reconnaissance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Ballistic missile defense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Command, control and combat systems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 and information assurance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Specialized training systems and operational readiness</w:t>
      </w:r>
    </w:p>
    <w:p>
      <w:pPr>
        <w:spacing w:after="0" w:line="211" w:lineRule="exact"/>
        <w:rPr>
          <w:sz w:val="20"/>
          <w:szCs w:val="20"/>
          <w:color w:val="auto"/>
        </w:rPr>
      </w:pPr>
    </w:p>
    <w:p>
      <w:pPr>
        <w:ind w:right="20" w:firstLine="567"/>
        <w:spacing w:after="0" w:line="268" w:lineRule="auto"/>
        <w:rPr>
          <w:sz w:val="20"/>
          <w:szCs w:val="20"/>
          <w:color w:val="auto"/>
        </w:rPr>
      </w:pPr>
      <w:r>
        <w:rPr>
          <w:rFonts w:ascii="Arial" w:cs="Arial" w:eastAsia="Arial" w:hAnsi="Arial"/>
          <w:sz w:val="17"/>
          <w:szCs w:val="17"/>
          <w:i w:val="1"/>
          <w:iCs w:val="1"/>
          <w:color w:val="auto"/>
        </w:rPr>
        <w:t xml:space="preserve">IP-centric defense company with proprietary products and technology which address critical current and emerging threats faced by U.S. and allied militaries. </w:t>
      </w:r>
      <w:r>
        <w:rPr>
          <w:rFonts w:ascii="Arial" w:cs="Arial" w:eastAsia="Arial" w:hAnsi="Arial"/>
          <w:sz w:val="17"/>
          <w:szCs w:val="17"/>
          <w:color w:val="auto"/>
        </w:rPr>
        <w:t>As a technology-focused defense company at the forefront of the DoD’s strategy of technology rich and affordable systems, our current and</w:t>
      </w:r>
      <w:r>
        <w:rPr>
          <w:rFonts w:ascii="Arial" w:cs="Arial" w:eastAsia="Arial" w:hAnsi="Arial"/>
          <w:sz w:val="17"/>
          <w:szCs w:val="17"/>
          <w:i w:val="1"/>
          <w:iCs w:val="1"/>
          <w:color w:val="auto"/>
        </w:rPr>
        <w:t xml:space="preserve"> </w:t>
      </w:r>
      <w:r>
        <w:rPr>
          <w:rFonts w:ascii="Arial" w:cs="Arial" w:eastAsia="Arial" w:hAnsi="Arial"/>
          <w:sz w:val="17"/>
          <w:szCs w:val="17"/>
          <w:color w:val="auto"/>
        </w:rPr>
        <w:t>growing portfolio of proprietary products, solutions, and related intellectual property addresses some of the most critical needs of U.S. and allied militaries in the fields of unmanned systems, satellite communications, microwave electronics, cybersecurity/warfare, missile defense, combat and training systems. A key element of our customers’ strategy, and where we have invested significantly, is the development of capabilities and intellectual property addressing the recent challenges faced by U.S. and allied militaries in Anti-Access and Aerial-Denial (“A2/AD”) environments. This is evidenced by our significant investment in high-performance Unmanned Aerial Drone System (“UADS”) platforms and technology, which has culminated in a series of Unmanned Combat Aerial System (“UCAS”) contract wins. Additionally, with our satellite and terrestrial ground segment command, control, radio frequency interference monitoring, geolocation and mitigation products and capabilities, we are well-positioned to capitalize on the 2018 DoD budget request of $9.3 billion for space investments, a 29.1 percent increase over the 2017 budget, and a significant portion of which is for the development and protection of U.S. national security space assets and infrastructure. Accordingly, our proprietary products, systems and technologies are developed and refined with the goal of enabling our customers to maintain an advantage over the advanced and constantly evolving threats of adversaries, at an affordable cost. In many instances, we are one of the few companies that produce the mission-critical technology our customers require, or we outperformed our peers in a competitive bidding process. We maintain a strategy of internally funding research and development and owning the intellectual property of many of these high-performance capabilities and systems.</w:t>
      </w:r>
    </w:p>
    <w:p>
      <w:pPr>
        <w:spacing w:after="0" w:line="183" w:lineRule="exact"/>
        <w:rPr>
          <w:sz w:val="20"/>
          <w:szCs w:val="20"/>
          <w:color w:val="auto"/>
        </w:rPr>
      </w:pPr>
    </w:p>
    <w:p>
      <w:pPr>
        <w:ind w:right="60" w:firstLine="567"/>
        <w:spacing w:after="0" w:line="289" w:lineRule="auto"/>
        <w:rPr>
          <w:sz w:val="20"/>
          <w:szCs w:val="20"/>
          <w:color w:val="auto"/>
        </w:rPr>
      </w:pPr>
      <w:r>
        <w:rPr>
          <w:rFonts w:ascii="Arial" w:cs="Arial" w:eastAsia="Arial" w:hAnsi="Arial"/>
          <w:sz w:val="16"/>
          <w:szCs w:val="16"/>
          <w:i w:val="1"/>
          <w:iCs w:val="1"/>
          <w:color w:val="auto"/>
        </w:rPr>
        <w:t xml:space="preserve">Technology-driven company aligned with and supporting our customers’ increased innovation, technology, and strategic national security initiatives, with focus on speed and affordability. </w:t>
      </w:r>
      <w:r>
        <w:rPr>
          <w:rFonts w:ascii="Arial" w:cs="Arial" w:eastAsia="Arial" w:hAnsi="Arial"/>
          <w:sz w:val="16"/>
          <w:szCs w:val="16"/>
          <w:color w:val="auto"/>
        </w:rPr>
        <w:t>As the DoD works to increase or maintain its technological advantage over adversaries, it has continued its efforts to</w:t>
      </w:r>
      <w:r>
        <w:rPr>
          <w:rFonts w:ascii="Arial" w:cs="Arial" w:eastAsia="Arial" w:hAnsi="Arial"/>
          <w:sz w:val="16"/>
          <w:szCs w:val="16"/>
          <w:i w:val="1"/>
          <w:iCs w:val="1"/>
          <w:color w:val="auto"/>
        </w:rPr>
        <w:t xml:space="preserve"> </w:t>
      </w:r>
      <w:r>
        <w:rPr>
          <w:rFonts w:ascii="Arial" w:cs="Arial" w:eastAsia="Arial" w:hAnsi="Arial"/>
          <w:sz w:val="16"/>
          <w:szCs w:val="16"/>
          <w:color w:val="auto"/>
        </w:rPr>
        <w:t>create breakthrough technologies for national security, accelerate innovation to the warfighter, and repurpose current capabilities to create cost-effective, disruptive technology advances. With our focus on delivering leading edge systems, products and technologies that address the most critical current and emerging threats, our customers include some of the most technologically advanced organizations of the defense establishment, including the Defense Innovation Unit Experimental (“DIUx”), Defense Advanced Research Projects Agency (“DARPA”), Air Force Research Laboratory (“AFRL”), the Strategic Capabilities Office (SCO), the Strategic Command (STRATCOM), the National Aeronautics and Space Administration, the U.S. intelligence community, and other confidential customers. We believe our focus on constant innovation, capability improvements across our product and solutions portfolio, speed of development and production and affordability are key differentiators that align us with and address our customers’ key initiatives.</w:t>
      </w:r>
    </w:p>
    <w:p>
      <w:pPr>
        <w:spacing w:after="0" w:line="167"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i w:val="1"/>
          <w:iCs w:val="1"/>
          <w:color w:val="auto"/>
        </w:rPr>
        <w:t xml:space="preserve">In-depth understanding of customer missions. </w:t>
      </w:r>
      <w:r>
        <w:rPr>
          <w:rFonts w:ascii="Arial" w:cs="Arial" w:eastAsia="Arial" w:hAnsi="Arial"/>
          <w:sz w:val="16"/>
          <w:szCs w:val="16"/>
          <w:color w:val="auto"/>
        </w:rPr>
        <w:t>We have a reputation for successfully and rapidly designing, developing, demonstrating and fielding</w:t>
      </w:r>
      <w:r>
        <w:rPr>
          <w:rFonts w:ascii="Arial" w:cs="Arial" w:eastAsia="Arial" w:hAnsi="Arial"/>
          <w:sz w:val="16"/>
          <w:szCs w:val="16"/>
          <w:i w:val="1"/>
          <w:iCs w:val="1"/>
          <w:color w:val="auto"/>
        </w:rPr>
        <w:t xml:space="preserve"> </w:t>
      </w:r>
      <w:r>
        <w:rPr>
          <w:rFonts w:ascii="Arial" w:cs="Arial" w:eastAsia="Arial" w:hAnsi="Arial"/>
          <w:sz w:val="16"/>
          <w:szCs w:val="16"/>
          <w:color w:val="auto"/>
        </w:rPr>
        <w:t>mission-critical products, solutions and services to our customers, at an affordable cost. Our long-term relationships with the U.S. Air Force, U.S. Army, U.S. Navy and other national security related customers and agencies enable us to develop an in-depth understanding of their missions, problems and technical requirements. In addition, a substantial number of our employees are located at our customer locations, or at secure manufacturing facilities or at critical infrastructure locations, all of which provides Kratos with valuable strategic insight into our customers’ ongoing missions and future program and mission requirements. This understanding of our customers’ missions, requirements, and needs, in conjunction with the strategic location of our employees, enables us to offer technical solutions tailored to our customers’ specific requirements and evolving mission objectives. In addition, once we are on-site with a customer and providing our products and solutions, we have historically been successful in winning new and recompete business.</w:t>
      </w:r>
    </w:p>
    <w:p>
      <w:pPr>
        <w:spacing w:after="0" w:line="166" w:lineRule="exact"/>
        <w:rPr>
          <w:sz w:val="20"/>
          <w:szCs w:val="20"/>
          <w:color w:val="auto"/>
        </w:rPr>
      </w:pPr>
    </w:p>
    <w:p>
      <w:pPr>
        <w:ind w:right="20" w:firstLine="567"/>
        <w:spacing w:after="0" w:line="264" w:lineRule="auto"/>
        <w:rPr>
          <w:sz w:val="20"/>
          <w:szCs w:val="20"/>
          <w:color w:val="auto"/>
        </w:rPr>
      </w:pPr>
      <w:r>
        <w:rPr>
          <w:rFonts w:ascii="Arial" w:cs="Arial" w:eastAsia="Arial" w:hAnsi="Arial"/>
          <w:sz w:val="18"/>
          <w:szCs w:val="18"/>
          <w:color w:val="auto"/>
        </w:rPr>
        <w:t>Kratos is one of the industry leaders in high performance, jet powered, unmanned aerial target drone systems which are designed to replicate state of the art adversarial fighter aircraft, missiles and other threats. Kratos is the sole source or primary unmanned aerial target drone system provider to the U.S. Air Force, Navy, Army, and numerous allied foreign defense agencies.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Leveraging off of this technology, for which Kratos owns the intellectual property, we made a significant investment over the past four years developing Kratos’ first UCAS, our Unmanned Tactical Aerial Platform (“UTAP-22”), now formally called “Mako.” After successfully achieving the Mako’s first concept flights at the end of 2015, in 2016 we received a $12.6 million single-award contract to demonstrate certain payload integration and loyal wingman teaming with manned aircraft in a major military exercise. This contract is one of the largest recently awarded contracts by the DIUx. We are currently under contract with several additional customers related to Kratos’ Mako.</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select sample of other key Kratos’ UAS products and contracts includes:</w:t>
      </w:r>
    </w:p>
    <w:p>
      <w:pPr>
        <w:spacing w:after="0" w:line="225" w:lineRule="exact"/>
        <w:rPr>
          <w:sz w:val="20"/>
          <w:szCs w:val="20"/>
          <w:color w:val="auto"/>
        </w:rPr>
      </w:pPr>
    </w:p>
    <w:p>
      <w:pPr>
        <w:jc w:val="both"/>
        <w:ind w:left="1300" w:right="180" w:hanging="320"/>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2016, we were awarded two of the four Gremlins Phase I UAS contracts awarded by DARPA, the government’s leader in breakthrough technologies for national security. For one contract we are a prime or lead contractor, and for the other contract we are teamed with a lead partner company.</w:t>
      </w:r>
    </w:p>
    <w:p>
      <w:pPr>
        <w:spacing w:after="0" w:line="100"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2017, we successfully advanced to Phase II of the Gremlin’s program, teamed with our partner company.</w:t>
      </w:r>
    </w:p>
    <w:p>
      <w:pPr>
        <w:spacing w:after="0" w:line="144" w:lineRule="exact"/>
        <w:rPr>
          <w:rFonts w:ascii="Arial" w:cs="Arial" w:eastAsia="Arial" w:hAnsi="Arial"/>
          <w:sz w:val="18"/>
          <w:szCs w:val="18"/>
          <w:color w:val="auto"/>
        </w:rPr>
      </w:pPr>
    </w:p>
    <w:p>
      <w:pPr>
        <w:ind w:left="1300" w:right="100" w:hanging="320"/>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2016 we were awarded the AFRL Low Cost Attritable Strike Demonstration (“LCASD”) UCAS single-award cost share contract. The LCASD is an approximately 30 foot by 22 foot unmanned strike aerial drone system. We expect the initial flight of this leading technology UAS to occur in 2018.</w:t>
      </w:r>
    </w:p>
    <w:p>
      <w:pPr>
        <w:spacing w:after="0" w:line="100"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2016 we were awarded a contract by the DIUx related to our UTAP-22 Mako UCAS.</w:t>
      </w:r>
    </w:p>
    <w:p>
      <w:pPr>
        <w:spacing w:after="0" w:line="144" w:lineRule="exact"/>
        <w:rPr>
          <w:rFonts w:ascii="Arial" w:cs="Arial" w:eastAsia="Arial" w:hAnsi="Arial"/>
          <w:sz w:val="18"/>
          <w:szCs w:val="18"/>
          <w:color w:val="auto"/>
        </w:rPr>
      </w:pPr>
    </w:p>
    <w:p>
      <w:pPr>
        <w:ind w:left="1300" w:hanging="320"/>
        <w:spacing w:after="0" w:line="286" w:lineRule="auto"/>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redeveloped our Air Force Subscale Aerial Target BQM-167 into what we believe to be the highest performance unmanned aircraft in the world, the U.S. Navy Sub-Sonic Aerial Target (“SSAT”) Drone BQM-177A, with low rate initial production awarded to Kratos in June 2017. We expect the SSAT program to become one of the largest and most important to Kratos in the near term.</w:t>
      </w:r>
    </w:p>
    <w:p>
      <w:pPr>
        <w:spacing w:after="0" w:line="84" w:lineRule="exact"/>
        <w:rPr>
          <w:rFonts w:ascii="Arial" w:cs="Arial" w:eastAsia="Arial" w:hAnsi="Arial"/>
          <w:sz w:val="17"/>
          <w:szCs w:val="17"/>
          <w:color w:val="auto"/>
        </w:rPr>
      </w:pPr>
    </w:p>
    <w:p>
      <w:pPr>
        <w:ind w:left="1300" w:right="80" w:hanging="320"/>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recently received a single award of $93 million from the U.S. Army Contract Command for advanced subscale aerial drone systems, an unmanned target aircraft with launchers and associated ground equipment and spares, with an estimated completion date of December 17, 2022.</w:t>
      </w:r>
    </w:p>
    <w:p>
      <w:pPr>
        <w:spacing w:after="0" w:line="100" w:lineRule="exact"/>
        <w:rPr>
          <w:rFonts w:ascii="Arial" w:cs="Arial" w:eastAsia="Arial" w:hAnsi="Arial"/>
          <w:sz w:val="18"/>
          <w:szCs w:val="18"/>
          <w:color w:val="auto"/>
        </w:rPr>
      </w:pPr>
    </w:p>
    <w:p>
      <w:pPr>
        <w:ind w:left="1300" w:right="280" w:hanging="320"/>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recently received an approximately $23 million sole source initial production award for a new high performance, jet powered UADS which has been under development, with an expected execution period through 2018.</w:t>
      </w:r>
    </w:p>
    <w:p>
      <w:pPr>
        <w:spacing w:after="0" w:line="306" w:lineRule="exact"/>
        <w:rPr>
          <w:sz w:val="20"/>
          <w:szCs w:val="20"/>
          <w:color w:val="auto"/>
        </w:rPr>
      </w:pPr>
    </w:p>
    <w:p>
      <w:pPr>
        <w:ind w:right="20" w:firstLine="567"/>
        <w:spacing w:after="0" w:line="273" w:lineRule="auto"/>
        <w:rPr>
          <w:sz w:val="20"/>
          <w:szCs w:val="20"/>
          <w:color w:val="auto"/>
        </w:rPr>
      </w:pPr>
      <w:r>
        <w:rPr>
          <w:rFonts w:ascii="Arial" w:cs="Arial" w:eastAsia="Arial" w:hAnsi="Arial"/>
          <w:sz w:val="17"/>
          <w:szCs w:val="17"/>
          <w:color w:val="auto"/>
        </w:rPr>
        <w:t>We believe that our internally developed and owned intellectual property allows us to provide more capable jet powered, unmanned aircraft, designed to fly in A2/AD environments and with performance capabilities equal to or greater than fourth generation manned jet fighter aircraft, at an affordable cost. Kratos’ tactical UAS provide force multiplication and augmentation for manned high performance fighter aircraft. We believe that there are very few high-performance UAS that are as advanced as our technologies addressing the A2/AD environment, which the DoD has identified as a U.S. capabilities gap. As such, consistent with the needs and requirements of the U.S. and allied militaries, we believe that our leadership in these types of high performance unmanned aircraft provides us with a future market opportunity of these types of low-cost, high-performance systems.</w:t>
      </w:r>
    </w:p>
    <w:p>
      <w:pPr>
        <w:spacing w:after="0" w:line="178" w:lineRule="exact"/>
        <w:rPr>
          <w:sz w:val="20"/>
          <w:szCs w:val="20"/>
          <w:color w:val="auto"/>
        </w:rPr>
      </w:pPr>
    </w:p>
    <w:p>
      <w:pPr>
        <w:ind w:right="160" w:firstLine="567"/>
        <w:spacing w:after="0" w:line="254" w:lineRule="auto"/>
        <w:rPr>
          <w:sz w:val="20"/>
          <w:szCs w:val="20"/>
          <w:color w:val="auto"/>
        </w:rPr>
      </w:pPr>
      <w:r>
        <w:rPr>
          <w:rFonts w:ascii="Arial" w:cs="Arial" w:eastAsia="Arial" w:hAnsi="Arial"/>
          <w:sz w:val="18"/>
          <w:szCs w:val="18"/>
          <w:color w:val="auto"/>
        </w:rPr>
        <w:t>We are also an industry leader in ground-based command, control and communications systems for satellites, and a leader in related radio frequency interference identification, geolocation and mitigation. Our primary customers include the U.S. Air Force, Space Command and other agencies. Our microwave electronics business products have designed-in positions on critical combat system programs, including Barak, Gripen, Iron Dome, Sling of David, F-15, F-16 and Arrow. Our advanced capabilities in the training systems and solutions market, including for aircraft and combat vehicles, have allowed us to successfully remain at the forefront of defense industry readiness initiatives. We believe our strategy of internally funding the research and development of many of our systems, products, solutions and capabilities will continue to solidify our position in high growth markets, such as high performance UADS, satellite communications, microwave electronics and training systems, and allow us to grow, over the long-term, at a rate greater than that of the industry.</w:t>
      </w:r>
    </w:p>
    <w:p>
      <w:pPr>
        <w:spacing w:after="0" w:line="192" w:lineRule="exact"/>
        <w:rPr>
          <w:sz w:val="20"/>
          <w:szCs w:val="20"/>
          <w:color w:val="auto"/>
        </w:rPr>
      </w:pPr>
    </w:p>
    <w:p>
      <w:pPr>
        <w:ind w:right="100" w:firstLine="567"/>
        <w:spacing w:after="0" w:line="255" w:lineRule="auto"/>
        <w:rPr>
          <w:sz w:val="20"/>
          <w:szCs w:val="20"/>
          <w:color w:val="auto"/>
        </w:rPr>
      </w:pPr>
      <w:r>
        <w:rPr>
          <w:rFonts w:ascii="Arial" w:cs="Arial" w:eastAsia="Arial" w:hAnsi="Arial"/>
          <w:sz w:val="18"/>
          <w:szCs w:val="18"/>
          <w:i w:val="1"/>
          <w:iCs w:val="1"/>
          <w:color w:val="auto"/>
        </w:rPr>
        <w:t xml:space="preserve">Diverse base of key contracts with low concentration. </w:t>
      </w:r>
      <w:r>
        <w:rPr>
          <w:rFonts w:ascii="Arial" w:cs="Arial" w:eastAsia="Arial" w:hAnsi="Arial"/>
          <w:sz w:val="18"/>
          <w:szCs w:val="18"/>
          <w:color w:val="auto"/>
        </w:rPr>
        <w:t>Many of our contracts are single-award and/or sole source in nature, where we are the only</w:t>
      </w:r>
      <w:r>
        <w:rPr>
          <w:rFonts w:ascii="Arial" w:cs="Arial" w:eastAsia="Arial" w:hAnsi="Arial"/>
          <w:sz w:val="18"/>
          <w:szCs w:val="18"/>
          <w:i w:val="1"/>
          <w:iCs w:val="1"/>
          <w:color w:val="auto"/>
        </w:rPr>
        <w:t xml:space="preserve"> </w:t>
      </w:r>
      <w:r>
        <w:rPr>
          <w:rFonts w:ascii="Arial" w:cs="Arial" w:eastAsia="Arial" w:hAnsi="Arial"/>
          <w:sz w:val="18"/>
          <w:szCs w:val="18"/>
          <w:color w:val="auto"/>
        </w:rPr>
        <w:t>awardee by the customer. In many cases, our ability to obtain single award, sole source contracts is due to our intellectual property, proprietary products, historical performance qualifications, relative experience and affordability. Additionally, as a result of our business development focus on securing key contracts, we are also a preferred contractor on numerous multi-year, government-wide acquisition contracts (“GWACs”) and multiple award contracts. Our preferred contractor status provides us with the opportunity to bid on billions of dollars of business each year against a discrete number of other pre-qualified companies.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567"/>
        <w:spacing w:after="0" w:line="271" w:lineRule="auto"/>
        <w:rPr>
          <w:sz w:val="20"/>
          <w:szCs w:val="20"/>
          <w:color w:val="auto"/>
        </w:rPr>
      </w:pPr>
      <w:r>
        <w:rPr>
          <w:rFonts w:ascii="Arial" w:cs="Arial" w:eastAsia="Arial" w:hAnsi="Arial"/>
          <w:sz w:val="17"/>
          <w:szCs w:val="17"/>
          <w:color w:val="auto"/>
        </w:rPr>
        <w:t>We have a highly diverse base of customers and contracts with no contract representing more than 5% of 2017 revenue. Our fixed-price contracts, the majority of which are production contracts, represent approximately 88% of our 2017 revenue. Our cost-plus-fee contracts and time and materials contracts represent approximately 8% and 4%, respectively, of our 2017 revenue. We believe our diverse base of key contracts and low reliance on any one contract provides us with a stable, balanced revenue stream. Our recent major contract awards, including a $93 million UAS award with the Army, $23 million UAS sole source initial production award, $37 million SSAT low rate initial production contract, $16 million in specialized equipment for radars and systems, $22 million Lot 13 Option Exercise for the Air Force Subscale Aerial Target program, $46 million single award training contract to support the Royal Saudi Naval Forces, $54 million Marine Common Aircrew Trainers, $20 million KC-46 Tanker Maintenance Training System, and multiple tactical UADS awards have continued to allow us to grow the business while maintaining a diverse contract base.</w:t>
      </w:r>
    </w:p>
    <w:p>
      <w:pPr>
        <w:spacing w:after="0" w:line="17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i w:val="1"/>
          <w:iCs w:val="1"/>
          <w:color w:val="auto"/>
        </w:rPr>
        <w:t xml:space="preserve">Significant cash flow visibility driven by stable backlog. </w:t>
      </w:r>
      <w:r>
        <w:rPr>
          <w:rFonts w:ascii="Arial" w:cs="Arial" w:eastAsia="Arial" w:hAnsi="Arial"/>
          <w:sz w:val="16"/>
          <w:szCs w:val="16"/>
          <w:color w:val="auto"/>
        </w:rPr>
        <w:t>As of December 31, 2017 and December 25, 2016, our total backlog (see Backlog below)</w:t>
      </w:r>
      <w:r>
        <w:rPr>
          <w:rFonts w:ascii="Arial" w:cs="Arial" w:eastAsia="Arial" w:hAnsi="Arial"/>
          <w:sz w:val="16"/>
          <w:szCs w:val="16"/>
          <w:i w:val="1"/>
          <w:iCs w:val="1"/>
          <w:color w:val="auto"/>
        </w:rPr>
        <w:t xml:space="preserve"> </w:t>
      </w:r>
      <w:r>
        <w:rPr>
          <w:rFonts w:ascii="Arial" w:cs="Arial" w:eastAsia="Arial" w:hAnsi="Arial"/>
          <w:sz w:val="16"/>
          <w:szCs w:val="16"/>
          <w:color w:val="auto"/>
        </w:rPr>
        <w:t>was approximately $730.4 million and $899.7 million respectively, of which approximately $531.1 million was funded in 2017 and $626.1 million was funded in 2016. The majority of our sales are from awards issued under long-term contracts, typically three to five years in duration. Our contract backlog provides visibility into stable future revenue and cash flow over a diverse set of contracts. Importantly, a number of our systems and products are designed-in on and support long term, multi-year/multi-decade programs, which provides significant operational and financial visibility to our Company.</w:t>
      </w:r>
    </w:p>
    <w:p>
      <w:pPr>
        <w:spacing w:after="0" w:line="15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Highly skilled employees and an experienced management team. </w:t>
      </w:r>
      <w:r>
        <w:rPr>
          <w:rFonts w:ascii="Arial" w:cs="Arial" w:eastAsia="Arial" w:hAnsi="Arial"/>
          <w:sz w:val="17"/>
          <w:szCs w:val="17"/>
          <w:color w:val="auto"/>
        </w:rPr>
        <w:t>We deliver our systems, products and services through a skilled and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and technically oriented workforce of approximately 2,900 employees. Our senior managers have significant experience with U.S. Government agencies, the U.S. military and U.S. Government contractors. A significant number of Kratos employees hold national security clearances. Members of our management team have experience growing businesses both organically and through acquisitions and delivering significant value to stakeholders. We believe that the cumulative experience and differentiated expertise of our personnel in our core focus areas, coupled with our sizable and technically oriented employee base, allow us to qualify for and bid on larger programs and contracts in a prime contracting role.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4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Our strategy is to focus on our core business areas, including Unmanned Systems, Satellite Communications, Cyber Security, Microwave Electronics, Missile Defense and Training Systems. We will continue to invest in differentiating systems, products, technology and intellectual property. We intend to be the leader in rapidly developing, demonstrating and delivering to the warfighter leading technology systems, at an affordable cost.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Growth</w:t>
      </w:r>
    </w:p>
    <w:p>
      <w:pPr>
        <w:spacing w:after="0" w:line="14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focused on generating internal growth by capitalizing on our ability to rapidly develop, demonstrate and field leading technology systems and products at an affordable cost. We will make targeted discretionary investments in mission critical DoD priority areas including; unmanned systems, satellite communications, microwave electronics, cyber security and training systems, which have the highest potential for growth based on recent DoD funding requests, and in which we will retain the intellectual property rights.</w:t>
      </w:r>
    </w:p>
    <w:p>
      <w:pPr>
        <w:spacing w:after="0" w:line="187"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i w:val="1"/>
          <w:iCs w:val="1"/>
          <w:color w:val="auto"/>
        </w:rPr>
        <w:t xml:space="preserve">Expand technology product, solution and service offerings provided to existing customers. </w:t>
      </w:r>
      <w:r>
        <w:rPr>
          <w:rFonts w:ascii="Arial" w:cs="Arial" w:eastAsia="Arial" w:hAnsi="Arial"/>
          <w:sz w:val="17"/>
          <w:szCs w:val="17"/>
          <w:color w:val="auto"/>
        </w:rPr>
        <w:t>We are focused on expanding the technology,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and solutions we provide to our current customers by leveraging our strong relationships, technical capabilities, intellectual property and past performance qualifications as well as by offering a wider range of comprehensive low-cost technology rich products and solutions. In regard to areas of specialization, our product and solution offerings include the manufacturing of specialized defense electronics; integrated technology solutions for satellite command, control and communications; specialized high performance UADS and aircraft for tactical and threat representation target purposes; and Unmanned Ground Systems (“UGS”) and Unmanned Seaborne Systems (“USS”). We believe our understanding of customer needs, missions, requirements and processes, and our ability to rapidly deliver low cost, technology leading systems, products and solutions, position us well for success in the current National Security environment.</w:t>
      </w:r>
    </w:p>
    <w:p>
      <w:pPr>
        <w:spacing w:after="0" w:line="9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Capitalize on current contract base. </w:t>
      </w:r>
      <w:r>
        <w:rPr>
          <w:rFonts w:ascii="Arial" w:cs="Arial" w:eastAsia="Arial" w:hAnsi="Arial"/>
          <w:sz w:val="18"/>
          <w:szCs w:val="18"/>
          <w:color w:val="auto"/>
        </w:rPr>
        <w:t>We are pursuing new program and contract opportunities and awards as we build the business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expanding technology base, intellectual property ownership, contract portfolio, and product, solution and service offerings. We are also aggressively pursuing several national security priority areas, including high performance UADS, satellite communications command, control, communication and signal monitoring products, microwave electronics for missiles, radars, electronic warfare and communications, cyber security solutions, specialized training systems, autonomy and artificial intelligence systems, robotics, directed energy systems, hypersonic systems, electromagnetic rail gun systems and next generation ballistic missile targets. We are also assessing new tactical program areas and platforms to pursue that are consistent with our core capabilities, technology and intellectual property.</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Expand customer and contract base. </w:t>
      </w:r>
      <w:r>
        <w:rPr>
          <w:rFonts w:ascii="Arial" w:cs="Arial" w:eastAsia="Arial" w:hAnsi="Arial"/>
          <w:sz w:val="18"/>
          <w:szCs w:val="18"/>
          <w:color w:val="auto"/>
        </w:rPr>
        <w:t>We are focused on expanding our customer base into areas with significant growth opportunities as indicated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FY 2018 and 2019 DoD budget request, by leveraging our technology, intellectual property, proprietary products, capabilities, industry reputation, long-term customer relationships and diverse contract base. We also believe that our ability to rapidly develop, demonstrate and field high technology systems and products at an affordable cost is a clear competitive differentiator for our Company. We anticipate that this overall expansion in our capabilities will enable us both to pursue larger program opportunities, higher value work and to further diversify our revenue base across additional U.S. Government, international and commercial customers.</w:t>
      </w:r>
    </w:p>
    <w:p>
      <w:pPr>
        <w:spacing w:after="0" w:line="11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 xml:space="preserve">Improve operating margins. </w:t>
      </w:r>
      <w:r>
        <w:rPr>
          <w:rFonts w:ascii="Arial" w:cs="Arial" w:eastAsia="Arial" w:hAnsi="Arial"/>
          <w:sz w:val="17"/>
          <w:szCs w:val="17"/>
          <w:color w:val="auto"/>
        </w:rPr>
        <w:t>We believe that we have opportunities to increase our operating margins and improve profitability by capitalizing on our</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infrastructure investments as our business grows, production of our products and systems increases and related revenues increase. We are proactively focused on continuously improving efficiencies, reducing costs, and concentrating our efforts on operational excellence.</w:t>
      </w:r>
    </w:p>
    <w:p>
      <w:pPr>
        <w:spacing w:after="0" w:line="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Invest in strategic growth areas. </w:t>
      </w:r>
      <w:r>
        <w:rPr>
          <w:rFonts w:ascii="Arial" w:cs="Arial" w:eastAsia="Arial" w:hAnsi="Arial"/>
          <w:sz w:val="17"/>
          <w:szCs w:val="17"/>
          <w:color w:val="auto"/>
        </w:rPr>
        <w:t>Over the past several years, we have made significant internally funded investments in strategic growth areas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unmanned tactical aircraft drone systems. Specifically, we have increased internally funded research and development, capital expenditures and infrastructure investments, including executive management, bid, proposal and new business capture, pursuit and related expenses. We have made these investments with the intention of developing, demonstrating, fielding and bringing to production high performance jet powered unmanned aerial combat systems. These investments also allow us to retain the intellectual property rights, design and data packages for these platforms and systems, and to ultimately secure sole source production positions in these strategic growth areas. Specifically, since 2012, we have invested over $85 million in our UAS through internally funded research, development and contract design retrofit costs for new platforms under development and capital expenditures for aircraft and related equipment related to this strategic growth area.</w:t>
      </w:r>
    </w:p>
    <w:p>
      <w:pPr>
        <w:spacing w:after="0" w:line="98" w:lineRule="exact"/>
        <w:rPr>
          <w:sz w:val="20"/>
          <w:szCs w:val="20"/>
          <w:color w:val="auto"/>
        </w:rPr>
      </w:pPr>
    </w:p>
    <w:p>
      <w:pPr>
        <w:ind w:left="980" w:right="120" w:hanging="324"/>
        <w:spacing w:after="0" w:line="27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invested in internally funded research, development and capital expenditures to build our own UTAP-22 (Mako) UAS from 2012 to 2015, and demonstrated the capabilities of the UTAP-22 Mako in a flight demonstration in the fall of 2015. As a result, we were awarded an initial $12.6 million prime contract from the DIUx for sensor integration and flight demonstration of our UTAP-22 Mako unmanned aerial system the following year. Under this effort, we integrated certain sensors into our UTAP-22 Mako and participated in a large, complex flight exercise in 2017. We are currently working under a funded contract on Kratos’ UTAP-22 Mako.</w:t>
      </w:r>
    </w:p>
    <w:p>
      <w:pPr>
        <w:spacing w:after="0" w:line="91" w:lineRule="exact"/>
        <w:rPr>
          <w:rFonts w:ascii="Arial" w:cs="Arial" w:eastAsia="Arial" w:hAnsi="Arial"/>
          <w:sz w:val="17"/>
          <w:szCs w:val="17"/>
          <w:color w:val="auto"/>
        </w:rPr>
      </w:pPr>
    </w:p>
    <w:p>
      <w:pPr>
        <w:ind w:left="980" w:right="100" w:hanging="324"/>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received a $40.8 million single award, cost-share contract from the AFRL for the LCASD. Under the LCASD contract award, we are designing, developing, and will deliver, demonstrate and test a technical baseline for a high-speed long-range, low-cost limited life-strike UAS. For our investment, we will retain hard (including two LCASD aircraft) and other assets, and important intellectual property, software, data, platform and system rights, which we believe will be critically important and valuable over the expected long-term life of this platform, including with respect to future production opportunities.</w:t>
      </w:r>
    </w:p>
    <w:p>
      <w:pPr>
        <w:spacing w:after="0" w:line="107" w:lineRule="exact"/>
        <w:rPr>
          <w:rFonts w:ascii="Arial" w:cs="Arial" w:eastAsia="Arial" w:hAnsi="Arial"/>
          <w:sz w:val="18"/>
          <w:szCs w:val="18"/>
          <w:color w:val="auto"/>
        </w:rPr>
      </w:pPr>
    </w:p>
    <w:p>
      <w:pPr>
        <w:ind w:left="980" w:right="20" w:hanging="324"/>
        <w:spacing w:after="0" w:line="25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were awarded one of four prime contract awards from the DARPA for the Gremlins program. Under the Gremlins program, DARPA envisions a swarm of approximately 20 high performance unmanned aerial vehicles that are deployed by an inflight aircraft, and are later recovered, inflight, by an aircraft. The approximate $3.9 million Phase I contracts were awarded to four competing companies, with the intent to ultimately down select to one finalist company over a period of approximately 36 months. In 2017, we successfully advanced to Phase II of the Gremlin’s program, teamed with our partner company.</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Capitalize on corporate infrastructure investments. </w:t>
      </w:r>
      <w:r>
        <w:rPr>
          <w:rFonts w:ascii="Arial" w:cs="Arial" w:eastAsia="Arial" w:hAnsi="Arial"/>
          <w:sz w:val="17"/>
          <w:szCs w:val="17"/>
          <w:color w:val="auto"/>
        </w:rPr>
        <w:t>In recent periods, we have made significant investments in our senior management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related to cyber security threats to our Company, increased and changing regulations we are subject to, and the changing national security industry environment. These investments also included hiring senior executives with significant experience in the national security industry, hiring firms to support us on Capitol Hill, Congressionally and with our customers, strengthening our internal controls over financial reporting and accounting staff in support of increasing public company reporting requirements, expanding our infrastructure in response to increases in cybersecurity protection and related regulatory requirements, and expanding our backlog and bid and proposal pipeline. We expect to be allocating additional resources in our pursuit of new, larger and highly technical prime contract opportunities. We believe our management experience and corporate infrastructure can support a company with a much larger revenue base than ours. Accordingly, we believe that, to the extent our revenue grows, we will be able to leverage this infrastructure base and increase our operating margins.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A representative list of customers in our KGS and US segments during 2017 included the U.S. Air Force, U.S. Army, U.S. Navy, U.S. Marines, Missile Defense Agency, Space Command, the Department of Homeland Security, the National Aeronautics and Space Administration, Foreign Military Sales (“FMS”), the U.S. Southern Command, STRATCOM, the Strategic Capabilities Office (SCO), DIUx, the Rapid Capabilities Offices, the U.S. intelligence community and certain confidential customers. In 2017, representative customers in the PSS segment included Metropolitan Transportation Authority of New York, Prince George’s County Public Schools, Children’s Hospital of Philadelphia, JP Morgan Chase, Alamo Colleges, City of Galveston, Texas Orthopedic Hospital, Port Authority of New York &amp; New Jersey, Fidelity, Scripps Clinic, PNC Bank, AT&amp;T, Exxon, Calpine Power Plants, DuPont Fabros, BP America, Houston Community College, Siemens, San Francisco Municipal Transportation Agency, and New Flyer.</w:t>
      </w:r>
    </w:p>
    <w:p>
      <w:pPr>
        <w:spacing w:after="0" w:line="8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Revenue from the U.S. Government (which includes FMS) includes revenue from contracts for which we are the prime contractor as well as those for which we are a subcontractor and the ultimate customer is the U.S. Government. Revenues from U.S. Government agency customers in aggregate accounted for approximately 60%, 60% and 61% of total revenues in 2017, 2016, and 2015, respectively.</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Revenues from foreign customers were approximately $84.7 million or 11%, $80.1 million or 12%, and $73.2 million or 11% of total revenue for the years ended December 31, 2017, December 25, 2016, and December 27,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of December 31, 2017 and December 25, 2016, our backlog was approximately $730.4 million and $899.7 million, respectively, of which $531.1 million was funded in 2017 and $626.1 million was funded in 2016.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the expenditure has not yet been authorized. Our total backlog does not include estimates of revenue from government wide acquisition contracts (“GWACs”) or General Services Administration (“GSA”) schedules beyond awarded or funded task orders, but our unfunded backlog does include estimates of revenue beyond awarded or funded task orders for other types of indefinite delivery or indefinite quantity (“IDIQ”)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 significant number of the programs that Kratos systems, products and solutions support are multi-year/multi-decade in nature. Accordingly, based on historical customer usage or operational tempo, the Company has reasonable expectations or visibility of what ultimate orders for Kratos’ systems, products and solutions will be. The Company does not include these expected amounts in its backlog until a related contract award is received.</w:t>
      </w:r>
    </w:p>
    <w:p>
      <w:pPr>
        <w:spacing w:after="0" w:line="14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cancellations or adjustments to contracts may occur. Backlog is typically subject to large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variations from quarter to quarter as existing contracts are renewed or new contracts are awarded. Additionally, all U.S. Government contracts included in backlog, whether or not funded, may be terminated at the convenience of the U.S. Government.</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Upon the Company’s adoption of ASU 2014-09 on January 1, 2018, the Company’s backlog will be calculated as the dollar value of the remaining performance obligations on executed contracts. Backlog can include award fees, incentive fees, or other variable consideration estimated at the most likely amount to which the Company is expected to be entitled to the extent that it is probable that a significant reversal of cumulative revenue recognized will not occur. Backlog can include both funded and unfunded future revenue under government contracts. Backlog will not include orders for which neither party has performed and which each party has the unilateral right to terminate a wholly unperformed contract without compensating the other party. As such, backlog generally will not include options for additional performance obligations which have not been executed unless they are considered a material right of the base agreement or contract. For IDIQ contracts, only tasks that have been executed should be included for backlog purposes. Based on the expected impact to the reported backlog that will occur upon adoption of ASU 2014-09 on January 1, 2018, we expect that our backlog balance as of December 31, 2017 when recast on a pro forma comparative basis in accordance with ASU 2014-09 will be reduced.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we had a work force of approximately 2,900 full-time, part-time and on-call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Our market is competitive and includes a number of companies in the U.S. defense and National Security industries. Most of the companies that we compete against have significantly greater financial, technical, marketing and other resources and generate greater revenues than we do. Competition in the KGS and US segments include tier one, large U.S. Government contractors and system integrators such as Northrop Grumman, Lockheed Martin, General Dynamics, Raytheon, BAE Systems, L3, Orbital/ATK and Boeing. While we view other government contractors as competitors, we also team with these same companies in joint proposals or in the delivery of our products, solutions and services for customers. Tier two competitors include smaller government contractors such as Mercury Computer, Qinetiq, Cobham, Aerojet Rocketdyne and AAR. Intense competition and long operating cycles are key characteristics of our business within the defense industry. It is also common in the defense industry for work on major programs to be shared among a number of companies. A company competing to be a prime contractor or subcontractor on an award may, upon final award of the contract to another competitor, become a subcontractor for the final prime contractor. It is not unusual to compete for a contract award with a peer company and simultaneously perform as a supplier to or be a customer of that same competitor on other contracts, or vice versa. The nature of major defense programs, conducted under binding contracts, allows companies that perform well to benefit from a level of program continuity not frequently found in other industries.</w:t>
      </w:r>
    </w:p>
    <w:p>
      <w:pPr>
        <w:spacing w:after="0" w:line="9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believe that the principal competitive factors in our ability to win new business include our intellectual property, proprietary products, technology and our ability to rapidly develop, demonstrate and deliver systems to the warfighter at an affordable cost. Also important is our past performance qualifications, customer relationships, domain and technology expertise, the ability to obtain and replace contract vehicles, the ability to deliver results within budget (time and cost), reputation, accountability, staffing flexibility, and project management expertise. Additionally, our ability to deliver cost effective systems, products, solutions and services that meet our customers’ requirements is also a key differentiator.</w:t>
      </w:r>
    </w:p>
    <w:p>
      <w:pPr>
        <w:spacing w:after="0" w:line="91"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the U.S. defense, IT, and services markets, the U.S. Government has stressed competition and affordability in connection with its future procurement of products and services. This has led to fewer sole source awards, as well as more emphasis on cost competitiveness, with contract awards issued on a Low Price Technically Acceptable (“LPTA”) basis rather than a best value basis, which has negatively impacted our DRSS business in our KGS segment. In addition, competitor bid protests have become more prevalent in the current competitive environment, resulting in further delay of contract procurement activity.</w:t>
      </w:r>
    </w:p>
    <w:p>
      <w:pPr>
        <w:spacing w:after="0" w:line="107"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majority of our government services business is included in our DRSS business. This cost competitive environment resulted in an impairment in the carrying value of our DRSS business in the fourth quarter of 2017. Approximately 10% of Kratos’ business for the year ended December 31, 2017 is IT or government services based. In 2010, Kratos changed its strategy to focus on being a system, product, technology and intellectual property based company and we deemphasized our focus in our legacy government services businesses. See the Note 2 of the Notes to Consolidated Financial Statements contained within this Annual Report on Form 10-K for further discussion.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We believe that our future success depends upon our ability to continue to rapidly develop new products and services, and enhancements to and applications for our existing products and services, to be delivered at an affordable cost. Our research and development expenses were $17.8 million, $13.9 million and $16.2 million in 2017, 2016, and 2015, respectively. We intend to continue our focus on research and development as a key strategy for growth, which will focus on investments in those fields that we believe will offer the greatest opportunity for growth and profitability. Our current primary internal research and development (“IR&amp;D”) focus areas include satellite communications and signal monitoring, unmanned systems, and electronic products.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believe that our continued success depends in large part on our proprietary technology, the intellectual skills of our employees and the ability of our employees to continue to innovate. We rely on a combination of patent, copyright, trademark and trade secret laws, as well as confidentiality agreements, to establish and protect our proprietary rights.</w:t>
      </w:r>
    </w:p>
    <w:p>
      <w:pPr>
        <w:spacing w:after="0" w:line="100"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As of December 31, 2017, we held a number of U.S. and foreign patents. We do not consider our business to be materially dependent upon any individual patent. We will continue to file and pursue patent applications when and where appropriate to attempt to protect our rights in our proprietary technologies. We also encourage our employees to continue to invent and develop new technologies so as to maintain our competitiveness in the marketplace.</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or have rights to use certain trademarks, service marks and trade names that we use in conjunction with the operation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trademarks have also been registered in selected foreign countries.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are subject to various government regulations, including various U.S. Government regulations as a contractor and subcontractor to the agencies of the U.S. Government. Among the most significant U.S. Government regulations affecting our business are:</w:t>
      </w:r>
    </w:p>
    <w:p>
      <w:pPr>
        <w:spacing w:after="0" w:line="89" w:lineRule="exact"/>
        <w:rPr>
          <w:sz w:val="20"/>
          <w:szCs w:val="20"/>
          <w:color w:val="auto"/>
        </w:rPr>
      </w:pPr>
    </w:p>
    <w:p>
      <w:pPr>
        <w:ind w:left="1300" w:right="16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Federal Acquisition Regulations and supplemental agency regulations, which comprehensively regulate the formation, administration, and performance under government contracts;</w:t>
      </w:r>
    </w:p>
    <w:p>
      <w:pPr>
        <w:spacing w:after="0" w:line="89" w:lineRule="exact"/>
        <w:rPr>
          <w:rFonts w:ascii="Arial" w:cs="Arial" w:eastAsia="Arial" w:hAnsi="Arial"/>
          <w:sz w:val="18"/>
          <w:szCs w:val="18"/>
          <w:color w:val="auto"/>
        </w:rPr>
      </w:pPr>
    </w:p>
    <w:p>
      <w:pPr>
        <w:ind w:left="1300" w:right="86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all cost and pricing data in connection with contract negotiations;</w:t>
      </w:r>
    </w:p>
    <w:p>
      <w:pPr>
        <w:spacing w:after="0" w:line="89" w:lineRule="exact"/>
        <w:rPr>
          <w:rFonts w:ascii="Arial" w:cs="Arial" w:eastAsia="Arial" w:hAnsi="Arial"/>
          <w:sz w:val="18"/>
          <w:szCs w:val="18"/>
          <w:color w:val="auto"/>
        </w:rPr>
      </w:pPr>
    </w:p>
    <w:p>
      <w:pPr>
        <w:ind w:left="1300" w:right="84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Accounting Standards, which impose accounting requirements that govern our right to reimbursement under cost-based government contracts;</w:t>
      </w:r>
    </w:p>
    <w:p>
      <w:pPr>
        <w:spacing w:after="0" w:line="89" w:lineRule="exact"/>
        <w:rPr>
          <w:rFonts w:ascii="Arial" w:cs="Arial" w:eastAsia="Arial" w:hAnsi="Arial"/>
          <w:sz w:val="18"/>
          <w:szCs w:val="18"/>
          <w:color w:val="auto"/>
        </w:rPr>
      </w:pPr>
    </w:p>
    <w:p>
      <w:pPr>
        <w:ind w:left="1300" w:right="32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Foreign Corrupt Practices Act, which prohibits U.S. companies from providing anything of value to a foreign official to help obtain, retain or direct business, or obtain any unfair advantages;</w:t>
      </w:r>
    </w:p>
    <w:p>
      <w:pPr>
        <w:spacing w:after="0" w:line="89" w:lineRule="exact"/>
        <w:rPr>
          <w:rFonts w:ascii="Arial" w:cs="Arial" w:eastAsia="Arial" w:hAnsi="Arial"/>
          <w:sz w:val="18"/>
          <w:szCs w:val="18"/>
          <w:color w:val="auto"/>
        </w:rPr>
      </w:pPr>
    </w:p>
    <w:p>
      <w:pPr>
        <w:ind w:left="1300" w:right="400" w:hanging="320"/>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False Claims Act and the False Statements Act, which, respectively, impose penalties for payments made on the basis of false facts provided to the government and impose penalties on the basis of false statements, even if they do not result in a payment; and</w:t>
      </w:r>
    </w:p>
    <w:p>
      <w:pPr>
        <w:spacing w:after="0" w:line="42" w:lineRule="exact"/>
        <w:rPr>
          <w:rFonts w:ascii="Arial" w:cs="Arial" w:eastAsia="Arial" w:hAnsi="Arial"/>
          <w:sz w:val="16"/>
          <w:szCs w:val="16"/>
          <w:color w:val="auto"/>
        </w:rPr>
      </w:pPr>
    </w:p>
    <w:p>
      <w:pPr>
        <w:ind w:left="1300" w:right="100" w:hanging="320"/>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89"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We also need special security clearances to continue working on and advancing certain of our programs and contracts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to obtain government clearances.</w:t>
      </w:r>
    </w:p>
    <w:p>
      <w:pPr>
        <w:spacing w:after="0" w:line="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nature of the work we do for the federal government may also limit the parties who may invest in or acquire us. Export laws may keep us from providing potential foreign acquirers with a review of the technical data they would be acquiring. In addition, there are special requirements for foreign parties who wish to buy or acquire control or influence over companies that control technology or produce goods in the security interests of the U.S. There may need to be a review under the Exon-Florio provisions of the Defense Production Act. Finally, the government may require a prospective foreign owner to establish intermediaries to actually run that part of the company that does classified work, and establishing a subsidiary and its separate operation may make such an acquisition less appealing to such potential acquirers.</w:t>
      </w:r>
    </w:p>
    <w:p>
      <w:pPr>
        <w:spacing w:after="0" w:line="11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addition, the export from the U.S. of certain of our products may require the issuance of a license by the U.S. Department of Commerce under the Export Administration Act, as amended, and its implementing regulations as kept in force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by the International Emergency Economic Powers Act of 1977, as amended. Some of our products may require the issuance of a license by the U.S. Department of State under the Arms Export Control Act and its implementing regulations, which licenses are generally harder to obtain and take longer to obtain than do Export Administration Act licenses.</w:t>
      </w:r>
    </w:p>
    <w:p>
      <w:pPr>
        <w:spacing w:after="0" w:line="10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business may require compliance with state or local laws designed to limit the uses of personal user information gathered online or require online services to establish privacy policies.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Availability</w:t>
      </w:r>
    </w:p>
    <w:p>
      <w:pPr>
        <w:spacing w:after="0" w:line="148"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procure critical material, components, products and subsystems from both domestic and global supply partners. These supply sources may be single sources for certain components and the material provided may have extended lead times. To support our continuing customer needs, we have taken steps to mitigate sourcing risks. This includes working closely with our suppliers to ensure future material and subsystem availability to support our manufacturing plans. In some cases, we have elected to stock reserve material to ensure future availability.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4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Our manufacturing operations are subject to many requirements under environmental laws. In the U.S., the U.S. Environmental Protection Agency and similar state agencies administer laws that restrict the emission of pollutants into the air, discharges of pollutants into bodies of water and disposal of pollutants in the ground. Violations of these laws can result in significant civil and criminal penalties and incarceration. The failure to obtain a permit for certain activities may be a violation of environmental law and subject the owner and operator to civil and criminal sanctions. Most environmental agencies also have the power to shut down an operation if it is operating in violation of environmental law. U.S. laws also allow citizens to bring private enforcement actions in some situations. Outside the U.S., the environmental laws and their enforcement vary and may be more burdensome. We have management programs and processes in place that are intended to minimize the potential for violations of these laws.</w:t>
      </w:r>
    </w:p>
    <w:p>
      <w:pPr>
        <w:spacing w:after="0" w:line="9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Other environmental laws, primarily in the U.S., address the contamination of land and groundwater and require the clean-up of such contamination. These laws may apply not only to the owner or operator of an on-going business, but also to the owner of land contaminated by a prior owner or operator. In addition, if a parcel is contaminated by the release of a hazardous substance, such as through its historic use as a disposal site, any person or company that has contributed to that contamination, whether or not it has a legal interest in the land, may be subject to a requirement to clean up the parcel.</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We file reports with the Securities and Exchange Commission (“SEC”). We make available on our website under “Investor Relations/Financial Information/SEC Filings,” free of charge, our annual reports on Form 10-K, quarterly reports on Form 10-Q, current reports on Form 8-K and amendments to those reports as soon as reasonably practicable after we electronically file such materials with or furnish them to the SEC. Our website address is </w:t>
      </w:r>
      <w:r>
        <w:rPr>
          <w:rFonts w:ascii="Arial" w:cs="Arial" w:eastAsia="Arial" w:hAnsi="Arial"/>
          <w:sz w:val="17"/>
          <w:szCs w:val="17"/>
          <w:i w:val="1"/>
          <w:iCs w:val="1"/>
          <w:color w:val="auto"/>
        </w:rPr>
        <w:t>www.kratosdefense.com</w:t>
      </w:r>
      <w:r>
        <w:rPr>
          <w:rFonts w:ascii="Arial" w:cs="Arial" w:eastAsia="Arial" w:hAnsi="Arial"/>
          <w:sz w:val="17"/>
          <w:szCs w:val="17"/>
          <w:color w:val="auto"/>
        </w:rPr>
        <w:t>. You may read and copy any materials we file with the SEC at the SEC’s Public Reference Room at 100 F Street, NE, Washington,</w:t>
      </w:r>
      <w:r>
        <w:rPr>
          <w:rFonts w:ascii="Arial" w:cs="Arial" w:eastAsia="Arial" w:hAnsi="Arial"/>
          <w:sz w:val="17"/>
          <w:szCs w:val="17"/>
          <w:i w:val="1"/>
          <w:iCs w:val="1"/>
          <w:color w:val="auto"/>
        </w:rPr>
        <w:t xml:space="preserve"> </w:t>
      </w:r>
      <w:r>
        <w:rPr>
          <w:rFonts w:ascii="Arial" w:cs="Arial" w:eastAsia="Arial" w:hAnsi="Arial"/>
          <w:sz w:val="17"/>
          <w:szCs w:val="17"/>
          <w:color w:val="auto"/>
        </w:rPr>
        <w:t>DC 20549. You may obtain information on the operation of the Public Reference Room by calling the SEC at 1-800-SEC-0330. The SEC also maintains an Internet site that contains our reports, proxy and information statements, and other information at www.sec.gov.</w:t>
      </w:r>
    </w:p>
    <w:p>
      <w:pPr>
        <w:spacing w:after="0" w:line="97"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References to our website and the SEC’s website in this report are provided as a convenience and do not constitute, and should not be viewed as, incorporation by reference of the information contained on, or available through, such websites. Such information should not be considered a part of this report, unless otherwise expressly incorporated by reference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You should carefully consider the following risk factors and all other information contained herein as well as the information included in this Annual Report and other reports and filings made with the SEC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Annual Report, including our Consolidated Financial Statements and the related Notes.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U.S. Government provides a significant portion of our revenue, and our business could be adversely affected by changes in the fiscal policies of the U.S. Government and governmental entities.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fiscal 2017, 2016 and 2015, we generated 60%, 60% and 61%, respectively, of our total revenues from contracts with the U.S. Government (including all branches of the U.S. military and FMS), either as a prime contractor or a subcontractor. We expect to continue to derive most of our revenues from work performed under U.S. Government contracts. See the Industry Update section in Item 1 “Business” contained within this Annual Report for a discussion of the current budgetary and funding constraints on U.S. Government spending and legislation enacted to reduce the U.S. federal deficit. As a result, we have experienced and expect to continue to experience reduced or delayed awards on some of our programs, with a related negative impact to our revenues, earnings and cash flows. Competitor bid protests also have become more prevalent in the current competitive environment resulting from decreased government spending, which has led to further contract award delays. In addition, any future changes to the fiscal policies of the U.S. Government and foreign governmental entities may decrease overall government funding for defense and homeland security, result in delays in the procurement of our products and services due to lack of funding, cause the U.S. Government and government agencies to reduce their purchases under existing contracts, or cause them to exercise their rights to terminate contracts at-will or to abstain from exercising options to renew contracts, any of which would have an adverse effect on our business, financial condition, results of operations and/or cash flows.</w:t>
      </w:r>
    </w:p>
    <w:p>
      <w:pPr>
        <w:spacing w:after="0" w:line="18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Significant delays or reductions in appropriations for our programs and U.S. Government funding more broadly may negatively impact our business and programs and could have a material adverse effect on our financial position, results of operations and/or cash flows.</w:t>
      </w:r>
    </w:p>
    <w:p>
      <w:pPr>
        <w:spacing w:after="0" w:line="14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U.S. Government programs are subject to annual congressional budget authorization and appropriation processes. For many programs, Congress appropriates funds on a fiscal year basis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and until additional funds are obligated to the contract. We cannot predict the extent to which total funding and/or funding for individual programs will be included, increased or reduced as part of the annual budget process ultimately approved by Congress and the President or in separate supplemental appropriations or continuing resolutions, as applicable. Laws and plans adopted by the U.S. Government relating to, along with pressures on and uncertainty surrounding the federal budget, potential changes in priorities and defense spending levels, sequestration, the appropriations process, use of continuing resolutions (with restrictions, e.g., on new starts) and the permissible federal debt limit, could adversely affect the funding for individual programs and delay purchasing or payment decisions by our customers. In the event government funding for our significant programs becomes unavailable, or is reduced or delayed, or planned orders are reduced, our contract or subcontract under such programs may be terminated or adjusted by the U.S. Government or the prime contractor.</w:t>
      </w:r>
    </w:p>
    <w:p>
      <w:pPr>
        <w:spacing w:after="0" w:line="18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budget environment, including sequestration as currently mandated, and uncertainty surrounding the appropriations processes, remain significant long-term risks. Considerable uncertainty exists regarding how future budget and program decisions will unfold, including the defense spending priorities of the new Administration and Congress, what challenges budget reductions (required by the BCA and otherwise) will present for the defense industry and whether an annual appropriations bill will be enacted for FY 2018. If an annual appropriations bill is not enacted for FY 2018 or beyond, the U.S. Government may continue to operate under a continuing resolution, restricting new contract or program starts, and we may face a government shutdown of unknown duration. It is likely budget and program decisions made in this environment would have long-term implications for our Company and the entire defense industry.</w:t>
      </w:r>
    </w:p>
    <w:p>
      <w:pPr>
        <w:spacing w:after="0" w:line="18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If the debt ceiling is breached, we may be required to continue to perform for some period of time on certain of our U.S. Government contracts even if the U.S. Government is unable to make timely payments. Unforeseen circumstances could cause an extended debt ceiling breach and have significant short and long-term consequences for our Company, our employees, our suppliers and the defense industry.</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Long-term funding for certain programs in which we participate may be reduced, delayed or cancelled. In addition, budget cuts globally could adversely affect the viability of our subcontractors and suppliers and our employee base. While we believe that our business is well-positioned in areas that the DoD and other customers have indicated are areas of focus for future defense spending, the long-term impact of the BCA, other defense spending cuts, the debt ceiling and the ongoing fiscal debates remain uncertain.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Significant delays or reductions in appropriations; long-term funding under a continuing resolution; an extended debt ceiling breach or government shutdown; and/or future budget and program decisions, among other items, may negatively impact our business and programs and could have a material adverse effect on our financial position, results of operations and/or cash flow.</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important relationships with government agencies and prime contractors, our ability to successfully maintain and develop new business may be adversely affected.</w:t>
      </w:r>
    </w:p>
    <w:p>
      <w:pPr>
        <w:spacing w:after="0" w:line="170"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reputation and relationship with the U.S. Government, and in particular with the agencies of the DoD and the U.S. intelligence community, are key factors in maintaining and developing new business opportunities. In addition, we often act as a subcontractor or in “teaming” arrangements in which we and other contractors bid together on particular contracts or programs for the U.S. Government or government agencies. We expect to continue to depend on relationships with other prime contractors for a portion of our revenue for the foreseeable future. Negative press reports regarding conflicts of interest, poor contract performance, employee misconduct, information security breaches or other aspects of our business, regardless of accuracy, could harm our reputation. Additionally, as a subcontractor or team member, we often lack control over fulfillment of a contract, and poor performance on the contract could tarnish our reputation, even when we perform as required. As a result, we may be unable to successfully maintain our relationships with government agencies or prime contractors, and any failure to do so could adversely affect our ability to maintain our existing business and compete successfully for new business.</w:t>
      </w:r>
    </w:p>
    <w:p>
      <w:pPr>
        <w:spacing w:after="0" w:line="72" w:lineRule="exact"/>
        <w:rPr>
          <w:sz w:val="20"/>
          <w:szCs w:val="20"/>
          <w:color w:val="auto"/>
        </w:rPr>
      </w:pPr>
    </w:p>
    <w:p>
      <w:pPr>
        <w:ind w:right="200"/>
        <w:spacing w:after="0" w:line="340" w:lineRule="auto"/>
        <w:rPr>
          <w:sz w:val="20"/>
          <w:szCs w:val="20"/>
          <w:color w:val="auto"/>
        </w:rPr>
      </w:pPr>
      <w:r>
        <w:rPr>
          <w:rFonts w:ascii="Arial" w:cs="Arial" w:eastAsia="Arial" w:hAnsi="Arial"/>
          <w:sz w:val="15"/>
          <w:szCs w:val="15"/>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these obligations could adversely affect our profitability and future prospects. Early termination of client contracts or contract penalties could adversely affect our results of operations.</w:t>
      </w:r>
    </w:p>
    <w:p>
      <w:pPr>
        <w:spacing w:after="0" w:line="13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design, develop, and manufacture technologically advanced and innovative products and services, which are applied by our customers in a variety of environments. Problems and delays in development or delivery as a result of issues with respect to design, technology, licensing and intellectual property rights, labor, inability to achieve learning curve assumptions, manufacturing materials or components could prevent us from meeting requirements. Either we or the customer may generally terminate a contract as a result of a material uncured breach by the other. If we breach a contract or fail to perform in accordance with contractual service levels, delivery schedules, performance specifications, or other contractual requirements set forth therein, the other party thereto may terminate such contract for default, and we may be required to refund money previously paid to us by the customer or to pay penalties or other damages. Even if we have not breached, we may deal with various situations from time to time that may result in the amendment or termination of a contract. These steps can result in significant current period charges and/or reductions in current or future revenue. Other factors that may affect revenue and profitability include inaccurate cost estimates, design issues, unforeseen costs and expenses not covered by insurance or indemnification from the customer, diversion of management focus in responding to unforeseen problems, and loss of follow-on work.</w:t>
      </w:r>
    </w:p>
    <w:p>
      <w:pPr>
        <w:spacing w:after="0" w:line="16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subcontractors or suppliers fail to perform their contractual obligations, our performance and reputation as a contractor and our ability to obtain future business could suffer.</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a prime contractor, we often rely upon other companies as subcontractors to perform work we are obligated to perform for our customers. As we secure more work under certain of our contracts, we expect to require an increasing level of support from subcontractors that provide complementary and supplementary services to our offerings. We are responsible for the work performed by our subcontractors, even though in some cases we have limited involvement in that work. If one or more of our subcontractors fails to satisfactorily perform the agreed-upon services on a timely basis or violates U.S. Government contracting policies, laws or regulations, our ability to perform our obligations as a prime contractor or meet our customers’ expectations may be compromised. In extreme cases, performance or other deficiencies on the part of our subcontractors could result in a customer terminating our contract for default. A termination for default could expose us to liability, including liability for the agency’s costs of re-procurement, could damage our reputation and could hurt our ability to compete for future contracts.</w:t>
      </w:r>
    </w:p>
    <w:p>
      <w:pPr>
        <w:spacing w:after="0" w:line="1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also are required to procure certain materials and parts from supply sources approved by the U.S. Government. The inability of a supplier to meet our needs or the appearance of counterfeit parts in our products could have a material adverse effect on our financial position,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earnings and profitability depend, in part, on subcontractor and supplier performance and product availability.</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rely on other companies to provide major components for our products. For instance, we build the airframe, electronics and flight control systems for our unmanned aerial systems. We rely on our suppliers to provide the engines and parachutes for landing the aircraft. Disruptions or performance problems caused by our subcontractors and suppliers, or a misalignment between our contractual obligations to our customers and our agreements with our subcontractors and suppliers, could have an adverse effect on our ability to meet our commitments to customers.</w:t>
      </w:r>
    </w:p>
    <w:p>
      <w:pPr>
        <w:spacing w:after="0" w:line="171"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Our ability to perform our obligations on time could be adversely affected if one or more of our subcontractors or suppliers were unable to provide the agreed-upon products or materials or perform the agreed-upon services in a timely, compliant and cost-effective manner or otherwise to meet the requirements of the contract. Changes in economic conditions, including changes in defense budgets or credit availability, or other changes impacting a subcontractor or supplier (including changes in ownership or operations) could adversely affect the financial stability of our subcontractors and suppliers and/or their ability to perform.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connection with our U.S. Government contracts, we are required to procure certain materials, components and parts from supply sources approved by the customer. We also are facing increased and changing regulatory requirements, many of which apply to our subcontractors and suppliers. In some cases, there may be only one supplier for certain components. If a sole source supplier cannot meet our needs or is otherwise unavailable, we may be unable to find a suitable alternative.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procurement practices are intended to reduce the likelihood of our procurement of counterfeit, unauthorized or otherwise non-compliant parts or materials. We rely on our subcontractors and suppliers to comply with applicable laws and regulations, including regarding the parts or materials we procure from them; in some circumstances, we rely on certifications provided by our subcontractors and suppliers regarding their compliance. We also rely on our subcontractors and suppliers to effectively mitigate the risk of cyber and security threats or other disruptions with respect to the products and components they deliver to us and the information entrusted to them by us or our customers.</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If we are unable to procure, or experience significant delays in subcontractor or supplier deliveries of, needed materials, components, intellectual property or parts; if our subcontractors or suppliers do not comply with all applicable laws and regulations; if the certifications we receive from them are inaccurate; or if what we receive is counterfeit or otherwise improper, it could have a material adverse effect on our financial position, results of operations and/or cash flows.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many competitors that have greater resources than we do, which could result in price reductions, reduced profitability or loss of market share.</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operate in highly competitive markets and generally encounter intense competition to win contracts from many other firms, including mid-tier federal contractors with specialized capabilities, large defense contractors and IT service providers. Competition in our markets may increase as a result of a number of factors, such as the entrance of new or larger competitors, including those formed through alliances or consolidation, or the reduction in the overall number of government contracts. We may also face competition from prime contractors for whom we currently serve as subcontractors or teammates if those prime contractors choose to offer customer services of the type that we are currently providing. Recently, procurement award determinations have been based on lowest price, technically acceptable proposals. In addition, we may face competition from our subcontractors who, from time-to-time, seek to obtain prime contractor status on contracts for which they currently serve as a subcontractor to us.</w:t>
      </w:r>
    </w:p>
    <w:p>
      <w:pPr>
        <w:spacing w:after="0" w:line="17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Many of our competitors have greater financial, technical, marketing and public relations resources, larger customer bases and greater brand or name recognition than we do. Such competitors may be able to utilize their substantially greater resources and economies of scale to, among other things:</w:t>
      </w:r>
    </w:p>
    <w:p>
      <w:pPr>
        <w:spacing w:after="0" w:line="124" w:lineRule="exact"/>
        <w:rPr>
          <w:sz w:val="20"/>
          <w:szCs w:val="20"/>
          <w:color w:val="auto"/>
        </w:rPr>
      </w:pPr>
    </w:p>
    <w:p>
      <w:pPr>
        <w:ind w:left="1300" w:right="540" w:hanging="320"/>
        <w:spacing w:after="0" w:line="221" w:lineRule="exact"/>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divert sales from us by winning very large</w:t>
      </w:r>
      <w:r>
        <w:rPr>
          <w:rFonts w:ascii="MS PGothic" w:cs="MS PGothic" w:eastAsia="MS PGothic" w:hAnsi="MS PGothic"/>
          <w:sz w:val="18"/>
          <w:szCs w:val="18"/>
          <w:color w:val="auto"/>
        </w:rPr>
        <w:t>‑</w:t>
      </w:r>
      <w:r>
        <w:rPr>
          <w:rFonts w:ascii="Arial" w:cs="Arial" w:eastAsia="Arial" w:hAnsi="Arial"/>
          <w:sz w:val="18"/>
          <w:szCs w:val="18"/>
          <w:color w:val="auto"/>
        </w:rPr>
        <w:t>scale government contracts, a risk that is enhanced by the recent trend in government procurement practices to bundle services into larger contracts and the recent trend of making award determinations on a lowest price, technically acceptable basis;</w:t>
      </w:r>
    </w:p>
    <w:p>
      <w:pPr>
        <w:ind w:left="1300" w:hanging="320"/>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divert sales from us by the award of government contracts to our competitors who may be willing to bid at substantially lower prices;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force us to charge lower prices; or</w:t>
      </w:r>
    </w:p>
    <w:p>
      <w:pPr>
        <w:spacing w:after="0" w:line="9" w:lineRule="exact"/>
        <w:rPr>
          <w:rFonts w:ascii="Arial" w:cs="Arial" w:eastAsia="Arial" w:hAnsi="Arial"/>
          <w:sz w:val="18"/>
          <w:szCs w:val="18"/>
          <w:color w:val="auto"/>
        </w:rPr>
      </w:pPr>
    </w:p>
    <w:p>
      <w:pPr>
        <w:ind w:left="1300" w:right="260" w:hanging="320"/>
        <w:spacing w:after="0" w:line="261"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adversely affect our relationships with current customers, including our ability to continue to win competitively awarded engagements in which we are the incumbent.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event that the market for products in our US segment expands, we expect that competition will intensify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If we lose business to our competitors or are forced to lower our prices, our revenue and operating profits could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dependent upon our ability to keep pace with the latest technological changes.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market for our services is characterized by rapid change and technological improvements. Failure to respond in a timely and cost-effective way to these technological developments would result in serious harm to our business and operating results. We have derived, and we expect to continue to derive, a substantial portion of our revenues from providing innovative engineering services and technical solutions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customer preferences.</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believe that, in order to remain competitive in the future, we will need to continue to invest significant financial resources to develop new offerings and technologies or to adapt or modify our existing offerings and technologies, including through internal research and development, acquisitions and joint ventures or other teaming arrangements. These expenditures could divert our attention and resources from other projects, and we cannot be sure that these expenditures will ultimately lead to the timely development of new offerings and technologies or identification of and expansion into new markets. Due to the design complexity of our products, we may, in the future, experience delays in completing the development and introduction of new products. Any delays could result in increased costs of development or deflect resources from other projects. In addition, there can be no assurance that the market for our products will develop or continue to expand or that we will be successful in newly identified markets as we currently anticipate. The failure of our technology to gain market acceptance could significantly reduce our revenues and harm our business. Furthermore, we cannot be sure that our competitors will not develop competing technologies that gain market acceptance in advance of our products.</w:t>
      </w:r>
    </w:p>
    <w:p>
      <w:pPr>
        <w:spacing w:after="0" w:line="18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Additionally, the possibility exists that our competitors might develop new technology or offerings that might cause our existing technology and offerings to become obsolete. If we fail in our new product development efforts or our products or services fail to achieve market acceptance more rapidly as compared to our competitors, our ability to procure new contracts could be negatively impacted, which could negatively impact our results of operations and financial condition.</w:t>
      </w:r>
    </w:p>
    <w:p>
      <w:pPr>
        <w:spacing w:after="0" w:line="187" w:lineRule="exact"/>
        <w:rPr>
          <w:sz w:val="20"/>
          <w:szCs w:val="20"/>
          <w:color w:val="auto"/>
        </w:rPr>
      </w:pPr>
    </w:p>
    <w:p>
      <w:pPr>
        <w:ind w:right="2820"/>
        <w:spacing w:after="0" w:line="381" w:lineRule="auto"/>
        <w:rPr>
          <w:sz w:val="20"/>
          <w:szCs w:val="20"/>
          <w:color w:val="auto"/>
        </w:rPr>
      </w:pPr>
      <w:r>
        <w:rPr>
          <w:rFonts w:ascii="Arial" w:cs="Arial" w:eastAsia="Arial" w:hAnsi="Arial"/>
          <w:sz w:val="15"/>
          <w:szCs w:val="15"/>
          <w:b w:val="1"/>
          <w:bCs w:val="1"/>
          <w:i w:val="1"/>
          <w:iCs w:val="1"/>
          <w:color w:val="auto"/>
        </w:rPr>
        <w:t>If the UAS and UGS markets do not experience significant growth, if we cannot expand our customer base or if our products do not achieve broad acceptance, then we may not be able to achieve our anticipated level of growth.</w:t>
      </w:r>
    </w:p>
    <w:p>
      <w:pPr>
        <w:spacing w:after="0" w:line="101" w:lineRule="exact"/>
        <w:rPr>
          <w:sz w:val="20"/>
          <w:szCs w:val="20"/>
          <w:color w:val="auto"/>
        </w:rPr>
      </w:pPr>
    </w:p>
    <w:p>
      <w:pPr>
        <w:jc w:val="both"/>
        <w:ind w:right="2400" w:firstLine="648"/>
        <w:spacing w:after="0" w:line="288" w:lineRule="auto"/>
        <w:rPr>
          <w:sz w:val="20"/>
          <w:szCs w:val="20"/>
          <w:color w:val="auto"/>
        </w:rPr>
      </w:pPr>
      <w:r>
        <w:rPr>
          <w:rFonts w:ascii="Arial" w:cs="Arial" w:eastAsia="Arial" w:hAnsi="Arial"/>
          <w:sz w:val="16"/>
          <w:szCs w:val="16"/>
          <w:color w:val="auto"/>
        </w:rPr>
        <w:t>For the fiscal year ended December 31, 2017, our US segment accounted for 16.2% of our total revenue. We cannot accurately predict the future growth rate or size of this market. Demand for our products may not increase, or may decrease, either generally or in specific markets, for particular types of products or during particular time periods. There are only a</w:t>
      </w:r>
    </w:p>
    <w:p>
      <w:pPr>
        <w:ind w:right="320"/>
        <w:spacing w:after="0" w:line="250" w:lineRule="auto"/>
        <w:rPr>
          <w:sz w:val="20"/>
          <w:szCs w:val="20"/>
          <w:color w:val="auto"/>
        </w:rPr>
      </w:pPr>
      <w:r>
        <w:rPr>
          <w:rFonts w:ascii="Arial" w:cs="Arial" w:eastAsia="Arial" w:hAnsi="Arial"/>
          <w:sz w:val="18"/>
          <w:szCs w:val="18"/>
          <w:color w:val="auto"/>
        </w:rPr>
        <w:t>limited number of programs under which the U.S. military, our primary customer, is currently funding the development or purchase of our UAS and UGS products. Although we are seeking to expand our US customer base to include foreign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governments, domestic non-military agencies and commercial customers, we cannot assure that our efforts will be</w:t>
      </w:r>
    </w:p>
    <w:p>
      <w:pPr>
        <w:spacing w:after="0" w:line="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successful. The expansion of the UAS and UGS markets in general, and the market for our products in particular, depends on a number of factors, including the following:</w:t>
      </w:r>
    </w:p>
    <w:p>
      <w:pPr>
        <w:spacing w:after="0" w:line="1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satisfaction with these types of systems as solutions;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performance and reliability of our products and products offered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perceptions regarding the effectiveness and value of these types of systems;</w:t>
      </w:r>
    </w:p>
    <w:p>
      <w:pPr>
        <w:spacing w:after="0" w:line="9" w:lineRule="exact"/>
        <w:rPr>
          <w:rFonts w:ascii="Arial" w:cs="Arial" w:eastAsia="Arial" w:hAnsi="Arial"/>
          <w:sz w:val="18"/>
          <w:szCs w:val="18"/>
          <w:color w:val="auto"/>
        </w:rPr>
      </w:pPr>
    </w:p>
    <w:p>
      <w:pPr>
        <w:ind w:left="660" w:right="40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our ability to market our US products and services outside the U.S. due to U.S. government regulations; and</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efforts and publicity regarding these types of systems.</w:t>
      </w:r>
    </w:p>
    <w:p>
      <w:pPr>
        <w:spacing w:after="0" w:line="211"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Even if UAS and UGS gain wide market acceptance in general, our specific products may not adequately address market requirements or may not gain market acceptance. If these types of systems generally, or our products specifically, do not gain wide market acceptance, then we may not be able to achieve our anticipated level of growth and our revenue and results of operations may suffer.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GSA contracts or GWACs could impair our ability to attract new business.</w:t>
      </w:r>
    </w:p>
    <w:p>
      <w:pPr>
        <w:spacing w:after="0" w:line="13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are a prime contractor under several GSA contracts and GWAC vehicles. We believe that our ability to provide services under these contracts will continue to be important to our business because of the multiple opportunities for new engagements each contract provides. If we were to lose our position as prime contractor on one or more of these contracts, we could lose substantial revenues and our operating results could suffer. GSA contracts and other GWACs typically have a one or two-year initial term with multiple options exercisable at the government customer’s discretion to extend the contract for one or more years. We cannot be assured that our government customers will continue to exercise the options remaining on our current contracts, nor can we be assured that our future customers will exercise options on any contracts we may receive in the future.</w:t>
      </w:r>
    </w:p>
    <w:p>
      <w:pPr>
        <w:spacing w:after="0" w:line="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Government contracts differ materially from standard commercial contracts, involve competitive bidding and may be subject to cancellation or delay without penalty.</w:t>
      </w:r>
    </w:p>
    <w:p>
      <w:pPr>
        <w:spacing w:after="0" w:line="8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Government contracts frequently include provisions that are not standard in private commercial transactions and are subject to laws and regulations that give the U.S. Government rights and remedies not typically found in commercial contracts, including provisions permitting the U.S. Government to:</w:t>
      </w:r>
    </w:p>
    <w:p>
      <w:pPr>
        <w:spacing w:after="0" w:line="29"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terminate our existing contracts;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potential future income from our existing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modify some of the terms and conditions in our existing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suspend or permanently prohibit us from doing business with the U.S. Government or with any specific government agency;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impose fines and penalties;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us to criminal prosecution;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suspend work under existing multiple year contracts and related task orders if the necessary funds are not appropriated by Congress;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decline to exercise an option to extend an existing multiple year contract;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 rights in technologies and systems invented, developed or produced by us.</w:t>
      </w:r>
    </w:p>
    <w:p>
      <w:pPr>
        <w:spacing w:after="0" w:line="21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addition, government contracts are frequently awarded only after formal competitive bidding processes, which have been and may continue to be protracted and typically impose provisions that permit cancellation in the event that necessary funds are unavailable to the government agency. Competitive procurements impose substantial costs and managerial time and effort in order to prepare bids and proposals for contracts that may not be awarded to us. In many cases, unsuccessful bidders for government contracts are provided the opportunity to formally protest certain contract awards through various agencies, administrative and judicial channels. We have experienced an increase in competitor bid protests on contracts on which we were the successful bidder due to the competitive environment resulting from decreased government spending. In addition, we have formally protested procurement awards in which we were not the initial successful bidder, but believed that the source selection process was flawed. The protest process may substantially delay a successful bidder’s contract performance, result in cancellation of the contract award entirely and distract management. We may not be awarded contracts for which we bid, and substantial delays or cancellation of purchases may follow our successful bids as a result of such protests. We believe that this environment of protracted competitive bidding processes and competitor bid protests will continue.</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Certain of our government contracts also contain “organizational conflict of interest” clauses that could limit our ability to compete for certain related follow-on contracts. For example, when we work on the design of a particular solution, we may be precluded from competing for the contract to install that solution. While we actively monitor our contracts to avoid these conflicts, we cannot guarantee that we will be able to avoid all organizational conflict of interest issues.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receive the full amounts estimated under the contracts in our backlog, which could reduce our revenue in future periods below the levels anticipated. This makes backlog an uncertain indicator of future operating results.</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Backlog is typically subject to large variations from quarter to quarter and comparisons of backlog from period to period are not necessarily indicative of future revenues. The contracts comprising our backlog may not result in actual revenue in any particular period or at all, and the actual revenue from such contracts may differ from our backlog estimates. The timing of receipt of revenues, if any, on projects included in backlog could change because many factors affect the scheduling of projects. Cancellation of or adjustments to contracts may occur. Additionally, all U.S. Government contracts included in backlog, whether or not funded, may be terminated at the convenience of the U.S. Government. The failure to realize all amounts in our backlog could adversely affect our revenues and gross margins. As a result, our funded, unfunded and total backlog as of any particular date may not be an accurate indicator of our future earnings.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preference for minority-owned, small and small disadvantaged businesses could impact our ability to be a prime contractor and limit our opportunity to work as a subcontractor on certain governmental procurements.</w:t>
      </w:r>
    </w:p>
    <w:p>
      <w:pPr>
        <w:spacing w:after="0" w:line="170"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As a result of the Small Business Administration (“SBA”) set-aside program, the federal government may decide to restrict certain procurements only to bidders that qualify as minority-owned, small, or small disadvantaged businesses. As a result, we would not be eligible to perform as a prime contractor on those programs and in general would be restricted to no more than 49% of the work as a subcontractor on those programs. An increase in the amount of procurements under the SBA set-aside program may impact our ability to bid on new procurements as a prime contractor, limit our opportunity to work as a subcontractor or restrict our ability to compete on incumbent work that is placed in the set-aside program.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in-sourcing could result in loss of business opportunities and personnel.</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U.S. Government has continued to reduce the percentage of contracted services in favor of more federal employees through an initiative called “in-sourcing.” Over time, in-sourcing could have an adverse effect on our business, financial condition and results of operations. Specifically, as a result of in-sourcing government procurements for services could be fewer and smaller in the future. In addition, work we currently perform could be in-sourced by the federal government and, as a result, our revenues could be reduced. Moreover, our employees could also be hired by the government. This loss of our employees would necessitate the need to retain and train new employees. Accordingly, the effect of in-sourcing or the continuation of in-sourcing at a faster-than-expected rate, could have an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by security threats, including cybersecurity threats, and other disruptions.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Many of the systems we develop, install and maintain involve managing and protecting information involved in intelligence, national security and other sensitive or classified U.S. Government functions. We face various security threats, including cybersecurity threats, to gain unauthorized access to this sensitive information. Such threats can come from external as well as internal sources. We also face threats to the safety of our directors, officers, and employees; threats to the security of our facilities and infrastructure; and threats from terrorist acts. Although we utilize various procedures and controls to monitor these threats and mitigate our exposure to such threats, there can be no assurance that these procedures and controls will be sufficient in preventing security threats from materializing. If any of these events were to materialize, they could lead to the loss of sensitive information, critical infrastructure, personnel or capabilities essential to our operations and prevent us from being eligible for further work on sensitive or classified systems for U.S. Government customers. Further, any losses we incur from such a security breach could exceed the policy limits under our errors and omissions and product liability insurance. Any losses we incur, any damage to our reputation or any limitations on our eligibility for additional work resulting from a security breach could materially reduce our revenue and could have a material adverse effect on our business, financial condition and results of operations.</w:t>
      </w:r>
    </w:p>
    <w:p>
      <w:pPr>
        <w:spacing w:after="0" w:line="16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Cybersecurity attacks in particular are evolving and include, but are not limited to, malicious software, attempts to gain unauthorized access to data, and other electronic security breaches that could lead to disruptions in mission critical systems, unauthorized release of confidential or otherwise protected information and corruption of data. We have experienced cybersecurity attacks and may experience them in the future. These events could damage our reputation and lead to financial losses from remedial actions, loss of business, loss of proprietary and trade secret information or potential liability.</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systems or service failure, our reputation could be harmed and our customers could assert claims against us for damages or refunds.</w:t>
      </w:r>
    </w:p>
    <w:p>
      <w:pPr>
        <w:spacing w:after="0" w:line="26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create, implement and maintain IT solutions that are often critical to our customers’ operations. We have experienced, and may in the future experience, some systems and service failures, schedule or delivery delays and other problems in connection with our work. If we experience these problems, we may:</w:t>
      </w:r>
    </w:p>
    <w:p>
      <w:pPr>
        <w:spacing w:after="0" w:line="181"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lose revenue due to adverse customer reaction;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required to provide additional services to a customer at no charge;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cause customers to postpone, cancel or fail to renew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receive negative publicity, which could damage our reputation and adversely affect our ability to attract or retain customers; and</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suffer claims for substantial damages.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cannot ensure that provisions in our customer contracts will be legally sufficient to protect us if we are sued.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our errors and omissions and product liability insurance coverage may not be adequate,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may result in significant legal and other costs, be a distraction to our management and harm our reputation.</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products are complex and could have unknown defects or errors, which may increase our costs, harm our reputation with customers, give rise to costly litigation, or divert our resources from other purposes</w:t>
      </w:r>
      <w:r>
        <w:rPr>
          <w:rFonts w:ascii="Arial" w:cs="Arial" w:eastAsia="Arial" w:hAnsi="Arial"/>
          <w:sz w:val="18"/>
          <w:szCs w:val="18"/>
          <w:b w:val="1"/>
          <w:bCs w:val="1"/>
          <w:color w:val="auto"/>
        </w:rPr>
        <w:t>.</w:t>
      </w:r>
    </w:p>
    <w:p>
      <w:pPr>
        <w:spacing w:after="0" w:line="17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products, including but not limited to unmanned vehicles, aerial targets, UAS and ballistic missile targets, are extremely complex and must operate successfully with complex products from other vendors. Despite testing, our products have contained defects and errors and may in the future contain defects or errors, or experience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diversion of our personnel’s attention from our product development efforts, exposure to liability for damages, damaged customer relationships, and harm to our reputation, any of which could materially harm our results of operations. In addition, increased development and warranty costs could be substantial and could reduce our operating margins.</w:t>
      </w:r>
    </w:p>
    <w:p>
      <w:pPr>
        <w:spacing w:after="0" w:line="19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existence of any defects, errors, or failures in our products or the misuse of our products could also lead to lawsuits against us, result in injury, death, or property damage, and significantly damage our reputation and support for our products in general.</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54" w:lineRule="exact"/>
        <w:rPr>
          <w:sz w:val="20"/>
          <w:szCs w:val="20"/>
          <w:color w:val="auto"/>
        </w:rPr>
      </w:pPr>
    </w:p>
    <w:p>
      <w:pPr>
        <w:ind w:right="2480"/>
        <w:spacing w:after="0" w:line="342" w:lineRule="auto"/>
        <w:rPr>
          <w:sz w:val="20"/>
          <w:szCs w:val="20"/>
          <w:color w:val="auto"/>
        </w:rPr>
      </w:pPr>
      <w:r>
        <w:rPr>
          <w:rFonts w:ascii="Arial" w:cs="Arial" w:eastAsia="Arial" w:hAnsi="Arial"/>
          <w:sz w:val="16"/>
          <w:szCs w:val="16"/>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12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we cannot ensure that we will not experience such incidents in the future or that any such incidents will not result in production delays or otherwise have a material adverse effect on our business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quarter to quarter.</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w:t>
      </w:r>
    </w:p>
    <w:p>
      <w:pPr>
        <w:spacing w:after="0" w:line="187"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year. The U.S. Government’s fiscal year end can also trigger increased purchase requests from customers for equipment and materials. 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5" w:right="2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Additional factors that may cause our financial results to fluctuate from quarter to quarter include those addressed elsewhere in this Item 1A “Risk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Factors” and the following factors, among others:</w:t>
      </w:r>
    </w:p>
    <w:p>
      <w:pPr>
        <w:spacing w:after="0" w:line="211"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customer contracts that affect the timing of revenue recognition;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variability in demand for our services and solutions;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any particular quarter;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shipments and product deliveries;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award or performance incentive fee notices;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significant bid and proposal costs;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remediating unknown defects, errors or performance problems of our product offerings;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variable purchasing patterns under GSA contracts, GWACs, blanket purchase agreements and other IDIQ contracts;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and delays related to the export of defense articles and services;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government inquiries;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and joint ventures;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investments or changes in business strategy;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extent to which we use subcontractors;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fluctuations in our staff utilization rates;</w:t>
      </w:r>
    </w:p>
    <w:p>
      <w:pPr>
        <w:spacing w:after="0" w:line="9" w:lineRule="exact"/>
        <w:rPr>
          <w:rFonts w:ascii="Arial" w:cs="Arial" w:eastAsia="Arial" w:hAnsi="Arial"/>
          <w:sz w:val="18"/>
          <w:szCs w:val="18"/>
          <w:color w:val="auto"/>
        </w:rPr>
      </w:pPr>
    </w:p>
    <w:p>
      <w:pPr>
        <w:ind w:left="1300" w:right="420" w:hanging="320"/>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 and</w:t>
      </w: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21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 under our $90.0 million Amended and Restated Credit and Security Agreement, dated November 20, 2017 (the “Credit Agreement”), by and among the Company, the lenders named therein, SunTrust Bank, as Agent (the “Agent”), and SunTrust Robinson Humphrey, Inc. as Lead Arranger and Sole Book Runner. In addition, fluctuations in our financial results could cause our stock price to decline. See the risks and uncertainties related to our ability to raise additional capital below in </w:t>
      </w:r>
      <w:r>
        <w:rPr>
          <w:rFonts w:ascii="Arial" w:cs="Arial" w:eastAsia="Arial" w:hAnsi="Arial"/>
          <w:sz w:val="16"/>
          <w:szCs w:val="16"/>
          <w:i w:val="1"/>
          <w:iCs w:val="1"/>
          <w:color w:val="auto"/>
        </w:rPr>
        <w:t>“We may</w:t>
      </w:r>
      <w:r>
        <w:rPr>
          <w:rFonts w:ascii="Arial" w:cs="Arial" w:eastAsia="Arial" w:hAnsi="Arial"/>
          <w:sz w:val="16"/>
          <w:szCs w:val="16"/>
          <w:color w:val="auto"/>
        </w:rPr>
        <w:t xml:space="preserve"> </w:t>
      </w:r>
      <w:r>
        <w:rPr>
          <w:rFonts w:ascii="Arial" w:cs="Arial" w:eastAsia="Arial" w:hAnsi="Arial"/>
          <w:sz w:val="16"/>
          <w:szCs w:val="16"/>
          <w:i w:val="1"/>
          <w:iCs w:val="1"/>
          <w:color w:val="auto"/>
        </w:rPr>
        <w:t>need additional capital to fund the growth of our business, and financing may not be available on favorable terms or at all.”</w:t>
      </w:r>
    </w:p>
    <w:p>
      <w:pPr>
        <w:spacing w:after="0" w:line="165" w:lineRule="exact"/>
        <w:rPr>
          <w:sz w:val="20"/>
          <w:szCs w:val="20"/>
          <w:color w:val="auto"/>
        </w:rPr>
      </w:pPr>
    </w:p>
    <w:p>
      <w:pPr>
        <w:ind w:right="20"/>
        <w:spacing w:after="0" w:line="223" w:lineRule="exact"/>
        <w:rPr>
          <w:sz w:val="20"/>
          <w:szCs w:val="20"/>
          <w:color w:val="auto"/>
        </w:rPr>
      </w:pPr>
      <w:r>
        <w:rPr>
          <w:rFonts w:ascii="Arial" w:cs="Arial" w:eastAsia="Arial" w:hAnsi="Arial"/>
          <w:sz w:val="18"/>
          <w:szCs w:val="18"/>
          <w:b w:val="1"/>
          <w:bCs w:val="1"/>
          <w:i w:val="1"/>
          <w:iCs w:val="1"/>
          <w:color w:val="auto"/>
        </w:rPr>
        <w:t>Our margins and operating results may suffer if we experience unfavorable changes in the proportion of cost-plus-fee or fixed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price contracts in our total contract mix.</w:t>
      </w:r>
    </w:p>
    <w:p>
      <w:pPr>
        <w:spacing w:after="0" w:line="20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Although fixed-price contracts entail a greater risk of a reduced profit or financial loss on a contract compared to other types of contracts we enter into, fixed-price contracts typically provide higher profit opportunities because we may be able to benefit from cost savings and operating efficiencies. In contrast, cost-plus-fee contracts are subject to statutory limits on profit margins and generally are the least profitable of our contract types. Our U.S. Government customers typically determine what type of contract we enter into. Cost-plus-fee and fixed-price contracts in our federal business accounted for approximately 13% and 82%, respectively, of our federal business revenues for the year ended December 31, 2017. To the extent that we enter into more cost-plus-fee or less fixed-price contracts in proportion to our total contract mix in the future, our margins and operating results may suffer.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cash flow and profitability could be reduced if expenditures are incurred prior to the final receipt of a contract.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provide various professional services, specialized products, and sometimes procure equipment and materials on behalf of our customers under various contractual arrangements. From time to time, in order to ensure that we satisfy our customers’ delivery requirements and schedules, we may elect to initiate procurement in advance of receiving final authorization from the government customer or a prime contractor. If our government or prime contractor customer’s requirements should change or if the government or the prime contractor should direct the anticipated procurement to another contractor or if the equipment or materials become obsolete or require modification before we are under contract for the procurement, our investment in the equipment or materials might be at risk if we cannot efficiently resell them. This could reduce anticipated earnings or result in a loss, negatively affecting our cash flow and profitability.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and may continue to incur goodwill impairment charges in our reporting entities, which could harm our profitability.</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2017, goodwill represented approximately 45% of our total assets. We periodically review the carrying values of our goodwill to determine whether such carrying values exceed the fair value. If impairment testing indicates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that the carrying value of a reporting unit exceeds its fair value, the goodwill of the reporting unit is deemed impaired. Accordingly, an impairment charge would be recognized for that reporting unit in the period identified.</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identification and measurement of impairment involves the estimation of the fair value of reporting units. Accounting for impairment contains uncertainty because management must use judgment in determining appropriate assumptions to be used in the measurement of fair value. The estimates of fair value of reporting units are based on the best information available as of the date of the assessment, incorporate management assumptions about expected future cash flows and contemplate other valuation techniques. Future cash flows can be affected by changes in industry or market conditions, among other things.</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Given the current market conditions and continued economic uncertainty in the U.S. defense industry, including sequestration and issues surrounding the national debt ceiling, our future revenues, profits and cash flows could be substantially lower than our current projections. Current market conditions including increased price competitiveness specifically in the government services space, including procurements awarded on an LPTA rather than best value basis, can significantly impact our current projections, which specifically resulted in an impairment of the carrying value of our goodwill balance in our Defense Rocket Support Services reporting unit within our Kratos Government Solutions reportable segment. In addition, our ability to penetrate new international markets could also impact our current projections. Additional market factors could impact our projections and our ability to successfully develop new products and platforms. For example, our US reporting unit forecasts include the successful completion of certain performance criteria on new unmanned systems platforms, and acceptance of new unmanned systems platforms on a technical basis as well as from a political and government budgetary standpoint. In addition, market-based inputs to the calculations in the impairment test, such as weighted average cost of capital, and market multiples, could also be negatively impacted. Such circumstances may result in the future deterioration of the fair value of our reporting units and an impairment of our goodwill. Due to continual changes in market and general business conditions, we cannot predict whether, and to what extent, our goodwill and long-lived intangible assets may be impaired in future periods. Any resulting impairment loss could harm our profitability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properly manage projects may result in additional costs or claims.</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customers’ expectations could result in claims for substantial damages against us. Our contracts generally limit our liability for damages that arise from negligent acts, errors, mistakes or omissions in rendering services to our customers. However, we cannot be sure that these contractual provisions will protect us from liability for damages in the event we are sued. In addition, in certain instances, we guarantee customers that we will complete a project by a scheduled date. If the project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adversely affected.</w:t>
      </w:r>
    </w:p>
    <w:p>
      <w:pPr>
        <w:spacing w:after="0" w:line="1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use estimates when accounting for contracts, and any changes in such estimates could have an adverse effect on our profitability and our overall financial performance.</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When agreeing to contractual terms, our management makes assumptions and projections about future conditions and events, many of which extend over long periods. These projections assess the productivity and availability of labor, complexity of the work to be performed, cost and availability of materials, impact of delayed performance and timing of product deliveries. Contract accounting requires judgment relative to assessing risks, estimating contract revenues and costs, and making assumptions for schedule and technical issues. Due to the size and nature of many of our contracts, the estimation of total revenues and costs at completion is complicated and subject to many variables. For example, assumptions are made regarding the length of time to complete a contract since costs also include expected increases in wages, prices for materials and allocated fixed costs. Similarly, assumptions are made regarding the future impact of our efficiency initiatives and cost reduction efforts. Incentives, awards or penalties related to performance on contracts are considered in estimating revenue and profit rates and are recorded when there is sufficient information to assess anticipated performance. Suppliers’ assertions are also assessed and considered in estimating costs and profit rates.</w:t>
      </w:r>
    </w:p>
    <w:p>
      <w:pPr>
        <w:spacing w:after="0" w:line="18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Because of the significance of the judgment and estimation processes described above, it is possible that materially different amounts could be obtained if different assumptions were used or if the underlying circumstances were to change. Changes in underlying assumptions, circumstances or estimates may have a material adverse effect upon the profitability of one or more of the affected contracts, future period financial reporting and performance.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 (“NOL”) and tax credit carryforwards in the event that an “ownership change” occurs for tax purposes, as defined by Section 382 of the Internal Revenue Code of 1986, as amended. We believe we underwent an ownership change in March 2010 that limited the Company’s federal annual utilization of NOL carryforwards. If the entire limitation amount is not utilized in a year, the excess can be carried forward and utilized in future years. For the year ended December 31, 2017, there was no impact of such limitations on the income tax provision since the amount of taxable income did not exceed the cumulative annual limitation amount. In addition, future equity offerings or acquisitions that have equity as a component of the purchase price could also cause an “ownership change.” If and when any other “ownership change” occurs, utilization of the NOL or other tax attributes may be further limited.</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expect to incur substantial research and development costs and devote significant resources to identifying and developing new products and services, which could significantly reduce our profitability and may never result in revenue to us.</w:t>
      </w:r>
    </w:p>
    <w:p>
      <w:pPr>
        <w:spacing w:after="0" w:line="1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future growth depends on penetrating new markets, adapting existing products to new applications, and introducing new products and services that achieve market acceptance. We plan to incur substantial research and development costs as part of our efforts to design, develop and commercialize new products and services and enhance existing products. We spent $17.8 million, or 2.4% of our revenue, in our fiscal year ended December 31, 2017 on internally funded research and development activities. We believe that there are significant investment opportunities in a number of business areas. Because we account for research and development as an operating expense, these expenditures will adversely affect our earnings in the future. Further, our research and development programs may not produce successful results, and our new products and services may not achieve market acceptance, create additional revenue or become profitable, which could materially harm our business, prospects, financial results and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additional capital to fund the growth of our business, and financing may not be available on favorable terms or at all.</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currently anticipate that our available capital resources, including the cash we raised in our recent equity offerings, amounts available under our Credit Agreement and operating cash flow will be sufficient to meet our expected working capital and capital expenditure requirements for at least the next 12 months. However, these resources may not be sufficient to fund the long-term growth of our business, especially in the event that we are awarded future multiple sizable production awards related to our tactical drone programs which require significant amounts of working capital to fund such growth. If we determine that it is necessary to raise additional funds, either through an expansion or refinancing of our Credit Agreement or through public or private debt offerings or additional equity financings, additional financing may not be available on terms favorable to us, or at all. Disruptions in the capital and credit markets may continue indefinitely or intensify, which could adversely affect our ability to access these markets. Limitations on our borrowing base contained in our Credit Agreement may limit our access to capital, and we could fall out of compliance with financial and other covenants contained in our Credit Agreement which, if not waived, would restrict our access to capital and could require us to pay down any then-existing debt under the Credit Agreement. Our lenders may not agree to extend additional or continuing credit under our Credit Agreement or waive restrictions on our access to capital. If adequate funds are not available or are not available on acceptable terms, we may not be able to take advantage of available opportunities, develop new products or otherwise respond to competitive pressures and our business, operating results or financial condition could be materially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acquisitions and future acquisitions could prove difficult to integrate, disrupt our business, dilute stockholder value and strain our resources.</w:t>
      </w:r>
    </w:p>
    <w:p>
      <w:pPr>
        <w:spacing w:after="0" w:line="24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have in the past and may, in the future, acquire additional businesses that we believe could complement or expand our business or increase our customer base. Integrating the operations of acquired businesses successfully or otherwise realizing any of the anticipated benefits of acquisitions, including anticipated cost savings and additional revenue opportunities, involves a number of potential challenges. The failure to meet these integration challenges could seriously harm our financial condition and results of operations. Realizing the benefits of acquisitions depends in part on the integration of operations and personnel. These integration activities are complex and time-consuming, and we may encounter unexpected difficulties or incur unexpected costs, including:</w:t>
      </w:r>
    </w:p>
    <w:p>
      <w:pPr>
        <w:spacing w:after="0" w:line="193" w:lineRule="exact"/>
        <w:rPr>
          <w:sz w:val="20"/>
          <w:szCs w:val="20"/>
          <w:color w:val="auto"/>
        </w:rPr>
      </w:pPr>
    </w:p>
    <w:p>
      <w:pPr>
        <w:ind w:left="5620" w:right="4480" w:hanging="4640"/>
        <w:spacing w:after="0" w:line="559" w:lineRule="auto"/>
        <w:tabs>
          <w:tab w:leader="none" w:pos="1301"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achieve the operating synergies anticipated in the acquisitions; 22</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concerns to integration matters;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consolidating and rationalizing IT platforms and administrative infrastructures;</w:t>
      </w:r>
    </w:p>
    <w:p>
      <w:pPr>
        <w:spacing w:after="0" w:line="9" w:lineRule="exact"/>
        <w:rPr>
          <w:rFonts w:ascii="Arial" w:cs="Arial" w:eastAsia="Arial" w:hAnsi="Arial"/>
          <w:sz w:val="18"/>
          <w:szCs w:val="18"/>
          <w:color w:val="auto"/>
        </w:rPr>
      </w:pPr>
    </w:p>
    <w:p>
      <w:pPr>
        <w:ind w:left="1300" w:right="8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complexities associated with managing the geographic separation of the combined businesses and consolidating multiple physical locations where management may determine consolidation is desirable;</w:t>
      </w:r>
    </w:p>
    <w:p>
      <w:pPr>
        <w:ind w:left="130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personnel from different corporate cultures while maintaining focus on providing consistent, high quality customer service;</w:t>
      </w: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or delays in transitioning U.S. Government contracts pursuant to federal acquisition regulations;</w:t>
      </w:r>
    </w:p>
    <w:p>
      <w:pPr>
        <w:spacing w:after="0" w:line="9" w:lineRule="exact"/>
        <w:rPr>
          <w:rFonts w:ascii="Arial" w:cs="Arial" w:eastAsia="Arial" w:hAnsi="Arial"/>
          <w:sz w:val="18"/>
          <w:szCs w:val="18"/>
          <w:color w:val="auto"/>
        </w:rPr>
      </w:pPr>
    </w:p>
    <w:p>
      <w:pPr>
        <w:ind w:left="1300" w:right="24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in demonstrating to customers of Kratos and to customers of acquired businesses that the acquisition will not result in adverse changes in customer service standards or business focus;</w:t>
      </w: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cash flow interruption or loss of revenue as a result of change of ownership transitional matters;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11"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Acquired businesses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the U.S. Government or other customers, we, as the successor owner, may be financially responsible for these violations and failures and may suffer reputational harm or otherwise be adversely affected. Acquisitions also frequently result in the recording of goodwill and other intangible assets that are subject to potential impairment in the future that could harm our financial results. In addition, if we finance acquisitions by issuing debt or equity securities, our existing stockholders may be diluted, which could affect the market price of our stock. Acquisitions and/or the related equity financings could also impact our ability to utilize our NOL carryforwards. As a result, if we fail to properly evaluate acquisitions or investments, we may not achieve the anticipated benefits of any such acquisitions, and we may incur costs in excess of what we anticipate. Acquisitions frequently involve benefits related to integration of operations. The failure to successfully integrate the operations or to otherwise realize any of the anticipated benefits of the acquisition could seriously harm our financial condition and results of operations.</w:t>
      </w:r>
    </w:p>
    <w:p>
      <w:pPr>
        <w:spacing w:after="0" w:line="17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also evaluate from time to time the potential disposition of assets or business that may no longer meet our growth, return and/or strategic objectives. Divestitures have inherent risks, including the possibility that any anticipated sale will be delayed or will not occur, the potential failure to realize the perceived strategic or financial merits of the divestment, difficulties in the separation of operations, services, information technology, products and personnel, unexpected costs associated with such separation, diversion of management’s attention from other business concerns and potential post-closing claims for alleged breaches of related agreements, indemnification or other disputes. A failure to successfully complete a disposition or to otherwise realize any of the anticipated benefits of a disposition could seriously harm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and financial results could suffer.</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Sustaining our growth has placed significant demands on our management, as well as on our administrative, operational and financial resources. For us to continue to manage our growth, we must continue to improve our operational, financial and management information systems and expand, motivate and manage our workforce. Additionally, our future financial results depend in part on our ability to profitably manage our growth on a combined basis with the businesses we have acquired and those we may acquire in the future. If we are unable to manage our growth while maintaining our quality of service and profit margins, or if new systems that we implement to assist in managing our growth do not produce the expected benefits, our business, prospects, financial condition or operating results could be adversely affected.</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loss of any member of our senior management could impair our relationships with U.S. Government customers and disrupt the management of our business.</w:t>
      </w:r>
    </w:p>
    <w:p>
      <w:pPr>
        <w:spacing w:after="0" w:line="170"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believe that the success of our business and our ability to operate profitably depends on the continued contributions of the members of our senior management. We rely on our senior management to generate business and execute programs successfully. In addition, the relationships and reputation that many members of our senior management team have established and maintain with U.S. Government personnel contribute to our ability to maintain strong customer relationships and to identify new business opportunities. The loss of any member of our senior management could impair our ability to identify and secure new contracts, to maintain good customer relations and to otherwise manage our business.</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skilled employees or employees with the necessary national security clearances, we might not be able to perform under our contracts or win new business.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growth of our business and revenue depends in large part upon our ability to attract and retain sufficient numbers of highly qualified individuals who have advanced technical and/or engineering skills. These employees are in great demand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and are likely to remain a limited resource in the foreseeable future. In addition, certain U.S. Government contracts require us, and some of our employees, to maintain national security clearances. Obtaining and maintaining national security clearances for employees involves a lengthy process, and it is difficult to identify, recruit and retain employees who already hold national security clearances. Further, some of our contracts contain provisions requiring us to staff an engagement with personnel that the customer considers key to our successful performance under the contract. In the event we are unable to provide these key personnel or acceptable substitutions, the customer may terminate the contract. As a result, if we are unable to recruit and retain a sufficient number of qualified employees, we may lose revenue and our ability to maintain and grow our business could be limited.</w:t>
      </w:r>
    </w:p>
    <w:p>
      <w:pPr>
        <w:spacing w:after="0" w:line="16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Moreover, in a tight labor market our direct labor costs could increase or we may be required to engage large numbers of subcontractor personnel, which could cause our profit margins to suffer.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are subject to the requirements of the National Industrial Security Program Operating Manual for our facility security clearance, which is a prerequisite to our ability to perform on classified contracts for the U.S. Government.</w:t>
      </w:r>
    </w:p>
    <w:p>
      <w:pPr>
        <w:spacing w:after="0" w:line="130" w:lineRule="exact"/>
        <w:rPr>
          <w:sz w:val="20"/>
          <w:szCs w:val="20"/>
          <w:color w:val="auto"/>
        </w:rPr>
      </w:pPr>
    </w:p>
    <w:p>
      <w:pPr>
        <w:ind w:right="700" w:firstLine="648"/>
        <w:spacing w:after="0" w:line="259" w:lineRule="auto"/>
        <w:rPr>
          <w:sz w:val="20"/>
          <w:szCs w:val="20"/>
          <w:color w:val="auto"/>
        </w:rPr>
      </w:pPr>
      <w:r>
        <w:rPr>
          <w:rFonts w:ascii="Arial" w:cs="Arial" w:eastAsia="Arial" w:hAnsi="Arial"/>
          <w:sz w:val="18"/>
          <w:szCs w:val="18"/>
          <w:color w:val="auto"/>
        </w:rPr>
        <w:t>A facility security clearance is required for a company to perform on classified contracts for the DoD and certain other agencies of the U.S. Government. Security clearances are subject to regulations and requirements including the National Industrial Security Program Operating Manual (“NISPOM”), which specifies the requirements for the protection of classified information released or disclosed in connection with classified U.S. Government contracts.</w:t>
      </w:r>
    </w:p>
    <w:p>
      <w:pPr>
        <w:spacing w:after="0" w:line="146"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We require certain facility and personnel security clearances to perform our classified U.S. Government related business. As such, we must comply with the requirements of the NISPOM and any other applicable U.S. Government industrial security regulations. If we were to violate the terms and requirements of the NISPOM or any other applicable U.S. Government industrial security regulations (which apply to us under the terms of classified contracts), any of our cleared facilities could lose its facility security clearance. We cannot be certain that we will be able to maintain our facility security clearances. If for some reason one or more of our facility security clearances is invalidated or terminated, we would not be able to continue to perform on classified contracts at that facility and would not be able to enter into new classified contracts, which could adversely affect our revenues. Failure to comply with the NISPOM or other security requirements may subject us to civil or criminal penalties, loss of access to classified information, loss of a U.S. Government contract, or potentially debarment as a government contractor.</w:t>
      </w:r>
    </w:p>
    <w:p>
      <w:pPr>
        <w:spacing w:after="0" w:line="1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 unable to realize any benefit from our cost reduction and restructuring efforts and our profitability may be hurt or our business otherwise might be adversely affected</w:t>
      </w:r>
      <w:r>
        <w:rPr>
          <w:rFonts w:ascii="Arial" w:cs="Arial" w:eastAsia="Arial" w:hAnsi="Arial"/>
          <w:sz w:val="18"/>
          <w:szCs w:val="18"/>
          <w:color w:val="auto"/>
        </w:rPr>
        <w:t>.</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have engaged in cost reduction and restructuring activities in the past, including the recent restructuring actions in the Modular Systems and Public Safety businesses, and we may engage in other cost reduction restructuring activities in the future. These types of cost reduction and restructuring activities are complex. If we do not successfully manage our current cost reduction and restructuring activities, or any other cost reduction and restructuring activities that we may take in the future, any expected efficiencies and benefits might be delayed or not realized, and our operations and business could be disrupted. In addition, the costs associated with implementing cost reduction and restructuring activities might exceed expectations, which could result in additional future charges.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derived from our international business could be subject to global economic downturn and hardship.</w:t>
      </w:r>
    </w:p>
    <w:p>
      <w:pPr>
        <w:spacing w:after="0" w:line="225" w:lineRule="exact"/>
        <w:rPr>
          <w:sz w:val="20"/>
          <w:szCs w:val="20"/>
          <w:color w:val="auto"/>
        </w:rPr>
      </w:pPr>
    </w:p>
    <w:p>
      <w:pPr>
        <w:ind w:left="80" w:firstLine="648"/>
        <w:spacing w:after="0" w:line="273" w:lineRule="auto"/>
        <w:rPr>
          <w:sz w:val="20"/>
          <w:szCs w:val="20"/>
          <w:color w:val="auto"/>
        </w:rPr>
      </w:pPr>
      <w:r>
        <w:rPr>
          <w:rFonts w:ascii="Arial" w:cs="Arial" w:eastAsia="Arial" w:hAnsi="Arial"/>
          <w:sz w:val="17"/>
          <w:szCs w:val="17"/>
          <w:color w:val="auto"/>
        </w:rPr>
        <w:t>Our international business represents 11% of our total revenue for the year ended December 31, 2017, which may be impacted by changes in foreign national priorities and government budgets and may be further impacted by global economic conditions and fluctuations in foreign currency exchange rates. Continued international economic uncertainty and reductions in consumer spending may result in reductions in our revenue. Additionally, disruptions in international credit markets may materially limit consumer credit availability and restrict credit availability of our customers. Any reduction in international sales of our solutions resulting from reductions in consumer spending or continued disruption in the availability of credit to retailers or consumers, could materially and adversely affect our business, results of operations and financial condition.</w:t>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business exposes us to additional risks.</w:t>
      </w:r>
    </w:p>
    <w:p>
      <w:pPr>
        <w:spacing w:after="0" w:line="30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operations outside of the U.S. are subject to risks that are inherent in conducting business under non-U.S. laws, regulations and customs, including those related to:</w:t>
      </w:r>
    </w:p>
    <w:p>
      <w:pPr>
        <w:spacing w:after="0" w:line="251"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foreign currency exchange rate fluctuations, potentially reducing the U.S. dollars we receive for sales denominated in foreign currency;</w:t>
      </w:r>
    </w:p>
    <w:p>
      <w:pPr>
        <w:spacing w:after="0" w:line="34" w:lineRule="exact"/>
        <w:rPr>
          <w:rFonts w:ascii="Arial" w:cs="Arial" w:eastAsia="Arial" w:hAnsi="Arial"/>
          <w:sz w:val="17"/>
          <w:szCs w:val="17"/>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possibility that unfriendly nations or groups could boycott our solutions;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conditions in the markets in which we operate;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increased costs associated with overlapping tax structures;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import-export control;</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and costs associated with staffing and managing foreign operations;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difficulties of compliance with a wide variety of foreign laws and regulations;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longer accounts receivable cycles in certain foreign countries, whether due to cultural differences, exchange rate fluctuation or other factors;</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technology transfer restrictions;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our distribution networks;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employees.</w:t>
      </w:r>
    </w:p>
    <w:p>
      <w:pPr>
        <w:spacing w:after="0" w:line="211" w:lineRule="exact"/>
        <w:rPr>
          <w:sz w:val="20"/>
          <w:szCs w:val="20"/>
          <w:color w:val="auto"/>
        </w:rPr>
      </w:pPr>
    </w:p>
    <w:p>
      <w:pPr>
        <w:ind w:left="80" w:right="120" w:firstLine="648"/>
        <w:spacing w:after="0" w:line="270" w:lineRule="auto"/>
        <w:rPr>
          <w:sz w:val="20"/>
          <w:szCs w:val="20"/>
          <w:color w:val="auto"/>
        </w:rPr>
      </w:pPr>
      <w:r>
        <w:rPr>
          <w:rFonts w:ascii="Arial" w:cs="Arial" w:eastAsia="Arial" w:hAnsi="Arial"/>
          <w:sz w:val="17"/>
          <w:szCs w:val="17"/>
          <w:color w:val="auto"/>
        </w:rPr>
        <w:t>These risks, individually or in the aggregate, could have an adverse effect on our results of operations and financial condition. For example, we are subject to compliance with the Foreign Corrupt Practices Act and similar anti-bribery laws, which generally prohibit companies and their intermediaries from making improper payments to foreign government officials for the purpose of obtaining or retaining business. While our employees and agents are required to comply with these laws, we cannot be sure that our internal policies and procedures will always protect us from violations of these laws, despite our commitment to legal compliance and corporate ethics. The occurrence or allegation of these types of risks may adversely affect our business, performance, prospects, value, financial condition, and results of operations. In addition, our international contracts may include industrial cooperation agreements requiring specific in-country purchases, investments, manufacturing agreements or other financial obligations, known as offset obligations, and provide for penalties if we fail to meet such requirements. The impact of these factors is difficult to predict, but one or more of them could adversely affect our financial position, results of operations, or cash flows.</w:t>
      </w:r>
    </w:p>
    <w:p>
      <w:pPr>
        <w:spacing w:after="0" w:line="18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Violations of the International Traffic in Arms Regulations (“ITAR”) or other applicable trade compliance regulations could result in significant sanctions including fines, more onerous compliance requirements and debarments from export privileges or loss of authorizations needed to conduct aspects of our international business. A violation of ITAR or other applicable trade regulations could have a materially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substantial indebtedness, which could adversely affect our cash flow, financial condition and business.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December 31, 2017, we had approximately $294.3 million of total indebtedness outstanding, which includes $6.5 million of unamortized debt issuance costs. As a result of this indebtedness, our interest payment obligations are significant. The degree to which we are leveraged could have adverse effects on our business, including the following:</w:t>
      </w:r>
    </w:p>
    <w:p>
      <w:pPr>
        <w:spacing w:after="0" w:line="181"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the industries in which we operate;</w:t>
      </w:r>
    </w:p>
    <w:p>
      <w:pPr>
        <w:spacing w:after="0" w:line="23" w:lineRule="exact"/>
        <w:rPr>
          <w:rFonts w:ascii="Arial" w:cs="Arial" w:eastAsia="Arial" w:hAnsi="Arial"/>
          <w:sz w:val="18"/>
          <w:szCs w:val="18"/>
          <w:color w:val="auto"/>
        </w:rPr>
      </w:pPr>
    </w:p>
    <w:p>
      <w:pPr>
        <w:ind w:left="1300" w:right="180" w:hanging="320"/>
        <w:spacing w:after="0" w:line="265"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restrict us from making strategic acquisitions or exploiting business opportunities;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place us at a competitive disadvantage compared to our competitors that have less debt;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limit our ability to borrow additional funds;</w:t>
      </w:r>
    </w:p>
    <w:p>
      <w:pPr>
        <w:spacing w:after="0" w:line="9" w:lineRule="exact"/>
        <w:rPr>
          <w:rFonts w:ascii="Arial" w:cs="Arial" w:eastAsia="Arial" w:hAnsi="Arial"/>
          <w:sz w:val="18"/>
          <w:szCs w:val="18"/>
          <w:color w:val="auto"/>
        </w:rPr>
      </w:pPr>
    </w:p>
    <w:p>
      <w:pPr>
        <w:jc w:val="both"/>
        <w:ind w:left="1300" w:right="100" w:hanging="320"/>
        <w:spacing w:after="0" w:line="255"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may prevent us from raising the funds necessary to repurchase our outstanding 6.5% Notes (as defined below) tendered to us if there is a change of control, which would constitute a default under the Indenture (as defined below) governing our 6.5% Notes and under our Credit Agreement; and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may decrease our ability to compete effectively or operate successfully under adverse economic and industry conditions.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high level of indebtedness increases the risk that we may default on our debt obligations. We may be unable to generate sufficient cash flow to pay the interest on our debt. If we are unable to service our indebtedness, we will be forced to adopt an alternative strategy that may include actions such as reducing capital expenditures, reducing internal investments in research and development efforts, selling assets, restructuring or refinancing our indebtedness or seeking additional equity capital. These alternative strategies may not be affected on satisfactory terms, if at all, and they may not yield sufficient funds to make required payments on our indebtedness.</w:t>
      </w:r>
    </w:p>
    <w:p>
      <w:pPr>
        <w:spacing w:after="0" w:line="188"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w:t>
      </w:r>
      <w:r>
        <w:rPr>
          <w:rFonts w:ascii="MS PGothic" w:cs="MS PGothic" w:eastAsia="MS PGothic" w:hAnsi="MS PGothic"/>
          <w:sz w:val="16"/>
          <w:szCs w:val="16"/>
          <w:color w:val="auto"/>
        </w:rPr>
        <w:t>‑</w:t>
      </w:r>
      <w:r>
        <w:rPr>
          <w:rFonts w:ascii="Arial" w:cs="Arial" w:eastAsia="Arial" w:hAnsi="Arial"/>
          <w:sz w:val="16"/>
          <w:szCs w:val="16"/>
          <w:color w:val="auto"/>
        </w:rPr>
        <w:t>acceleration or cross</w:t>
      </w:r>
      <w:r>
        <w:rPr>
          <w:rFonts w:ascii="MS PGothic" w:cs="MS PGothic" w:eastAsia="MS PGothic" w:hAnsi="MS PGothic"/>
          <w:sz w:val="16"/>
          <w:szCs w:val="16"/>
          <w:color w:val="auto"/>
        </w:rPr>
        <w:t>‑</w:t>
      </w:r>
      <w:r>
        <w:rPr>
          <w:rFonts w:ascii="Arial" w:cs="Arial" w:eastAsia="Arial" w:hAnsi="Arial"/>
          <w:sz w:val="16"/>
          <w:szCs w:val="16"/>
          <w:color w:val="auto"/>
        </w:rPr>
        <w:t>default rights between the relevant agreements. In addition, the holders of our 6.5% Notes could foreclose against the assets securing the 6.5% Notes and we could be forced into bankruptcy or liquidation and/or our lenders could compel us to apply all of our available cash to repay our borrowings or they could prevent us from making payments on our indebtedness. If the amounts outstanding under any of our indebtedness were to be accelerated, our assets may not be sufficient to repay in full the money owed to the lenders or to our other debt holders.</w:t>
      </w:r>
    </w:p>
    <w:p>
      <w:pPr>
        <w:spacing w:after="0" w:line="20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and our subsidiaries may incur more debt, which may increase the risks associated with our substantial leverage, including our ability to service our indebtedness.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agreements governing our debt permit us, under some circumstances, to incur certain additional indebtedness or obligations. To the extent that we incur additional indebtedness or such other obligations, the risks associated with our substantial leverage described above, including our possible inability to service our debt, would increase.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credit ratings or macroeconomic conditions may affect our liquidity, increasing borrowing costs and limiting our financing options.</w:t>
      </w:r>
    </w:p>
    <w:p>
      <w:pPr>
        <w:spacing w:after="0" w:line="208"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Macroeconomic conditions, such as increased volatility or disruption in the credit markets, could adversely affect our ability to refinance existing debt or obtain additional financing at terms satisfactory to us, thereby affecting our resources to support operations or to fund new initiatives. In addition, if our credit ratings are lowered, borrowing costs for future long-term debt or short-term credit facilities may increase and our financing options, including our access to the unsecured credit market, could be limited. We may also be subject to restrictive covenants that would reduce our flexibility.</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w:t>
      </w:r>
    </w:p>
    <w:p>
      <w:pPr>
        <w:spacing w:after="0" w:line="17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of December 31, 2017, approximately 11% of our consolidated assets, based on book value, and 10% of our consolidated revenues for the year ended December 31, 2017, were held by foreign subsidiaries, which do not guarantee the 6.5% Notes. Our ability to meet our debt service obligations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Therefore, to the extent that we must use cash generated in foreign jurisdictions to make principal or interest payments on our debt, there may be a cost associated with repatriating the cash to the U.S. Dividends and other distributions from our foreign subsidiaries may also be subject to fluctuations in currency exchange rates and legal and other restrictions on repatriation, which could further reduce the amount of funds we receive from such foreign subsidiaries.</w:t>
      </w:r>
    </w:p>
    <w:p>
      <w:pPr>
        <w:spacing w:after="0" w:line="17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The agreements governing our debt impose significant operating and financial restrictions on us and our subsidiaries that may prevent us and our subsidiaries from pursuing certain business opportunities and restrict our ability to operate our business.</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Indenture and the Credit Agreement subject us, and our subsidiaries, to several financial and other restrictive covenants, including limitations on liens or indebtedness, payment of dividends, transactions with affiliates, and mergers, sales or other dispositions of our assets.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Credit Agreement also requires us to comply with specified financial ratios, including a borrowing base availability and minimum fixed charge coverage ratio which is required to be maintained if borrowing levels, as defined, under the Credit Agreement, occur under the line of credit. Many factors, including events beyond our control, may affect our ability to comply with these covenants and financial ratios. We cannot be sure we will meet our debt-related obligations or that lenders will waive any failure to meet those obligations. Any failure to meet those debt-related obligations could result in an event of default under our other indebtedness and the acceleration of such indebtedness.</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restrictions contained in the Indenture and in our Credit Agreement could also limit the ability of the Company and its subsidiaries to plan for or react to market conditions, meet capital needs or otherwise restrict their activities or business plans and adversely affect the ability to finance their operations, enter into acquisitions or to engage in other business activities that would be in their interest.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rights.</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We rely on a combination of patents, trademarks, copyrights, trade secrets and nondisclosure agreements to protect our proprietary intellectual property. Our efforts to protect our intellectual property and proprietary rights may not be sufficient. We cannot be sure that our pending patent applications will result in the issuance of patents to us, that patents issued to or licensed by us in the past or in the future will not be challenged or circumvented by competitors or that these patents will remain valid or sufficiently broad to preclude our competitors from introducing technologies similar to those covered by our patents and patent applications. In addition, our ability to enforce and protect our intellectual property rights may be limited in certain countries outside the U.S., which could make it easier for competitors to capture market position in such countries by utilizing technologies that are similar to those developed or licensed by us. Competitors also may harm our sales by designing products that mirror the capabilities of our products or technology without infringing on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harmed by intellectual property infringement claims.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may become subject to claims from our employees or third parties who assert that software and other forms of intellectual property that we use in delivering services and solutions to our customers infringe upon intellectual property rights of such employees or third parties. Our employees develop some of the software and other forms of intellectual property that we use to provide our services and solutions to our customers, but we also license technology from other vendors. If our employees, vendors, or other third parties assert claims that we or our customers are infringing on their intellectual property rights, we could incur substantial costs to defend those claims. If any such infringement claims were ultimately successful, we could be required to cease selling or using products or services that incorporate the challenged software or technology, obtain a license or additional licenses from our employees, vendors, or other third parties, or redesign our products and services that rely on the challenged software or technology.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trade secrets could cause harm to our business.</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 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we are unable to protect our intellectual property, our competitors could market services or products similar to our services and products, which could reduce demand for our offerings. Any litigation to enforce our intellectual property rights, protect our trade secrets or determine the validity and scope of the proprietary rights of others could result in substantial costs and diversion of resources, with no assurance of success.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Environmental and Legal Issues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complex procurement laws and regulations could cause us to lose business and subject us to a variety of penalties.</w:t>
      </w:r>
    </w:p>
    <w:p>
      <w:pPr>
        <w:spacing w:after="0" w:line="24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must comply with laws and regulations relating to the formation, administration and performance of U.S. Government contracts, which affect how we do business with our customers, prime contractors, subcontractors and vendors and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may impose added costs on us. New regulations or procurement requirements (including, for example regulations regarding counterfeit and corrupt parts, supply chain diligence and cyber security) or changes to current requirements could increase our costs and risk of non-compliance. Our role as a contractor to agencies and departments of the U.S. Government results in our being routinely subject to investigations and reviews relating to compliance with various laws and regulations, including those associated with organizational conflicts of interest, procurement integrity, bid integrity and claim presentation, among others. These investigations may be conducted without our knowledge. Adverse findings in these investigations or reviews can lead to criminal, civil or administrative proceedings, and we could face civil and criminal penalties and administrative sanctions, including termination of contracts, forfeiture of profits, suspension of payments, fines and suspension or debarment from doing business with U.S. Government agencies. In addition, we could suffer serious harm to our reputation and competitive position if allegations of impropriety were made against us, whether or not true. If our reputation or relationship with U.S. Government agencies were impaired, or if the U.S. Government otherwise ceased doing business with us or significantly decreased the amount of business it does with us, our revenue and operating profit would decline.</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contracts and administrative processes and systems are subject to audits and cost adjustments by the U.S. Government, which could reduce our revenue, disrupt our business or otherwise adversely affect our results of operations.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U.S. Government agencies, including the Defense Contract Audit Agency (“DCAA”), routinely audit and investigate government contracts and government contractors’ administrative processes and systems. These agencies review our performance on contracts, pricing practices, cost structure and compliance with applicable laws, regulations and standards. They also review the adequacy of our compliance with government standards for our accounting and management of internal control systems, including our: control environment and overall accounting system, general IT system, budget and planning system, purchasing system, material management and accounting system, compensation system, labor system, indirect and other direct costs system, and billing system and estimating system used for pricing on government contracts. Both contractors and the U.S. Government agencies conducting these audits and reviews have come under increased scrutiny. The current audits and reviews have become more rigorous, and the standards to which contractors are being held are being more strictly interpreted, increasing the likelihood of an audit or review resulting in an adverse outcome. During the course of its current audits, the DCAA is closely examining and questioning several of our established and disclosed practices that it had previously audited and accepted, increasing the uncertainty as to the ultimate conclusion that will be reached.</w:t>
      </w:r>
    </w:p>
    <w:p>
      <w:pPr>
        <w:spacing w:after="0" w:line="178"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A finding of significant control deficiencies in our system audits or other reviews can result in decremented billing rates to our U.S. Government customers until the control deficiencies are corrected and our corrections are accepted by Defense Contract Management Agency (“DCMA”).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accounting and management internal control systems, including our changes to indirect cost and direct labor estimating systems, from the responsible U.S. Government agency could significantly and adversely affect our business, including our ability to bid on new contracts and our competitive position in the bidding process. A determination of non-compliance with applicable contracting and procurement laws, regulations and standards could also result in the U.S. Government imposing penalties and sanctions against us, including withholding of payments, suspension of payments and increased government scrutiny that could delay or adversely affect our ability to invoice and receive timely payment on contracts, perform contracts or compete for contracts with the U.S. Government.</w:t>
      </w:r>
    </w:p>
    <w:p>
      <w:pPr>
        <w:spacing w:after="0" w:line="169"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We have submitted incurred cost claims through 2015. The actual indirect cost audits by the DCAA have been completed for our subsidiaries for fiscal 2010. Although we have recorded contract revenues subsequent to fiscal 2010 based upon costs that we believe will be approved upon final audit or review, we do not know the outcome of any ongoing or future audits or reviews and, if future adjustments exceed our estimates, our profitability would be adversely affected.</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employees or others acting on our behalf may engage in misconduct or other improper activities, which could cause us to lose contracts or cause us to incur costs.</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are exposed to the risk that employee fraud or other misconduct from our employees or others acting on our behalf could occur. Misconduct by employees or others could include intentional failures to comply with U.S. Government procurement regulations, engaging in unauthorized activities or falsifying time records. Misconduct by our employees or others acting on our behalf could also involve the improper use of our customers’ sensitive or classified information, which could result in regulatory sanctions against us, serious harm to our reputation, a loss of contracts and a reduction in revenues, or cause us to incur costs to respond to any related governmental inquiries. It is not always possible to deter misconduct, and the precautions we take to prevent and detect this activity may not be effective in controlling unknown or unmanaged risks or losses, which could cause us to lose contracts or cause a reduction in revenues. In addition, alleged or actual misconduct by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employees or others acting on our behalf could result in investigations or prosecutions of persons engaged in the subject activities, which could result in unanticipated consequences or expenses and management distraction for us regardless of whether we are alleged to have any responsibility.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our financial results or prevent fraud.</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Effective internal controls are necessary for us to provide reliable financial reports. If we cannot provide reliable financial reports, our operating results could be misstated, our reputation may be harmed and the trading price of our stock could be negatively affected. Our management has concluded that there are no material weaknesses in our internal controls over financial reporting as of December 31, 2017. However, although we continue to devote substantial time and resources to the documentation and testing of our controls, there can be no assurance that our controls over financial processes and reporting will be effective in the future or that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Consolidated Financial Statements or other public disclosures. Inferior internal controls could also cause investors to lose confidence in our reported financial information, which could have a negative effect on the trading price of our stock.</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subject to environmental laws and potential exposure to environmental liabilities. This may affect our ability to develop, sell or rent our property or to borrow money where such property is required to be used as collateral.</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use hazardous materials common to the industries in which we operate. We are required to follow federal, state and local environmental laws and regulations regarding the handling, storage and disposal of these materials, including the Clean Air Act, the Clean Water Act, the Resource Conservation and Recovery Act, the Comprehensive Environmental Response, Compensation and Liability Act (“CERCLA”), and the Toxic Substances Control Act. We could be subject to fines, suspensions of production, alteration of our manufacturing processes or interruption or cessation of our operations if we fail to comply with present or future laws or regulations related to the use, storage, handling, discharge or disposal of toxic, volatile or otherwise hazardous chemicals used in our manufacturing processes. These regulations could require us to acquire expensive remediation equipment or to incur significant other expenses to comply with environmental regulations. Our failure to control the handling, use, storage or disposal of, or adequately restrict the discharge of, hazardous substances could subject us to liabilities and production delays, which could cause us to miss our customers’ delivery schedules, thereby reducing our sales for a given period. We may also have to pay regulatory fines, penalties or other costs (including remediation costs), which could materially reduce our profits and adversely affect our financial condition. Permits are required for our operations, and these permits are subject to renewal, modification and, in some cases, revocation.</w:t>
      </w:r>
    </w:p>
    <w:p>
      <w:pPr>
        <w:spacing w:after="0" w:line="18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under environmental laws, ordinances or regulations, a current or previous owner or operator of property may be liable for the costs of removal or remediation of some kinds of petroleum products or other hazardous substances on, under, or in its property, adjacent or nearby property, or offsite disposal locations, without regard to whether the owner or operator knew of, or caused, the presence of the contaminants, and regardless of whether the practices that resulted in the contamination were legal at the time they occurred. We have incurred, and may incur in the future, liabilities under CERCLA and other environmental laws at our current or former facilities, adjacent or nearby properties or offsite disposal locations. The costs associated with future cleanup activities that we may be required to conduct or finance may be material. The presence of, or failure to remediate properly, hazardous substances may adversely affect the ability to sell or rent the property or to borrow funds using the property as collateral. Additionally, we may become subject to claims by third parties based on damages, including personal injury and property damage, and costs resulting from the disposal or release of hazardous substances into the environment.</w:t>
      </w:r>
    </w:p>
    <w:p>
      <w:pPr>
        <w:spacing w:after="0" w:line="18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We are subject to regulations requiring disclosures of specified minerals, known as conflict minerals, that are necessary to the functionality or production of products manufactured or contracted to be manufactured by public companies. The rule requires companies to perform due diligence, disclose and report whether or not such minerals originate from the Democratic Republic of the Congo or an adjoining country. The rule can affect sourcing at competitive prices and availability in sufficient quantities of certain minerals used in the manufacture of our products, including tantalum, tin, gold and tungsten. The number of suppliers who provide conflict-free minerals is limited. In addition, there are costs associated with complying with the disclosure requirements, such as costs related to determining the source of certain minerals used in our products, as well as costs of changes to products, processes, or sources of supply as a consequence of such verification activities. Since our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supply chain is complex, we are not always able to sufficiently verify the origins of the relevant minerals used in our products through the due diligence procedures we implemented, which may harm our reputation. In addition, we may encounter challenges to satisfy those customers who require that all of the components of our products be certified as conflict-free, which could place us at a competitive disadvantage if we are unable to do so.</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Litigation may distract us from operating our business, and adverse judgments or settlements could adversely affect our financial results and operations.</w:t>
      </w:r>
    </w:p>
    <w:p>
      <w:pPr>
        <w:spacing w:after="0" w:line="260"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Litigation that may be brought by or against us could cause us to incur significant expenditures and distract our management from the operation of our business. Furthermore, there can be no assurance that we would prevail in such litigation or resolve such litigation on terms favorable to us, which may adversely affect our financial results and operations. See Note 14 of the Notes to Consolidated Financial Statements contained within this Annual Report on Form 10-K for a further discussion of our legal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severe weather conditions could disrupt our business and result in loss of revenue or higher expenses.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business depends on maintaining operations at our facilities and being able to operate at our customer facilities and project locations. A serious, prolonged interruption or damage due to power outage, telecommunications outage, terrorist attack, earthquake, hurricane, fire, flood or other natural disaster, or other interruption could have a material adverse effect on our business and financial results. While we insure against certain business interruption risks, such insurance may not adequately compensate us for any losses incurred as a result of natural or other disasters.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contracts with the U.S. Government are classified, which may limit investor insight into portions of our business.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derive a portion of our revenues from programs with the U.S. Government that are subject to security restrictions (classified programs) that preclude the dissemination of information that is classified for national security purposes. We are limited in our ability to provide details about these classified programs, their risks or any disputes or claims relating to such programs. As a result, investors and others might have less insight into our classified programs than our other businesses and, therefore, less ability to fully evaluate the risks related to our classified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w:t>
      </w:r>
    </w:p>
    <w:p>
      <w:pPr>
        <w:spacing w:after="0" w:line="2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price of our stock has been in the past, and will continue to be, subject to fluctuations as a result of a number of factors, most of which we cannot control, including: failure of our operating results to meet market or analysts’ expectations; general fluctuations in the stock market; actual or anticipated fluctuations in our operating results based on reduced and/or delayed government spending or the threat thereof; fluctuations in the stock prices of companies in our industry; changes in earnings estimated by securities analysts or our ability to meet those estimates; rumors or dissemination of false information; litigation and government inquiries; political and/or military events associated with current worldwide conflicts; and domestic and foreign economic conditions. Such volatility has had a significant effect on the market prices of many companies’ securities for reasons unrelated to their operating performance and, in the past, has led to securities class action litigation. Securities litigation against us could result in substantial costs and a diversion of our management’s attention and resources, which could have an adverse effect on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of ownership in us may be diluted in the future.</w:t>
      </w:r>
    </w:p>
    <w:p>
      <w:pPr>
        <w:spacing w:after="0" w:line="171"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As with any publicly traded company, your percentage ownership in us may be diluted in the future because of equity issuances for acquisitions, capital market transactions or otherwise, including equity awards that we expect will be granted to our directors, officers and employees.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cause the market price for our common stock to decline</w:t>
      </w:r>
      <w:r>
        <w:rPr>
          <w:rFonts w:ascii="Arial" w:cs="Arial" w:eastAsia="Arial" w:hAnsi="Arial"/>
          <w:sz w:val="18"/>
          <w:szCs w:val="18"/>
          <w:color w:val="auto"/>
        </w:rPr>
        <w:t>.</w:t>
      </w:r>
    </w:p>
    <w:p>
      <w:pPr>
        <w:spacing w:after="0" w:line="17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cannot predict the effect, if any, that market sales of shares of our common stock or the availability of shares of our common stock for sale will have on the market price of our common stock prevailing from time to time. Sales of substantial amounts of shares of our common stock in the public market, or the perception that those sales will occur, could cause the market price of our common stock to decline or be depressed.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the future, we may issue our securities if we need to raise capital in connection with a capital expenditure, working capital requirement or acquisition. The amount of shares of our common stock issued in connection with a capital expenditure, working capital requirement or acquisition could constitute a material portion of our then-outstanding shares of common stock. Any perceived excess in the supply of our shares in the market could negatively impact our share price and any issuance of additional securities in connection with investments or acquisitions may result in additional dilution to you.</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cash dividends for the foreseeable future</w:t>
      </w:r>
      <w:r>
        <w:rPr>
          <w:rFonts w:ascii="Arial" w:cs="Arial" w:eastAsia="Arial" w:hAnsi="Arial"/>
          <w:sz w:val="18"/>
          <w:szCs w:val="18"/>
          <w:color w:val="auto"/>
        </w:rPr>
        <w:t>.</w:t>
      </w:r>
    </w:p>
    <w:p>
      <w:pPr>
        <w:spacing w:after="0" w:line="17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have not declared any cash dividends since becoming a public company. We currently intend to retain any future earnings to finance the growth and development of the business and, therefore, we do not anticipate that we will pay any cash dividends on shares of our common stock in the foreseeable future. In addition, our ability to pay dividends is restricted by both the Indenture and the Credit Agreement. Any determination to pay dividends in the future will be at the discretion of our board and will be dependent upon our future financial condition, results of operations and capital requirements, general business conditions and other relevant factors as determined by our board. See “Dividend policy.”</w:t>
      </w:r>
    </w:p>
    <w:p>
      <w:pPr>
        <w:spacing w:after="0" w:line="1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Certain provisions in our amended and restated certificate of incorporation and second amended and restated bylaws, as amended, and of Delaware law, may prevent or delay an acquisition of our Company, which could decrease the trading price of our common stock.</w:t>
      </w:r>
    </w:p>
    <w:p>
      <w:pPr>
        <w:spacing w:after="0" w:line="147"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Our amended and restated certificate of incorporation, our second amended and restated bylaws, as amended, and Delaware law contain provisions that are intended to deter coercive takeover practices and inadequate takeover bids by making such practices or bids unacceptably expensive to the raider and to encourage prospective acquirers to negotiate with our board of directors rather than to attempt a hostile takeover. These provisions include, among others:</w:t>
      </w:r>
    </w:p>
    <w:p>
      <w:pPr>
        <w:spacing w:after="0" w:line="174" w:lineRule="exact"/>
        <w:rPr>
          <w:sz w:val="20"/>
          <w:szCs w:val="20"/>
          <w:color w:val="auto"/>
        </w:rPr>
      </w:pPr>
    </w:p>
    <w:p>
      <w:pPr>
        <w:ind w:left="1360" w:hanging="380"/>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of our stockholders to call a special meeting;</w:t>
      </w:r>
    </w:p>
    <w:p>
      <w:pPr>
        <w:spacing w:after="0" w:line="49" w:lineRule="exact"/>
        <w:rPr>
          <w:rFonts w:ascii="Arial" w:cs="Arial" w:eastAsia="Arial" w:hAnsi="Arial"/>
          <w:sz w:val="18"/>
          <w:szCs w:val="18"/>
          <w:color w:val="auto"/>
        </w:rPr>
      </w:pPr>
    </w:p>
    <w:p>
      <w:pPr>
        <w:ind w:left="1960" w:right="2460" w:hanging="980"/>
        <w:spacing w:after="0" w:line="274" w:lineRule="auto"/>
        <w:tabs>
          <w:tab w:leader="none" w:pos="13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rules regarding how stockholders may present proposals or nominate directors for election at stockholder meetings;</w:t>
      </w:r>
    </w:p>
    <w:p>
      <w:pPr>
        <w:ind w:left="1360" w:hanging="380"/>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right of our board to issue preferred stock without stockholder approval;</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super-majority requirement to amend our certificate of incorporation or bylaws; and</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directors, and not stockholders, to fill vacancies on our board of directors.</w:t>
      </w:r>
    </w:p>
    <w:p>
      <w:pPr>
        <w:spacing w:after="0" w:line="23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Delaware law also imposes some restrictions on mergers and other business combinations between us and any holder of 15% or more of our outstanding common stock.</w:t>
      </w:r>
    </w:p>
    <w:p>
      <w:pPr>
        <w:spacing w:after="0" w:line="17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believe these provisions may help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our Company immune from takeovers. In addition, although we believe these provisions collectively provide for an opportunity to receive higher bids by requiring potential acquirers to negotiate with our board, they would apply even if the offer may be considered beneficial by some stockholders. These provisions may also frustrate or prevent any attempts by our stockholders to replace or remove our current management team by making it more difficult for stockholders to replace members of our board, which is responsible for appointing the members of our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At December 31, 2017, we owned or leased approximately 1.6 million square feet of floor space at 58 separate locations, primarily in the U.S., for manufacturing, warehousing, research and development, administration and various other uses. At December 31, 2017, we leased to third parties 141,451 square feet of our leased facilities, and had vacant floor space of 23,991 square feet. We continually evaluate our current and future space capacity in relation to current and projected future staffing levels. We maintain our properties in good operating condition and believe that the productive capacity of our properties is adequate to meet current contractual requirements and those for the foreseeable future.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major operations at the following locations:</w:t>
      </w:r>
    </w:p>
    <w:p>
      <w:pPr>
        <w:spacing w:after="0" w:line="140"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Kratos Government Solutions</w:t>
      </w:r>
      <w:r>
        <w:rPr>
          <w:rFonts w:ascii="Arial" w:cs="Arial" w:eastAsia="Arial" w:hAnsi="Arial"/>
          <w:sz w:val="18"/>
          <w:szCs w:val="18"/>
          <w:color w:val="auto"/>
        </w:rPr>
        <w:t>: Huntsville, AL; San Diego, CA; Colorado Springs, CO; Orlando, FL; Baltimore and Lanham, MD; Dallastown, PA;</w:t>
      </w:r>
      <w:r>
        <w:rPr>
          <w:rFonts w:ascii="Arial" w:cs="Arial" w:eastAsia="Arial" w:hAnsi="Arial"/>
          <w:sz w:val="18"/>
          <w:szCs w:val="18"/>
          <w:b w:val="1"/>
          <w:bCs w:val="1"/>
          <w:color w:val="auto"/>
        </w:rPr>
        <w:t xml:space="preserve"> </w:t>
      </w:r>
      <w:r>
        <w:rPr>
          <w:rFonts w:ascii="Arial" w:cs="Arial" w:eastAsia="Arial" w:hAnsi="Arial"/>
          <w:sz w:val="18"/>
          <w:szCs w:val="18"/>
          <w:color w:val="auto"/>
        </w:rPr>
        <w:t>and Alexandria and Chantilly, VA. Locations outside the U.S. include France, Israel, Norway, and the United Kingdom.</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Unmanned Systems: </w:t>
      </w:r>
      <w:r>
        <w:rPr>
          <w:rFonts w:ascii="Arial" w:cs="Arial" w:eastAsia="Arial" w:hAnsi="Arial"/>
          <w:sz w:val="18"/>
          <w:szCs w:val="18"/>
          <w:color w:val="auto"/>
        </w:rPr>
        <w:t>Roseville and Sacramento, CA; and Fort Walton Beach, FL.</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Public Safety and Security</w:t>
      </w:r>
      <w:r>
        <w:rPr>
          <w:rFonts w:ascii="Arial" w:cs="Arial" w:eastAsia="Arial" w:hAnsi="Arial"/>
          <w:sz w:val="18"/>
          <w:szCs w:val="18"/>
          <w:color w:val="auto"/>
        </w:rPr>
        <w:t>: Fullerton, CA; Newport, DE; Chicago, IL; Indianapolis, IN; Fairlawn, NJ; and Houston, TX.</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Corporate and other locations</w:t>
      </w:r>
      <w:r>
        <w:rPr>
          <w:rFonts w:ascii="Arial" w:cs="Arial" w:eastAsia="Arial" w:hAnsi="Arial"/>
          <w:sz w:val="18"/>
          <w:szCs w:val="18"/>
          <w:color w:val="auto"/>
        </w:rPr>
        <w:t>: San Diego, CA.</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floor space at December 31, 2017:</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Square feet (in thousands)</w:t>
            </w: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Owned</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Leased</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1,141</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Unmanned Systems</w:t>
            </w:r>
          </w:p>
        </w:tc>
        <w:tc>
          <w:tcPr>
            <w:tcW w:w="70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224</w:t>
            </w:r>
          </w:p>
        </w:tc>
      </w:tr>
      <w:tr>
        <w:trPr>
          <w:trHeight w:val="27"/>
        </w:trPr>
        <w:tc>
          <w:tcPr>
            <w:tcW w:w="8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Public Safety and Security</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Corporate (includes San Diego operations of KGS, US and PSS segments)</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34</w:t>
            </w: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0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1,115</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1,552</w:t>
            </w:r>
          </w:p>
        </w:tc>
      </w:tr>
      <w:tr>
        <w:trPr>
          <w:trHeight w:val="20"/>
        </w:trPr>
        <w:tc>
          <w:tcPr>
            <w:tcW w:w="8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See Note 5 of the Notes to Consolidated Financial Statements contained within this Annual Report on Form 10-K for information regarding commitments under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See Note 14 of Notes to Consolidated Financial Statements contained within this Annual Report on Form 10-K for a further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and is traded under the symbol “KTOS”.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high and low intraday sales prices for our common stock for the periods indicated, as reported by NASDAQ:</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High</w:t>
            </w:r>
          </w:p>
        </w:tc>
        <w:tc>
          <w:tcPr>
            <w:tcW w:w="400" w:type="dxa"/>
            <w:vAlign w:val="bottom"/>
          </w:tcPr>
          <w:p>
            <w:pPr>
              <w:spacing w:after="0"/>
              <w:rPr>
                <w:sz w:val="14"/>
                <w:szCs w:val="14"/>
                <w:color w:val="auto"/>
              </w:rPr>
            </w:pPr>
          </w:p>
        </w:tc>
        <w:tc>
          <w:tcPr>
            <w:tcW w:w="1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Low</w:t>
            </w:r>
          </w:p>
        </w:tc>
      </w:tr>
      <w:tr>
        <w:trPr>
          <w:trHeight w:val="21"/>
        </w:trPr>
        <w:tc>
          <w:tcPr>
            <w:tcW w:w="5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3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13.75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9.71</w:t>
            </w:r>
          </w:p>
        </w:tc>
      </w:tr>
      <w:tr>
        <w:trPr>
          <w:trHeight w:val="27"/>
        </w:trPr>
        <w:tc>
          <w:tcPr>
            <w:tcW w:w="54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13.93</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10.64</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11.63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7.37</w:t>
            </w:r>
          </w:p>
        </w:tc>
      </w:tr>
      <w:tr>
        <w:trPr>
          <w:trHeight w:val="27"/>
        </w:trPr>
        <w:tc>
          <w:tcPr>
            <w:tcW w:w="54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Year Ended December 25, 2016:</w:t>
            </w:r>
          </w:p>
        </w:tc>
        <w:tc>
          <w:tcPr>
            <w:tcW w:w="3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3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8.22</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5.23</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3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7.58</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3.75</w:t>
            </w:r>
          </w:p>
        </w:tc>
      </w:tr>
      <w:tr>
        <w:trPr>
          <w:trHeight w:val="27"/>
        </w:trPr>
        <w:tc>
          <w:tcPr>
            <w:tcW w:w="54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3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3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2.80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On February 23, 2018, the closing sale price of our common stock as reported by the NASDAQ Global Select Market was $12.31 per share. On February 23, 2018, there were 373 shareholders of record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have not declared any cash dividends since becoming a public company. We currently intend to retain any future earnings to finance the growth and development of the business and, therefore, do not anticipate paying any cash dividends in the foreseeable future. In addition, our ability to pay dividends is restricted by both the Indenture and the Credit Agreement, each as discussed in the section entitled “Liquidity and Capital Resources” in Item 7 “Management’s Discussion and Analysis of Financial Condition and Results of Operations” and Note 4 of the Notes to Consolidated Financial Statements contained within this Annual Report. Any future determination to pay cash dividends will be at the discretion of our board of directors and will be dependent upon our future financial condition, results of operations and capital requirements, general business conditions and other relevant factors as determined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i w:val="1"/>
          <w:iCs w:val="1"/>
          <w:color w:val="auto"/>
        </w:rPr>
        <w:t>The following performance graph and related information shall not be deemed “soliciting material” or to be “filed” with the SEC, nor shall such information be incorporated by reference into any future filing under the Securities Act of 1933, as amended (the “Securities Act”), or the Exchange Act of 1934 as amended (the “Exchange Act”), except to the extent that we specifically incorporate it by reference into such filing.</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following performance graph presents a comparison of the five year cumulative stockholder return on our common stock against the cumulative total return of a broad equity market index, the Russell 2000 Stock Index, and two customized peer groups consisting of the companies listed below, for the period commencing December 31, 2012 and ending December 31, 2017. The performance graph assumes an initial investment of $100 in our common stock and in each of the Russell 2000 Stock Index and the peer groups, and further assumes that all dividends were reinvested and all returns are market-cap weighted. The historical information set forth below is not necessarily indicative of future stock price performance.</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5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Among Kratos Defense &amp; Security Solutions, Inc. the Russell 2000 Index,</w:t>
      </w:r>
    </w:p>
    <w:p>
      <w:pPr>
        <w:jc w:val="center"/>
        <w:ind w:right="-79"/>
        <w:spacing w:after="0"/>
        <w:rPr>
          <w:sz w:val="20"/>
          <w:szCs w:val="20"/>
          <w:color w:val="auto"/>
        </w:rPr>
      </w:pPr>
      <w:r>
        <w:rPr>
          <w:rFonts w:ascii="Arial" w:cs="Arial" w:eastAsia="Arial" w:hAnsi="Arial"/>
          <w:sz w:val="13"/>
          <w:szCs w:val="13"/>
          <w:color w:val="auto"/>
        </w:rPr>
        <w:t>Old Peer Group (1), and New Peer Group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12065</wp:posOffset>
            </wp:positionV>
            <wp:extent cx="5145405" cy="3430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*$100 invested on 12/31/12 in stock or index, including reinvestment of dividends.</w:t>
      </w:r>
    </w:p>
    <w:p>
      <w:pPr>
        <w:spacing w:after="0" w:line="1" w:lineRule="exact"/>
        <w:rPr>
          <w:sz w:val="20"/>
          <w:szCs w:val="20"/>
          <w:color w:val="auto"/>
        </w:rPr>
      </w:pPr>
    </w:p>
    <w:p>
      <w:pPr>
        <w:ind w:left="2660"/>
        <w:spacing w:after="0"/>
        <w:rPr>
          <w:sz w:val="20"/>
          <w:szCs w:val="20"/>
          <w:color w:val="auto"/>
        </w:rPr>
      </w:pPr>
      <w:r>
        <w:rPr>
          <w:rFonts w:ascii="Arial" w:cs="Arial" w:eastAsia="Arial" w:hAnsi="Arial"/>
          <w:sz w:val="14"/>
          <w:szCs w:val="14"/>
          <w:color w:val="auto"/>
        </w:rPr>
        <w:t>Fiscal year ending December 31.</w:t>
      </w:r>
    </w:p>
    <w:p>
      <w:pPr>
        <w:spacing w:after="0" w:line="200" w:lineRule="exact"/>
        <w:rPr>
          <w:sz w:val="20"/>
          <w:szCs w:val="20"/>
          <w:color w:val="auto"/>
        </w:rPr>
      </w:pPr>
    </w:p>
    <w:p>
      <w:pPr>
        <w:spacing w:after="0" w:line="349" w:lineRule="exact"/>
        <w:rPr>
          <w:sz w:val="20"/>
          <w:szCs w:val="20"/>
          <w:color w:val="auto"/>
        </w:rPr>
      </w:pPr>
    </w:p>
    <w:p>
      <w:pPr>
        <w:ind w:left="340" w:right="140" w:hanging="332"/>
        <w:spacing w:after="0" w:line="25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companies included in the Company’s Old Peer Group are: AAR Corp., AeroVironment Inc., Arotech Corp., Comtech Telecommunications Corp., CPI Aerostructures Inc., Ducommun Inc., Frequency Electronics Inc., and Sparton Corp. IRobot Corp., which was included in the peer group used in preparing the Performance Graph contained in the Company’s 2016 annual report on Form 10-K, has been excluded because full year standalone performance is not available for such company through 2017.</w:t>
      </w:r>
    </w:p>
    <w:p>
      <w:pPr>
        <w:spacing w:after="0" w:line="186" w:lineRule="exact"/>
        <w:rPr>
          <w:rFonts w:ascii="Arial" w:cs="Arial" w:eastAsia="Arial" w:hAnsi="Arial"/>
          <w:sz w:val="18"/>
          <w:szCs w:val="18"/>
          <w:color w:val="auto"/>
        </w:rPr>
      </w:pPr>
    </w:p>
    <w:p>
      <w:pPr>
        <w:ind w:left="340" w:right="24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companies included in the Company’s New Peer Group are: AAR Corp., Aerojet Rocketdyne Holdings Inc., AeroVironment Inc., Arotech Corp., Comtech Telecommunications Corp., CPI Aerostructures Inc., Ducommun Inc., Frequency Electronics Inc. and Sparton Corp.</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125" w:right="2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related notes thereto and with Item 7 “Management’s Discussion and Analysis of Financial Condition and Results of Operations” contained within this Annual Report. Our historical results are not necessarily indicative of operating results to be expected in the future.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in millions except per share amounts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25,</w:t>
            </w:r>
          </w:p>
        </w:tc>
        <w:tc>
          <w:tcPr>
            <w:tcW w:w="1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27,</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28,</w:t>
            </w:r>
          </w:p>
        </w:tc>
        <w:tc>
          <w:tcPr>
            <w:tcW w:w="200" w:type="dxa"/>
            <w:vAlign w:val="bottom"/>
          </w:tcPr>
          <w:p>
            <w:pPr>
              <w:spacing w:after="0"/>
              <w:rPr>
                <w:sz w:val="14"/>
                <w:szCs w:val="14"/>
                <w:color w:val="auto"/>
              </w:rPr>
            </w:pPr>
          </w:p>
        </w:tc>
        <w:tc>
          <w:tcPr>
            <w:tcW w:w="1160" w:type="dxa"/>
            <w:vAlign w:val="bottom"/>
          </w:tcPr>
          <w:p>
            <w:pPr>
              <w:jc w:val="center"/>
              <w:ind w:right="120"/>
              <w:spacing w:after="0"/>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6"/>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Consolidated Statements of Operations Data:</w:t>
            </w: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668.7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844.1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197.3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153.6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161.8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179.4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Loss from continuing operations per common share:</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(0.48)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(0.99)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per common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0.90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income (loss) per common share:</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(0.48)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(0.99)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0.34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56.8</w:t>
            </w:r>
          </w:p>
        </w:tc>
        <w:tc>
          <w:tcPr>
            <w:tcW w:w="0" w:type="dxa"/>
            <w:vAlign w:val="bottom"/>
          </w:tcPr>
          <w:p>
            <w:pPr>
              <w:spacing w:after="0"/>
              <w:rPr>
                <w:sz w:val="1"/>
                <w:szCs w:val="1"/>
                <w:color w:val="auto"/>
              </w:rPr>
            </w:pPr>
          </w:p>
        </w:tc>
      </w:tr>
      <w:tr>
        <w:trPr>
          <w:trHeight w:val="477"/>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25,</w:t>
            </w:r>
          </w:p>
        </w:tc>
        <w:tc>
          <w:tcPr>
            <w:tcW w:w="18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27,</w:t>
            </w:r>
          </w:p>
        </w:tc>
        <w:tc>
          <w:tcPr>
            <w:tcW w:w="18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28,</w:t>
            </w:r>
          </w:p>
        </w:tc>
        <w:tc>
          <w:tcPr>
            <w:tcW w:w="200" w:type="dxa"/>
            <w:vAlign w:val="bottom"/>
          </w:tcPr>
          <w:p>
            <w:pPr>
              <w:spacing w:after="0"/>
              <w:rPr>
                <w:sz w:val="24"/>
                <w:szCs w:val="24"/>
                <w:color w:val="auto"/>
              </w:rPr>
            </w:pPr>
          </w:p>
        </w:tc>
        <w:tc>
          <w:tcPr>
            <w:tcW w:w="1160" w:type="dxa"/>
            <w:vAlign w:val="bottom"/>
          </w:tcPr>
          <w:p>
            <w:pPr>
              <w:jc w:val="center"/>
              <w:ind w:right="120"/>
              <w:spacing w:after="0"/>
              <w:rPr>
                <w:sz w:val="20"/>
                <w:szCs w:val="20"/>
                <w:color w:val="auto"/>
              </w:rPr>
            </w:pPr>
            <w:r>
              <w:rPr>
                <w:rFonts w:ascii="Arial" w:cs="Arial" w:eastAsia="Arial" w:hAnsi="Arial"/>
                <w:sz w:val="14"/>
                <w:szCs w:val="14"/>
                <w:b w:val="1"/>
                <w:bCs w:val="1"/>
                <w:color w:val="auto"/>
                <w:w w:val="92"/>
              </w:rPr>
              <w:t>December 29,</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20"/>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6"/>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Consolidated Balance Sheet Data:</w:t>
            </w: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Working capital</w:t>
            </w: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282.4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148.0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147.1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174.9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1,201.6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Short-term debt</w:t>
            </w:r>
          </w:p>
        </w:tc>
        <w:tc>
          <w:tcPr>
            <w:tcW w:w="200" w:type="dxa"/>
            <w:vAlign w:val="bottom"/>
          </w:tcPr>
          <w:p>
            <w:pPr>
              <w:spacing w:after="0"/>
              <w:rPr>
                <w:sz w:val="20"/>
                <w:szCs w:val="20"/>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431.0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613.9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Long-term debt premium</w:t>
            </w:r>
          </w:p>
        </w:tc>
        <w:tc>
          <w:tcPr>
            <w:tcW w:w="2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511.5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276.4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254.2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295.8</w:t>
            </w:r>
          </w:p>
        </w:tc>
        <w:tc>
          <w:tcPr>
            <w:tcW w:w="0" w:type="dxa"/>
            <w:vAlign w:val="bottom"/>
          </w:tcPr>
          <w:p>
            <w:pPr>
              <w:spacing w:after="0"/>
              <w:rPr>
                <w:sz w:val="1"/>
                <w:szCs w:val="1"/>
                <w:color w:val="auto"/>
              </w:rPr>
            </w:pPr>
          </w:p>
        </w:tc>
      </w:tr>
      <w:tr>
        <w:trPr>
          <w:trHeight w:val="33"/>
        </w:trPr>
        <w:tc>
          <w:tcPr>
            <w:tcW w:w="4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incurred acquisition-related expenses of $0.2 million for fiscal 2014 and a benefit of $3.8 million related to acquisition items for fiscal 2013. The 2014 Consolidated Statement of Operations Data includes a loss on extinguishment of debt of $39.1 million related to the refinance of the $625.0 million 10% Senior Secured Notes due in 2017 (the “10% Notes”) with the $625.0 million 7.00% Senior Secured Notes due in 2019 (the “7% Notes”). The 2014 Consolidated Balance Sheet Data reflects the refinancing of the 10% Notes with the 7% Notes. The net proceeds of the 7% Notes was $618.5 million after an original issue discount of $6.5 million. We utilized the net proceeds from the 7% Notes, a $41.0 million draw on the Credit Agreement, as well as cash from operations to extinguish the 10% Notes.</w:t>
      </w:r>
    </w:p>
    <w:p>
      <w:pPr>
        <w:spacing w:after="0" w:line="193"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2015 Consolidated Statement of Operations Data includes an $80.8 million gain on the disposal of discontinued operations before taxes and a loss of $3.4 million on extinguishment of debt. The 2015 Consolidated Balance Sheet Data includes repayment of $41.0 million outstanding on our Credit Agreement and the repurchase of $175.0 million of our 7% Notes at par.</w:t>
      </w:r>
    </w:p>
    <w:p>
      <w:pPr>
        <w:spacing w:after="0" w:line="181" w:lineRule="exact"/>
        <w:rPr>
          <w:sz w:val="20"/>
          <w:szCs w:val="20"/>
          <w:color w:val="auto"/>
        </w:rPr>
      </w:pPr>
    </w:p>
    <w:p>
      <w:pPr>
        <w:jc w:val="both"/>
        <w:ind w:right="120" w:firstLine="648"/>
        <w:spacing w:after="0" w:line="257" w:lineRule="auto"/>
        <w:rPr>
          <w:sz w:val="20"/>
          <w:szCs w:val="20"/>
          <w:color w:val="auto"/>
        </w:rPr>
      </w:pPr>
      <w:r>
        <w:rPr>
          <w:rFonts w:ascii="Arial" w:cs="Arial" w:eastAsia="Arial" w:hAnsi="Arial"/>
          <w:sz w:val="18"/>
          <w:szCs w:val="18"/>
          <w:color w:val="auto"/>
        </w:rPr>
        <w:t>The 2016 Consolidated Balance Sheet Data includes our equity offering of 13.4 million shares of common stock, which generated net proceeds of $76.2 million and our use of $14.1 million of the net proceeds from the offering to buy back and redeem approximately $14.5 million of our 7% Notes. The 2016 Consolidated Statement of Operations Data and Consolidated Balance Sheet Data were impacted by an $18.7 million loss accrual recorded in 2016 on the LCASD cost share contract, which is expected to be incurred by us over the period of performance of the contract, and was incurred in order to retain the intellectual property rights for the new LCASD platform.</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2017 Consolidated Statement of Operations Data and Consolidated Balance Sheet Data includes a $24.2 million impairment of the carrying value of the goodwill of our Defense Rocket Support Services reporting unit within its KGS Segment and a $17.3 million loss on extinguishment of debt related to the refinancing of the remaining $372.8 million outstanding balance of the 7% Notes. The 2017 Consolidated Balance Sheet Data also includes our equity offerings of approximately 28.0 million shares of common stock, which generated net proceeds of $269.1 million and our use of $64.0 million of the net proceeds from the offering to buy back and redeem approximately $62.7 million of our 7% Notes. The 2017 Consolidated Balance Sheet Data also reflects the refinancing of the remaining $372.8 million of our 7% Notes with $300.0 million of 6.5% Notes. We incurred debt issuance costs of $6.6 million associated with the new 6.5% Notes. We utilized the net proceeds from the 6.5% Notes, along with cash of $89.7 million to extinguish the 7% Notes.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i w:val="1"/>
          <w:iCs w:val="1"/>
          <w:color w:val="auto"/>
        </w:rPr>
        <w:t xml:space="preserve">In addition to historical information, the following discussion contains forward-looking statements that are subject to risks and uncertainties. Our actual results may differ substantially from those expressed in or implied by any forward-looking statements herein due to a number of factors, including but not limited to the risks and uncertainties described in this Item 7, in Item 1A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and elsewhere in this Annual Report.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3"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our audited Consolidated Financial Statements and the related notes and other financial information appearing elsewhere in this Annual Report and other reports and filings made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Kratos is a government contractor at the forefront of the DoD’s Third Offset Strategy and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Kratos’ primary focus areas are unmanned systems, satellite communications, microwave electronics, cyber security/warfare, training systems, missile defense and combat systems. We believe that our technology, intellectual property, proprietary products and designed-in positions on our customers’ programs, platforms and systems, providing us with sole and single source positions with our offerings is a competitive advantage and high barrier to entry into our markets. Our work force is primarily technically oriented and highly skilled with a significant number of employees holding national security clearances. Our entire organization is focused on executing our strategy of becoming the leading technology and intellectual property based company in our industry.</w:t>
      </w:r>
    </w:p>
    <w:p>
      <w:pPr>
        <w:spacing w:after="0" w:line="16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Our primary end customers are U.S. Government agencies, including the DoD, intelligence agencies, and other national and homeland security related agencies. We also conduct business with local, state and foreign governments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domestic and international commercial customers. In fiscal 2017, 2016 and 2015, we generated 60%, 60% and 61%, respectively, of our total revenues from contracts with the U.S. Government (including all branches of the U.S. military), either as a prime contractor or a subcontractor. We believe our stable customer base, strong customer relationships, intellectual property, specialized and differentiated products, broad array of contract vehicles, “designed in” positions on strategic national security platforms, our targeted investments in strategic growth areas, large employee base possessing specialized skills, security clearances, specialized manufacturing facilities and equipment, extensive list of past performance qualifications, and significant management and operational capabilities position us for success.</w:t>
      </w:r>
    </w:p>
    <w:p>
      <w:pPr>
        <w:spacing w:after="0" w:line="19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May 2017, the President signed into law the FY 2017 Consolidated Appropriations Act. In total for FY 2017, Congress appropriated $524 billion in base discretionary funding for the DoD, consistent with the BCA. Congress also appropriated approximately $68 billion in OCO funding and approximately $15 billion in additional DoD appropriations.</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May 2017, the President released a revised FY 2018 budget request, which seeks $575 billion for the DoD’s base budget, approximately $52 billion above the statutory caps provided for in the BCA. The President’s budget request also seeks an additional $65 billion in OCO funding for expeditionary needs, not capped by the BCA. On September 8, 2017, the President signed a continuing resolution which generally funded the government at FY 2017 levels through December 8, 2017. The continuing resolution was extended to December 22, 2017 and further extended to January 19, 2018. As Congress did not enact appropriations legislation or a new continuing resolution by January 19, 2018, on January 20, 2018, the U.S. Government temporarily shut down. On January 22, 2018, a fourth continuing resolution was enacted, which funds the government through February 8, 2018.</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111111"/>
        </w:rPr>
        <w:t>On February 9, 2018, the Congress approved and the President signed the Bipartisan Budget Act of 2018, which provides that:</w:t>
      </w:r>
    </w:p>
    <w:p>
      <w:pPr>
        <w:spacing w:after="0" w:line="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111111"/>
        </w:rPr>
        <w:t>spending limits created by the BCA will be increased by approximately $300 billion over the next two years;</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111111"/>
        </w:rPr>
        <w:t>defense spending will be increased by $80 billion in the current FY and by $85 billion next year, to approximately $700 billion and $705 billion, respectively;</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111111"/>
        </w:rPr>
        <w:t>domestic spending will be increased by $63 billion this year and by $68 billion next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111111"/>
        </w:rPr>
        <w:t>Congress will suspend the debt limit through March 2019, putting the next debt limit vote past the 2018 midterm elections.</w:t>
      </w:r>
    </w:p>
    <w:p>
      <w:pPr>
        <w:spacing w:after="0" w:line="21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111111"/>
        </w:rPr>
        <w:t>The Congress and the President also executed a fifth continuing resolution authorization through March 23, 2018, to provide congressional appropriators the time required to appropriately document and allocate the authorized spending.</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federal budget and debt ceiling are expected to continue to be the subject of considerable debate, which could have a significant impact on defense spending broadly and the company’s programs in particular in the future.</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If a prolonged government shutdown were to occur, it could result in program cancellations and/or stop work orders and could limit our ability to perform on our U.S. Government contracts and the U.S. Government’s ability to make timely payments.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Reporting Segments</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We operate in three reportable segments. The KGS reportable segment is comprised of an aggregation of KGS operating segments, including microwave electronic products, satellite communications, training systems, modular systems, and defense and rocket support services. The US reportable segment consists of our unmanned aerial, unmanned ground and unmanned seaborne system businesses. The PSS reportable segment provides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For additional information regarding our reportable segments, see Note 13 of the Notes to Consolidated Financial Statements. From a customer and solutions perspective, we view our business as an integrated whole, leveraging skills and assets wherever possible.</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125" w:right="3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August 21, 2015, we completed the sale of the U.S. and U.K. operations of our Electronic Products Division to Ultra Electronics Holdings plc (“Ultra”), a public limited company formed under the laws of England and Wales and traded on the London Stock Exchange, and Ultra Electronics Defense Inc. (the “Buyer”), a Delaware corporation ultimately owned by Ultra (the “Transaction”). Pursuant to the terms of that certain Stock Purchase Agreement dated May 31, 2015, by and among the Company, Ultra and the Buyer, we sold to the Buyer all of the issued and outstanding capital stock of our wholly owned subsidiary Herley Industries, Inc. (“Herley”) and certain of Herley’s subsidiaries, including Herley-CTI, Inc., EW Simulation Technology, Ltd. and Stapor Research, Inc. (collectively, the “Herley Entities”), for $260.0 million and $5.0 million for taxes incurred as part of the Transaction, less a $2.0 million escrow to satisfy any purchase price adjustments and a working capital adjustment of approximately $8.3 million.</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November 2015, the Company and Ultra settled the working capital adjustment at $8.1 million, and the net cash position at closing, resulting in a net payment to the Company of $2.7 million. This represents the payment from escrow to us of $2.0 million, as well as the payment from Ultra of $0.7 million, reflecting the difference in the estimated working capital and actual working capital and the net cash position at the close of the Transaction. In December 2015, we submitted to Ultra for reimbursement the maximum $5.0 million for taxes incurred as part of the Transaction, which was reimbursed in January 2016.</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regarding discontinued operations, see Note 8 of the 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we consider the following factors to be important in understanding our financial statements.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KGS’ and US’ business with the U.S. Government and prime contractors is generally performed under fixed-price, cost reimbursable, or time and materials contracts. Cost reimbursable contracts for the U.S.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U.S. Government and provided to our PSS segment customers under fixed-price contracts, we utilize both cost-to-cost and units delivered measures under the percentage-of-completion method of accounting in accordance with the provisions of the </w:t>
      </w:r>
      <w:r>
        <w:rPr>
          <w:rFonts w:ascii="Arial" w:cs="Arial" w:eastAsia="Arial" w:hAnsi="Arial"/>
          <w:sz w:val="17"/>
          <w:szCs w:val="17"/>
          <w:i w:val="1"/>
          <w:iCs w:val="1"/>
          <w:color w:val="auto"/>
        </w:rPr>
        <w:t>Financial Accounting Standards Board</w:t>
      </w:r>
      <w:r>
        <w:rPr>
          <w:rFonts w:ascii="Arial" w:cs="Arial" w:eastAsia="Arial" w:hAnsi="Arial"/>
          <w:sz w:val="17"/>
          <w:szCs w:val="17"/>
          <w:color w:val="auto"/>
        </w:rPr>
        <w:t xml:space="preserve"> (“FASB”) </w:t>
      </w:r>
      <w:r>
        <w:rPr>
          <w:rFonts w:ascii="Arial" w:cs="Arial" w:eastAsia="Arial" w:hAnsi="Arial"/>
          <w:sz w:val="17"/>
          <w:szCs w:val="17"/>
          <w:i w:val="1"/>
          <w:iCs w:val="1"/>
          <w:color w:val="auto"/>
        </w:rPr>
        <w:t>Accounting Standards Codification</w:t>
      </w:r>
      <w:r>
        <w:rPr>
          <w:rFonts w:ascii="Arial" w:cs="Arial" w:eastAsia="Arial" w:hAnsi="Arial"/>
          <w:sz w:val="17"/>
          <w:szCs w:val="17"/>
          <w:color w:val="auto"/>
        </w:rPr>
        <w:t xml:space="preserve"> (“ASC”) </w:t>
      </w:r>
      <w:r>
        <w:rPr>
          <w:rFonts w:ascii="Arial" w:cs="Arial" w:eastAsia="Arial" w:hAnsi="Arial"/>
          <w:sz w:val="17"/>
          <w:szCs w:val="17"/>
          <w:i w:val="1"/>
          <w:iCs w:val="1"/>
          <w:color w:val="auto"/>
        </w:rPr>
        <w:t>Topic 605,</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Recognition (“Topic 605”)</w:t>
      </w:r>
      <w:r>
        <w:rPr>
          <w:rFonts w:ascii="Arial" w:cs="Arial" w:eastAsia="Arial" w:hAnsi="Arial"/>
          <w:sz w:val="17"/>
          <w:szCs w:val="17"/>
          <w:color w:val="auto"/>
        </w:rPr>
        <w:t>. Under the units delivered measure of the percentage-of-completion method of accounting, sales are recognized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8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may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6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DCAA.</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manage and assess the performance of our businesses based on our performance on individual contracts and programs obtained generally from government organizations with consideration given to our Critical Accounting Principles and Estimates discussed below. Due to the Federal Acquisition Regulation rules that govern our business, most types of costs are allowable, and we do not focus on individual cost groupings (such as cost of sales or general and administrative costs) as much</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accounting principles generally accepted in the U.S. (“GAAP”). Significant management judgments and estimates, including the estimated costs to complete the project, which determine the project’s percentage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31, 2017 to the Year Ended December 25, 2016</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reportable segment for the years ended December 31, 2017 and December 25, 2016 are as follows (in millions):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51"/>
              <w:spacing w:after="0"/>
              <w:rPr>
                <w:sz w:val="20"/>
                <w:szCs w:val="20"/>
                <w:color w:val="auto"/>
              </w:rPr>
            </w:pPr>
            <w:r>
              <w:rPr>
                <w:rFonts w:ascii="Arial" w:cs="Arial" w:eastAsia="Arial" w:hAnsi="Arial"/>
                <w:sz w:val="16"/>
                <w:szCs w:val="16"/>
                <w:b w:val="1"/>
                <w:bCs w:val="1"/>
                <w:color w:val="auto"/>
              </w:rPr>
              <w:t>$ Change</w:t>
            </w:r>
          </w:p>
        </w:tc>
        <w:tc>
          <w:tcPr>
            <w:tcW w:w="120" w:type="dxa"/>
            <w:vAlign w:val="bottom"/>
          </w:tcPr>
          <w:p>
            <w:pPr>
              <w:spacing w:after="0"/>
              <w:rPr>
                <w:sz w:val="18"/>
                <w:szCs w:val="18"/>
                <w:color w:val="auto"/>
              </w:rPr>
            </w:pPr>
          </w:p>
        </w:tc>
        <w:tc>
          <w:tcPr>
            <w:tcW w:w="148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r>
      <w:tr>
        <w:trPr>
          <w:trHeight w:val="33"/>
        </w:trPr>
        <w:tc>
          <w:tcPr>
            <w:tcW w:w="5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Service revenues</w:t>
            </w:r>
          </w:p>
        </w:tc>
        <w:tc>
          <w:tcPr>
            <w:tcW w:w="840" w:type="dxa"/>
            <w:vAlign w:val="bottom"/>
          </w:tcPr>
          <w:p>
            <w:pPr>
              <w:jc w:val="right"/>
              <w:ind w:right="63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196.5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5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 sales</w:t>
            </w: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283.8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480.3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5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 - service revenues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149.9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17.9 %</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Unmanned Systems - product sales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121.7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60.6 %</w:t>
            </w:r>
          </w:p>
        </w:tc>
      </w:tr>
      <w:tr>
        <w:trPr>
          <w:trHeight w:val="27"/>
        </w:trPr>
        <w:tc>
          <w:tcPr>
            <w:tcW w:w="5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84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751.9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20"/>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84"/>
        </w:trPr>
        <w:tc>
          <w:tcPr>
            <w:tcW w:w="5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service revenues</w:t>
            </w:r>
          </w:p>
        </w:tc>
        <w:tc>
          <w:tcPr>
            <w:tcW w:w="840" w:type="dxa"/>
            <w:vAlign w:val="bottom"/>
            <w:tcBorders>
              <w:bottom w:val="single" w:sz="8" w:color="CCEEFF"/>
            </w:tcBorders>
            <w:shd w:val="clear" w:color="auto" w:fill="CCEEFF"/>
          </w:tcPr>
          <w:p>
            <w:pPr>
              <w:jc w:val="right"/>
              <w:ind w:right="63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346.4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Total product sales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405.5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84.9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26.5 %</w:t>
            </w:r>
          </w:p>
        </w:tc>
      </w:tr>
      <w:tr>
        <w:trPr>
          <w:trHeight w:val="27"/>
        </w:trPr>
        <w:tc>
          <w:tcPr>
            <w:tcW w:w="55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84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751.9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668.7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20"/>
        </w:trPr>
        <w:tc>
          <w:tcPr>
            <w:tcW w:w="55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Revenues increased $83.2 million to $751.9 million in 2017 from $668.7 million in 2016. The increase in revenues was the result of increased revenues of $14.5 million in our KGS segment primarily resulting from increased shipments and work performed in our satellite communications business of approximately $14.1 million, our simulation and training systems business of approximately $16.1 million and our specialized ground equipment products business of $4.4 million. These increases were offset by a reduction in our government services business of approximately $19.2 million, which has been impacted by continued commoditization and price competiveness in the government services industry due to contract awards on a LPTA basis rather than on a best value basis. Increased revenues of $45.9 million in our US segment resulted from recent contract awards in unmanned combat aerial systems which includes the commencement in July 2017 of low rate initial production of our SSAT/177 aerial targets for the U.S. Navy, as well as an increase in shipments of other unmanned aerial target systems. Increased revenues in our PSS segment of $22.8 million were driven by security system and related communication equipment integration under a security system deployment for a mass transit authority in a large metropolitan area.</w:t>
      </w:r>
    </w:p>
    <w:p>
      <w:pPr>
        <w:spacing w:after="0" w:line="16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Product sales increased $84.9 million to $405.5 million for the year ended December 31, 2017 from $320.6 million for the year ended December 25, 2016, primarily as a result of the increase in product shipments due to the factors discussed above in our KGS and US segments. As a percentage of total revenue, product sales were 53.9% for the year ended December 31, 2017, as compared to 47.9% for the year ended December 25, 2016. Service revenues decreased by $1.7 million to $346.4 million for the year ended December 31, 2017, from $348.1 million for the year ended December 25, 2016, primarily due to the decline in our legacy government services business discussed previously, offset for the most part by the increase in the PSS segment discussed previously.</w:t>
      </w:r>
    </w:p>
    <w:p>
      <w:pPr>
        <w:spacing w:after="0" w:line="193"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 xml:space="preserve">As described in our “Critical Accounting Principles and Estimates” below and in the Notes to Consolidated Financial Statements contained within this Annual Report, we utilize both the cost-to-cost and units delivered measures under the percentage-of-completion method of accounting for recognizing revenue as provided for in </w:t>
      </w:r>
      <w:r>
        <w:rPr>
          <w:rFonts w:ascii="Arial" w:cs="Arial" w:eastAsia="Arial" w:hAnsi="Arial"/>
          <w:sz w:val="16"/>
          <w:szCs w:val="16"/>
          <w:i w:val="1"/>
          <w:iCs w:val="1"/>
          <w:color w:val="auto"/>
        </w:rPr>
        <w:t>Topic 605</w:t>
      </w:r>
      <w:r>
        <w:rPr>
          <w:rFonts w:ascii="Arial" w:cs="Arial" w:eastAsia="Arial" w:hAnsi="Arial"/>
          <w:sz w:val="16"/>
          <w:szCs w:val="16"/>
          <w:color w:val="auto"/>
        </w:rPr>
        <w:t>. When revenue is calculated using the percentage-of-completion method, total costs incurred to date are compared to total estimated costs to complete the contract. These estimates are reviewed monthly on a contract-by-contract basis, and are revised periodically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throughout the life of the contract such that adjustments to profit resulting from revisions are made cumulative to the date of the revision. Significant management judgments and estimates, including the estimated costs to complete projects, which determine the project’s percentage of completion,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on certain projects based on the aforementioned factors, but the effect of such adjustments, both positive and negative, when evaluated in total were determined to be immaterial to our Consolidated Financial Statements.</w:t>
      </w:r>
    </w:p>
    <w:p>
      <w:pPr>
        <w:spacing w:after="0" w:line="178"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to $554.6 million for the year ended December 31, 2017, from $515.1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25, 2016. The $39.5 million increase in cost of revenues was primarily a result of increased revenue discussed above.</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Gross margin percentage increased to 26.2% for the year ended December 31, 2017, compared to 23.0% for the year ended December 25, 2016. Margins on services increased to 28.6% for the year ended December 31, 2017 from 26.5% for the year ended December 25, 2016, due primarily to a more favorable mix of revenues and due to the impact of cost reduction actions that we took in 2016 in our modular systems business. Margins on product sales increased for the year ended December 31, 2017, as compared to December 25, 2016 to 24.3% from 19.1%, respectively, primarily as a result of a change in the mix of products sold, and the ramp in production in our US segment as we have commenced low rate initial production on our SSAT/177 program for the U.S. Navy. In addition, the 2016 gross profit and gross margin included an $18.7 million loss accrual recorded on the LCASD cost share contract incurred in order to retain the intellectual property rights for the new LCASD platform. Margins in the KGS segment increased to 27.6% for the year ended December 31, 2017 from 26.3% for the year ended December 25, 2016, primarily as a result of change in the mix of products sold. Margins in the US segment increased to 20.5% for the year ended December 31, 2017 from (2.9)% for the year ended December 25, 2016, which reflects the ramp in low rate initial production, the increase in revenues and the effect from the $18.7 million loss accrual recorded on the LCASD cost share contract during 2016. Margins in the PSS segment increased to 26.6% for the year ended December 31, 2017 from 26.1% for the year ended December 25, 2016 as a result of a more favorable mix of revenues, resulting from the strategic shift in focus on smaller sized, higher margin projects and only selectively bidding on larger sized lower margin projects, the completion of certain lower margin projects, as well as the impact of cost reduction actions that were taken during the year ended December 31, 2017, offset partially by the impact of approximately $4.1 million in unexpected cost growth recorded during 2016 on several large long-term security integration projects which are either completed or nearing completion.</w:t>
      </w:r>
    </w:p>
    <w:p>
      <w:pPr>
        <w:spacing w:after="0" w:line="16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 xml:space="preserve">Selling, general and administrative expenses (SG&amp;A). </w:t>
      </w:r>
      <w:r>
        <w:rPr>
          <w:rFonts w:ascii="Arial" w:cs="Arial" w:eastAsia="Arial" w:hAnsi="Arial"/>
          <w:sz w:val="17"/>
          <w:szCs w:val="17"/>
          <w:color w:val="auto"/>
        </w:rPr>
        <w:t>SG&amp;A increased $14.3 million to $160.6 million for the year ended December 31, 2017,</w:t>
      </w:r>
      <w:r>
        <w:rPr>
          <w:rFonts w:ascii="Arial" w:cs="Arial" w:eastAsia="Arial" w:hAnsi="Arial"/>
          <w:sz w:val="17"/>
          <w:szCs w:val="17"/>
          <w:i w:val="1"/>
          <w:iCs w:val="1"/>
          <w:color w:val="auto"/>
        </w:rPr>
        <w:t xml:space="preserve"> </w:t>
      </w:r>
      <w:r>
        <w:rPr>
          <w:rFonts w:ascii="Arial" w:cs="Arial" w:eastAsia="Arial" w:hAnsi="Arial"/>
          <w:sz w:val="17"/>
          <w:szCs w:val="17"/>
          <w:color w:val="auto"/>
        </w:rPr>
        <w:t>from $146.3 million for the year ended December 25, 2016. The increase was primarily the result of the increase in revenues described previously. As a percentage of revenues, SG&amp;A decreased to 21.4% for fiscal 2017 from 21.9% for fiscal 2016. Excluding amortization of intangibles of $10.4 million for the year ended December 31, 2017, and amortization of intangibles of $10.5 million for the year ended December 25, 2016, SG&amp;A decreased slightly as a percentage of revenues to 20.0% from 20.3% for the year ended December 31, 2017 and December 25, 2016, respectively.</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Internal research and development (IR&amp;D) expenses. </w:t>
      </w:r>
      <w:r>
        <w:rPr>
          <w:rFonts w:ascii="Arial" w:cs="Arial" w:eastAsia="Arial" w:hAnsi="Arial"/>
          <w:sz w:val="18"/>
          <w:szCs w:val="18"/>
          <w:color w:val="auto"/>
        </w:rPr>
        <w:t>IR&amp;D expenses increased to $17.8 million for the year ended December 31, 2017 from $13.9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25, 2016. As a percentage of revenues, IR&amp;D increased to 2.4% of revenues for the year ended December 31, 2017 from 2.1% of revenues for the year ended December 25, 2016. IR&amp;D expenditures are primarily related to investments we are making in conjunction with our customers and prospective customers, with the objectives of our products being the new platform for or “designed in” to certain new long term program opportunities and our owning certain intellectual property rights for products that support these programs primarily in our unmanned systems and microwave electronic businesses as well as technology upgrades and refresh activities that are necessary for the next generation of our existing product lines primarily in our satellite communications business.</w:t>
      </w:r>
    </w:p>
    <w:p>
      <w:pPr>
        <w:spacing w:after="0" w:line="18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Merger and acquisition related items. </w:t>
      </w:r>
      <w:r>
        <w:rPr>
          <w:rFonts w:ascii="Arial" w:cs="Arial" w:eastAsia="Arial" w:hAnsi="Arial"/>
          <w:sz w:val="18"/>
          <w:szCs w:val="18"/>
          <w:color w:val="auto"/>
        </w:rPr>
        <w:t>Merger and acquisition related items decreased to $0.0 million for the year ended December 31, 2017, from</w:t>
      </w:r>
      <w:r>
        <w:rPr>
          <w:rFonts w:ascii="Arial" w:cs="Arial" w:eastAsia="Arial" w:hAnsi="Arial"/>
          <w:sz w:val="18"/>
          <w:szCs w:val="18"/>
          <w:i w:val="1"/>
          <w:iCs w:val="1"/>
          <w:color w:val="auto"/>
        </w:rPr>
        <w:t xml:space="preserve"> </w:t>
      </w:r>
      <w:r>
        <w:rPr>
          <w:rFonts w:ascii="Arial" w:cs="Arial" w:eastAsia="Arial" w:hAnsi="Arial"/>
          <w:sz w:val="18"/>
          <w:szCs w:val="18"/>
          <w:color w:val="auto"/>
        </w:rPr>
        <w:t>$1.9 million in the year ended December 25, 2016. The decrease was primarily as a result of a $1.9 million charge related to the settlement of a contract dispute in our PSS business during the first quarter of 2016.</w:t>
      </w:r>
    </w:p>
    <w:p>
      <w:pPr>
        <w:spacing w:after="0" w:line="18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i w:val="1"/>
          <w:iCs w:val="1"/>
          <w:color w:val="auto"/>
        </w:rPr>
        <w:t xml:space="preserve">Unused office space and other restructuring. </w:t>
      </w:r>
      <w:r>
        <w:rPr>
          <w:rFonts w:ascii="Arial" w:cs="Arial" w:eastAsia="Arial" w:hAnsi="Arial"/>
          <w:sz w:val="16"/>
          <w:szCs w:val="16"/>
          <w:color w:val="auto"/>
        </w:rPr>
        <w:t>The expense of $0.5 million for the year ended December 31, 2017, was related to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costs associated with personal reduction actions taken during the year. The expense of $10.1 million for the year ended December 25, 2016, was due to a $9.2 million charge that was recorded in the Company’s modular systems business as a result of the closure of one of its manufacturing facilities, as well as, the exit from certain lower margin product business lines and employee termination costs related to personnel reduction actions taken in the first quarter of 2016. The restructuring charge recorded in our modular systems business was comprised of $4.9 million related to fixed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intangible assets, of which $1.4 million was recorded in the fourth quarter of 2016 reflecting the write-down to estimated fair value of one of its facilities, $3.0 million related to exited product lines and $1.3 million related to excess facilities.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 xml:space="preserve">Impairment of goodwill. </w:t>
      </w:r>
      <w:r>
        <w:rPr>
          <w:rFonts w:ascii="Arial" w:cs="Arial" w:eastAsia="Arial" w:hAnsi="Arial"/>
          <w:sz w:val="17"/>
          <w:szCs w:val="17"/>
          <w:color w:val="auto"/>
        </w:rPr>
        <w:t>Impairment of goodwill includes a charge of $24.2 million for the year ended December 31, 2017 resulting from the annual</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test of the carrying value of the goodwill balance of our DRSS reporting unit within the KGS segment. The majority of this business includes our legacy government services business, which we deemphasized and no longer considered a core business area in 2010. The expected future performance for the DRSS reporting unit has been adversely impacted by competitive pressures and commoditization resulting from lower priced technically acceptable awards rather than awards based on best value. Specifically, we were recently notified of losses on two sizable five year contract opportunities, which has significantly impacted the expected future financial performance of the DRSS business.</w:t>
      </w:r>
    </w:p>
    <w:p>
      <w:pPr>
        <w:spacing w:after="0" w:line="17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increased to $45.0 million from $33.7 million for the years ended December 31, 2017 and December 25,</w:t>
      </w:r>
      <w:r>
        <w:rPr>
          <w:rFonts w:ascii="Arial" w:cs="Arial" w:eastAsia="Arial" w:hAnsi="Arial"/>
          <w:sz w:val="17"/>
          <w:szCs w:val="17"/>
          <w:i w:val="1"/>
          <w:iCs w:val="1"/>
          <w:color w:val="auto"/>
        </w:rPr>
        <w:t xml:space="preserve"> </w:t>
      </w:r>
      <w:r>
        <w:rPr>
          <w:rFonts w:ascii="Arial" w:cs="Arial" w:eastAsia="Arial" w:hAnsi="Arial"/>
          <w:sz w:val="17"/>
          <w:szCs w:val="17"/>
          <w:color w:val="auto"/>
        </w:rPr>
        <w:t>2016, respectively. The increase in expense of $11.3 million was primarily related to a $17.3 million loss on the extinguishment of the 7% Notes in 2017, a reduction in net interest of $6.1 million to $28.6 million for the year ended December 31, 2017 from $34.7 million for the year ended December 25, 2016 as a result of the Company’s repurchase and extinguishment of approximately $77.2 million of our 7% Notes since the fourth quarter of 2016.</w:t>
      </w:r>
    </w:p>
    <w:p>
      <w:pPr>
        <w:spacing w:after="0" w:line="17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 xml:space="preserve">Provision (benefit) for income taxes from continuing operations. </w:t>
      </w:r>
      <w:r>
        <w:rPr>
          <w:rFonts w:ascii="Arial" w:cs="Arial" w:eastAsia="Arial" w:hAnsi="Arial"/>
          <w:sz w:val="18"/>
          <w:szCs w:val="18"/>
          <w:color w:val="auto"/>
        </w:rPr>
        <w:t>The provision for income taxes from continuing operations changed to a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$8.2 million on a loss from continuing operations before income taxes of $50.8 million for the year ended December 31, 2017 from an expense of $8.1 million on a loss of $52.3 million from continuing operations before income taxes for the year ended December 25, 2016. The tax benefit for the year ended December 31, 2017 was primarily comprised of foreign and state taxes offset by a decrease in the indefinite life deferred tax liability as a result of enactment of the Tax Cuts and Jobs Act of 2017 (the “2017 Tax Act”). We have not completed our accounting for the tax effects of enactment of the 2017 Tax Act. We have made a reasonable estimate of the effects on our existing deferred tax balances and the one-time transition tax for certain foreign earnings and recognized a provisional tax benefit of $13.2 million in accordance with Staff Accounting Bulletin No. 118. The benefit is included as a component of income tax expense from continuing operations. Taxable income from the one-time transition tax was offset by taxable operating losses generated in the tax year ended December 31, 2017.</w:t>
      </w:r>
    </w:p>
    <w:p>
      <w:pPr>
        <w:spacing w:after="0" w:line="19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Effective January 1, 2018, the 2017 Tax Act requires the acceleration of revenue for tax purposes for certain types of revenue. The new rules require that we do not defer revenue on our unbilled accounts receivable later than the amounts are recognized in revenue for book purposes. This change impacts several accounting methods previously used by us and is expected to result in an acceleration of taxability of such revenue beginning in 2018 as compared with prior U.S. tax laws. Additionally, future interest deductions of the company will be limited to 30% of tax adjusted EBITDA through 2021.</w:t>
      </w:r>
    </w:p>
    <w:p>
      <w:pPr>
        <w:spacing w:after="0" w:line="15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There was no significant activity for the year ended December 31, 2017. The loss from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was $0.1 million for each of the years ended December 31, 2017, and December 25, 2016.</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Year Ended December 25, 2016 to the Year Ended December 27, 2015</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reportable segment for the years ended December 25, 2016 and December 27, 2015 are as follows (in millions):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11"/>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1600" w:type="dxa"/>
            <w:vAlign w:val="bottom"/>
          </w:tcPr>
          <w:p>
            <w:pPr>
              <w:jc w:val="right"/>
              <w:ind w:right="3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4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Arial" w:cs="Arial" w:eastAsia="Arial" w:hAnsi="Arial"/>
                <w:sz w:val="18"/>
                <w:szCs w:val="18"/>
                <w:color w:val="auto"/>
              </w:rPr>
              <w:t>Service revenues</w:t>
            </w:r>
          </w:p>
        </w:tc>
        <w:tc>
          <w:tcPr>
            <w:tcW w:w="900" w:type="dxa"/>
            <w:vAlign w:val="bottom"/>
          </w:tcPr>
          <w:p>
            <w:pPr>
              <w:jc w:val="right"/>
              <w:ind w:right="71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221.0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209.5</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5.5 %</w:t>
            </w:r>
          </w:p>
        </w:tc>
      </w:tr>
      <w:tr>
        <w:trPr>
          <w:trHeight w:val="27"/>
        </w:trPr>
        <w:tc>
          <w:tcPr>
            <w:tcW w:w="4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 sales</w:t>
            </w:r>
          </w:p>
        </w:tc>
        <w:tc>
          <w:tcPr>
            <w:tcW w:w="9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244.8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236.6</w:t>
            </w:r>
          </w:p>
        </w:tc>
        <w:tc>
          <w:tcPr>
            <w:tcW w:w="3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9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465.8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446.1</w:t>
            </w:r>
          </w:p>
        </w:tc>
        <w:tc>
          <w:tcPr>
            <w:tcW w:w="3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4.4 %</w:t>
            </w:r>
          </w:p>
        </w:tc>
      </w:tr>
      <w:tr>
        <w:trPr>
          <w:trHeight w:val="27"/>
        </w:trPr>
        <w:tc>
          <w:tcPr>
            <w:tcW w:w="4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 - service revenues</w:t>
            </w: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127.1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144.7</w:t>
            </w:r>
          </w:p>
        </w:tc>
        <w:tc>
          <w:tcPr>
            <w:tcW w:w="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Unmanned Systems - product sales</w:t>
            </w:r>
          </w:p>
        </w:tc>
        <w:tc>
          <w:tcPr>
            <w:tcW w:w="9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66.3</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14.3 %</w:t>
            </w:r>
          </w:p>
        </w:tc>
      </w:tr>
      <w:tr>
        <w:trPr>
          <w:trHeight w:val="27"/>
        </w:trPr>
        <w:tc>
          <w:tcPr>
            <w:tcW w:w="4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668.7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657.1</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r>
        <w:trPr>
          <w:trHeight w:val="311"/>
        </w:trPr>
        <w:tc>
          <w:tcPr>
            <w:tcW w:w="4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service revenues</w:t>
            </w:r>
          </w:p>
        </w:tc>
        <w:tc>
          <w:tcPr>
            <w:tcW w:w="90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348.1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354.2</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Total product sales</w:t>
            </w:r>
          </w:p>
        </w:tc>
        <w:tc>
          <w:tcPr>
            <w:tcW w:w="9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320.6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302.9</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49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668.7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657.1</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Revenues increased $11.6 million to $668.7 million in 2016 from $657.1 million in 2015. The increase in revenues was the result of increased revenues of $19.7 million in our KGS segment primarily resulting from increased shipments and work performed in our satellite communications business of approximately $21.1 million, our simulation and training business of approximately $6.7 million and our ballistic missile target businesses of approximately $8.6 million, offset by a reduction in shipments of our specialized ground equipment products resulting primarily from delays in contract awards of $11.8 million and other reductions primarily in our government services business, which includes our weapons reset business, of approximately $4.9 million. Increased revenues of $9.5 million in our US segment resulted from recent contract awards in unmanned combat aerial systems and unmanned aerial target systems as well as an increase in shipments of unmanned aerial target systems. Declines in our PSS segment of $17.6 million were primarily the result of our change in strategic direction in the fourth quarter of 2014 to capture higher margin work and only selectively bid on larger security integration projects that traditionally generate lower margins, coupled with the impact of approximately $4.1 million in unexpected cost growth recorded during 2016 which negatively impacted our revenues. This unexpected cost growth is primarily related to several large long-term security integration projects which are nearing completion in 2017.</w:t>
      </w:r>
    </w:p>
    <w:p>
      <w:pPr>
        <w:spacing w:after="0" w:line="18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Product sales increased $17.7 million to $320.6 million for the year ended December 25, 2016, from $302.9 million for the year ended December 27, 2015, primarily as a result of the increase in product shipments due to the factors discussed above in our KGS and US segments. As a percentage of total revenue, product revenues were 47.9% for the year ended December 25, 2016 as compared to 46.1% for the year ended December 27, 2015. Service revenues decreased by $6.1 million to $348.1 million for the year ended December 25, 2016 from $354.2 million for the year ended December 27, 2015. The decrease was primarily related to the change in strategic direction and the completion of larger security installation projects in our PSS segment, offset partially by increases in our KGS segment as discussed above.</w:t>
      </w:r>
    </w:p>
    <w:p>
      <w:pPr>
        <w:spacing w:after="0" w:line="19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As described in our “Critical Accounting Principles and Estimates” below and in the Notes to Consolidated Financial Statements contained within this Annual Report, we utilize both the cost-to-cost and units delivered measures under the percentage-of-completion method of accounting for recognizing revenue as provided for in Topic 605. When revenue is calculated using the percentage-of-completion method, total costs incurred to date are compared to total estimated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percentage of completion,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on certain projects based on the aforementioned factors, but the effect of such adjustments, both positive and negative, when evaluated in total, were determined to be immaterial to our Consolidated Financial Statements.</w:t>
      </w:r>
    </w:p>
    <w:p>
      <w:pPr>
        <w:spacing w:after="0" w:line="17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to $515.1 million for the year ended December 25, 2016 from $495.3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27, 2015. The $19.8 million increase in cost of revenues was primarily a result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increased revenue discussed above, as well as an $18.7 million loss accrual recorded in 2016 on the LCASD cost share contract, which is expected to be incurred by us over the period of performance of the contract, and was incurred in order to retain the intellectual property rights for the new LCASD platform. Cost of revenues was also impacted by approximately $4.1 million in unexpected cost growth on PSS projects recorded during 2016 which negatively impacted our revenues. This unexpected cost growth is primarily related to several large long-term security integration projects which are nearing completion in 2017.</w:t>
      </w:r>
    </w:p>
    <w:p>
      <w:pPr>
        <w:spacing w:after="0" w:line="18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Gross margin percentage decreased to 23.0% for the year ended December 25, 2016 compared to 24.6% for the year ended December 27, 2015. Margins on services increased to 26.5% for the year ended December 25, 2016 from 24.8% for the year ended December 27, 2015, due primarily to a more favorable mix of revenues. Margins on product sales decreased for the year ended December 25, 2016 as compared to December 27, 2015 to 19.1% from 24.5%, respectively, primarily as a result of a change in the mix of products sold. Margins in the KGS segment increased to 26.3% for the year ended December 25, 2016 from 25.4% for the year ended December 27, 2015, primarily as a result of change in the mix of products sold. Margins in the US segment decreased to (2.9)% for the year ended December 25, 2016, from 16.3% for the year ended December 27, 2015, reflecting an $18.7 million loss accrual recorded on the LCASD cost share contract, which is expected to be incurred by the Company over the period of performance of the contract, and was incurred in order to retain the intellectual property rights for the new LCASD platform. Margins in the PSS segment increased slightly to 26.1% for the year ended December 25, 2016, from 26.0% for the year ended December 27, 2015, as a result of a more favorable mix of revenues, resulting from the strategic shift in focus on smaller sized, higher margin projects and only selectively bidding on larger sized lower margin projects, the completion of certain lower margin projects, as well as the impact of cost reduction actions that were taken during the year ended December 25, 2016, offset partially by the impact of approximately $4.1 million in unexpected cost growth recorded during 2016 on several large long-term security integration projects, which are nearing completion.</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Selling, general and administrative expenses (SG&amp;A). </w:t>
      </w:r>
      <w:r>
        <w:rPr>
          <w:rFonts w:ascii="Arial" w:cs="Arial" w:eastAsia="Arial" w:hAnsi="Arial"/>
          <w:sz w:val="17"/>
          <w:szCs w:val="17"/>
          <w:color w:val="auto"/>
        </w:rPr>
        <w:t>SG&amp;A decreased $4.4 million to $146.3 million for the year ended December 25, 2016, from</w:t>
      </w:r>
      <w:r>
        <w:rPr>
          <w:rFonts w:ascii="Arial" w:cs="Arial" w:eastAsia="Arial" w:hAnsi="Arial"/>
          <w:sz w:val="17"/>
          <w:szCs w:val="17"/>
          <w:i w:val="1"/>
          <w:iCs w:val="1"/>
          <w:color w:val="auto"/>
        </w:rPr>
        <w:t xml:space="preserve"> </w:t>
      </w:r>
      <w:r>
        <w:rPr>
          <w:rFonts w:ascii="Arial" w:cs="Arial" w:eastAsia="Arial" w:hAnsi="Arial"/>
          <w:sz w:val="17"/>
          <w:szCs w:val="17"/>
          <w:color w:val="auto"/>
        </w:rPr>
        <w:t>$150.7 million for the year ended December 27, 2015. The decrease was primarily the result of a $2.5 million reduction of amortization of intangibles in 2016, as a result of certain intangible assets being fully amortized, as well as cost reduction actions taken by us, offset partially by increased discretionary investments to pursue business opportunities in the unmanned tactical aircraft market. As a percentage of revenues, SG&amp;A decreased to 21.9% for fiscal 2016 from 22.9% for fiscal 2015. Excluding amortization of intangibles of $10.5 million for the year ended December 25, 2016 and amortization of intangibles of $13.0 million for the year ended December 27, 2015, SG&amp;A decreased as a percentage of revenues to 20.3% from 21.0% for the year ended December 25, 2016 and December 27, 2015, respectively, due primarily to the cost reduction actions we have taken and the increased leverage on our public company infrastructure costs as revenues expand.</w:t>
      </w:r>
    </w:p>
    <w:p>
      <w:pPr>
        <w:spacing w:after="0" w:line="17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Internal research and development (IR&amp;D) expenses. </w:t>
      </w:r>
      <w:r>
        <w:rPr>
          <w:rFonts w:ascii="Arial" w:cs="Arial" w:eastAsia="Arial" w:hAnsi="Arial"/>
          <w:sz w:val="18"/>
          <w:szCs w:val="18"/>
          <w:color w:val="auto"/>
        </w:rPr>
        <w:t>IR&amp;D expenses decreased to $13.9 million for the year ended December 25, 2016, from $16.2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27, 2015. As a percentage of revenues, IR&amp;D decreased to 2.1% of revenues for the year ended December 25, 2016, from 2.5% of revenues for the year ended December 27, 2015. IR&amp;D expenditures are primarily related to investments we are making in conjunction with our customers and prospective customers, with the objectives of our products being the new platform for, or “designed-in” to, certain new long term program opportunities and our owning certain intellectual property rights for products that support these programs primarily in our unmanned systems and microwave electronic businesses, as well as technology upgrades and refresh activities that are necessary for the next generation of our existing product lines primarily in our satellite communications business.</w:t>
      </w:r>
    </w:p>
    <w:p>
      <w:pPr>
        <w:spacing w:after="0" w:line="18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i w:val="1"/>
          <w:iCs w:val="1"/>
          <w:color w:val="auto"/>
        </w:rPr>
        <w:t xml:space="preserve">Merger and acquisition related items. </w:t>
      </w:r>
      <w:r>
        <w:rPr>
          <w:rFonts w:ascii="Arial" w:cs="Arial" w:eastAsia="Arial" w:hAnsi="Arial"/>
          <w:sz w:val="18"/>
          <w:szCs w:val="18"/>
          <w:color w:val="auto"/>
        </w:rPr>
        <w:t>Merger and acquisition related items increased to $1.9 million for the year ended December 25, 2016, from</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in the year ended December 27, 2015. The increase was primarily a result of a $1.9 million charge related to the settlement of a contract dispute in our PSS business during the first quarter of 2016.</w:t>
      </w:r>
    </w:p>
    <w:p>
      <w:pPr>
        <w:spacing w:after="0" w:line="181"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i w:val="1"/>
          <w:iCs w:val="1"/>
          <w:color w:val="auto"/>
        </w:rPr>
        <w:t xml:space="preserve">Unused office space and other restructuring. </w:t>
      </w:r>
      <w:r>
        <w:rPr>
          <w:rFonts w:ascii="Arial" w:cs="Arial" w:eastAsia="Arial" w:hAnsi="Arial"/>
          <w:sz w:val="16"/>
          <w:szCs w:val="16"/>
          <w:color w:val="auto"/>
        </w:rPr>
        <w:t>The expense of $10.1 million for the year ended December 25, 2016, was due to a $9.2 million charge</w:t>
      </w:r>
      <w:r>
        <w:rPr>
          <w:rFonts w:ascii="Arial" w:cs="Arial" w:eastAsia="Arial" w:hAnsi="Arial"/>
          <w:sz w:val="16"/>
          <w:szCs w:val="16"/>
          <w:i w:val="1"/>
          <w:iCs w:val="1"/>
          <w:color w:val="auto"/>
        </w:rPr>
        <w:t xml:space="preserve"> </w:t>
      </w:r>
      <w:r>
        <w:rPr>
          <w:rFonts w:ascii="Arial" w:cs="Arial" w:eastAsia="Arial" w:hAnsi="Arial"/>
          <w:sz w:val="16"/>
          <w:szCs w:val="16"/>
          <w:color w:val="auto"/>
        </w:rPr>
        <w:t>that was recorded in our modular systems business as a result of the closure of one of its manufacturing facilities, as well as, the exit from certain lower margin product business lines and employee termination costs related to personnel reduction actions taken in the first quarter of 2016. The restructuring charge recorded in our modular systems business was comprised of $4.9 million related to fixed and intangible assets, of which $1.4 million was recorded in the fourth quarter of 2016 reflecting the write-down to estimated fair value of one of its facilities, $3.0 million related to exited product lines and $1.3 million related to excess facilities. The benefit of $0.7 million for the year ended December 27, 2015 was due to a reduction in the liability for unused office space at our Columbia, Maryland facility resulting from the execution of a recent sublease arrangement, partially offset by an impairment of leasehold improvements, office furniture and equipment at that location, and employee termination costs related to personnel reduction actions taken during the year.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to $33.7 million from $40.1 million for the years ended December 25, 2016 and December 27,</w:t>
      </w:r>
      <w:r>
        <w:rPr>
          <w:rFonts w:ascii="Arial" w:cs="Arial" w:eastAsia="Arial" w:hAnsi="Arial"/>
          <w:sz w:val="18"/>
          <w:szCs w:val="18"/>
          <w:i w:val="1"/>
          <w:iCs w:val="1"/>
          <w:color w:val="auto"/>
        </w:rPr>
        <w:t xml:space="preserve"> </w:t>
      </w:r>
      <w:r>
        <w:rPr>
          <w:rFonts w:ascii="Arial" w:cs="Arial" w:eastAsia="Arial" w:hAnsi="Arial"/>
          <w:sz w:val="18"/>
          <w:szCs w:val="18"/>
          <w:color w:val="auto"/>
        </w:rPr>
        <w:t>2015, respectively. The decrease in expense of $6.4 million was primarily related to a $3.4 million loss on the extinguishment of the 10% Notes in the third quarter of 2015, a reduction in interest expense of $1.3 million as a result of the redemption of $175.0 million of our 7% Notes and the repayment of $41.0 million of outstanding borrowings under our Credit Agreement in the third quarter of 2015 which both occurred as a result of our divestiture of the Herley Entities.</w:t>
      </w:r>
    </w:p>
    <w:p>
      <w:pPr>
        <w:spacing w:after="0" w:line="188"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i w:val="1"/>
          <w:iCs w:val="1"/>
          <w:color w:val="auto"/>
        </w:rPr>
        <w:t xml:space="preserve">Provision (benefit) for income taxes from continuing operations. </w:t>
      </w:r>
      <w:r>
        <w:rPr>
          <w:rFonts w:ascii="Arial" w:cs="Arial" w:eastAsia="Arial" w:hAnsi="Arial"/>
          <w:sz w:val="16"/>
          <w:szCs w:val="16"/>
          <w:color w:val="auto"/>
        </w:rPr>
        <w:t>The provision for income taxes from continuing operations changed to an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$8.1 million on a loss from continuing operations before income taxes of $52.3 million for the year ended December 25, 2016, from a benefit of $11.4 million on a loss of $44.6 million from continuing operations before income taxes for the year ended December 27, 2015. The expense for the year ended December 25, 2016 was primarily comprised of a provision for foreign and state taxes increased by the change in the indefinite life deferred tax liability. The benefit for the year ended December 27, 2015 was primarily due to the intra-period allocation rules in ASC Topic 740, Income </w:t>
      </w:r>
      <w:r>
        <w:rPr>
          <w:rFonts w:ascii="Arial" w:cs="Arial" w:eastAsia="Arial" w:hAnsi="Arial"/>
          <w:sz w:val="16"/>
          <w:szCs w:val="16"/>
          <w:i w:val="1"/>
          <w:iCs w:val="1"/>
          <w:color w:val="auto"/>
        </w:rPr>
        <w:t>Taxes.</w:t>
      </w:r>
      <w:r>
        <w:rPr>
          <w:rFonts w:ascii="Arial" w:cs="Arial" w:eastAsia="Arial" w:hAnsi="Arial"/>
          <w:sz w:val="16"/>
          <w:szCs w:val="16"/>
          <w:color w:val="auto"/>
        </w:rPr>
        <w:t xml:space="preserve"> Intra-period allocation rules require us to allocate its provision for income taxes between continuing operations and other categories of earnings, such as discontinued operations. In periods in which there is a pre-tax loss from continuing operations and pre-tax income in other categories of earnings, such as discontinued operations, the Company must allocate the tax provision to other categories of earnings. A related tax benefit is then recorded in continuing operations. See Note 7 of Notes to Consolidated Financial Statements for a further discussion of our income taxes.</w:t>
      </w:r>
    </w:p>
    <w:p>
      <w:pPr>
        <w:spacing w:after="0" w:line="16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There was no significant activity for the year ended December 25, 2016. The loss from discontinued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was $0.1 million for the year ended December 25, 2016, compared to income of $53.0 million for the year ended December 27, 2015, which included the gain on sale of the Herley Entities of $80.8 million which occurred on August 21, 2015. The income for the year ended December 27, 2015 also reflects interest expense allocated to discontinued operations of $9.1 million. For additional information, see Note 8 of the Notes to the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As of December 31, 2017, we had cash and cash equivalents of $129.6 million compared with cash and cash equivalents of $69.1 million as of December 25, 2016, which includes $10.7 million and $5.2 million, respectively, of cash and cash equivalents held by our foreign subsidiaries. We are not presently aware of any restrictions on the repatriation of these funds, however, earnings of these foreign subsidiaries are essentially considered permanently invested in these foreign subsidiaries. If these funds were needed to fund our operations or satisfy obligations in the U.S. they could be repatriated, and their repatriation into the U.S. may cause us to incur additional foreign withholding taxes. We do not currently intend to repatriate these earnings.</w:t>
      </w:r>
    </w:p>
    <w:p>
      <w:pPr>
        <w:spacing w:after="0" w:line="172" w:lineRule="exact"/>
        <w:rPr>
          <w:sz w:val="20"/>
          <w:szCs w:val="20"/>
          <w:color w:val="auto"/>
        </w:rPr>
      </w:pPr>
    </w:p>
    <w:p>
      <w:pPr>
        <w:ind w:right="120" w:firstLine="648"/>
        <w:spacing w:after="0" w:line="275" w:lineRule="auto"/>
        <w:rPr>
          <w:sz w:val="20"/>
          <w:szCs w:val="20"/>
          <w:color w:val="auto"/>
        </w:rPr>
      </w:pPr>
      <w:r>
        <w:rPr>
          <w:rFonts w:ascii="Arial" w:cs="Arial" w:eastAsia="Arial" w:hAnsi="Arial"/>
          <w:sz w:val="18"/>
          <w:szCs w:val="18"/>
          <w:color w:val="auto"/>
        </w:rPr>
        <w:t>During 2017, we sold approximately 28.0 million shares of our common stock in underwritten public offerings, raising net proceeds of approximately $269.1 million, after deducting underwriting fees and other offering expenses. During the quarter ended March 26, 2017, we repurchased and extinguished $62.7 million of the outstanding 7% Notes, which resulted in a loss of $1.4 million and the realization of $0.4 million of unamortized issuance cost and $0.3 million of unamortized discount resulting in a net loss of $2.1 million.</w:t>
      </w:r>
    </w:p>
    <w:p>
      <w:pPr>
        <w:spacing w:after="0" w:line="17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November 20, 2017, we issued and sold $300 million aggregate principal amount of 6.5% Notes in a private placement pursuant to Rule 144A and Regulation S under the Securities Act of 1933, as amended. The proceeds from the 6.5% Notes were used to redeem our existing 7% Senior Secured Notes due 2019 (“7% Notes”) and to pay all fees and expenses, including premium and unpaid interest, if any, related thereto. We incurred debt issuance costs of $6.6 million associated with the new 6.5% Notes. We utilized the net proceeds from the sale of the 6.5% Notes, as well as cash from our recent equity offering to extinguish the outstanding 7% Notes.</w:t>
      </w:r>
    </w:p>
    <w:p>
      <w:pPr>
        <w:spacing w:after="0" w:line="18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total reacquisition price of the 7% Notes was $385.2 million, including a $12.0 million call premium, and $0.3 million of accrued interest. During 2017, we decreased long term indebtedness by $135.5 million utilizing cash on hand and the proceeds from the 6.5% Notes, resulting in a loss on extinguishment of debt of $17.3 million during 2017.</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total debt, including principal due on the 6.5% Notes, other term debt, and debt issuance costs of $6.5 million, decreased by $137.7 million to $294.3 million as of December 31, 2017 from $432.0 million as of December 25, 2016. The decrease in total debt was due to the buy back, redemption and retirement of approximately $435.5 million of 7% Notes which occurred during 2017, offset by the issuance of $300 million of 6.5% Notes, in addition to the principal payment required 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ten-year term loan with a bank in Israel, offset partially by the amortization of the discount on our 7% Notes and the amortization of deferred financing costs.</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use our operating cash flow to finance trade accounts receivable, fund necessary increases in inventory, which may include leaning forward to procure long-lead materials for certain of our unmanned systems programs at our customer’s requests, prior to receipt of customer contractual funding documents, fund capital expenditures, our IR&amp;D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increased to 121 days as of December 31, 2017 from 115 days as of December 25, 2016. Our DSOs can fluctuate from period to period, primarily as a result of certain contractual billing milestones that have not yet been attained, such as equipment shipments and deliveries on certain products, and for certain flight requirements that must be fulfilled on certain aerial target programs, or final billings which are not due until completion on certain of our large critical infrastructure deployment projects and large training systems deliveries, and therefore we are unable to contractually bill for amounts outstanding related to those milestones at this time.</w:t>
      </w:r>
    </w:p>
    <w:p>
      <w:pPr>
        <w:spacing w:after="0" w:line="18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summary of our net cash used in operating activities from continuing operations from our Consolidated Statements of Cash Flows is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25, 2016</w:t>
            </w:r>
          </w:p>
        </w:tc>
        <w:tc>
          <w:tcPr>
            <w:tcW w:w="180" w:type="dxa"/>
            <w:vAlign w:val="bottom"/>
          </w:tcPr>
          <w:p>
            <w:pPr>
              <w:spacing w:after="0"/>
              <w:rPr>
                <w:sz w:val="22"/>
                <w:szCs w:val="22"/>
                <w:color w:val="auto"/>
              </w:rPr>
            </w:pPr>
          </w:p>
        </w:tc>
        <w:tc>
          <w:tcPr>
            <w:tcW w:w="1420" w:type="dxa"/>
            <w:vAlign w:val="bottom"/>
          </w:tcPr>
          <w:p>
            <w:pPr>
              <w:jc w:val="right"/>
              <w:ind w:right="139"/>
              <w:spacing w:after="0"/>
              <w:rPr>
                <w:sz w:val="20"/>
                <w:szCs w:val="20"/>
                <w:color w:val="auto"/>
              </w:rPr>
            </w:pPr>
            <w:r>
              <w:rPr>
                <w:rFonts w:ascii="Arial" w:cs="Arial" w:eastAsia="Arial" w:hAnsi="Arial"/>
                <w:sz w:val="14"/>
                <w:szCs w:val="14"/>
                <w:b w:val="1"/>
                <w:bCs w:val="1"/>
                <w:color w:val="auto"/>
                <w:w w:val="93"/>
              </w:rPr>
              <w:t>December 27, 2015</w:t>
            </w:r>
          </w:p>
        </w:tc>
      </w:tr>
      <w:tr>
        <w:trPr>
          <w:trHeight w:val="243"/>
        </w:trPr>
        <w:tc>
          <w:tcPr>
            <w:tcW w:w="6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 from continuing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6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Our cash used in operating activities was impacted by interest expense we paid related to our senior secured notes. We paid $28.3 million, $32.4 million, and $43.8 million in interest expense in 2017, 2016, and 2015, respectively. Cash used in operating activities in 2017 and 2016 was also negatively impacted by reduced operating income which reflected discretionary investments we have made in internally funded research and development of $17.8 million in 2017, $13.9 million in 2016 and $16.2 million in 2015, contract development costs on new platforms in our US segment, and increased SG&amp;A expenditures primarily related to business capture pursuits in the tactical unmanned aircraft systems initiatives, as well as changes in working capital accounts. The net use in working capital accounts for 2017 includes approximately $7.7 million of internal development product development investments that are non-capital expenditures we are making related to the LCASD or “Valkyrie”.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used in investing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25, 2016</w:t>
            </w:r>
          </w:p>
        </w:tc>
        <w:tc>
          <w:tcPr>
            <w:tcW w:w="320" w:type="dxa"/>
            <w:vAlign w:val="bottom"/>
          </w:tcPr>
          <w:p>
            <w:pPr>
              <w:spacing w:after="0"/>
              <w:rPr>
                <w:sz w:val="22"/>
                <w:szCs w:val="22"/>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27, 2015</w:t>
            </w:r>
          </w:p>
        </w:tc>
      </w:tr>
      <w:tr>
        <w:trPr>
          <w:trHeight w:val="250"/>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6160" w:type="dxa"/>
            <w:vAlign w:val="bottom"/>
          </w:tcPr>
          <w:p>
            <w:pPr>
              <w:ind w:left="180"/>
              <w:spacing w:after="0"/>
              <w:rPr>
                <w:sz w:val="20"/>
                <w:szCs w:val="20"/>
                <w:color w:val="auto"/>
              </w:rPr>
            </w:pPr>
            <w:r>
              <w:rPr>
                <w:rFonts w:ascii="Arial" w:cs="Arial" w:eastAsia="Arial" w:hAnsi="Arial"/>
                <w:sz w:val="18"/>
                <w:szCs w:val="18"/>
                <w:color w:val="auto"/>
              </w:rPr>
              <w:t>Change in restricted cash</w:t>
            </w: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6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7"/>
        </w:trPr>
        <w:tc>
          <w:tcPr>
            <w:tcW w:w="6160" w:type="dxa"/>
            <w:vAlign w:val="bottom"/>
          </w:tcPr>
          <w:p>
            <w:pPr>
              <w:ind w:left="38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6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Net cash used in investing activities was primarily driven by capital expenditures in 2017, 2016, and 2015, which reflects investments we made for certain machinery, test equipment, demonstration units and Company-owned aircraft in our unmanned aerial systems business, and to a lesser degree, investments we made in our microwave electronic products business, and our satellite communications business. The 2017 capital expenditures included approximately $13.2 million related to investments we are making in our US segment to build Company-owned tactical aircraft and related equipment related to the LCASD and UTAP-22 or Mako platforms. In addition, we used $5.1 million during the fourth quarter of 2016 to fund a strategic initial investment in a satellite signal monitoring, signal intelligence and location identification technology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product line to enhance our existing satellite communications business offering. An initial purchase price holdback of $0.9 million to provide security for potential indemnification obligations, less any indemnification claims, will be payable in July 2018, in cash or shares of common stock, at our option. In addition, an earn-out of $2.0 million, payable in cash or shares of common stock, at our option, will be payable in July 2018. As of December 31, 2017, the earn-out criteria had been achieved.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(used in) financing activities from continuing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25, 2016</w:t>
            </w:r>
          </w:p>
        </w:tc>
        <w:tc>
          <w:tcPr>
            <w:tcW w:w="180" w:type="dxa"/>
            <w:vAlign w:val="bottom"/>
          </w:tcPr>
          <w:p>
            <w:pPr>
              <w:spacing w:after="0"/>
              <w:rPr>
                <w:sz w:val="22"/>
                <w:szCs w:val="22"/>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27, 2015</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Proceeds from the issuance of 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Extinguishment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contingent acquisition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Repayment under credit facility</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tcPr>
          <w:p>
            <w:pPr>
              <w:ind w:left="180"/>
              <w:spacing w:after="0"/>
              <w:rPr>
                <w:sz w:val="20"/>
                <w:szCs w:val="20"/>
                <w:color w:val="auto"/>
              </w:rPr>
            </w:pPr>
            <w:r>
              <w:rPr>
                <w:rFonts w:ascii="Arial" w:cs="Arial" w:eastAsia="Arial" w:hAnsi="Arial"/>
                <w:sz w:val="18"/>
                <w:szCs w:val="18"/>
                <w:color w:val="auto"/>
                <w:w w:val="95"/>
              </w:rPr>
              <w:t>Proceeds from the exercise of restricted stock units, employee stock options, and</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employee stock purchase plan</w:t>
            </w:r>
          </w:p>
        </w:tc>
        <w:tc>
          <w:tcPr>
            <w:tcW w:w="18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w w:val="99"/>
              </w:rPr>
              <w:t>Net cash provided by (used in) financing activities from continuing operations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(214.7)</w:t>
            </w:r>
          </w:p>
        </w:tc>
      </w:tr>
      <w:tr>
        <w:trPr>
          <w:trHeight w:val="27"/>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provided by financing activities for the year ended December 31, 2017 included $269.1 million in net proceeds from the equity offerings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completed in the first and fourth quarters of 2017 and $300.0 million in proceeds from the issuance of our 6.5% Notes. The net proceeds from the issuance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our 6.5% Notes along with approximately $155.1 million from the proceeds from the equity offerings was used to buy back and redeem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$435.5 million of our 7% Notes. Net cash flows provided by financing activities for the year ended December 25, 2016 included $76.2 million in net proceeds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equity offering we completed in the fourth quarter of 2016, $14.1 million of which was used to buy back and redeem approximately $14.5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Notes. Net cash flows used in financing activities from continuing operations for the year ended December 27, 2015 was primarily due to the repurchase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$175.0 million of our 7% Notes and the repayment of $41.0 million outstanding on our Credit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(used in) discontinued operations is summarized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5"/>
              </w:rPr>
              <w:t>December 31, 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3"/>
              </w:rPr>
              <w:t>December 25, 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9"/>
              </w:rPr>
              <w:t>December 27, 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cash flows provided by discontinued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investing cash flows provided by (used in) discontinued operations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242.5</w:t>
            </w:r>
          </w:p>
        </w:tc>
      </w:tr>
    </w:tbl>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operating cash flow provided by discontinued operations for the year ended December 27, 2015 is substantially related to Herley Industries, Inc. and certain of Herley’s subsidiaries. The investing cash flow provided by discontinued operations for the year ended December 25, 2016 reflects the reimbursement of taxes from the Buyer of the Herley Entities received in 2016. The investing cash flow provided by discontinued operations for the year ended December 27, 2015 reflects cash provided of $243.2 million which is related to the sale of the Herley Entities, net of related transaction expenses.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 Senior Secured Notes due 2025</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2017, we issued and sold $300 million aggregate principal amount of 6.5% Senior Secured Notes due 2025 (the “6.5% Notes”) in a private placement conducted pursuant to Rule 144A and Regulation S under the Securities Act of 1933, as amended (the “Act”). The net proceeds from the issuance of the 6.5% Notes were $295.5 million after expenses of $4.5 million. We utilized the net proceeds from the sale of the 6.5% Notes, as well as cash from our recent equity offering to extinguish our outstanding 7% Notes. The total reacquisition price of the 7% Notes was $385.2 million, including a $12.0 million call premium, and $0.3 million of accrued interest.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(in such capacity, the “2017 Trustee and Collateral Agent”). A Subsidiary Guarantor can be released from its guarantee if (a) all of the capital stock issued by such Subsidiary Guarantor or all or substantially all of the assets of such Subsidiary Guarantor are sold or otherwise disposed of; (b) we designate such Subsidiary Guarantor as an Unrestricted Subsidiary; (c) we exercise our legal defeasance option or our covenant defeasance option; or (d) upon satisfaction and discharge of the Indenture or payment in full in cash of the principal of, premium, if any, and accrued and unpaid interest on the 6.5% Notes.</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6.5% Notes and the guarantees (as set forth in the Indenture, the “Guarantees”)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6.5% Notes will be redeemable, in whole or in part, at any time on or after November 30, 2020 at the respective redemption prices specified in the Indenture. In addition, we may redeem up to 40% of the 6.5% Notes before November 30, 2020 with the net proceeds of certain equity offerings. We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we may redeem up to 10% of the original aggregate principal amount of the 6.5% Notes issued under the Indenture at a redemption price of 103.000% of the principal amount thereof, plus accrued and unpaid interest, to, but excluding, the date of redemption, if any. We may also be required to make an offer to purchase the 6.5% Notes upon a change of control and certain sales of our assets.</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Indenture contains covenants limiting, among other things, our ability and the Subsidiary Guarantors’ ability to: (a) pay dividends on or make distributions or repurchase or redeem the Company’s capital stock or make other restricted payments; (b) incur additional debt and guarantee debt; (c) prepay, redeem or repurchase certain debt; (d) issue certain preferred stock or similar equity securities; (e) make loans and investments; (f) sell assets; (g) incur liens;</w:t>
      </w:r>
    </w:p>
    <w:p>
      <w:pPr>
        <w:jc w:val="both"/>
        <w:ind w:firstLine="8"/>
        <w:spacing w:after="0" w:line="255" w:lineRule="auto"/>
        <w:tabs>
          <w:tab w:leader="none" w:pos="259"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 (i) enter into transactions with affiliates; and (j) enter into agreements restricting our ability and certain of our subsidiaries’ ability to pay dividends. These covenants are subject to a number of exceptions. As of December 31, 2017, we were in compliance with the covenants contained in the Indenture governing the 6.5% Notes.</w:t>
      </w:r>
    </w:p>
    <w:p>
      <w:pPr>
        <w:spacing w:after="0" w:line="19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(iii) a combination of (i), (ii) and (iii). To the extent there are any remaining net proceeds from the asset disposition after application of (i), (ii) and (iii), such amounts are required to be utilized to repurchase 6.5% Notes at par.</w:t>
      </w:r>
    </w:p>
    <w:p>
      <w:pPr>
        <w:spacing w:after="0" w:line="15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of them occurs, would permit or require the principal, premium, if any, interest, if any, and any other monetary obligations on all the then-outstanding 6.5% Notes to become or to be declared due and payable immediately.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Secured Notes due 2019</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May 2014, we refinanced our $625.0 million in outstanding 10% Notes with $625.0 million of newly issued 7% Notes. The net proceeds from the issuance of the 7% Notes was $618.5 million after an original issue discount of $6.5 million. We incurred debt issuance costs of $8.8 million associated with the new 7% Notes. We utilized the net proceeds from the 7% Notes, a $41.0 million draw on our Credit Agreement discussed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$39.1 million. On October 16, 2014, we exchanged the outstanding 7% Notes for an equal amount of 7% Notes that had been registered under the Act.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7% Notes were governed by the Indenture, dated May 14, 2014, among the Company, all of the Company’s 100% owned domestic subsidiaries, as the Subsidiary Guarantors and Wilmington Trust, National Association, as Trustee and Collateral Agent. We paid interest on the 7%Notes semi-annually, in arrears, on May 15 and November 15 of each year. The 7% Notes included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w:t>
      </w:r>
    </w:p>
    <w:p>
      <w:pPr>
        <w:spacing w:after="0" w:line="16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Following the sale of the U.S. and U.K. Electronic Products Division (see Note 8 of the Notes to Consolidated Financial Statements), on September 22, 2015, we repurchased $175.0 million of the 7% Notes at par, in accordance with the Indenture and on August 21, 2015 paid down the $41.0 million outstanding on the $110.0 million Credit Agreement. The total reacquisition price of the 7% Notes was $178.4 million including the write off of $1.8 million of unamortized issue costs, $1.4 million of unamortized discount, along with $0.2 million of legal fees, which resulted in a loss on extinguishment of $3.4 million. The Company reinvested all net proceeds remaining after the repurchase of the $175.0 million of 7% Notes in replacement collateral under the Indenture within 360 days following the asset disposition, in accordance with the terms of the Indenture.</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During the year ended December 25, 2016, we repurchased and extinguished $14.5 million of the outstanding 7% Notes which resulted in a gain of $0.4 million offset by $0.1 million of unamortized issuance cost and $0.1 million of unamortized discount resulting in a net gain of $0.2 million, in accordance with the terms of the Indenture.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year ended December 31, 2017, we redeemed and extinguished the remaining $435.5 million of outstanding 7% Notes as of December 25, 2016, which resulted in a loss on extinguishment of debt of $13.4 million and the realization of $2.3 million of unamortized issuance cost and $1.6 million of unamortized discount, resulting in a loss on extinguishment of debt of $17.3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14, 2014, we entered into a $110.0 million Credit and Security Agreement, dated May 14, 2014 (as amended from time to time, the “Credit Agreement”), with the lenders from time to time party thereto, SunTrust Bank, as Agent (the “Agent”), PNC Bank, National Association, as Joint Lead Arranger and Documentation Agent, and SunTrust Robinson Humphrey, Inc., as Joint Lead Arranger and Sole Book Runner.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a first priority lien on our accounts receivable, inventory, deposit accounts, securities accounts, cash, securities and general intangibles (other than intellectual property). The obligations under the Credit Agreement are secured by a second priority lien, junior to the lien securing our senior secured notes, on all of our other assets.</w:t>
      </w:r>
    </w:p>
    <w:p>
      <w:pPr>
        <w:spacing w:after="0" w:line="18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Credit Agreement contains certain covenants, which include, but are not limited to, restrictions on indebtedness, liens, and investments, and limits on other various payments, as well as a financial covenant relating to a minimum fixed charge coverage ratio.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us or any of our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our prospects or our ability to repay our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adverse effect, commitments may be terminated and the principal of, and interest then outstanding on, all of the loans may become immediately due and payable. As of December 31, 2017, no event of default had occurred and we believe that events or conditions having a material adverse effect, giving rise to an acceleration of any amounts outstanding under the Credit Agreement, have not occurred and the likelihood of such events or conditions occurring is remote.</w:t>
      </w:r>
    </w:p>
    <w:p>
      <w:pPr>
        <w:spacing w:after="0" w:line="187"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On May 31, 2015, we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7% Notes by the Company was required, and the payment in full of the outstanding balance of the Credit Agreement was required.</w:t>
      </w:r>
    </w:p>
    <w:p>
      <w:pPr>
        <w:ind w:right="140"/>
        <w:spacing w:after="0" w:line="281" w:lineRule="auto"/>
        <w:rPr>
          <w:sz w:val="20"/>
          <w:szCs w:val="20"/>
          <w:color w:val="auto"/>
        </w:rPr>
      </w:pPr>
      <w:r>
        <w:rPr>
          <w:rFonts w:ascii="Arial" w:cs="Arial" w:eastAsia="Arial" w:hAnsi="Arial"/>
          <w:sz w:val="16"/>
          <w:szCs w:val="16"/>
          <w:color w:val="auto"/>
        </w:rPr>
        <w:t>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w:t>
      </w:r>
    </w:p>
    <w:p>
      <w:pPr>
        <w:spacing w:after="0" w:line="1" w:lineRule="exact"/>
        <w:rPr>
          <w:sz w:val="20"/>
          <w:szCs w:val="20"/>
          <w:color w:val="auto"/>
        </w:rPr>
      </w:pPr>
    </w:p>
    <w:p>
      <w:pPr>
        <w:ind w:right="100" w:firstLine="8"/>
        <w:spacing w:after="0" w:line="287" w:lineRule="auto"/>
        <w:tabs>
          <w:tab w:leader="none" w:pos="2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aggregate amount outstanding under letters of credit is less than or equal to $17.0 million; and (ii) as to any subsequent quarterly reporting period ending after June 30, 2015, and not covered by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at least 1.10:1 must be maintained if the aforementioned percentage is equal to or greater than 15.00% but less than 25.00%. In all other instances, a fixed charge coverage ratio of 1.15:1 must be maintained. For purposes of computing the fixed charge coverage ratio, the associated reduction in consolidated interest expense in connection with the repurchase of 7% Notes with proceeds from the sale of the Herley Entities shall be deemed to have occurred on the first day of the most recently completed four quarterly reporting periods prior to the sale.</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August 20, 2015, we entered into a fourth amendment (the “Fourth Amendment”) to the Credit Agreement. Among other things, the Fourth Amendment provides for a modification of the Third Amendment as it relates to when the minimum fixed charge coverage ratio will be measured based upon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was placed in escrow by the Buyer to cover the amount of such outstanding letters of credit, should the letters of credit be pulled.</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November 20, 2017, we entered into an amended and restated Credit Agreement with the lenders from time to time party thereto, the Agent, PNC Bank, National Association, as Joint Lead Arranger and Documentation Agent, and SunTrust Robinson Humphrey, Inc., as Joint Lead Arranger and Sole Book Runner. As amended and restated, the Credit Agreement establishes a five year senior secured revolving credit facility in the aggregate principal amount of $90.0 million (subject to a potential increase of the aggregate principal amount to $115.0 million, subject to SunTrust’s and applicable lenders’ approval), consisting of a subline for letters of credit in an amount not to exceed $50.0 million, as well as a swingline loan in an aggregate principal amount at any time outstanding not to exceed $10.0 million.</w:t>
      </w:r>
    </w:p>
    <w:p>
      <w:pPr>
        <w:spacing w:after="0" w:line="193"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Borrowings under the revolving credit facility may take the form of a base rate revolving loan, Eurodollar revolving loan or swing line loan. Base rate revolving loans and swing 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 rate per annum equal to the sum of the Applicable Margin from time to time in effect plus the Adjusted LIBO Rate. The Applicable Margin varies between 1.00%-1.50% for base rate revolving loans and swing line loans and</w:t>
      </w:r>
    </w:p>
    <w:p>
      <w:pPr>
        <w:spacing w:after="0" w:line="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receivables, then held eligible raw materials inventory, work-in-process inventory, and applicable reserves.</w:t>
      </w:r>
    </w:p>
    <w:p>
      <w:pPr>
        <w:spacing w:after="0" w:line="15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measurement of a minimum fixed charge coverage ratio was modified in the November 2017 amended and restated Credit Agreement to be required to be measured if Excess Availability, as defined in the Credit Agreement, is less than fifty percent of the lesser of the Borrowing Base or the Total Commitment Amount.</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of December 31, 2017, there were no borrowings outstanding on the Credit Agreement and $9.5 million was outstanding on letters of credit, resulting in net borrowing base availability of $65.8 million. We were in compliance with the financial covenants of the Credit Agreement as of December 31, 2017.</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assumed a $10.0 million ten-year term loan with a bank in Israel that Herley entered into on September 16, 2008 in connection with the acquisition of one of its wholly owned subsidiaries. The balance as of December 31, 2017 was $0.8 million, and the loan is payable in quarterly installments of $0.3 million plus interest at LIBOR plus a margin of 1.5%. The loan agreement governing the term loan contains various covenants including a minimum net equity covenant as defined in the loan agreement. We were in compliance with all covenants contained in the loan agreement as of December 31, 2017.</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in Regulation S-K, Item 303(a)(4)(ii).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our contractual obligations and other commitments at December 31, 2017, and the effect such obligations could have on our liquidity and cash flow in future periods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52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Payments due/forecast by Period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6"/>
        </w:trPr>
        <w:tc>
          <w:tcPr>
            <w:tcW w:w="35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2019 - 2020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2021 - 2022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2023 and After</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net of interest(1)</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300.8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Estimated interest on debt(2)</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156.0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58.5</w:t>
            </w:r>
          </w:p>
        </w:tc>
      </w:tr>
      <w:tr>
        <w:trPr>
          <w:trHeight w:val="27"/>
        </w:trPr>
        <w:tc>
          <w:tcPr>
            <w:tcW w:w="3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orders(3)</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138.2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leases(4)</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127.8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55.3</w:t>
            </w:r>
          </w:p>
        </w:tc>
      </w:tr>
      <w:tr>
        <w:trPr>
          <w:trHeight w:val="27"/>
        </w:trPr>
        <w:tc>
          <w:tcPr>
            <w:tcW w:w="3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Unrecognized tax benefits, including interest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3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and penalties(5)</w:t>
            </w:r>
          </w:p>
        </w:tc>
        <w:tc>
          <w:tcPr>
            <w:tcW w:w="9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ind w:left="380"/>
              <w:spacing w:after="0"/>
              <w:rPr>
                <w:sz w:val="20"/>
                <w:szCs w:val="20"/>
                <w:color w:val="auto"/>
              </w:rPr>
            </w:pPr>
            <w:r>
              <w:rPr>
                <w:rFonts w:ascii="Arial" w:cs="Arial" w:eastAsia="Arial" w:hAnsi="Arial"/>
                <w:sz w:val="18"/>
                <w:szCs w:val="18"/>
                <w:color w:val="auto"/>
                <w:w w:val="93"/>
              </w:rPr>
              <w:t>Total commitments and recorded liabilities</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722.8</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7"/>
              </w:rPr>
              <w:t>130.9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413.8</w:t>
            </w:r>
          </w:p>
        </w:tc>
      </w:tr>
      <w:tr>
        <w:trPr>
          <w:trHeight w:val="20"/>
        </w:trPr>
        <w:tc>
          <w:tcPr>
            <w:tcW w:w="3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92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6.5% Notes in the aggregate outstanding principal amount of $300.0 million are due November 30, 2025. See Note 4 in the Notes to Consolidated Financial Statements contained within this Annual Report for further details.</w:t>
      </w:r>
    </w:p>
    <w:p>
      <w:pPr>
        <w:spacing w:after="0" w:line="170" w:lineRule="exact"/>
        <w:rPr>
          <w:rFonts w:ascii="Arial" w:cs="Arial" w:eastAsia="Arial" w:hAnsi="Arial"/>
          <w:sz w:val="18"/>
          <w:szCs w:val="18"/>
          <w:color w:val="auto"/>
        </w:rPr>
      </w:pPr>
    </w:p>
    <w:p>
      <w:pPr>
        <w:ind w:left="660" w:right="68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interest payments based on current interest rates for variable rate debt and the 6.5% Notes. See Note 4 in the Notes to Consolidated Financial Statements contained within in this Annual Report for further details.</w:t>
      </w:r>
    </w:p>
    <w:p>
      <w:pPr>
        <w:spacing w:after="0" w:line="170" w:lineRule="exact"/>
        <w:rPr>
          <w:rFonts w:ascii="Arial" w:cs="Arial" w:eastAsia="Arial" w:hAnsi="Arial"/>
          <w:sz w:val="18"/>
          <w:szCs w:val="18"/>
          <w:color w:val="auto"/>
        </w:rPr>
      </w:pPr>
    </w:p>
    <w:p>
      <w:pPr>
        <w:ind w:left="660" w:right="600" w:hanging="65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 orders include commitments in which a written purchase order has been issued to a vendor, but the goods have not been received or services have not been performed.</w:t>
      </w:r>
    </w:p>
    <w:p>
      <w:pPr>
        <w:spacing w:after="0" w:line="170" w:lineRule="exact"/>
        <w:rPr>
          <w:rFonts w:ascii="Arial" w:cs="Arial" w:eastAsia="Arial" w:hAnsi="Arial"/>
          <w:sz w:val="18"/>
          <w:szCs w:val="18"/>
          <w:color w:val="auto"/>
        </w:rPr>
      </w:pPr>
    </w:p>
    <w:p>
      <w:pPr>
        <w:ind w:left="660" w:right="4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entered into or acquired various non-cancelable operating lease agreements that expire on various dates through 2033. The amounts include $3.3 million in excess facility costs and exclude expected sublease income. See Note 5 in the Notes to Consolidated Financial Statements contained within this Annual Report for further details.</w:t>
      </w:r>
    </w:p>
    <w:p>
      <w:pPr>
        <w:spacing w:after="0" w:line="181" w:lineRule="exact"/>
        <w:rPr>
          <w:rFonts w:ascii="Arial" w:cs="Arial" w:eastAsia="Arial" w:hAnsi="Arial"/>
          <w:sz w:val="18"/>
          <w:szCs w:val="18"/>
          <w:color w:val="auto"/>
        </w:rPr>
      </w:pPr>
    </w:p>
    <w:p>
      <w:pPr>
        <w:ind w:left="660" w:right="4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December 31, 2017, we have a $6.8 million noncurrent liability for uncertain tax positions and a $3.8 million guarantor liability, all of which may result in cash payments. The future payments related to uncertain tax positions have not been presented in the table above due to the uncertainty of the amounts and timing of cash settlements with the taxing authorities.</w:t>
      </w:r>
    </w:p>
    <w:p>
      <w:pPr>
        <w:spacing w:after="0" w:line="181"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As of December 31, 2017, we have $9.5 million of standby letters of credit outstanding. Our letters of credit are primarily related to milestone payments received from foreign customers for which the customer has not yet received the product. Additional information regarding our financial commitments at December 31, 2017 is provided in the Notes to Consolidated Financial Statements contained in this Annual Report, specifically Note 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Liquidity Matters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believe our cash on hand, together with funds available under the Credit Agreement and cash expected to be generated from operating activities will be sufficient to fund our anticipated working capital and other cash needs for at least the next 12 months. As discussed in Item 1A “Risk Factors” contained within this Annual Report, our quarterly and annual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results have fluctuated in the past and may vary in the future due to a variety of factors, many of which are external to our control. If the conditions in our industry deteriorate,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We have identified the following critical accounting policies that affect our more significant judgments and estimates used in the preparation of our Consolidated Financial Statements. The preparation of our Consolidated Financial Statements in conformity with GAAP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allowance for doubtful accounts, valuation of inventory including the reserves for excess and obsolete inventory, valuation of long-lived assets including identifiable intangibles and goodwill, accounting for income taxes including the related valuation allowance, warranties, contingencies and litigation, contingent acquisition consideration, stock-based compensation, and losses on unused office space. We explain these accounting policies in the Notes to Consolidated Financial Statements contained within this Annual Report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 and such differences may be material.</w:t>
      </w:r>
    </w:p>
    <w:p>
      <w:pPr>
        <w:spacing w:after="0" w:line="16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generate our revenue primarily from three different types of contractual arrangements: cost-plus-fee contracts, time-and-materials contracts, and fixed-price contracts. Revenue on cost-plus-fee contracts is recognized to the extent of allowable costs incurred plus an estimate of the applicable fees earned. We consider fixed fees under cost-plus-fee contracts to be earned in proportion to the allowable costs incurred in performance of the contract. We recognize the relevant portion of the expected fee to be awarded by the customer at the time such fee can be reasonably estimated, based on factors such as our prior award experience and communications with the customer regarding performance, including any interim performance evaluations rendered by the customer. Revenue on time-and-materials contracts is recognized to the extent of billable rates times hours delivered for services provided, to the extent of material cost for products delivered to customers, and to the extent of expenses incurred on behalf of the customers.</w:t>
      </w:r>
    </w:p>
    <w:p>
      <w:pPr>
        <w:spacing w:after="0" w:line="16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 xml:space="preserve">We have three primary basic categories of fixed-price contracts: fixed unit price, fixed-price level of effort, and fixed-price completion. Revenue recognition methods on fixed-price contracts will vary depending on the nature of the work and the contract terms. Revenues on fixed-price service contracts are recorded as work is performed in accordance with </w:t>
      </w:r>
      <w:r>
        <w:rPr>
          <w:rFonts w:ascii="Arial" w:cs="Arial" w:eastAsia="Arial" w:hAnsi="Arial"/>
          <w:sz w:val="16"/>
          <w:szCs w:val="16"/>
          <w:i w:val="1"/>
          <w:iCs w:val="1"/>
          <w:color w:val="auto"/>
        </w:rPr>
        <w:t>Topic 605</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605</w:t>
      </w:r>
      <w:r>
        <w:rPr>
          <w:rFonts w:ascii="Arial" w:cs="Arial" w:eastAsia="Arial" w:hAnsi="Arial"/>
          <w:sz w:val="16"/>
          <w:szCs w:val="16"/>
          <w:color w:val="auto"/>
        </w:rPr>
        <w:t xml:space="preserve"> generally requires revenue to be deferred until all of the following have occurred:</w:t>
      </w:r>
    </w:p>
    <w:p>
      <w:pPr>
        <w:ind w:right="140" w:firstLine="8"/>
        <w:spacing w:after="0" w:line="254"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a contract in place, (2) delivery has occurred or services have been provided, (3) the price is fixed or determinable, and (4) collectability is reasonably assured. Revenues on fixed-price contracts that require delivery of specific items may be recorded based on a price per unit basis as units are delivered. Revenue for fixed-price contracts in which we are paid a specific amount to provide services for a stated period of time is recognized ratably over the service period.</w:t>
      </w:r>
    </w:p>
    <w:p>
      <w:pPr>
        <w:spacing w:after="0" w:line="19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A portion of our fixed-price completion contracts are within the scope of </w:t>
      </w:r>
      <w:r>
        <w:rPr>
          <w:rFonts w:ascii="Arial" w:cs="Arial" w:eastAsia="Arial" w:hAnsi="Arial"/>
          <w:sz w:val="18"/>
          <w:szCs w:val="18"/>
          <w:i w:val="1"/>
          <w:iCs w:val="1"/>
          <w:color w:val="auto"/>
        </w:rPr>
        <w:t>Topic 605</w:t>
      </w:r>
      <w:r>
        <w:rPr>
          <w:rFonts w:ascii="Arial" w:cs="Arial" w:eastAsia="Arial" w:hAnsi="Arial"/>
          <w:sz w:val="18"/>
          <w:szCs w:val="18"/>
          <w:color w:val="auto"/>
        </w:rPr>
        <w:t>. For these contracts, revenue is recognized using the percentage-of-completion method based on the ratio of total costs incurred to date compared to estimated total costs to complete the contract. Estimates of costs to complete include material, direct labor, overhead, and allowable indirect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w:t>
      </w:r>
    </w:p>
    <w:p>
      <w:pPr>
        <w:spacing w:after="0" w:line="193"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 xml:space="preserve">In accounting for our long-term contracts for production of products provided to the U.S. Government, we utilize both cost-to-cost and units delivered measures under the percentage-of-completion method of accounting under the provisions of </w:t>
      </w:r>
      <w:r>
        <w:rPr>
          <w:rFonts w:ascii="Arial" w:cs="Arial" w:eastAsia="Arial" w:hAnsi="Arial"/>
          <w:sz w:val="17"/>
          <w:szCs w:val="17"/>
          <w:i w:val="1"/>
          <w:iCs w:val="1"/>
          <w:color w:val="auto"/>
        </w:rPr>
        <w:t>Topic 605</w:t>
      </w:r>
      <w:r>
        <w:rPr>
          <w:rFonts w:ascii="Arial" w:cs="Arial" w:eastAsia="Arial" w:hAnsi="Arial"/>
          <w:sz w:val="17"/>
          <w:szCs w:val="17"/>
          <w:color w:val="auto"/>
        </w:rPr>
        <w:t>. Under the units delivered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units delivered or as computed on the basis of the estimated final average unit costs plus profit. We classify contract revenues as product sales or service revenues depending upon the predominant attributes of the relevant underlying contracts. Significant management judgments and estimates, including but not limited to the estimated costs to complete projects, must be made and used in connection with the revenue recognized in any accounting period. A cancellation, schedule delay, or modification of a fixed-price contract that is accounted for using the percentage-of-completion method may adversely affect our gross margins for the period in which the contract is modified or canceled. Under certain circumstances, 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 can result in an increase in estimated cost to complete the project, which would also result in an impact to our gross margin. Material differences may result in the amount and timing of our revenue for any period if management made different judgments or utilized different estimates.</w:t>
      </w:r>
    </w:p>
    <w:p>
      <w:pPr>
        <w:spacing w:after="0" w:line="18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It is our policy to review any arrangement containing software or software deliverables and services against the criteria contained in FASB ASC </w:t>
      </w:r>
      <w:r>
        <w:rPr>
          <w:rFonts w:ascii="Arial" w:cs="Arial" w:eastAsia="Arial" w:hAnsi="Arial"/>
          <w:sz w:val="17"/>
          <w:szCs w:val="17"/>
          <w:i w:val="1"/>
          <w:iCs w:val="1"/>
          <w:color w:val="auto"/>
        </w:rPr>
        <w:t xml:space="preserve">Topic 985, Software </w:t>
      </w:r>
      <w:r>
        <w:rPr>
          <w:rFonts w:ascii="Arial" w:cs="Arial" w:eastAsia="Arial" w:hAnsi="Arial"/>
          <w:sz w:val="17"/>
          <w:szCs w:val="17"/>
          <w:color w:val="auto"/>
        </w:rPr>
        <w:t>(“</w:t>
      </w:r>
      <w:r>
        <w:rPr>
          <w:rFonts w:ascii="Arial" w:cs="Arial" w:eastAsia="Arial" w:hAnsi="Arial"/>
          <w:sz w:val="17"/>
          <w:szCs w:val="17"/>
          <w:i w:val="1"/>
          <w:iCs w:val="1"/>
          <w:color w:val="auto"/>
        </w:rPr>
        <w:t>Topic 985</w:t>
      </w:r>
      <w:r>
        <w:rPr>
          <w:rFonts w:ascii="Arial" w:cs="Arial" w:eastAsia="Arial" w:hAnsi="Arial"/>
          <w:sz w:val="17"/>
          <w:szCs w:val="17"/>
          <w:color w:val="auto"/>
        </w:rPr>
        <w:t>”) and related technical practice aids. Under the provisions of</w:t>
      </w:r>
      <w:r>
        <w:rPr>
          <w:rFonts w:ascii="Arial" w:cs="Arial" w:eastAsia="Arial" w:hAnsi="Arial"/>
          <w:sz w:val="17"/>
          <w:szCs w:val="17"/>
          <w:i w:val="1"/>
          <w:iCs w:val="1"/>
          <w:color w:val="auto"/>
        </w:rPr>
        <w:t xml:space="preserve"> Topic 985</w:t>
      </w:r>
      <w:r>
        <w:rPr>
          <w:rFonts w:ascii="Arial" w:cs="Arial" w:eastAsia="Arial" w:hAnsi="Arial"/>
          <w:sz w:val="17"/>
          <w:szCs w:val="17"/>
          <w:color w:val="auto"/>
        </w:rPr>
        <w:t>, we review the contract value of software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deliverables and services and determine allocations of the contract value based on Vendor Specific Objective Evidence (“VSOE”). All software arrangements requiring significant production, modification, or customization of the software are accounted for in conformity with </w:t>
      </w:r>
      <w:r>
        <w:rPr>
          <w:rFonts w:ascii="Arial" w:cs="Arial" w:eastAsia="Arial" w:hAnsi="Arial"/>
          <w:sz w:val="17"/>
          <w:szCs w:val="17"/>
          <w:i w:val="1"/>
          <w:iCs w:val="1"/>
          <w:color w:val="auto"/>
        </w:rPr>
        <w:t>Topic 605</w:t>
      </w:r>
      <w:r>
        <w:rPr>
          <w:rFonts w:ascii="Arial" w:cs="Arial" w:eastAsia="Arial" w:hAnsi="Arial"/>
          <w:sz w:val="17"/>
          <w:szCs w:val="17"/>
          <w:color w:val="auto"/>
        </w:rPr>
        <w:t>.</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Our contracts may include the provision of more than one of our services (“multiple element arrangements”). In these situations, we apply the guidance of </w:t>
      </w:r>
      <w:r>
        <w:rPr>
          <w:rFonts w:ascii="Arial" w:cs="Arial" w:eastAsia="Arial" w:hAnsi="Arial"/>
          <w:sz w:val="18"/>
          <w:szCs w:val="18"/>
          <w:i w:val="1"/>
          <w:iCs w:val="1"/>
          <w:color w:val="auto"/>
        </w:rPr>
        <w:t>Topic 605.</w:t>
      </w:r>
      <w:r>
        <w:rPr>
          <w:rFonts w:ascii="Arial" w:cs="Arial" w:eastAsia="Arial" w:hAnsi="Arial"/>
          <w:sz w:val="18"/>
          <w:szCs w:val="18"/>
          <w:color w:val="auto"/>
        </w:rPr>
        <w:t xml:space="preserve"> Accordingly, for applicable arrangements, revenue recognition includes the proper identification of separate units of accounting and the allocation of revenue across all elements based on relative fair values, with proper consideration given to the guidance provided by other authoritative literature.</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 multiple element arrangements that include hardware products containing software essential to the hardware products’ functionality and undelivered non-software services, we allocate revenue to all deliverables based on their relative selling prices. In such circumstances, we use a hierarchy to determine the selling price to be used for allocating revenue to deliverables: (i) VSOE, (ii) third-party evidence of selling price (“TPE”), and (iii) best estimate of the selling price (“ESP”).</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VSOE generally exists only when we sell the deliverable separately and is the price actually charged by us for that deliverable. TPE is determined based on competitor prices for similar deliverables when sold separately. Generally, our offerings contain significant differentiation such that comparable pricing of products with similar functionality cannot be obtained. Furthermore, we are unable to reliably determine what similar competitor products’ selling prices are on a stand-alone basis. Therefore, we typically are not able to obtain TPE of selling price. ESP reflects our best estimates of what the selling prices of elements would be if they were sold regularly on a stand-alone basis. We determine ESP for a product or service by considering multiple factors including, but not limited to major product groupings, geographies, market conditions, competitive landscape, internal costs, gross margin objectives and pricing practices. The determination of ESP is made through consultation with our management, taking into consideration our marketing strategy.</w:t>
      </w:r>
    </w:p>
    <w:p>
      <w:pPr>
        <w:spacing w:after="0" w:line="167"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 xml:space="preserve">We account for multiple element arrangements that consist only of software or software-related products, including the sale of upgrades to previously sold software, in accordance with industry specific software accounting guidance. For such transactions, revenue on arrangements that include multiple elements is allocated to each element based on the relative fair value of each element, and fair value is determined by VSOE. If we cannot objectively determine the fair value of any undelivered element included in such multiple element arrangements, we defer revenue until all elements are delivered and services have been performed, or until fair value can objectively be determined for any remaining undelivered elements. Under certain of our contractual arrangements, we may also recognize revenue for out-of-pocket expenses in accordance with </w:t>
      </w:r>
      <w:r>
        <w:rPr>
          <w:rFonts w:ascii="Arial" w:cs="Arial" w:eastAsia="Arial" w:hAnsi="Arial"/>
          <w:sz w:val="17"/>
          <w:szCs w:val="17"/>
          <w:i w:val="1"/>
          <w:iCs w:val="1"/>
          <w:color w:val="auto"/>
        </w:rPr>
        <w:t>Topic 605.</w:t>
      </w:r>
      <w:r>
        <w:rPr>
          <w:rFonts w:ascii="Arial" w:cs="Arial" w:eastAsia="Arial" w:hAnsi="Arial"/>
          <w:sz w:val="17"/>
          <w:szCs w:val="17"/>
          <w:color w:val="auto"/>
        </w:rPr>
        <w:t xml:space="preserve"> Depending on the contractual arrangement, these expenses may be reimbursed with or without a fee.</w:t>
      </w:r>
    </w:p>
    <w:p>
      <w:pPr>
        <w:spacing w:after="0" w:line="17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Under certain of our contracts, we provide supplier procurement services and materials for our customers. We record revenue on these arrangements on a gross or net basis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Depending on the specific circumstances of the arrangement we consider the following criteria, among others, for recording revenue on a gross or net basis:</w:t>
      </w:r>
    </w:p>
    <w:p>
      <w:pPr>
        <w:spacing w:after="0" w:line="18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act as a principal in the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take title to the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assume risks and rewards of ownership, such as risk of loss for collection, delivery or returns;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serve as an agent or broker, with compensation on a commission or fee basis;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we assume the credit risk for the amount billed to the customer subsequent to delivery.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For our federal contracts, we follow U.S. Government procurement and accounting standards in assessing the allowability and the allocability of costs to contracts. Due to the significance of the judgments and estimation processes, it is likely that materially different amounts could be recorded if we used different assumptions or if the underlying circumstances were to change. We closely monitor compliance with, and the consistent application of, our critical accounting policies related to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our personnel, and are subject to audit by the DCAA.</w:t>
      </w:r>
    </w:p>
    <w:p>
      <w:pPr>
        <w:spacing w:after="0" w:line="17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From time to time, we may proceed with work based on customer direction prior to the completion and signing of formal contract documents. We have a formal review process for approving any such work. Revenue associated with such work is recognized only when it can be reliably estimated and realization is probable. We base our estimates on previous experiences with the customer, communications with the customer regarding funding status, and our knowledge of available funding for the contract or program.</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We maintain an allowance for doubtful accounts for estimated losses resulting from the potential inability of</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collectability.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 allowance for doubtful accounts. We write off accounts receivable when they become uncollectible and payments subsequently received on such receivables are credited to the allowance for doubtful accounts.</w:t>
      </w:r>
    </w:p>
    <w:p>
      <w:pPr>
        <w:spacing w:after="0" w:line="182"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i w:val="1"/>
          <w:iCs w:val="1"/>
          <w:color w:val="auto"/>
        </w:rPr>
        <w:t xml:space="preserve">Long-lived and Intangible Assets. </w:t>
      </w:r>
      <w:r>
        <w:rPr>
          <w:rFonts w:ascii="Arial" w:cs="Arial" w:eastAsia="Arial" w:hAnsi="Arial"/>
          <w:sz w:val="16"/>
          <w:szCs w:val="16"/>
          <w:color w:val="auto"/>
        </w:rPr>
        <w:t>We account for long-lived assets in accordance with the provisions of FASB ASC</w:t>
      </w:r>
      <w:r>
        <w:rPr>
          <w:rFonts w:ascii="Arial" w:cs="Arial" w:eastAsia="Arial" w:hAnsi="Arial"/>
          <w:sz w:val="16"/>
          <w:szCs w:val="16"/>
          <w:i w:val="1"/>
          <w:iCs w:val="1"/>
          <w:color w:val="auto"/>
        </w:rPr>
        <w:t xml:space="preserve"> Topic 360 Property, Plant, and Equipment </w:t>
      </w:r>
      <w:r>
        <w:rPr>
          <w:rFonts w:ascii="Arial" w:cs="Arial" w:eastAsia="Arial" w:hAnsi="Arial"/>
          <w:sz w:val="16"/>
          <w:szCs w:val="16"/>
          <w:color w:val="auto"/>
        </w:rPr>
        <w:t>(“</w:t>
      </w:r>
      <w:r>
        <w:rPr>
          <w:rFonts w:ascii="Arial" w:cs="Arial" w:eastAsia="Arial" w:hAnsi="Arial"/>
          <w:sz w:val="16"/>
          <w:szCs w:val="16"/>
          <w:i w:val="1"/>
          <w:iCs w:val="1"/>
          <w:color w:val="auto"/>
        </w:rPr>
        <w:t>Topic 360</w:t>
      </w:r>
      <w:r>
        <w:rPr>
          <w:rFonts w:ascii="Arial" w:cs="Arial" w:eastAsia="Arial" w:hAnsi="Arial"/>
          <w:sz w:val="16"/>
          <w:szCs w:val="16"/>
          <w:color w:val="auto"/>
        </w:rPr>
        <w:t>”)</w:t>
      </w:r>
      <w:r>
        <w:rPr>
          <w:rFonts w:ascii="Arial" w:cs="Arial" w:eastAsia="Arial" w:hAnsi="Arial"/>
          <w:sz w:val="16"/>
          <w:szCs w:val="16"/>
          <w:i w:val="1"/>
          <w:iCs w:val="1"/>
          <w:color w:val="auto"/>
        </w:rPr>
        <w:t xml:space="preserve">. Topic 360 </w:t>
      </w:r>
      <w:r>
        <w:rPr>
          <w:rFonts w:ascii="Arial" w:cs="Arial" w:eastAsia="Arial" w:hAnsi="Arial"/>
          <w:sz w:val="16"/>
          <w:szCs w:val="16"/>
          <w:color w:val="auto"/>
        </w:rPr>
        <w:t>addresses financial accounting and reporting for the impairment or disposal of long-lived assets and requires that long-lived assets be reviewed for impairment whenever events or changes in circumstances indicate that the carrying amount of an asset may not be recoverable.</w:t>
      </w:r>
    </w:p>
    <w:p>
      <w:pPr>
        <w:spacing w:after="0" w:line="253" w:lineRule="auto"/>
        <w:rPr>
          <w:sz w:val="20"/>
          <w:szCs w:val="20"/>
          <w:color w:val="auto"/>
        </w:rPr>
      </w:pPr>
      <w:r>
        <w:rPr>
          <w:rFonts w:ascii="Arial" w:cs="Arial" w:eastAsia="Arial" w:hAnsi="Arial"/>
          <w:sz w:val="18"/>
          <w:szCs w:val="18"/>
          <w:color w:val="auto"/>
        </w:rPr>
        <w:t xml:space="preserve">Recoverability is measured by comparing the carrying amount of an asset to the expected future net cash flows generated by the asset. If it is determined that the asset may not be recoverable and if the carrying amount of an asset exceeds its estimated fair value, an impairment charge is recognized to the extent of the difference. </w:t>
      </w:r>
      <w:r>
        <w:rPr>
          <w:rFonts w:ascii="Arial" w:cs="Arial" w:eastAsia="Arial" w:hAnsi="Arial"/>
          <w:sz w:val="18"/>
          <w:szCs w:val="18"/>
          <w:i w:val="1"/>
          <w:iCs w:val="1"/>
          <w:color w:val="auto"/>
        </w:rPr>
        <w:t>Topic 360</w:t>
      </w:r>
      <w:r>
        <w:rPr>
          <w:rFonts w:ascii="Arial" w:cs="Arial" w:eastAsia="Arial" w:hAnsi="Arial"/>
          <w:sz w:val="18"/>
          <w:szCs w:val="18"/>
          <w:color w:val="auto"/>
        </w:rPr>
        <w:t xml:space="preserve"> requires companies to separately report discontinued operations, including components of an entity that either have been disposed of (by sale, abandonment or in a distribution to owners) or classified as held for sale. Assets to be disposed of are reported at the lower of the carrying amount or fair value less costs to sell.</w:t>
      </w:r>
    </w:p>
    <w:p>
      <w:pPr>
        <w:spacing w:after="0" w:line="19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Topic 360</w:t>
      </w:r>
      <w:r>
        <w:rPr>
          <w:rFonts w:ascii="Arial" w:cs="Arial" w:eastAsia="Arial" w:hAnsi="Arial"/>
          <w:sz w:val="18"/>
          <w:szCs w:val="18"/>
          <w:color w:val="auto"/>
        </w:rPr>
        <w:t>, we assess the impairment of identifiable intangibles and long-lived assets whenever events or changes in circumstances indicate that the carrying value may not be recoverable. Factors we consider important which could individually or in combination trigger an impairment review, include the following:</w:t>
      </w:r>
    </w:p>
    <w:p>
      <w:pPr>
        <w:spacing w:after="0" w:line="18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underperformance relative to expected historical or projected future operating results;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211"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If we determined that the carrying value of intangibles and long-lived assets may not be recoverable based upon the existence of one or more of the above indicators of impairment, we would record an impairment equal to the excess of the carrying amount of the asset over its estimated fair value.</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Goodwill and Purchased Intangibles. </w:t>
      </w:r>
      <w:r>
        <w:rPr>
          <w:rFonts w:ascii="Arial" w:cs="Arial" w:eastAsia="Arial" w:hAnsi="Arial"/>
          <w:sz w:val="18"/>
          <w:szCs w:val="18"/>
          <w:color w:val="auto"/>
        </w:rPr>
        <w:t>The purchase price of an acquired business is allocated to the underlying tangible and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and liabilities assumed based upon their respective fair values, with the excess recorded as goodwill. Such fair value assessments require judgments and estimates that can be affected by contract performance and other factors over time, which may cause final amounts to differ materially from original estimates.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We have established certain accruals in connection with indemnities and other contingencies from our acquisitions. These accruals and subsequent adjustments have been recorded during the purchase price allocation period for acquisitions. The accruals were determined based upon the terms of the purchase or sales agreements and, in most cases, involve a significant degree of judgment. Management has recorded these accruals in accordance with its interpretation of the terms of the purchase or sale agreements, known facts, and an estimation of probable future events based on management’s experience. Any changes to recorded estimates will be recognized through earnings.</w:t>
      </w:r>
    </w:p>
    <w:p>
      <w:pPr>
        <w:spacing w:after="0" w:line="173" w:lineRule="exact"/>
        <w:rPr>
          <w:sz w:val="20"/>
          <w:szCs w:val="20"/>
          <w:color w:val="auto"/>
        </w:rPr>
      </w:pPr>
    </w:p>
    <w:p>
      <w:pPr>
        <w:ind w:right="420" w:firstLine="648"/>
        <w:spacing w:after="0" w:line="276" w:lineRule="auto"/>
        <w:rPr>
          <w:sz w:val="20"/>
          <w:szCs w:val="20"/>
          <w:color w:val="auto"/>
        </w:rPr>
      </w:pPr>
      <w:r>
        <w:rPr>
          <w:rFonts w:ascii="Arial" w:cs="Arial" w:eastAsia="Arial" w:hAnsi="Arial"/>
          <w:sz w:val="17"/>
          <w:szCs w:val="17"/>
          <w:color w:val="auto"/>
        </w:rPr>
        <w:t xml:space="preserve">We perform our impairment test for goodwill in accordance with ASC </w:t>
      </w:r>
      <w:r>
        <w:rPr>
          <w:rFonts w:ascii="Arial" w:cs="Arial" w:eastAsia="Arial" w:hAnsi="Arial"/>
          <w:sz w:val="17"/>
          <w:szCs w:val="17"/>
          <w:i w:val="1"/>
          <w:iCs w:val="1"/>
          <w:color w:val="auto"/>
        </w:rPr>
        <w:t>Topic 350, Intangibles-Goodwill and Other (“Topic 350”)</w:t>
      </w:r>
      <w:r>
        <w:rPr>
          <w:rFonts w:ascii="Arial" w:cs="Arial" w:eastAsia="Arial" w:hAnsi="Arial"/>
          <w:sz w:val="17"/>
          <w:szCs w:val="17"/>
          <w:color w:val="auto"/>
        </w:rPr>
        <w:t>. We assess goodwill for impairment at the reporting unit level, which is defined as an operating segment or one level below an operating segment, referred to as a component. We determine our reporting units by first identifying our operating segments, and then assessing whether any components of these segments constitute a business for which discrete financial information is available and where segment management regularly reviews the operating results of that component. We aggregate components within an operating segment that have similar economic characteristics.</w:t>
      </w:r>
    </w:p>
    <w:p>
      <w:pPr>
        <w:spacing w:after="0" w:line="17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KGS has four operating segments: Defense Rocket Support Services (“DRSS”), Microwave Electronics Division (“ME”), Technical and Training Solutions (“TTS”), and Modular Systems (“MS”) that provide technology based defense solutions, involving products and services, primarily for mission critical U.S. National Security priorities, with the primary focus relating to the nation’s Command, Control, Communications, Computing, Combat Systems, Intelligence, Surveillance and Reconnaissance requirements. The PSS operating segment provides integrated solutions for advanced homeland security, public safety, critical infrastructure security, and security and surveillance systems for government, industrial and commercial customers. The US reportable segment provides unmanned aerial systems, unmanned ground, and unmanned seaborne systems. We have identified our reporting units to be the DRSS, ME, TTS, and MS operating segments, within its KGS reportable segment, the US reportable segment, and the PSS business to be tested for potential impairment in its fiscal year 2017 annual test.</w:t>
      </w:r>
    </w:p>
    <w:p>
      <w:pPr>
        <w:spacing w:after="0" w:line="1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also perform impairment tests for goodwill whenever evidence of potential impairment exists. When it is determined that impairment has occurred, a charge to operations is recorded. In order to test for potential impairment, we estimate the fair value of each of our reporting units based on a comparison and weighting of the income approach, specifically the discounted cash flow (“DCF”) method and the market approach, which estimates the fair value of our reporting units based upon comparable market prices and recent transactions and also validates the reasonableness of the implied multiples from the income approach. We reconcile the fair value of our reporting units to our market capitalization on the last business day of fiscal October and assume a control premium.</w:t>
      </w:r>
    </w:p>
    <w:p>
      <w:pPr>
        <w:spacing w:after="0" w:line="19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testing for impairment of our goodwill, we make assumptions about the amount and timing of future expected cash flows, terminal growth rates, appropriate discount rates, market multiples, and the control premium a controlling shareholder could be expected to pay:</w:t>
      </w:r>
    </w:p>
    <w:p>
      <w:pPr>
        <w:spacing w:after="0" w:line="170" w:lineRule="exact"/>
        <w:rPr>
          <w:sz w:val="20"/>
          <w:szCs w:val="20"/>
          <w:color w:val="auto"/>
        </w:rPr>
      </w:pPr>
    </w:p>
    <w:p>
      <w:pPr>
        <w:ind w:left="980" w:right="80" w:hanging="324"/>
        <w:spacing w:after="0" w:line="291"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timing of future cash flows within our DCF analysis is based on our most recent forecasts and other estimates. Our historical growth rates and operating results are not indicative of our projected growth rates and operating results as a consequence of our acquisitions and divestitures.</w:t>
      </w:r>
    </w:p>
    <w:p>
      <w:pPr>
        <w:ind w:left="980" w:right="180" w:hanging="324"/>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terminal growth rate is used to calculate the value of cash flows beyond the last projected period in our DCF analysis and reflects our best estimates for stable, perpetual growth of our reporting units.</w:t>
      </w:r>
    </w:p>
    <w:p>
      <w:pPr>
        <w:ind w:left="980" w:right="140" w:hanging="324"/>
        <w:spacing w:after="0" w:line="281"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use estimates of market participant weighted average cost of capital (“WACC”) as a basis for determining the discount rates to apply to our reporting units’ future expected cash flows. The significant assumptions within our WACC are: (a) equity risk premium, (b) beta, (c) size premium adjustments, (d) cost of debt and (e) capital structure assumptions. In addition, we use a company specific risk adjustment which is a subjective adjustment that, by its very nature does not include market related data, but instead examines the prospects of the reporting unit relative to the broader industry to determine if there are specific factors, which may make it more “risky” relative to the industry.</w:t>
      </w:r>
    </w:p>
    <w:p>
      <w:pPr>
        <w:spacing w:after="0" w:line="3" w:lineRule="exact"/>
        <w:rPr>
          <w:rFonts w:ascii="Arial" w:cs="Arial" w:eastAsia="Arial" w:hAnsi="Arial"/>
          <w:sz w:val="16"/>
          <w:szCs w:val="16"/>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Recent historical market multiples are used to estimate future market pricing.</w:t>
      </w:r>
    </w:p>
    <w:p>
      <w:pPr>
        <w:spacing w:after="0" w:line="9" w:lineRule="exact"/>
        <w:rPr>
          <w:rFonts w:ascii="Arial" w:cs="Arial" w:eastAsia="Arial" w:hAnsi="Arial"/>
          <w:sz w:val="18"/>
          <w:szCs w:val="18"/>
          <w:color w:val="auto"/>
        </w:rPr>
      </w:pPr>
    </w:p>
    <w:p>
      <w:pPr>
        <w:ind w:left="980" w:right="60" w:hanging="324"/>
        <w:spacing w:after="0" w:line="271"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We use an estimated control premium in reconciling the aggregate value of our reporting units to our market capitalization. As discussed in </w:t>
      </w:r>
      <w:r>
        <w:rPr>
          <w:rFonts w:ascii="Arial" w:cs="Arial" w:eastAsia="Arial" w:hAnsi="Arial"/>
          <w:sz w:val="17"/>
          <w:szCs w:val="17"/>
          <w:i w:val="1"/>
          <w:iCs w:val="1"/>
          <w:color w:val="auto"/>
        </w:rPr>
        <w:t>Topic 350</w:t>
      </w:r>
      <w:r>
        <w:rPr>
          <w:rFonts w:ascii="Arial" w:cs="Arial" w:eastAsia="Arial" w:hAnsi="Arial"/>
          <w:sz w:val="17"/>
          <w:szCs w:val="17"/>
          <w:color w:val="auto"/>
        </w:rPr>
        <w:t>, control premiums may effectively cause a company’s aggregate fair value of its reporting unit(s) to exceed its current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capitalization due to the ability of a controlling shareholder to benefit from synergies and other intangible assets that arise from such control. As a result, the measurement of fair value of an entity with a collection of assets and liabilities that operate together to produce cash flows is different from the fair value measurement of that entity’s individual securities, hence, the reason a control premium is paid.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review intangible assets subject to amortization for impairment whenever events or changes in circumstances indicate that the carrying amount of the asset may not be recoverable. Impairment losses, where identified, are determined as the excess of the carrying value over the estimated fair value of the long-lived asset. We assess the recoverability of the carrying value of assets held for use based on a review of projected undiscounted cash flows.</w:t>
      </w:r>
    </w:p>
    <w:p>
      <w:pPr>
        <w:spacing w:after="0" w:line="14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During the fourth quarter of 2017, as a result of our annual impairment test of the carrying value of its goodwill balances, we recorded a non-cash impairment charge of $24.2 million of the carrying value of the goodwill of our DRSS reporting unit within the KGS segment, which the majority of this business and revenues includes our legacy government services business. In 2010, we changed our strategy to focus on being a systems, product, technology and intellectual property based company and deemphasized the legacy government services businesses. Over the past several years, similar to other businesses operating in the federal government technical services space, this business has been adversely impacted by competitive pressures and commoditization resulting from lower priced technically acceptable awards rather than awards based on best value or that are technologically or performance differentiated. Specifically, we were recently notified of losses on two new sizable five year contract opportunities where Kratos was underbid on cost, which significantly impacted the expected future financial performance of this business.</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goodwill of the PSS, US, and KGS reportable segments, after the impact of the impairment recorded during the fourth quarter of 2017, are $35.6 million, $97.3 million and $328.3 million, respectively, at December 31, 2017.</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determining the fair value of our reporting units, there are key assumptions related to our future operating performance and revenue growth. If the actual operating performance and financial results are not consistent with our assumptions, a further impairment in our $461.2 million goodwill and $22.0 million long-lived intangibles could occur in future periods. In particular, the US reporting unit fair value includes assumptions that the development of the high performance UCAS product is successful and we are awarded future contracts for the UCAS product and other new tactical unmanned aircraft systems. Additionally, the US reporting unit fair value assumes that the U.S. Navy will exercise options under the existing current contract and we will commence low rate initial production for the Sub-Sonic Aerial Target. For certain of our reporting units, the fair value includes assumptions of the entry to new international markets for which we have not yet penetrated. Additional risks for goodwill across all reporting units include, but are not limited to, the risks discussed in Item 1A “Risk Factors” contained within this Annual Report and:</w:t>
      </w:r>
    </w:p>
    <w:p>
      <w:pPr>
        <w:spacing w:after="0" w:line="179" w:lineRule="exact"/>
        <w:rPr>
          <w:sz w:val="20"/>
          <w:szCs w:val="20"/>
          <w:color w:val="auto"/>
        </w:rPr>
      </w:pPr>
    </w:p>
    <w:p>
      <w:pPr>
        <w:ind w:left="980" w:right="20" w:hanging="324"/>
        <w:spacing w:after="0" w:line="258"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our stock price and resulting market capitalization, if we determine the decline is sustained and is indicative of a reduction in the fair value below the carrying value of our reporting units;</w:t>
      </w:r>
    </w:p>
    <w:p>
      <w:pPr>
        <w:spacing w:after="0" w:line="1" w:lineRule="exact"/>
        <w:rPr>
          <w:rFonts w:ascii="Arial" w:cs="Arial" w:eastAsia="Arial" w:hAnsi="Arial"/>
          <w:sz w:val="18"/>
          <w:szCs w:val="18"/>
          <w:color w:val="auto"/>
        </w:rPr>
      </w:pPr>
    </w:p>
    <w:p>
      <w:pPr>
        <w:ind w:left="980" w:right="72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in available government funding, including budgetary constraints affecting U.S. Government spending generally, or specific departments or agencies;</w:t>
      </w: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U.S. Government programs or requirements, including the increased use of small business providers;</w:t>
      </w:r>
    </w:p>
    <w:p>
      <w:pPr>
        <w:spacing w:after="0" w:line="9" w:lineRule="exact"/>
        <w:rPr>
          <w:rFonts w:ascii="Arial" w:cs="Arial" w:eastAsia="Arial" w:hAnsi="Arial"/>
          <w:sz w:val="18"/>
          <w:szCs w:val="18"/>
          <w:color w:val="auto"/>
        </w:rPr>
      </w:pPr>
    </w:p>
    <w:p>
      <w:pPr>
        <w:ind w:left="980" w:right="58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failure to reach our internal forecasts could impact our ability to achieve our forecasted levels of cash flows and reduce the estimated discounted value of our reporting units;</w:t>
      </w: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volatility in equity and debt markets resulting in higher discount rates;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market and political factors that could impact the success of new products, especially related to new unmanned systems platforms.</w:t>
      </w:r>
    </w:p>
    <w:p>
      <w:pPr>
        <w:spacing w:after="0" w:line="21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It is not possible at this time to determine if an impairment charge would result from these factors, or, if it does, whether such charge would be material. We will continue to monitor our goodwill for potential impairment indicators.</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Accounting for income taxes and tax contingencies. </w:t>
      </w:r>
      <w:r>
        <w:rPr>
          <w:rFonts w:ascii="Arial" w:cs="Arial" w:eastAsia="Arial" w:hAnsi="Arial"/>
          <w:sz w:val="17"/>
          <w:szCs w:val="17"/>
          <w:color w:val="auto"/>
        </w:rPr>
        <w:t>FASB ASC</w:t>
      </w:r>
      <w:r>
        <w:rPr>
          <w:rFonts w:ascii="Arial" w:cs="Arial" w:eastAsia="Arial" w:hAnsi="Arial"/>
          <w:sz w:val="17"/>
          <w:szCs w:val="17"/>
          <w:i w:val="1"/>
          <w:iCs w:val="1"/>
          <w:color w:val="auto"/>
        </w:rPr>
        <w:t xml:space="preserve"> Topic 740 Income Taxes </w:t>
      </w:r>
      <w:r>
        <w:rPr>
          <w:rFonts w:ascii="Arial" w:cs="Arial" w:eastAsia="Arial" w:hAnsi="Arial"/>
          <w:sz w:val="17"/>
          <w:szCs w:val="17"/>
          <w:color w:val="auto"/>
        </w:rPr>
        <w:t>(“</w:t>
      </w:r>
      <w:r>
        <w:rPr>
          <w:rFonts w:ascii="Arial" w:cs="Arial" w:eastAsia="Arial" w:hAnsi="Arial"/>
          <w:sz w:val="17"/>
          <w:szCs w:val="17"/>
          <w:i w:val="1"/>
          <w:iCs w:val="1"/>
          <w:color w:val="auto"/>
        </w:rPr>
        <w:t>Topic 740</w:t>
      </w:r>
      <w:r>
        <w:rPr>
          <w:rFonts w:ascii="Arial" w:cs="Arial" w:eastAsia="Arial" w:hAnsi="Arial"/>
          <w:sz w:val="17"/>
          <w:szCs w:val="17"/>
          <w:color w:val="auto"/>
        </w:rPr>
        <w:t>”) provides the accounting treatment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uncertainty in income taxes recognized in an enterprise’s financial statements. </w:t>
      </w:r>
      <w:r>
        <w:rPr>
          <w:rFonts w:ascii="Arial" w:cs="Arial" w:eastAsia="Arial" w:hAnsi="Arial"/>
          <w:sz w:val="17"/>
          <w:szCs w:val="17"/>
          <w:i w:val="1"/>
          <w:iCs w:val="1"/>
          <w:color w:val="auto"/>
        </w:rPr>
        <w:t>Topic 740</w:t>
      </w:r>
      <w:r>
        <w:rPr>
          <w:rFonts w:ascii="Arial" w:cs="Arial" w:eastAsia="Arial" w:hAnsi="Arial"/>
          <w:sz w:val="17"/>
          <w:szCs w:val="17"/>
          <w:color w:val="auto"/>
        </w:rPr>
        <w:t xml:space="preserve"> prescribes a recognition threshold and measurement attribute for the financial statement recognition and measurement of a tax position taken or expected to be taken in a tax return. </w:t>
      </w:r>
      <w:r>
        <w:rPr>
          <w:rFonts w:ascii="Arial" w:cs="Arial" w:eastAsia="Arial" w:hAnsi="Arial"/>
          <w:sz w:val="17"/>
          <w:szCs w:val="17"/>
          <w:i w:val="1"/>
          <w:iCs w:val="1"/>
          <w:color w:val="auto"/>
        </w:rPr>
        <w:t>Topic 740</w:t>
      </w:r>
      <w:r>
        <w:rPr>
          <w:rFonts w:ascii="Arial" w:cs="Arial" w:eastAsia="Arial" w:hAnsi="Arial"/>
          <w:sz w:val="17"/>
          <w:szCs w:val="17"/>
          <w:color w:val="auto"/>
        </w:rPr>
        <w:t xml:space="preserve"> also provides guidance on derecognizing, classification, interest and penalties, accounting in interim periods, disclosure and transition.</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differences result in the establishment of deferred tax assets and liabilities, which are recorded on a net basis. We then assess on a periodic basis the probability that our net deferred tax assets will be recovered and therefore realized from future taxable income and to the extent we believe that recovery is not more likely than not, a valuation allowance is established to address such risk resulting in an additional related provision for income taxes during the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Significant management judgment is required in determining our provision for income taxes, our deferred tax assets and liabilities, tax contingencies, unrecognized tax benefits, and any required valuation allowance, including taking into consideration the probability of the tax contingencies being incurred. Management assesses this probability based upon information provided to us by our tax advisers, our legal advisers and similar tax cases. If at a later time our assessment of the probability of these tax contingencies changes, our accrual for such tax uncertainties may increase or decrease.</w:t>
      </w:r>
    </w:p>
    <w:p>
      <w:pPr>
        <w:spacing w:after="0" w:line="15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a valuation allowance at December 31, 2017 due to management’s overall assessment of risks and uncertainties related to our future ability to realize and, hence, utilize certain deferred tax assets, primarily consisting of net operating losses, carry forward temporary differences and future tax deductions resulting from certain types of stock option exercises, before they expire.</w:t>
      </w:r>
    </w:p>
    <w:p>
      <w:pPr>
        <w:spacing w:after="0" w:line="18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2017 effective tax rate at December 31, 2017 for annual and interim reporting periods could be impacted if uncertain tax positions that are not recognized at December 31, 2017 are settled at an amount which differs from our estimate. Finally, during 2017 and thereafter, if we are impacted by a change in the valuation allowance as of December 31, 2017 resulting from a change in judgment regarding the realizability of deferred tax assets beyond December 31, 2017, such effect will be recognized in the interim period in which the change occurs.</w:t>
      </w:r>
    </w:p>
    <w:p>
      <w:pPr>
        <w:spacing w:after="0" w:line="17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Contingencies and litigation. </w:t>
      </w:r>
      <w:r>
        <w:rPr>
          <w:rFonts w:ascii="Arial" w:cs="Arial" w:eastAsia="Arial" w:hAnsi="Arial"/>
          <w:sz w:val="17"/>
          <w:szCs w:val="17"/>
          <w:color w:val="auto"/>
        </w:rPr>
        <w:t>We are currently involved in certain legal proceedings. We estimate a range of liability related to pending litigation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where the amount and range of loss can be estimated. We record our estimate of a loss when the loss is considered probable and reasonably estimable. Where a liability is probable and there is a range of estimated loss and no amount in the range is more likely than any other number in the range, we record the minimum estimated liability related to the claim in accordance with FASB ASC </w:t>
      </w:r>
      <w:r>
        <w:rPr>
          <w:rFonts w:ascii="Arial" w:cs="Arial" w:eastAsia="Arial" w:hAnsi="Arial"/>
          <w:sz w:val="17"/>
          <w:szCs w:val="17"/>
          <w:i w:val="1"/>
          <w:iCs w:val="1"/>
          <w:color w:val="auto"/>
        </w:rPr>
        <w:t>Topic 450 Contingencies.</w:t>
      </w:r>
      <w:r>
        <w:rPr>
          <w:rFonts w:ascii="Arial" w:cs="Arial" w:eastAsia="Arial" w:hAnsi="Arial"/>
          <w:sz w:val="17"/>
          <w:szCs w:val="17"/>
          <w:color w:val="auto"/>
        </w:rPr>
        <w:t xml:space="preserve"> As additional information becomes available, we assess the potential liability related to our pending litigation and revise our estimates. Revisions in our estimates of potential liability could materially impact our results of operations. See Item 3 “Legal Proceedings” contained within this Annual Report for additional information.</w:t>
      </w:r>
    </w:p>
    <w:p>
      <w:pPr>
        <w:spacing w:after="0" w:line="178"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We account for stock-based compensation arrangements in accordance with the provisions of FASB ASC</w:t>
      </w:r>
      <w:r>
        <w:rPr>
          <w:rFonts w:ascii="Arial" w:cs="Arial" w:eastAsia="Arial" w:hAnsi="Arial"/>
          <w:sz w:val="18"/>
          <w:szCs w:val="18"/>
          <w:i w:val="1"/>
          <w:iCs w:val="1"/>
          <w:color w:val="auto"/>
        </w:rPr>
        <w:t xml:space="preserve"> Topic 718, Compensation-Stock Compensation </w:t>
      </w:r>
      <w:r>
        <w:rPr>
          <w:rFonts w:ascii="Arial" w:cs="Arial" w:eastAsia="Arial" w:hAnsi="Arial"/>
          <w:sz w:val="18"/>
          <w:szCs w:val="18"/>
          <w:color w:val="auto"/>
        </w:rPr>
        <w:t>(“</w:t>
      </w:r>
      <w:r>
        <w:rPr>
          <w:rFonts w:ascii="Arial" w:cs="Arial" w:eastAsia="Arial" w:hAnsi="Arial"/>
          <w:sz w:val="18"/>
          <w:szCs w:val="18"/>
          <w:i w:val="1"/>
          <w:iCs w:val="1"/>
          <w:color w:val="auto"/>
        </w:rPr>
        <w:t>Topic 718</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requires the measurement and recognition of compensation expense for all stock-based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to employees and directors based on estimated fair values.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valuation provisions of </w:t>
      </w:r>
      <w:r>
        <w:rPr>
          <w:rFonts w:ascii="Arial" w:cs="Arial" w:eastAsia="Arial" w:hAnsi="Arial"/>
          <w:sz w:val="18"/>
          <w:szCs w:val="18"/>
          <w:i w:val="1"/>
          <w:iCs w:val="1"/>
          <w:color w:val="auto"/>
        </w:rPr>
        <w:t>Topic 718</w:t>
      </w:r>
      <w:r>
        <w:rPr>
          <w:rFonts w:ascii="Arial" w:cs="Arial" w:eastAsia="Arial" w:hAnsi="Arial"/>
          <w:sz w:val="18"/>
          <w:szCs w:val="18"/>
          <w:color w:val="auto"/>
        </w:rPr>
        <w:t xml:space="preserve"> apply to new awards and to awards that are outstanding on the effective date and subsequently modified or canceled. We use the Black-Scholes option pricing model and a lattice options pricing model for market condition options to estimate the fair value of our stock options at the grant date. The Black-Scholes option pricing model was developed for use in estimating the fair value of traded options which have no vesting restrictions and are fully transferable. The lattice options pricing model breaks down the time to expiration into potentially a very large number of time intervals, or steps, which makes it possible to check at every point in an option’s life for the possibility of early exercise. Our employee stock options are generally subject to vesting restrictions and are generally not transferable.</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Valuing options requires highly subjective assumptions including the expected stock price volatility over the term of the award, the expected life of 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 expected life formula to estimate the expected option life. The risk-free rate is based on the U.S. Treasury yield curve in effect at the time of grant for the estimated life of the option.</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Estimates of stock-based compensation expenses are significant to our Consolidated Financial Statements, but these expenses are based on option valuation models and will never result in the payment of cash by us. For this reason, and because we do not view stock-based compensation to be significant as related to our operational performance, we exclude estimated stock-based compensation expense when evaluating the business performance of our operating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See Note 1 of the Notes to Consolidated Financial Statements contained within this Annual Report on Form 10-K for a discussion of recent accounting pronouncements.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and Foreign Currency Risks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Exposure to market risk for changes in interest rates relates to our outstanding debt. We are exposed to interest rate risk, primarily through our borrowing activities under the Credit Agreement discussed under </w:t>
      </w:r>
      <w:r>
        <w:rPr>
          <w:rFonts w:ascii="Arial" w:cs="Arial" w:eastAsia="Arial" w:hAnsi="Arial"/>
          <w:sz w:val="18"/>
          <w:szCs w:val="18"/>
          <w:b w:val="1"/>
          <w:bCs w:val="1"/>
          <w:color w:val="auto"/>
        </w:rPr>
        <w:t>“</w:t>
      </w:r>
      <w:r>
        <w:rPr>
          <w:rFonts w:ascii="Arial" w:cs="Arial" w:eastAsia="Arial" w:hAnsi="Arial"/>
          <w:sz w:val="18"/>
          <w:szCs w:val="18"/>
          <w:color w:val="auto"/>
        </w:rPr>
        <w:t>Liquidity and Capital Resources” above. Based on our current outstanding balances, a 1% change in the LIBOR rate would not materially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interest rate risk on our prior credit facilities.</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Accordingly, a strengthening of the U.S. dollar (“USD”) or a strengthening of certain foreign currencies such as the Israeli Shekel will negatively impact revenues and gross margins expressed in consolidated USD terms. We currently enter into limited foreign currency forward contracts to manage foreign currency exchange rate risk because exchange rate fluctuations have had, and we expect will have, minimal impact on our operating results and cash flows.</w:t>
      </w:r>
    </w:p>
    <w:p>
      <w:pPr>
        <w:spacing w:after="0" w:line="18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cash and cash equivalents as of December 31, 2017 were $129.6 million and are primarily invested in money market interest bearing accounts. A hypothetical 10% adverse change in the average interest rate on our money market cash investments and short-term investments would have had no material effect on our net loss for the year 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 Management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We purchase commodities for use in our manufacturing processes. We typically purchase these commodities at market prices, and as a result are affected by market price fluctuations. We have decided not to hedge these exposures as they are deemed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Our Consolidated Financial Statements and supplementary data required by this item are set forth at the pages indicated in Item 15(a) (1) and 15(a) (2),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maintain disclosure controls and procedures, as defined in Rules 13a-15(e) and 15d-15(e) promulgated under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required by Rule 13a-15(b) and 15d-15(b)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Based on the foregoing, our Principal Executive Officer and Principal Financial Officer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concluded that our disclosure controls and procedures were effective at the reasonable assurance level as of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the policies and procedures may deteriorate.</w:t>
      </w:r>
    </w:p>
    <w:p>
      <w:pPr>
        <w:spacing w:after="0" w:line="158"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in the 2013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Based on the results of our evaluation, our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our internal control over financial reporting was effective at the reasonable assurance level as of December 31, 2017.</w:t>
      </w:r>
    </w:p>
    <w:p>
      <w:pPr>
        <w:spacing w:after="0" w:line="15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Our internal control over financial reporting has been audited by Deloitte &amp; Touche LLP, an independent registered public accounting firm, as stated in their report appearing below, which expresses an unqualified opinion on the effectiveness of our internal control over financial reporting as of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accounting and reporting (as defined in Rules 13a-15(f) and 15d-15(f) of the Exchange Act) during the fourth quarter of the fiscal year ended December 31, 2017 that have materially affected, or are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2018 Annual Meeting of Stockholders or an amendment to this Annual Report to be filed with the SEC within 120 days after the close of our fiscal year ended December 31, 2017.</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2018 Annual Meeting of Stockholders or an amendment to this Annual Report to be filed with the SEC within 120 days after the close of our fiscal year ended December 31, 2017.</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2018 Annual Meeting of Stockholders or an amendment to this Annual Report to be filed with the SEC within 120 days after the close of our fiscal year ended December 31, 2017.</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5"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2018 Annual Meeting of Stockholders or an amendment to this Annual Report to be filed with the SEC within 120 days after the close of our fiscal year ended December 31, 2017.</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The information required by this item is incorporated by reference to our definitive proxy statement filed in connection with our 2018 Annual Meeting of Stockholders or an amendment to this Annual Report to be filed with the SEC within 120 days after the close of our fiscal year ended December 31, 2017.</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Statements Schedules.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(a)(1)</w:t>
        <w:tab/>
        <w:t>Financial Statements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Consolidated Financial Statements of Kratos Defense &amp; Security Solutions, Inc. and Report of Deloitte &amp; Touche LLP, Independent Registered Public Accounting Firm, are included in a separate section of this Annual Report beginning on page F-1.</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(a)(2)</w:t>
        <w:tab/>
        <w:t>Financial Statement Schedules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All schedules have been omitted because they are not applicable or are not required or the information required to be set forth therein is included in the Consolidated Financial Statements or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Incorporated by</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Reference</w:t>
            </w: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2"/>
                <w:szCs w:val="12"/>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Filing Date (File No.)</w:t>
            </w: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92"/>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200" w:type="dxa"/>
            <w:vAlign w:val="bottom"/>
            <w:gridSpan w:val="15"/>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02"/>
        </w:trPr>
        <w:tc>
          <w:tcPr>
            <w:tcW w:w="1160" w:type="dxa"/>
            <w:vAlign w:val="bottom"/>
            <w:tcBorders>
              <w:top w:val="single" w:sz="8" w:color="auto"/>
            </w:tcBorders>
          </w:tcPr>
          <w:p>
            <w:pPr>
              <w:ind w:left="40"/>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60" w:type="dxa"/>
            <w:vAlign w:val="bottom"/>
            <w:tcBorders>
              <w:top w:val="single" w:sz="8" w:color="auto"/>
              <w:bottom w:val="single" w:sz="8" w:color="0000FF"/>
            </w:tcBorders>
            <w:gridSpan w:val="12"/>
          </w:tcPr>
          <w:p>
            <w:pPr>
              <w:spacing w:after="0" w:line="202" w:lineRule="exact"/>
              <w:rPr>
                <w:rFonts w:ascii="Arial" w:cs="Arial" w:eastAsia="Arial" w:hAnsi="Arial"/>
                <w:sz w:val="18"/>
                <w:szCs w:val="18"/>
                <w:color w:val="0000FF"/>
                <w:w w:val="89"/>
              </w:rPr>
            </w:pPr>
            <w:hyperlink r:id="rId15">
              <w:r>
                <w:rPr>
                  <w:rFonts w:ascii="Arial" w:cs="Arial" w:eastAsia="Arial" w:hAnsi="Arial"/>
                  <w:sz w:val="18"/>
                  <w:szCs w:val="18"/>
                  <w:color w:val="0000FF"/>
                  <w:w w:val="89"/>
                </w:rPr>
                <w:t>Stock Purchase Agreement, dated May 31, 2015, by and</w:t>
              </w:r>
            </w:hyperlink>
          </w:p>
        </w:tc>
        <w:tc>
          <w:tcPr>
            <w:tcW w:w="140" w:type="dxa"/>
            <w:vAlign w:val="bottom"/>
            <w:tcBorders>
              <w:top w:val="single" w:sz="8" w:color="auto"/>
            </w:tcBorders>
            <w:gridSpan w:val="3"/>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among Kratos Defense &amp; Security Solutions, Inc., Herley</w:t>
              </w:r>
            </w:hyperlink>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15"/>
          </w:tcPr>
          <w:p>
            <w:pPr>
              <w:spacing w:after="0" w:line="196" w:lineRule="exact"/>
              <w:rPr>
                <w:rFonts w:ascii="Arial" w:cs="Arial" w:eastAsia="Arial" w:hAnsi="Arial"/>
                <w:sz w:val="18"/>
                <w:szCs w:val="18"/>
                <w:color w:val="0000FF"/>
                <w:w w:val="95"/>
              </w:rPr>
            </w:pPr>
            <w:hyperlink r:id="rId15">
              <w:r>
                <w:rPr>
                  <w:rFonts w:ascii="Arial" w:cs="Arial" w:eastAsia="Arial" w:hAnsi="Arial"/>
                  <w:sz w:val="18"/>
                  <w:szCs w:val="18"/>
                  <w:color w:val="0000FF"/>
                  <w:w w:val="95"/>
                </w:rPr>
                <w:t>Industries, Inc., Ultra Electronics Holdings plc and Ultra</w:t>
              </w:r>
            </w:hyperlink>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Arial" w:cs="Arial" w:eastAsia="Arial" w:hAnsi="Arial"/>
                <w:sz w:val="18"/>
                <w:szCs w:val="18"/>
                <w:color w:val="auto"/>
                <w:w w:val="90"/>
              </w:rPr>
              <w:t>08/06/2015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Electronics Defense Inc.</w:t>
              </w:r>
            </w:hyperlink>
          </w:p>
        </w:tc>
        <w:tc>
          <w:tcPr>
            <w:tcW w:w="1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line="196" w:lineRule="exact"/>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ind w:right="470"/>
              <w:spacing w:after="0" w:line="196" w:lineRule="exact"/>
              <w:rPr>
                <w:sz w:val="20"/>
                <w:szCs w:val="20"/>
                <w:color w:val="auto"/>
              </w:rPr>
            </w:pPr>
            <w:r>
              <w:rPr>
                <w:rFonts w:ascii="Arial" w:cs="Arial" w:eastAsia="Arial" w:hAnsi="Arial"/>
                <w:sz w:val="18"/>
                <w:szCs w:val="18"/>
                <w:color w:val="auto"/>
                <w:w w:val="95"/>
              </w:rPr>
              <w:t>2.4</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tcBorders>
              <w:bottom w:val="single" w:sz="8" w:color="0000FF"/>
            </w:tcBorders>
            <w:gridSpan w:val="9"/>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Amended and Restated Certificate of Incorporation of</w:t>
              </w:r>
            </w:hyperlink>
          </w:p>
        </w:tc>
        <w:tc>
          <w:tcPr>
            <w:tcW w:w="300" w:type="dxa"/>
            <w:vAlign w:val="bottom"/>
            <w:gridSpan w:val="6"/>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2/27/2017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Kratos Defense &amp; Security Solutions, Inc., as amended.</w:t>
              </w:r>
            </w:hyperlink>
          </w:p>
        </w:tc>
        <w:tc>
          <w:tcPr>
            <w:tcW w:w="16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line="196" w:lineRule="exact"/>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ind w:right="470"/>
              <w:spacing w:after="0" w:line="196" w:lineRule="exact"/>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0000FF"/>
            </w:tcBorders>
            <w:gridSpan w:val="6"/>
          </w:tcPr>
          <w:p>
            <w:pPr>
              <w:spacing w:after="0"/>
              <w:rPr>
                <w:rFonts w:ascii="Arial" w:cs="Arial" w:eastAsia="Arial" w:hAnsi="Arial"/>
                <w:sz w:val="18"/>
                <w:szCs w:val="18"/>
                <w:color w:val="0000FF"/>
                <w:w w:val="89"/>
              </w:rPr>
            </w:pPr>
            <w:hyperlink r:id="rId17">
              <w:r>
                <w:rPr>
                  <w:rFonts w:ascii="Arial" w:cs="Arial" w:eastAsia="Arial" w:hAnsi="Arial"/>
                  <w:sz w:val="18"/>
                  <w:szCs w:val="18"/>
                  <w:color w:val="0000FF"/>
                  <w:w w:val="89"/>
                </w:rPr>
                <w:t>Second Amended and Restated Bylaws of Kratos</w:t>
              </w:r>
            </w:hyperlink>
          </w:p>
        </w:tc>
        <w:tc>
          <w:tcPr>
            <w:tcW w:w="640" w:type="dxa"/>
            <w:vAlign w:val="bottom"/>
            <w:gridSpan w:val="9"/>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2/27/2017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15"/>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Defense &amp; Security Solutions, Inc., as amended.</w:t>
              </w:r>
            </w:hyperlink>
          </w:p>
        </w:tc>
        <w:tc>
          <w:tcPr>
            <w:tcW w:w="12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line="196" w:lineRule="exact"/>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ind w:right="470"/>
              <w:spacing w:after="0" w:line="196" w:lineRule="exact"/>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2/27/2017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tcPr>
          <w:p>
            <w:pPr>
              <w:ind w:left="40"/>
              <w:spacing w:after="0" w:line="190"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tcBorders>
              <w:bottom w:val="single" w:sz="8" w:color="0000FF"/>
            </w:tcBorders>
            <w:gridSpan w:val="3"/>
          </w:tcPr>
          <w:p>
            <w:pPr>
              <w:spacing w:after="0" w:line="190"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Specimen Stock Certificate.</w:t>
              </w:r>
            </w:hyperlink>
          </w:p>
        </w:tc>
        <w:tc>
          <w:tcPr>
            <w:tcW w:w="2180" w:type="dxa"/>
            <w:vAlign w:val="bottom"/>
            <w:gridSpan w:val="12"/>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line="190" w:lineRule="exact"/>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jc w:val="right"/>
              <w:ind w:right="470"/>
              <w:spacing w:after="0" w:line="190" w:lineRule="exact"/>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tcBorders>
              <w:bottom w:val="single" w:sz="8" w:color="0000FF"/>
            </w:tcBorders>
            <w:gridSpan w:val="8"/>
          </w:tcPr>
          <w:p>
            <w:pPr>
              <w:spacing w:after="0"/>
              <w:rPr>
                <w:rFonts w:ascii="Arial" w:cs="Arial" w:eastAsia="Arial" w:hAnsi="Arial"/>
                <w:sz w:val="18"/>
                <w:szCs w:val="18"/>
                <w:color w:val="0000FF"/>
                <w:w w:val="89"/>
              </w:rPr>
            </w:pPr>
            <w:hyperlink r:id="rId19">
              <w:r>
                <w:rPr>
                  <w:rFonts w:ascii="Arial" w:cs="Arial" w:eastAsia="Arial" w:hAnsi="Arial"/>
                  <w:sz w:val="18"/>
                  <w:szCs w:val="18"/>
                  <w:color w:val="0000FF"/>
                  <w:w w:val="89"/>
                </w:rPr>
                <w:t>Indenture, dated as of May 14, 2014, among Kratos</w:t>
              </w:r>
            </w:hyperlink>
          </w:p>
        </w:tc>
        <w:tc>
          <w:tcPr>
            <w:tcW w:w="480" w:type="dxa"/>
            <w:vAlign w:val="bottom"/>
            <w:gridSpan w:val="7"/>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Defense &amp; Security Solutions, Inc., as Issuer, the</w:t>
              </w:r>
            </w:hyperlink>
          </w:p>
        </w:tc>
        <w:tc>
          <w:tcPr>
            <w:tcW w:w="66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15"/>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Guarantors as named therein and party thereto, and</w:t>
              </w:r>
            </w:hyperlink>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Wilmington Trust, National Association, as Trustee and</w:t>
              </w:r>
            </w:hyperlink>
          </w:p>
        </w:tc>
        <w:tc>
          <w:tcPr>
            <w:tcW w:w="1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15"/>
          </w:tcPr>
          <w:p>
            <w:pPr>
              <w:spacing w:after="0" w:line="196" w:lineRule="exact"/>
              <w:rPr>
                <w:rFonts w:ascii="Arial" w:cs="Arial" w:eastAsia="Arial" w:hAnsi="Arial"/>
                <w:sz w:val="18"/>
                <w:szCs w:val="18"/>
                <w:color w:val="0000FF"/>
                <w:w w:val="99"/>
              </w:rPr>
            </w:pPr>
            <w:hyperlink r:id="rId19">
              <w:r>
                <w:rPr>
                  <w:rFonts w:ascii="Arial" w:cs="Arial" w:eastAsia="Arial" w:hAnsi="Arial"/>
                  <w:sz w:val="18"/>
                  <w:szCs w:val="18"/>
                  <w:color w:val="0000FF"/>
                  <w:w w:val="99"/>
                </w:rPr>
                <w:t>Collateral Agent (including the Form of 7.00% Senior</w:t>
              </w:r>
            </w:hyperlink>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line="196" w:lineRule="exact"/>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Secured Notes due 2019).</w:t>
              </w:r>
            </w:hyperlink>
          </w:p>
        </w:tc>
        <w:tc>
          <w:tcPr>
            <w:tcW w:w="30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line="196" w:lineRule="exact"/>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ind w:right="470"/>
              <w:spacing w:after="0" w:line="196" w:lineRule="exact"/>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2"/>
          </w:tcPr>
          <w:p>
            <w:pPr>
              <w:jc w:val="right"/>
              <w:ind w:right="1117"/>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Table of Contents</w:t>
              </w:r>
            </w:hyperlink>
          </w:p>
        </w:tc>
        <w:tc>
          <w:tcPr>
            <w:tcW w:w="2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jc w:val="right"/>
              <w:ind w:right="930"/>
              <w:spacing w:after="0"/>
              <w:rPr>
                <w:sz w:val="20"/>
                <w:szCs w:val="20"/>
                <w:color w:val="auto"/>
              </w:rPr>
            </w:pPr>
            <w:r>
              <w:rPr>
                <w:rFonts w:ascii="Arial" w:cs="Arial" w:eastAsia="Arial" w:hAnsi="Arial"/>
                <w:sz w:val="18"/>
                <w:szCs w:val="18"/>
                <w:color w:val="auto"/>
                <w:w w:val="95"/>
              </w:rPr>
              <w:t>4.3</w:t>
            </w:r>
          </w:p>
        </w:tc>
        <w:tc>
          <w:tcPr>
            <w:tcW w:w="20" w:type="dxa"/>
            <w:vAlign w:val="bottom"/>
          </w:tcPr>
          <w:p>
            <w:pPr>
              <w:spacing w:after="0"/>
              <w:rPr>
                <w:sz w:val="24"/>
                <w:szCs w:val="24"/>
                <w:color w:val="auto"/>
              </w:rPr>
            </w:pPr>
          </w:p>
        </w:tc>
        <w:tc>
          <w:tcPr>
            <w:tcW w:w="3760" w:type="dxa"/>
            <w:vAlign w:val="bottom"/>
            <w:tcBorders>
              <w:bottom w:val="single" w:sz="8" w:color="0000FF"/>
            </w:tcBorders>
            <w:gridSpan w:val="4"/>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Registration Rights Agreement, dated as of May 14,</w:t>
              </w:r>
            </w:hyperlink>
          </w:p>
        </w:tc>
        <w:tc>
          <w:tcPr>
            <w:tcW w:w="760" w:type="dxa"/>
            <w:vAlign w:val="bottom"/>
            <w:gridSpan w:val="6"/>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10"/>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2014, among Kratos Defense &amp; Security Solutions, Inc.,</w:t>
              </w:r>
            </w:hyperlink>
          </w:p>
        </w:tc>
        <w:tc>
          <w:tcPr>
            <w:tcW w:w="6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8"/>
              </w:rPr>
            </w:pPr>
            <w:hyperlink r:id="rId19">
              <w:r>
                <w:rPr>
                  <w:rFonts w:ascii="Arial" w:cs="Arial" w:eastAsia="Arial" w:hAnsi="Arial"/>
                  <w:sz w:val="18"/>
                  <w:szCs w:val="18"/>
                  <w:color w:val="0000FF"/>
                  <w:w w:val="88"/>
                </w:rPr>
                <w:t>as Issuer, and SunTrust Robinson Humphrey, Inc., as</w:t>
              </w:r>
            </w:hyperlink>
          </w:p>
        </w:tc>
        <w:tc>
          <w:tcPr>
            <w:tcW w:w="240" w:type="dxa"/>
            <w:vAlign w:val="bottom"/>
            <w:tcBorders>
              <w:top w:val="single" w:sz="8" w:color="0000FF"/>
            </w:tcBorders>
            <w:gridSpan w:val="2"/>
          </w:tcPr>
          <w:p>
            <w:pPr>
              <w:spacing w:after="0"/>
              <w:rPr>
                <w:sz w:val="17"/>
                <w:szCs w:val="17"/>
                <w:color w:val="auto"/>
              </w:rPr>
            </w:pPr>
          </w:p>
        </w:tc>
        <w:tc>
          <w:tcPr>
            <w:tcW w:w="4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Representative of the Initial Purchasers.</w:t>
              </w:r>
            </w:hyperlink>
          </w:p>
        </w:tc>
        <w:tc>
          <w:tcPr>
            <w:tcW w:w="1640" w:type="dxa"/>
            <w:vAlign w:val="bottom"/>
            <w:gridSpan w:val="9"/>
          </w:tcPr>
          <w:p>
            <w:pPr>
              <w:spacing w:after="0"/>
              <w:rPr>
                <w:sz w:val="17"/>
                <w:szCs w:val="17"/>
                <w:color w:val="auto"/>
              </w:rPr>
            </w:pPr>
          </w:p>
        </w:tc>
        <w:tc>
          <w:tcPr>
            <w:tcW w:w="640" w:type="dxa"/>
            <w:vAlign w:val="bottom"/>
          </w:tcPr>
          <w:p>
            <w:pPr>
              <w:ind w:left="360"/>
              <w:spacing w:after="0" w:line="196" w:lineRule="exact"/>
              <w:rPr>
                <w:sz w:val="20"/>
                <w:szCs w:val="20"/>
                <w:color w:val="auto"/>
              </w:rPr>
            </w:pPr>
            <w:r>
              <w:rPr>
                <w:rFonts w:ascii="Arial" w:cs="Arial" w:eastAsia="Arial" w:hAnsi="Arial"/>
                <w:sz w:val="18"/>
                <w:szCs w:val="18"/>
                <w:color w:val="auto"/>
                <w:w w:val="92"/>
              </w:rPr>
              <w:t>8-K</w:t>
            </w:r>
          </w:p>
        </w:tc>
      </w:tr>
      <w:tr>
        <w:trPr>
          <w:trHeight w:val="250"/>
        </w:trPr>
        <w:tc>
          <w:tcPr>
            <w:tcW w:w="1280" w:type="dxa"/>
            <w:vAlign w:val="bottom"/>
          </w:tcPr>
          <w:p>
            <w:pPr>
              <w:jc w:val="right"/>
              <w:ind w:right="930"/>
              <w:spacing w:after="0"/>
              <w:rPr>
                <w:sz w:val="20"/>
                <w:szCs w:val="20"/>
                <w:color w:val="auto"/>
              </w:rPr>
            </w:pPr>
            <w:r>
              <w:rPr>
                <w:rFonts w:ascii="Arial" w:cs="Arial" w:eastAsia="Arial" w:hAnsi="Arial"/>
                <w:sz w:val="18"/>
                <w:szCs w:val="18"/>
                <w:color w:val="auto"/>
                <w:w w:val="95"/>
              </w:rPr>
              <w:t>4.4</w:t>
            </w:r>
          </w:p>
        </w:tc>
        <w:tc>
          <w:tcPr>
            <w:tcW w:w="20" w:type="dxa"/>
            <w:vAlign w:val="bottom"/>
          </w:tcPr>
          <w:p>
            <w:pPr>
              <w:spacing w:after="0"/>
              <w:rPr>
                <w:sz w:val="21"/>
                <w:szCs w:val="21"/>
                <w:color w:val="auto"/>
              </w:rPr>
            </w:pPr>
          </w:p>
        </w:tc>
        <w:tc>
          <w:tcPr>
            <w:tcW w:w="4520" w:type="dxa"/>
            <w:vAlign w:val="bottom"/>
            <w:gridSpan w:val="10"/>
          </w:tcPr>
          <w:p>
            <w:pPr>
              <w:spacing w:after="0"/>
              <w:rPr>
                <w:rFonts w:ascii="Arial" w:cs="Arial" w:eastAsia="Arial" w:hAnsi="Arial"/>
                <w:sz w:val="18"/>
                <w:szCs w:val="18"/>
                <w:color w:val="0000FF"/>
                <w:w w:val="97"/>
              </w:rPr>
            </w:pPr>
            <w:hyperlink r:id="rId20">
              <w:r>
                <w:rPr>
                  <w:rFonts w:ascii="Arial" w:cs="Arial" w:eastAsia="Arial" w:hAnsi="Arial"/>
                  <w:sz w:val="18"/>
                  <w:szCs w:val="18"/>
                  <w:color w:val="0000FF"/>
                  <w:w w:val="97"/>
                </w:rPr>
                <w:t>Indenture, dated as of November 20, 2017, among Kratos</w:t>
              </w:r>
            </w:hyperlink>
          </w:p>
        </w:tc>
        <w:tc>
          <w:tcPr>
            <w:tcW w:w="64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Defense &amp; Security Solutions, Inc., as Issuer, the</w:t>
              </w:r>
            </w:hyperlink>
          </w:p>
        </w:tc>
        <w:tc>
          <w:tcPr>
            <w:tcW w:w="600" w:type="dxa"/>
            <w:vAlign w:val="bottom"/>
            <w:tcBorders>
              <w:top w:val="single" w:sz="8" w:color="0000FF"/>
            </w:tcBorders>
            <w:gridSpan w:val="6"/>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10"/>
          </w:tcPr>
          <w:p>
            <w:pPr>
              <w:spacing w:after="0" w:line="196" w:lineRule="exact"/>
              <w:rPr>
                <w:rFonts w:ascii="Arial" w:cs="Arial" w:eastAsia="Arial" w:hAnsi="Arial"/>
                <w:sz w:val="18"/>
                <w:szCs w:val="18"/>
                <w:color w:val="0000FF"/>
                <w:w w:val="99"/>
              </w:rPr>
            </w:pPr>
            <w:hyperlink r:id="rId20">
              <w:r>
                <w:rPr>
                  <w:rFonts w:ascii="Arial" w:cs="Arial" w:eastAsia="Arial" w:hAnsi="Arial"/>
                  <w:sz w:val="18"/>
                  <w:szCs w:val="18"/>
                  <w:color w:val="0000FF"/>
                  <w:w w:val="99"/>
                </w:rPr>
                <w:t>Guarantors party thereto, and Wilmington Trust, National</w:t>
              </w:r>
            </w:hyperlink>
          </w:p>
        </w:tc>
        <w:tc>
          <w:tcPr>
            <w:tcW w:w="6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Association, as Trustee and Collateral Agent.</w:t>
              </w:r>
            </w:hyperlink>
          </w:p>
        </w:tc>
        <w:tc>
          <w:tcPr>
            <w:tcW w:w="380" w:type="dxa"/>
            <w:vAlign w:val="bottom"/>
          </w:tcPr>
          <w:p>
            <w:pPr>
              <w:spacing w:after="0"/>
              <w:rPr>
                <w:sz w:val="17"/>
                <w:szCs w:val="17"/>
                <w:color w:val="auto"/>
              </w:rPr>
            </w:pPr>
          </w:p>
        </w:tc>
        <w:tc>
          <w:tcPr>
            <w:tcW w:w="640" w:type="dxa"/>
            <w:vAlign w:val="bottom"/>
          </w:tcPr>
          <w:p>
            <w:pPr>
              <w:ind w:left="360"/>
              <w:spacing w:after="0" w:line="196" w:lineRule="exact"/>
              <w:rPr>
                <w:sz w:val="20"/>
                <w:szCs w:val="20"/>
                <w:color w:val="auto"/>
              </w:rPr>
            </w:pPr>
            <w:r>
              <w:rPr>
                <w:rFonts w:ascii="Arial" w:cs="Arial" w:eastAsia="Arial" w:hAnsi="Arial"/>
                <w:sz w:val="18"/>
                <w:szCs w:val="18"/>
                <w:color w:val="auto"/>
                <w:w w:val="92"/>
              </w:rPr>
              <w:t>8-K</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50"/>
        </w:trPr>
        <w:tc>
          <w:tcPr>
            <w:tcW w:w="1280" w:type="dxa"/>
            <w:vAlign w:val="bottom"/>
          </w:tcPr>
          <w:p>
            <w:pPr>
              <w:jc w:val="right"/>
              <w:ind w:right="930"/>
              <w:spacing w:after="0"/>
              <w:rPr>
                <w:sz w:val="20"/>
                <w:szCs w:val="20"/>
                <w:color w:val="auto"/>
              </w:rPr>
            </w:pPr>
            <w:r>
              <w:rPr>
                <w:rFonts w:ascii="Arial" w:cs="Arial" w:eastAsia="Arial" w:hAnsi="Arial"/>
                <w:sz w:val="18"/>
                <w:szCs w:val="18"/>
                <w:color w:val="auto"/>
                <w:w w:val="95"/>
              </w:rPr>
              <w:t>4.5</w:t>
            </w:r>
          </w:p>
        </w:tc>
        <w:tc>
          <w:tcPr>
            <w:tcW w:w="20" w:type="dxa"/>
            <w:vAlign w:val="bottom"/>
          </w:tcPr>
          <w:p>
            <w:pPr>
              <w:spacing w:after="0"/>
              <w:rPr>
                <w:sz w:val="21"/>
                <w:szCs w:val="21"/>
                <w:color w:val="auto"/>
              </w:rPr>
            </w:pPr>
          </w:p>
        </w:tc>
        <w:tc>
          <w:tcPr>
            <w:tcW w:w="4520" w:type="dxa"/>
            <w:vAlign w:val="bottom"/>
            <w:gridSpan w:val="10"/>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First Supplemental Indenture, dated as of December 21,</w:t>
              </w:r>
            </w:hyperlink>
          </w:p>
        </w:tc>
        <w:tc>
          <w:tcPr>
            <w:tcW w:w="64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20" w:type="dxa"/>
            <w:vAlign w:val="bottom"/>
            <w:gridSpan w:val="10"/>
          </w:tcPr>
          <w:p>
            <w:pPr>
              <w:spacing w:after="0" w:line="196" w:lineRule="exact"/>
              <w:rPr>
                <w:rFonts w:ascii="Arial" w:cs="Arial" w:eastAsia="Arial" w:hAnsi="Arial"/>
                <w:sz w:val="18"/>
                <w:szCs w:val="18"/>
                <w:color w:val="0000FF"/>
              </w:rPr>
            </w:pPr>
            <w:hyperlink w:anchor="page116">
              <w:r>
                <w:rPr>
                  <w:rFonts w:ascii="Arial" w:cs="Arial" w:eastAsia="Arial" w:hAnsi="Arial"/>
                  <w:sz w:val="18"/>
                  <w:szCs w:val="18"/>
                  <w:color w:val="0000FF"/>
                </w:rPr>
                <w:t>2017, among Kratos Defense &amp; Security Solutions, Inc.,</w:t>
              </w:r>
            </w:hyperlink>
          </w:p>
        </w:tc>
        <w:tc>
          <w:tcPr>
            <w:tcW w:w="64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w:anchor="page116">
              <w:r>
                <w:rPr>
                  <w:rFonts w:ascii="Arial" w:cs="Arial" w:eastAsia="Arial" w:hAnsi="Arial"/>
                  <w:sz w:val="18"/>
                  <w:szCs w:val="18"/>
                  <w:color w:val="0000FF"/>
                  <w:w w:val="89"/>
                </w:rPr>
                <w:t>as Issuer, the Guarantor as party thereto, and Wilmington</w:t>
              </w:r>
            </w:hyperlink>
          </w:p>
        </w:tc>
        <w:tc>
          <w:tcPr>
            <w:tcW w:w="4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05/15/2014</w:t>
      </w:r>
    </w:p>
    <w:p>
      <w:pPr>
        <w:spacing w:after="0" w:line="23"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color w:val="auto"/>
        </w:rPr>
        <w:t>(001-34460)</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11/21/2017</w:t>
      </w:r>
    </w:p>
    <w:p>
      <w:pPr>
        <w:spacing w:after="0" w:line="2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(001-34460)</w:t>
      </w:r>
      <w:r>
        <w:rPr>
          <w:sz w:val="20"/>
          <w:szCs w:val="20"/>
          <w:color w:val="auto"/>
        </w:rPr>
        <w:tab/>
      </w:r>
      <w:r>
        <w:rPr>
          <w:rFonts w:ascii="Arial" w:cs="Arial" w:eastAsia="Arial" w:hAnsi="Arial"/>
          <w:sz w:val="15"/>
          <w:szCs w:val="15"/>
          <w:color w:val="auto"/>
        </w:rPr>
        <w:t>4.1</w:t>
      </w:r>
    </w:p>
    <w:p>
      <w:pPr>
        <w:spacing w:after="0" w:line="685" w:lineRule="exact"/>
        <w:rPr>
          <w:sz w:val="20"/>
          <w:szCs w:val="20"/>
          <w:color w:val="auto"/>
        </w:rPr>
      </w:pPr>
    </w:p>
    <w:p>
      <w:pPr>
        <w:sectPr>
          <w:pgSz w:w="11900" w:h="16838" w:orient="portrait"/>
          <w:cols w:equalWidth="0" w:num="2">
            <w:col w:w="6620" w:space="720"/>
            <w:col w:w="2879"/>
          </w:cols>
          <w:pgMar w:left="240" w:top="108" w:right="1440" w:bottom="1440" w:gutter="0" w:footer="0" w:header="0"/>
        </w:sectPr>
      </w:pPr>
    </w:p>
    <w:tbl>
      <w:tblPr>
        <w:tblLayout w:type="fixed"/>
        <w:tblInd w:w="4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4240" w:type="dxa"/>
            <w:vAlign w:val="bottom"/>
            <w:gridSpan w:val="25"/>
          </w:tcPr>
          <w:p>
            <w:pPr>
              <w:spacing w:after="0" w:line="202" w:lineRule="exact"/>
              <w:rPr>
                <w:rFonts w:ascii="Arial" w:cs="Arial" w:eastAsia="Arial" w:hAnsi="Arial"/>
                <w:sz w:val="18"/>
                <w:szCs w:val="18"/>
                <w:color w:val="0000FF"/>
              </w:rPr>
            </w:pPr>
            <w:hyperlink w:anchor="page116">
              <w:r>
                <w:rPr>
                  <w:rFonts w:ascii="Arial" w:cs="Arial" w:eastAsia="Arial" w:hAnsi="Arial"/>
                  <w:sz w:val="18"/>
                  <w:szCs w:val="18"/>
                  <w:color w:val="0000FF"/>
                </w:rPr>
                <w:t>Trust, National Association, as Trustee.</w:t>
              </w:r>
            </w:hyperlink>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4240" w:type="dxa"/>
            <w:vAlign w:val="bottom"/>
            <w:gridSpan w:val="25"/>
          </w:tcPr>
          <w:p>
            <w:pPr>
              <w:spacing w:after="0"/>
              <w:rPr>
                <w:rFonts w:ascii="Arial" w:cs="Arial" w:eastAsia="Arial" w:hAnsi="Arial"/>
                <w:sz w:val="18"/>
                <w:szCs w:val="18"/>
                <w:color w:val="0000FF"/>
              </w:rPr>
            </w:pPr>
            <w:hyperlink r:id="rId21">
              <w:r>
                <w:rPr>
                  <w:rFonts w:ascii="Arial" w:cs="Arial" w:eastAsia="Arial" w:hAnsi="Arial"/>
                  <w:sz w:val="18"/>
                  <w:szCs w:val="18"/>
                  <w:color w:val="0000FF"/>
                </w:rPr>
                <w:t>Form of Indemnification Agreement by and between</w:t>
              </w:r>
            </w:hyperlink>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56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Kratos Defense &amp; Security Solutions, Inc. and its</w:t>
              </w:r>
            </w:hyperlink>
          </w:p>
        </w:tc>
        <w:tc>
          <w:tcPr>
            <w:tcW w:w="240" w:type="dxa"/>
            <w:vAlign w:val="bottom"/>
            <w:tcBorders>
              <w:top w:val="single" w:sz="8" w:color="0000FF"/>
            </w:tcBorders>
            <w:gridSpan w:val="2"/>
          </w:tcPr>
          <w:p>
            <w:pPr>
              <w:spacing w:after="0"/>
              <w:rPr>
                <w:sz w:val="17"/>
                <w:szCs w:val="17"/>
                <w:color w:val="auto"/>
              </w:rPr>
            </w:pPr>
          </w:p>
        </w:tc>
        <w:tc>
          <w:tcPr>
            <w:tcW w:w="44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3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directors and executive officers.</w:t>
              </w:r>
            </w:hyperlink>
          </w:p>
        </w:tc>
        <w:tc>
          <w:tcPr>
            <w:tcW w:w="1920" w:type="dxa"/>
            <w:vAlign w:val="bottom"/>
            <w:gridSpan w:val="17"/>
          </w:tcPr>
          <w:p>
            <w:pPr>
              <w:spacing w:after="0"/>
              <w:rPr>
                <w:sz w:val="17"/>
                <w:szCs w:val="17"/>
                <w:color w:val="auto"/>
              </w:rPr>
            </w:pPr>
          </w:p>
        </w:tc>
        <w:tc>
          <w:tcPr>
            <w:tcW w:w="800" w:type="dxa"/>
            <w:vAlign w:val="bottom"/>
          </w:tcPr>
          <w:p>
            <w:pPr>
              <w:ind w:left="120"/>
              <w:spacing w:after="0" w:line="196" w:lineRule="exact"/>
              <w:rPr>
                <w:sz w:val="20"/>
                <w:szCs w:val="20"/>
                <w:color w:val="auto"/>
              </w:rPr>
            </w:pPr>
            <w:r>
              <w:rPr>
                <w:rFonts w:ascii="Arial" w:cs="Arial" w:eastAsia="Arial" w:hAnsi="Arial"/>
                <w:sz w:val="18"/>
                <w:szCs w:val="18"/>
                <w:color w:val="auto"/>
              </w:rPr>
              <w:t>10-Q</w:t>
            </w: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10.2#</w:t>
            </w:r>
          </w:p>
        </w:tc>
        <w:tc>
          <w:tcPr>
            <w:tcW w:w="4240" w:type="dxa"/>
            <w:vAlign w:val="bottom"/>
            <w:gridSpan w:val="25"/>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Amended and Restated 1999 Employee Stock Purchase</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0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Plan.</w:t>
              </w:r>
            </w:hyperlink>
          </w:p>
        </w:tc>
        <w:tc>
          <w:tcPr>
            <w:tcW w:w="240" w:type="dxa"/>
            <w:vAlign w:val="bottom"/>
            <w:gridSpan w:val="5"/>
          </w:tcPr>
          <w:p>
            <w:pPr>
              <w:spacing w:after="0"/>
              <w:rPr>
                <w:sz w:val="17"/>
                <w:szCs w:val="17"/>
                <w:color w:val="auto"/>
              </w:rPr>
            </w:pPr>
          </w:p>
        </w:tc>
        <w:tc>
          <w:tcPr>
            <w:tcW w:w="800" w:type="dxa"/>
            <w:vAlign w:val="bottom"/>
          </w:tcPr>
          <w:p>
            <w:pPr>
              <w:ind w:left="1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10.3#</w:t>
            </w:r>
          </w:p>
        </w:tc>
        <w:tc>
          <w:tcPr>
            <w:tcW w:w="3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2760" w:type="dxa"/>
            <w:vAlign w:val="bottom"/>
            <w:tcBorders>
              <w:bottom w:val="single" w:sz="8" w:color="0000FF"/>
            </w:tcBorders>
            <w:gridSpan w:val="10"/>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2000 Nonstatutory Stock Option Plan.</w:t>
              </w:r>
            </w:hyperlink>
          </w:p>
        </w:tc>
        <w:tc>
          <w:tcPr>
            <w:tcW w:w="1480" w:type="dxa"/>
            <w:vAlign w:val="bottom"/>
            <w:gridSpan w:val="15"/>
          </w:tcPr>
          <w:p>
            <w:pPr>
              <w:spacing w:after="0"/>
              <w:rPr>
                <w:sz w:val="19"/>
                <w:szCs w:val="19"/>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10-Q</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4240" w:type="dxa"/>
            <w:vAlign w:val="bottom"/>
            <w:gridSpan w:val="25"/>
          </w:tcPr>
          <w:p>
            <w:pPr>
              <w:spacing w:after="0"/>
              <w:rPr>
                <w:rFonts w:ascii="Arial" w:cs="Arial" w:eastAsia="Arial" w:hAnsi="Arial"/>
                <w:sz w:val="18"/>
                <w:szCs w:val="18"/>
                <w:color w:val="0000FF"/>
              </w:rPr>
            </w:pPr>
            <w:hyperlink r:id="rId24">
              <w:r>
                <w:rPr>
                  <w:rFonts w:ascii="Arial" w:cs="Arial" w:eastAsia="Arial" w:hAnsi="Arial"/>
                  <w:sz w:val="18"/>
                  <w:szCs w:val="18"/>
                  <w:color w:val="0000FF"/>
                </w:rPr>
                <w:t>Form of Stock Option Agreement and Form of Stock</w:t>
              </w:r>
            </w:hyperlink>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392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Option Grant Notice used in connection with the 2000</w:t>
              </w:r>
            </w:hyperlink>
          </w:p>
        </w:tc>
        <w:tc>
          <w:tcPr>
            <w:tcW w:w="32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5"/>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Nonstatutory Stock Option Plan.</w:t>
              </w:r>
            </w:hyperlink>
          </w:p>
        </w:tc>
        <w:tc>
          <w:tcPr>
            <w:tcW w:w="800" w:type="dxa"/>
            <w:vAlign w:val="bottom"/>
          </w:tcPr>
          <w:p>
            <w:pPr>
              <w:ind w:left="120"/>
              <w:spacing w:after="0" w:line="196" w:lineRule="exact"/>
              <w:rPr>
                <w:sz w:val="20"/>
                <w:szCs w:val="20"/>
                <w:color w:val="auto"/>
              </w:rPr>
            </w:pPr>
            <w:r>
              <w:rPr>
                <w:rFonts w:ascii="Arial" w:cs="Arial" w:eastAsia="Arial" w:hAnsi="Arial"/>
                <w:sz w:val="18"/>
                <w:szCs w:val="18"/>
                <w:color w:val="auto"/>
              </w:rPr>
              <w:t>10-Q</w:t>
            </w: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10.5#</w:t>
            </w:r>
          </w:p>
        </w:tc>
        <w:tc>
          <w:tcPr>
            <w:tcW w:w="3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2020" w:type="dxa"/>
            <w:vAlign w:val="bottom"/>
            <w:tcBorders>
              <w:bottom w:val="single" w:sz="8" w:color="0000FF"/>
            </w:tcBorders>
            <w:gridSpan w:val="5"/>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2005 Equity Incentive Plan.</w:t>
              </w:r>
            </w:hyperlink>
          </w:p>
        </w:tc>
        <w:tc>
          <w:tcPr>
            <w:tcW w:w="2220" w:type="dxa"/>
            <w:vAlign w:val="bottom"/>
            <w:gridSpan w:val="20"/>
          </w:tcPr>
          <w:p>
            <w:pPr>
              <w:spacing w:after="0"/>
              <w:rPr>
                <w:sz w:val="19"/>
                <w:szCs w:val="19"/>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304"/>
        </w:trPr>
        <w:tc>
          <w:tcPr>
            <w:tcW w:w="1260" w:type="dxa"/>
            <w:vAlign w:val="bottom"/>
          </w:tcPr>
          <w:p>
            <w:pPr>
              <w:spacing w:after="0"/>
              <w:rPr>
                <w:sz w:val="20"/>
                <w:szCs w:val="20"/>
                <w:color w:val="auto"/>
              </w:rPr>
            </w:pPr>
            <w:r>
              <w:rPr>
                <w:rFonts w:ascii="Arial" w:cs="Arial" w:eastAsia="Arial" w:hAnsi="Arial"/>
                <w:sz w:val="18"/>
                <w:szCs w:val="18"/>
                <w:color w:val="auto"/>
              </w:rPr>
              <w:t>10.6#</w:t>
            </w:r>
          </w:p>
        </w:tc>
        <w:tc>
          <w:tcPr>
            <w:tcW w:w="3960" w:type="dxa"/>
            <w:vAlign w:val="bottom"/>
            <w:tcBorders>
              <w:bottom w:val="single" w:sz="8" w:color="0000FF"/>
            </w:tcBorders>
            <w:gridSpan w:val="18"/>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Form of Stock Option Agreement pursuant to the 2005</w:t>
              </w:r>
            </w:hyperlink>
          </w:p>
        </w:tc>
        <w:tc>
          <w:tcPr>
            <w:tcW w:w="28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5"/>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Equity Incentive Plan.</w:t>
              </w:r>
            </w:hyperlink>
          </w:p>
        </w:tc>
        <w:tc>
          <w:tcPr>
            <w:tcW w:w="800" w:type="dxa"/>
            <w:vAlign w:val="bottom"/>
          </w:tcPr>
          <w:p>
            <w:pPr>
              <w:ind w:left="1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10.7#</w:t>
            </w:r>
          </w:p>
        </w:tc>
        <w:tc>
          <w:tcPr>
            <w:tcW w:w="3980" w:type="dxa"/>
            <w:vAlign w:val="bottom"/>
            <w:tcBorders>
              <w:bottom w:val="single" w:sz="8" w:color="0000FF"/>
            </w:tcBorders>
            <w:gridSpan w:val="19"/>
          </w:tcPr>
          <w:p>
            <w:pPr>
              <w:spacing w:after="0"/>
              <w:rPr>
                <w:rFonts w:ascii="Arial" w:cs="Arial" w:eastAsia="Arial" w:hAnsi="Arial"/>
                <w:sz w:val="18"/>
                <w:szCs w:val="18"/>
                <w:color w:val="0000FF"/>
                <w:w w:val="92"/>
              </w:rPr>
            </w:pPr>
            <w:hyperlink r:id="rId27">
              <w:r>
                <w:rPr>
                  <w:rFonts w:ascii="Arial" w:cs="Arial" w:eastAsia="Arial" w:hAnsi="Arial"/>
                  <w:sz w:val="18"/>
                  <w:szCs w:val="18"/>
                  <w:color w:val="0000FF"/>
                  <w:w w:val="92"/>
                </w:rPr>
                <w:t>Form of Restricted Stock Unit Agreement and Form of</w:t>
              </w:r>
            </w:hyperlink>
          </w:p>
        </w:tc>
        <w:tc>
          <w:tcPr>
            <w:tcW w:w="260" w:type="dxa"/>
            <w:vAlign w:val="bottom"/>
            <w:gridSpan w:val="6"/>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14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Notice of Grant of Restricted Stock Units under the 2005</w:t>
              </w:r>
            </w:hyperlink>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5"/>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Equity Incentive Plan.</w:t>
              </w:r>
            </w:hyperlink>
          </w:p>
        </w:tc>
        <w:tc>
          <w:tcPr>
            <w:tcW w:w="800" w:type="dxa"/>
            <w:vAlign w:val="bottom"/>
          </w:tcPr>
          <w:p>
            <w:pPr>
              <w:ind w:left="120"/>
              <w:spacing w:after="0" w:line="196" w:lineRule="exact"/>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10.8#</w:t>
            </w:r>
          </w:p>
        </w:tc>
        <w:tc>
          <w:tcPr>
            <w:tcW w:w="3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4240" w:type="dxa"/>
            <w:vAlign w:val="bottom"/>
            <w:gridSpan w:val="25"/>
          </w:tcPr>
          <w:p>
            <w:pPr>
              <w:spacing w:after="0"/>
              <w:rPr>
                <w:rFonts w:ascii="Arial" w:cs="Arial" w:eastAsia="Arial" w:hAnsi="Arial"/>
                <w:sz w:val="18"/>
                <w:szCs w:val="18"/>
                <w:color w:val="0000FF"/>
              </w:rPr>
            </w:pPr>
            <w:hyperlink r:id="rId28">
              <w:r>
                <w:rPr>
                  <w:rFonts w:ascii="Arial" w:cs="Arial" w:eastAsia="Arial" w:hAnsi="Arial"/>
                  <w:sz w:val="18"/>
                  <w:szCs w:val="18"/>
                  <w:color w:val="0000FF"/>
                </w:rPr>
                <w:t>Herley Industries, Inc. 1997 Stock Option Plan.</w:t>
              </w:r>
            </w:hyperlink>
          </w:p>
        </w:tc>
        <w:tc>
          <w:tcPr>
            <w:tcW w:w="800" w:type="dxa"/>
            <w:vAlign w:val="bottom"/>
          </w:tcPr>
          <w:p>
            <w:pPr>
              <w:ind w:left="120"/>
              <w:spacing w:after="0"/>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3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4240" w:type="dxa"/>
            <w:vAlign w:val="bottom"/>
            <w:gridSpan w:val="25"/>
          </w:tcPr>
          <w:p>
            <w:pPr>
              <w:spacing w:after="0"/>
              <w:rPr>
                <w:rFonts w:ascii="Arial" w:cs="Arial" w:eastAsia="Arial" w:hAnsi="Arial"/>
                <w:sz w:val="18"/>
                <w:szCs w:val="18"/>
                <w:color w:val="0000FF"/>
              </w:rPr>
            </w:pPr>
            <w:hyperlink r:id="rId29">
              <w:r>
                <w:rPr>
                  <w:rFonts w:ascii="Arial" w:cs="Arial" w:eastAsia="Arial" w:hAnsi="Arial"/>
                  <w:sz w:val="18"/>
                  <w:szCs w:val="18"/>
                  <w:color w:val="0000FF"/>
                </w:rPr>
                <w:t>Herley Industries, Inc. 2000 Stock Option Plan.</w:t>
              </w:r>
            </w:hyperlink>
          </w:p>
        </w:tc>
        <w:tc>
          <w:tcPr>
            <w:tcW w:w="800" w:type="dxa"/>
            <w:vAlign w:val="bottom"/>
          </w:tcPr>
          <w:p>
            <w:pPr>
              <w:ind w:left="120"/>
              <w:spacing w:after="0"/>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3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4240" w:type="dxa"/>
            <w:vAlign w:val="bottom"/>
            <w:gridSpan w:val="25"/>
          </w:tcPr>
          <w:p>
            <w:pPr>
              <w:spacing w:after="0"/>
              <w:rPr>
                <w:rFonts w:ascii="Arial" w:cs="Arial" w:eastAsia="Arial" w:hAnsi="Arial"/>
                <w:sz w:val="18"/>
                <w:szCs w:val="18"/>
                <w:color w:val="0000FF"/>
              </w:rPr>
            </w:pPr>
            <w:hyperlink r:id="rId30">
              <w:r>
                <w:rPr>
                  <w:rFonts w:ascii="Arial" w:cs="Arial" w:eastAsia="Arial" w:hAnsi="Arial"/>
                  <w:sz w:val="18"/>
                  <w:szCs w:val="18"/>
                  <w:color w:val="0000FF"/>
                </w:rPr>
                <w:t>Herley Industries, Inc. 2003 Stock Option Plan.</w:t>
              </w:r>
            </w:hyperlink>
          </w:p>
        </w:tc>
        <w:tc>
          <w:tcPr>
            <w:tcW w:w="800" w:type="dxa"/>
            <w:vAlign w:val="bottom"/>
          </w:tcPr>
          <w:p>
            <w:pPr>
              <w:ind w:left="120"/>
              <w:spacing w:after="0"/>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8"/>
                <w:szCs w:val="18"/>
                <w:color w:val="auto"/>
              </w:rPr>
              <w:t>10.11#</w:t>
            </w:r>
          </w:p>
        </w:tc>
        <w:tc>
          <w:tcPr>
            <w:tcW w:w="7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vMerge w:val="continue"/>
          </w:tcPr>
          <w:p>
            <w:pPr>
              <w:spacing w:after="0"/>
              <w:rPr>
                <w:sz w:val="24"/>
                <w:szCs w:val="24"/>
                <w:color w:val="auto"/>
              </w:rPr>
            </w:pPr>
          </w:p>
        </w:tc>
        <w:tc>
          <w:tcPr>
            <w:tcW w:w="4120" w:type="dxa"/>
            <w:vAlign w:val="bottom"/>
            <w:tcBorders>
              <w:bottom w:val="single" w:sz="8" w:color="0000FF"/>
            </w:tcBorders>
            <w:gridSpan w:val="23"/>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Herley Industries, Inc. Amended and Restated 2006 New</w:t>
              </w:r>
            </w:hyperlink>
          </w:p>
        </w:tc>
        <w:tc>
          <w:tcPr>
            <w:tcW w:w="12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5"/>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Employee Stock Option Plan.</w:t>
              </w:r>
            </w:hyperlink>
          </w:p>
        </w:tc>
        <w:tc>
          <w:tcPr>
            <w:tcW w:w="800" w:type="dxa"/>
            <w:vAlign w:val="bottom"/>
          </w:tcPr>
          <w:p>
            <w:pPr>
              <w:ind w:left="1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10.12#</w:t>
            </w:r>
          </w:p>
        </w:tc>
        <w:tc>
          <w:tcPr>
            <w:tcW w:w="3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4240" w:type="dxa"/>
            <w:vAlign w:val="bottom"/>
            <w:gridSpan w:val="25"/>
          </w:tcPr>
          <w:p>
            <w:pPr>
              <w:spacing w:after="0"/>
              <w:rPr>
                <w:rFonts w:ascii="Arial" w:cs="Arial" w:eastAsia="Arial" w:hAnsi="Arial"/>
                <w:sz w:val="18"/>
                <w:szCs w:val="18"/>
                <w:color w:val="0000FF"/>
              </w:rPr>
            </w:pPr>
            <w:hyperlink r:id="rId32">
              <w:r>
                <w:rPr>
                  <w:rFonts w:ascii="Arial" w:cs="Arial" w:eastAsia="Arial" w:hAnsi="Arial"/>
                  <w:sz w:val="18"/>
                  <w:szCs w:val="18"/>
                  <w:color w:val="0000FF"/>
                </w:rPr>
                <w:t>2011 Equity Incentive Plan.</w:t>
              </w:r>
            </w:hyperlink>
          </w:p>
        </w:tc>
        <w:tc>
          <w:tcPr>
            <w:tcW w:w="800" w:type="dxa"/>
            <w:vAlign w:val="bottom"/>
          </w:tcPr>
          <w:p>
            <w:pPr>
              <w:ind w:left="120"/>
              <w:spacing w:after="0"/>
              <w:rPr>
                <w:sz w:val="20"/>
                <w:szCs w:val="20"/>
                <w:color w:val="auto"/>
              </w:rPr>
            </w:pPr>
            <w:r>
              <w:rPr>
                <w:rFonts w:ascii="Arial" w:cs="Arial" w:eastAsia="Arial" w:hAnsi="Arial"/>
                <w:sz w:val="18"/>
                <w:szCs w:val="18"/>
                <w:color w:val="auto"/>
                <w:w w:val="90"/>
              </w:rPr>
              <w:t>DEF 14A</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10.13#</w:t>
            </w:r>
          </w:p>
        </w:tc>
        <w:tc>
          <w:tcPr>
            <w:tcW w:w="4240" w:type="dxa"/>
            <w:vAlign w:val="bottom"/>
            <w:gridSpan w:val="25"/>
          </w:tcPr>
          <w:p>
            <w:pPr>
              <w:spacing w:after="0"/>
              <w:rPr>
                <w:rFonts w:ascii="Arial" w:cs="Arial" w:eastAsia="Arial" w:hAnsi="Arial"/>
                <w:sz w:val="18"/>
                <w:szCs w:val="18"/>
                <w:color w:val="0000FF"/>
                <w:w w:val="99"/>
              </w:rPr>
            </w:pPr>
            <w:hyperlink r:id="rId33">
              <w:r>
                <w:rPr>
                  <w:rFonts w:ascii="Arial" w:cs="Arial" w:eastAsia="Arial" w:hAnsi="Arial"/>
                  <w:sz w:val="18"/>
                  <w:szCs w:val="18"/>
                  <w:color w:val="0000FF"/>
                  <w:w w:val="99"/>
                </w:rPr>
                <w:t>Form of Notice of Grant of Restricted Stock Units and</w:t>
              </w:r>
            </w:hyperlink>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04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Restricted Stock Unit Award Agreement pursuant to the</w:t>
              </w:r>
            </w:hyperlink>
          </w:p>
        </w:tc>
        <w:tc>
          <w:tcPr>
            <w:tcW w:w="20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5"/>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2011 Equity Incentive Plan.</w:t>
              </w:r>
            </w:hyperlink>
          </w:p>
        </w:tc>
        <w:tc>
          <w:tcPr>
            <w:tcW w:w="800" w:type="dxa"/>
            <w:vAlign w:val="bottom"/>
          </w:tcPr>
          <w:p>
            <w:pPr>
              <w:ind w:left="120"/>
              <w:spacing w:after="0" w:line="196" w:lineRule="exact"/>
              <w:rPr>
                <w:sz w:val="20"/>
                <w:szCs w:val="20"/>
                <w:color w:val="auto"/>
              </w:rPr>
            </w:pPr>
            <w:r>
              <w:rPr>
                <w:rFonts w:ascii="Arial" w:cs="Arial" w:eastAsia="Arial" w:hAnsi="Arial"/>
                <w:sz w:val="18"/>
                <w:szCs w:val="18"/>
                <w:color w:val="auto"/>
              </w:rPr>
              <w:t>8-K</w:t>
            </w: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Arial" w:cs="Arial" w:eastAsia="Arial" w:hAnsi="Arial"/>
                <w:sz w:val="18"/>
                <w:szCs w:val="18"/>
                <w:color w:val="auto"/>
              </w:rPr>
              <w:t>10.14#</w:t>
            </w:r>
          </w:p>
        </w:tc>
        <w:tc>
          <w:tcPr>
            <w:tcW w:w="3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2020" w:type="dxa"/>
            <w:vAlign w:val="bottom"/>
            <w:tcBorders>
              <w:bottom w:val="single" w:sz="8" w:color="0000FF"/>
            </w:tcBorders>
            <w:gridSpan w:val="5"/>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2014 Equity Incentive Plan.</w:t>
              </w:r>
            </w:hyperlink>
          </w:p>
        </w:tc>
        <w:tc>
          <w:tcPr>
            <w:tcW w:w="2220" w:type="dxa"/>
            <w:vAlign w:val="bottom"/>
            <w:gridSpan w:val="20"/>
          </w:tcPr>
          <w:p>
            <w:pPr>
              <w:spacing w:after="0"/>
              <w:rPr>
                <w:sz w:val="19"/>
                <w:szCs w:val="19"/>
                <w:color w:val="auto"/>
              </w:rPr>
            </w:pPr>
          </w:p>
        </w:tc>
        <w:tc>
          <w:tcPr>
            <w:tcW w:w="800" w:type="dxa"/>
            <w:vAlign w:val="bottom"/>
          </w:tcPr>
          <w:p>
            <w:pPr>
              <w:ind w:left="120"/>
              <w:spacing w:after="0"/>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10.15#</w:t>
            </w:r>
          </w:p>
        </w:tc>
        <w:tc>
          <w:tcPr>
            <w:tcW w:w="4240" w:type="dxa"/>
            <w:vAlign w:val="bottom"/>
            <w:gridSpan w:val="25"/>
          </w:tcPr>
          <w:p>
            <w:pPr>
              <w:spacing w:after="0"/>
              <w:rPr>
                <w:rFonts w:ascii="Arial" w:cs="Arial" w:eastAsia="Arial" w:hAnsi="Arial"/>
                <w:sz w:val="18"/>
                <w:szCs w:val="18"/>
                <w:color w:val="0000FF"/>
                <w:w w:val="95"/>
              </w:rPr>
            </w:pPr>
            <w:hyperlink r:id="rId35">
              <w:r>
                <w:rPr>
                  <w:rFonts w:ascii="Arial" w:cs="Arial" w:eastAsia="Arial" w:hAnsi="Arial"/>
                  <w:sz w:val="18"/>
                  <w:szCs w:val="18"/>
                  <w:color w:val="0000FF"/>
                  <w:w w:val="95"/>
                </w:rPr>
                <w:t>Form of Restricted Stock Unit Grant &amp; Notice and Form</w:t>
              </w:r>
            </w:hyperlink>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080" w:type="dxa"/>
            <w:vAlign w:val="bottom"/>
            <w:tcBorders>
              <w:top w:val="single" w:sz="8" w:color="0000FF"/>
            </w:tcBorders>
            <w:gridSpan w:val="22"/>
          </w:tcPr>
          <w:p>
            <w:pPr>
              <w:spacing w:after="0" w:line="196" w:lineRule="exact"/>
              <w:rPr>
                <w:rFonts w:ascii="Arial" w:cs="Arial" w:eastAsia="Arial" w:hAnsi="Arial"/>
                <w:sz w:val="18"/>
                <w:szCs w:val="18"/>
                <w:color w:val="0000FF"/>
                <w:w w:val="93"/>
              </w:rPr>
            </w:pPr>
            <w:hyperlink r:id="rId35">
              <w:r>
                <w:rPr>
                  <w:rFonts w:ascii="Arial" w:cs="Arial" w:eastAsia="Arial" w:hAnsi="Arial"/>
                  <w:sz w:val="18"/>
                  <w:szCs w:val="18"/>
                  <w:color w:val="0000FF"/>
                  <w:w w:val="93"/>
                </w:rPr>
                <w:t>of Restricted Stock Unit Award Agreement pursuant to</w:t>
              </w:r>
            </w:hyperlink>
          </w:p>
        </w:tc>
        <w:tc>
          <w:tcPr>
            <w:tcW w:w="16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the 2014 Equity Incentive Plan.</w:t>
              </w:r>
            </w:hyperlink>
          </w:p>
        </w:tc>
        <w:tc>
          <w:tcPr>
            <w:tcW w:w="1680" w:type="dxa"/>
            <w:vAlign w:val="bottom"/>
            <w:tcBorders>
              <w:top w:val="single" w:sz="8" w:color="0000FF"/>
            </w:tcBorders>
            <w:gridSpan w:val="11"/>
          </w:tcPr>
          <w:p>
            <w:pPr>
              <w:spacing w:after="0"/>
              <w:rPr>
                <w:sz w:val="17"/>
                <w:szCs w:val="17"/>
                <w:color w:val="auto"/>
              </w:rPr>
            </w:pPr>
          </w:p>
        </w:tc>
        <w:tc>
          <w:tcPr>
            <w:tcW w:w="280" w:type="dxa"/>
            <w:vAlign w:val="bottom"/>
            <w:gridSpan w:val="7"/>
          </w:tcPr>
          <w:p>
            <w:pPr>
              <w:spacing w:after="0"/>
              <w:rPr>
                <w:sz w:val="17"/>
                <w:szCs w:val="17"/>
                <w:color w:val="auto"/>
              </w:rPr>
            </w:pPr>
          </w:p>
        </w:tc>
        <w:tc>
          <w:tcPr>
            <w:tcW w:w="800" w:type="dxa"/>
            <w:vAlign w:val="bottom"/>
          </w:tcPr>
          <w:p>
            <w:pPr>
              <w:ind w:left="120"/>
              <w:spacing w:after="0" w:line="196" w:lineRule="exact"/>
              <w:rPr>
                <w:sz w:val="20"/>
                <w:szCs w:val="20"/>
                <w:color w:val="auto"/>
              </w:rPr>
            </w:pPr>
            <w:r>
              <w:rPr>
                <w:rFonts w:ascii="Arial" w:cs="Arial" w:eastAsia="Arial" w:hAnsi="Arial"/>
                <w:sz w:val="18"/>
                <w:szCs w:val="18"/>
                <w:color w:val="auto"/>
              </w:rPr>
              <w:t>10-Q</w:t>
            </w:r>
          </w:p>
        </w:tc>
        <w:tc>
          <w:tcPr>
            <w:tcW w:w="0" w:type="dxa"/>
            <w:vAlign w:val="bottom"/>
          </w:tcPr>
          <w:p>
            <w:pPr>
              <w:spacing w:after="0"/>
              <w:rPr>
                <w:sz w:val="1"/>
                <w:szCs w:val="1"/>
                <w:color w:val="auto"/>
              </w:rPr>
            </w:pPr>
          </w:p>
        </w:tc>
      </w:tr>
      <w:tr>
        <w:trPr>
          <w:trHeight w:val="250"/>
        </w:trPr>
        <w:tc>
          <w:tcPr>
            <w:tcW w:w="1260" w:type="dxa"/>
            <w:vAlign w:val="bottom"/>
          </w:tcPr>
          <w:p>
            <w:pPr>
              <w:spacing w:after="0"/>
              <w:rPr>
                <w:sz w:val="20"/>
                <w:szCs w:val="20"/>
                <w:color w:val="auto"/>
              </w:rPr>
            </w:pPr>
            <w:r>
              <w:rPr>
                <w:rFonts w:ascii="Arial" w:cs="Arial" w:eastAsia="Arial" w:hAnsi="Arial"/>
                <w:sz w:val="18"/>
                <w:szCs w:val="18"/>
                <w:color w:val="auto"/>
              </w:rPr>
              <w:t>10.16#</w:t>
            </w:r>
          </w:p>
        </w:tc>
        <w:tc>
          <w:tcPr>
            <w:tcW w:w="4240" w:type="dxa"/>
            <w:vAlign w:val="bottom"/>
            <w:gridSpan w:val="25"/>
          </w:tcPr>
          <w:p>
            <w:pPr>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Second Amended and Restated Executive Employment</w:t>
              </w:r>
            </w:hyperlink>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960" w:type="dxa"/>
            <w:vAlign w:val="bottom"/>
            <w:gridSpan w:val="12"/>
            <w:shd w:val="clear" w:color="auto" w:fill="0000FF"/>
          </w:tcPr>
          <w:p>
            <w:pPr>
              <w:spacing w:after="0" w:line="20" w:lineRule="exact"/>
              <w:rPr>
                <w:sz w:val="1"/>
                <w:szCs w:val="1"/>
                <w:color w:val="auto"/>
              </w:rPr>
            </w:pPr>
          </w:p>
        </w:tc>
        <w:tc>
          <w:tcPr>
            <w:tcW w:w="300" w:type="dxa"/>
            <w:vAlign w:val="bottom"/>
            <w:gridSpan w:val="5"/>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04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Agreement, dated as of August 4, 2011, by and between</w:t>
              </w:r>
            </w:hyperlink>
          </w:p>
        </w:tc>
        <w:tc>
          <w:tcPr>
            <w:tcW w:w="20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240" w:type="dxa"/>
            <w:vAlign w:val="bottom"/>
            <w:gridSpan w:val="25"/>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Kratos Defense &amp; Security Solutions, Inc. and Eric</w:t>
              </w:r>
            </w:hyperlink>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DeMarco.</w:t>
              </w:r>
            </w:hyperlink>
          </w:p>
        </w:tc>
        <w:tc>
          <w:tcPr>
            <w:tcW w:w="560" w:type="dxa"/>
            <w:vAlign w:val="bottom"/>
            <w:gridSpan w:val="11"/>
          </w:tcPr>
          <w:p>
            <w:pPr>
              <w:spacing w:after="0"/>
              <w:rPr>
                <w:sz w:val="17"/>
                <w:szCs w:val="17"/>
                <w:color w:val="auto"/>
              </w:rPr>
            </w:pPr>
          </w:p>
        </w:tc>
        <w:tc>
          <w:tcPr>
            <w:tcW w:w="800" w:type="dxa"/>
            <w:vAlign w:val="bottom"/>
          </w:tcPr>
          <w:p>
            <w:pPr>
              <w:ind w:left="120"/>
              <w:spacing w:after="0" w:line="196" w:lineRule="exact"/>
              <w:rPr>
                <w:sz w:val="20"/>
                <w:szCs w:val="20"/>
                <w:color w:val="auto"/>
              </w:rPr>
            </w:pPr>
            <w:r>
              <w:rPr>
                <w:rFonts w:ascii="Arial" w:cs="Arial" w:eastAsia="Arial" w:hAnsi="Arial"/>
                <w:sz w:val="18"/>
                <w:szCs w:val="18"/>
                <w:color w:val="auto"/>
              </w:rPr>
              <w:t>10-Q</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08/04/2011</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07/31/2017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11/14/2000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(000-27231)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11/14/2000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(000-27231)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08/01/2005</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(333-127060)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08/01/2005</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(333-127060)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01/17/2007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(000-27231)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04/08/2011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(333-173383)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04/08/2011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(333-173383)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04/08/2011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(333-173383)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04/08/2011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(333-173383)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04/15/2011</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11/18/2011</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07/31/2017</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11/07/2014</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08/04/2011</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20" w:lineRule="exact"/>
        <w:rPr>
          <w:sz w:val="20"/>
          <w:szCs w:val="20"/>
          <w:color w:val="auto"/>
        </w:rPr>
      </w:pPr>
      <w:r>
        <w:rPr>
          <w:sz w:val="20"/>
          <w:szCs w:val="20"/>
          <w:color w:val="auto"/>
        </w:rPr>
        <w:br w:type="column"/>
      </w:r>
    </w:p>
    <w:p>
      <w:pPr>
        <w:jc w:val="right"/>
        <w:ind w:right="3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99.2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99.1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99.3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4.11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4.13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4.14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4.15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99.2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ectPr>
          <w:pgSz w:w="11900" w:h="16838" w:orient="portrait"/>
          <w:cols w:equalWidth="0" w:num="3">
            <w:col w:w="6420" w:space="720"/>
            <w:col w:w="980" w:space="500"/>
            <w:col w:w="1599"/>
          </w:cols>
          <w:pgMar w:left="240" w:top="108" w:right="1440" w:bottom="1440" w:gutter="0" w:footer="0" w:header="0"/>
          <w:type w:val="continuous"/>
        </w:sectPr>
      </w:pPr>
    </w:p>
    <w:p>
      <w:pPr>
        <w:spacing w:after="0" w:line="7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0219"/>
          </w:cols>
          <w:pgMar w:left="240" w:top="108" w:right="1440"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Table of Contents</w:t>
              </w:r>
            </w:hyperlink>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601"/>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24"/>
                <w:szCs w:val="24"/>
                <w:color w:val="auto"/>
              </w:rPr>
            </w:pPr>
          </w:p>
        </w:tc>
        <w:tc>
          <w:tcPr>
            <w:tcW w:w="4140" w:type="dxa"/>
            <w:vAlign w:val="bottom"/>
            <w:tcBorders>
              <w:bottom w:val="single" w:sz="8" w:color="0000FF"/>
            </w:tcBorders>
            <w:gridSpan w:val="29"/>
          </w:tcPr>
          <w:p>
            <w:pPr>
              <w:spacing w:after="0"/>
              <w:rPr>
                <w:rFonts w:ascii="Arial" w:cs="Arial" w:eastAsia="Arial" w:hAnsi="Arial"/>
                <w:sz w:val="18"/>
                <w:szCs w:val="18"/>
                <w:color w:val="0000FF"/>
                <w:w w:val="87"/>
              </w:rPr>
            </w:pPr>
            <w:hyperlink r:id="rId37">
              <w:r>
                <w:rPr>
                  <w:rFonts w:ascii="Arial" w:cs="Arial" w:eastAsia="Arial" w:hAnsi="Arial"/>
                  <w:sz w:val="18"/>
                  <w:szCs w:val="18"/>
                  <w:color w:val="0000FF"/>
                  <w:w w:val="87"/>
                </w:rPr>
                <w:t>Second Amended and Restated Severance and Change of</w:t>
              </w:r>
            </w:hyperlink>
          </w:p>
        </w:tc>
        <w:tc>
          <w:tcPr>
            <w:tcW w:w="12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32"/>
          </w:tcPr>
          <w:p>
            <w:pPr>
              <w:spacing w:after="0" w:line="196" w:lineRule="exact"/>
              <w:rPr>
                <w:rFonts w:ascii="Arial" w:cs="Arial" w:eastAsia="Arial" w:hAnsi="Arial"/>
                <w:sz w:val="18"/>
                <w:szCs w:val="18"/>
                <w:color w:val="0000FF"/>
                <w:w w:val="96"/>
              </w:rPr>
            </w:pPr>
            <w:hyperlink r:id="rId37">
              <w:r>
                <w:rPr>
                  <w:rFonts w:ascii="Arial" w:cs="Arial" w:eastAsia="Arial" w:hAnsi="Arial"/>
                  <w:sz w:val="18"/>
                  <w:szCs w:val="18"/>
                  <w:color w:val="0000FF"/>
                  <w:w w:val="96"/>
                </w:rPr>
                <w:t>Control Agreement, dated as of August 4, 2011, by and</w:t>
              </w:r>
            </w:hyperlink>
          </w:p>
        </w:tc>
        <w:tc>
          <w:tcPr>
            <w:tcW w:w="4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32"/>
          </w:tcPr>
          <w:p>
            <w:pPr>
              <w:spacing w:after="0" w:line="196" w:lineRule="exact"/>
              <w:rPr>
                <w:rFonts w:ascii="Arial" w:cs="Arial" w:eastAsia="Arial" w:hAnsi="Arial"/>
                <w:sz w:val="18"/>
                <w:szCs w:val="18"/>
                <w:color w:val="0000FF"/>
                <w:w w:val="96"/>
              </w:rPr>
            </w:pPr>
            <w:hyperlink r:id="rId37">
              <w:r>
                <w:rPr>
                  <w:rFonts w:ascii="Arial" w:cs="Arial" w:eastAsia="Arial" w:hAnsi="Arial"/>
                  <w:sz w:val="18"/>
                  <w:szCs w:val="18"/>
                  <w:color w:val="0000FF"/>
                  <w:w w:val="96"/>
                </w:rPr>
                <w:t>between Kratos Defense &amp; Security Solutions, Inc. and</w:t>
              </w:r>
            </w:hyperlink>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Deanna Lund.</w:t>
              </w:r>
            </w:hyperlink>
          </w:p>
        </w:tc>
        <w:tc>
          <w:tcPr>
            <w:tcW w:w="280" w:type="dxa"/>
            <w:vAlign w:val="bottom"/>
            <w:gridSpan w:val="10"/>
          </w:tcPr>
          <w:p>
            <w:pPr>
              <w:spacing w:after="0"/>
              <w:rPr>
                <w:sz w:val="17"/>
                <w:szCs w:val="17"/>
                <w:color w:val="auto"/>
              </w:rPr>
            </w:pPr>
          </w:p>
        </w:tc>
        <w:tc>
          <w:tcPr>
            <w:tcW w:w="460" w:type="dxa"/>
            <w:vAlign w:val="bottom"/>
          </w:tcPr>
          <w:p>
            <w:pPr>
              <w:ind w:left="100"/>
              <w:spacing w:after="0" w:line="196" w:lineRule="exact"/>
              <w:rPr>
                <w:sz w:val="20"/>
                <w:szCs w:val="20"/>
                <w:color w:val="auto"/>
              </w:rPr>
            </w:pPr>
            <w:r>
              <w:rPr>
                <w:rFonts w:ascii="Arial" w:cs="Arial" w:eastAsia="Arial" w:hAnsi="Arial"/>
                <w:sz w:val="18"/>
                <w:szCs w:val="18"/>
                <w:color w:val="auto"/>
                <w:w w:val="84"/>
              </w:rPr>
              <w:t>10-Q</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21"/>
                <w:szCs w:val="21"/>
                <w:color w:val="auto"/>
              </w:rPr>
            </w:pPr>
          </w:p>
        </w:tc>
        <w:tc>
          <w:tcPr>
            <w:tcW w:w="4260" w:type="dxa"/>
            <w:vAlign w:val="bottom"/>
            <w:gridSpan w:val="32"/>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Sublease Agreement, dated as of December 17, 2009, by</w:t>
              </w:r>
            </w:hyperlink>
          </w:p>
        </w:tc>
        <w:tc>
          <w:tcPr>
            <w:tcW w:w="46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bottom w:val="single" w:sz="8" w:color="0000FF"/>
            </w:tcBorders>
            <w:gridSpan w:val="29"/>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and between Amylin Pharmaceuticals, Inc., as Sublessor,</w:t>
              </w:r>
            </w:hyperlink>
          </w:p>
        </w:tc>
        <w:tc>
          <w:tcPr>
            <w:tcW w:w="12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32"/>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and Kratos Defense &amp; Security Solutions, Inc., as</w:t>
              </w:r>
            </w:hyperlink>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3"/>
              </w:rPr>
            </w:pPr>
            <w:hyperlink r:id="rId38">
              <w:r>
                <w:rPr>
                  <w:rFonts w:ascii="Arial" w:cs="Arial" w:eastAsia="Arial" w:hAnsi="Arial"/>
                  <w:sz w:val="18"/>
                  <w:szCs w:val="18"/>
                  <w:color w:val="0000FF"/>
                  <w:w w:val="83"/>
                </w:rPr>
                <w:t>Sublessee.</w:t>
              </w:r>
            </w:hyperlink>
          </w:p>
        </w:tc>
        <w:tc>
          <w:tcPr>
            <w:tcW w:w="2820" w:type="dxa"/>
            <w:vAlign w:val="bottom"/>
            <w:tcBorders>
              <w:top w:val="single" w:sz="8" w:color="0000FF"/>
            </w:tcBorders>
            <w:gridSpan w:val="9"/>
          </w:tcPr>
          <w:p>
            <w:pPr>
              <w:spacing w:after="0"/>
              <w:rPr>
                <w:sz w:val="17"/>
                <w:szCs w:val="17"/>
                <w:color w:val="auto"/>
              </w:rPr>
            </w:pPr>
          </w:p>
        </w:tc>
        <w:tc>
          <w:tcPr>
            <w:tcW w:w="680" w:type="dxa"/>
            <w:vAlign w:val="bottom"/>
            <w:gridSpan w:val="21"/>
          </w:tcPr>
          <w:p>
            <w:pPr>
              <w:spacing w:after="0"/>
              <w:rPr>
                <w:sz w:val="17"/>
                <w:szCs w:val="17"/>
                <w:color w:val="auto"/>
              </w:rPr>
            </w:pPr>
          </w:p>
        </w:tc>
        <w:tc>
          <w:tcPr>
            <w:tcW w:w="460" w:type="dxa"/>
            <w:vAlign w:val="bottom"/>
          </w:tcPr>
          <w:p>
            <w:pPr>
              <w:ind w:left="100"/>
              <w:spacing w:after="0" w:line="196" w:lineRule="exact"/>
              <w:rPr>
                <w:sz w:val="20"/>
                <w:szCs w:val="20"/>
                <w:color w:val="auto"/>
              </w:rPr>
            </w:pPr>
            <w:r>
              <w:rPr>
                <w:rFonts w:ascii="Arial" w:cs="Arial" w:eastAsia="Arial" w:hAnsi="Arial"/>
                <w:sz w:val="18"/>
                <w:szCs w:val="18"/>
                <w:color w:val="auto"/>
                <w:w w:val="89"/>
              </w:rPr>
              <w:t>10-K</w:t>
            </w: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21"/>
                <w:szCs w:val="21"/>
                <w:color w:val="auto"/>
              </w:rPr>
            </w:pPr>
          </w:p>
        </w:tc>
        <w:tc>
          <w:tcPr>
            <w:tcW w:w="3740" w:type="dxa"/>
            <w:vAlign w:val="bottom"/>
            <w:tcBorders>
              <w:bottom w:val="single" w:sz="8" w:color="0000FF"/>
            </w:tcBorders>
            <w:gridSpan w:val="14"/>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Herley Industries, Inc. Amended and Restated 2010</w:t>
              </w:r>
            </w:hyperlink>
          </w:p>
        </w:tc>
        <w:tc>
          <w:tcPr>
            <w:tcW w:w="520" w:type="dxa"/>
            <w:vAlign w:val="bottom"/>
            <w:gridSpan w:val="18"/>
          </w:tcPr>
          <w:p>
            <w:pPr>
              <w:spacing w:after="0"/>
              <w:rPr>
                <w:sz w:val="21"/>
                <w:szCs w:val="21"/>
                <w:color w:val="auto"/>
              </w:rPr>
            </w:pPr>
          </w:p>
        </w:tc>
        <w:tc>
          <w:tcPr>
            <w:tcW w:w="46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4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Stock Plan, and the related Form of Notice of Grant of</w:t>
              </w:r>
            </w:hyperlink>
          </w:p>
        </w:tc>
        <w:tc>
          <w:tcPr>
            <w:tcW w:w="320" w:type="dxa"/>
            <w:vAlign w:val="bottom"/>
            <w:gridSpan w:val="12"/>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32"/>
          </w:tcPr>
          <w:p>
            <w:pPr>
              <w:spacing w:after="0" w:line="196" w:lineRule="exact"/>
              <w:rPr>
                <w:rFonts w:ascii="Arial" w:cs="Arial" w:eastAsia="Arial" w:hAnsi="Arial"/>
                <w:sz w:val="18"/>
                <w:szCs w:val="18"/>
                <w:color w:val="0000FF"/>
                <w:w w:val="96"/>
              </w:rPr>
            </w:pPr>
            <w:hyperlink r:id="rId39">
              <w:r>
                <w:rPr>
                  <w:rFonts w:ascii="Arial" w:cs="Arial" w:eastAsia="Arial" w:hAnsi="Arial"/>
                  <w:sz w:val="18"/>
                  <w:szCs w:val="18"/>
                  <w:color w:val="0000FF"/>
                  <w:w w:val="96"/>
                </w:rPr>
                <w:t>Restricted Stock Units and Restricted Stock Unit Award</w:t>
              </w:r>
            </w:hyperlink>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Agreement.</w:t>
              </w:r>
            </w:hyperlink>
          </w:p>
        </w:tc>
        <w:tc>
          <w:tcPr>
            <w:tcW w:w="220" w:type="dxa"/>
            <w:vAlign w:val="bottom"/>
            <w:gridSpan w:val="7"/>
          </w:tcPr>
          <w:p>
            <w:pPr>
              <w:spacing w:after="0"/>
              <w:rPr>
                <w:sz w:val="17"/>
                <w:szCs w:val="17"/>
                <w:color w:val="auto"/>
              </w:rPr>
            </w:pPr>
          </w:p>
        </w:tc>
        <w:tc>
          <w:tcPr>
            <w:tcW w:w="460" w:type="dxa"/>
            <w:vAlign w:val="bottom"/>
          </w:tcPr>
          <w:p>
            <w:pPr>
              <w:ind w:left="100"/>
              <w:spacing w:after="0" w:line="196" w:lineRule="exact"/>
              <w:rPr>
                <w:sz w:val="20"/>
                <w:szCs w:val="20"/>
                <w:color w:val="auto"/>
              </w:rPr>
            </w:pPr>
            <w:r>
              <w:rPr>
                <w:rFonts w:ascii="Arial" w:cs="Arial" w:eastAsia="Arial" w:hAnsi="Arial"/>
                <w:sz w:val="18"/>
                <w:szCs w:val="18"/>
                <w:color w:val="auto"/>
              </w:rPr>
              <w:t>S-8</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21"/>
                <w:szCs w:val="21"/>
                <w:color w:val="auto"/>
              </w:rPr>
            </w:pPr>
          </w:p>
        </w:tc>
        <w:tc>
          <w:tcPr>
            <w:tcW w:w="4260" w:type="dxa"/>
            <w:vAlign w:val="bottom"/>
            <w:gridSpan w:val="32"/>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Amended and Restated Integral Systems, Inc. 2008 Stock</w:t>
              </w:r>
            </w:hyperlink>
          </w:p>
        </w:tc>
        <w:tc>
          <w:tcPr>
            <w:tcW w:w="46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Incentive Plan, and the related Form of Notice of Grant</w:t>
              </w:r>
            </w:hyperlink>
          </w:p>
        </w:tc>
        <w:tc>
          <w:tcPr>
            <w:tcW w:w="140" w:type="dxa"/>
            <w:vAlign w:val="bottom"/>
            <w:tcBorders>
              <w:top w:val="single" w:sz="8" w:color="0000FF"/>
            </w:tcBorders>
            <w:gridSpan w:val="6"/>
          </w:tcPr>
          <w:p>
            <w:pPr>
              <w:spacing w:after="0"/>
              <w:rPr>
                <w:sz w:val="17"/>
                <w:szCs w:val="17"/>
                <w:color w:val="auto"/>
              </w:rPr>
            </w:pPr>
          </w:p>
        </w:tc>
        <w:tc>
          <w:tcPr>
            <w:tcW w:w="12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of Restricted Stock Units and Restricted Stock Units and</w:t>
              </w:r>
            </w:hyperlink>
          </w:p>
        </w:tc>
        <w:tc>
          <w:tcPr>
            <w:tcW w:w="16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32"/>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Restricted Stock Unit Award Agreement.</w:t>
              </w:r>
            </w:hyperlink>
          </w:p>
        </w:tc>
        <w:tc>
          <w:tcPr>
            <w:tcW w:w="460" w:type="dxa"/>
            <w:vAlign w:val="bottom"/>
          </w:tcPr>
          <w:p>
            <w:pPr>
              <w:ind w:left="100"/>
              <w:spacing w:after="0" w:line="196" w:lineRule="exact"/>
              <w:rPr>
                <w:sz w:val="20"/>
                <w:szCs w:val="20"/>
                <w:color w:val="auto"/>
              </w:rPr>
            </w:pPr>
            <w:r>
              <w:rPr>
                <w:rFonts w:ascii="Arial" w:cs="Arial" w:eastAsia="Arial" w:hAnsi="Arial"/>
                <w:sz w:val="18"/>
                <w:szCs w:val="18"/>
                <w:color w:val="auto"/>
              </w:rPr>
              <w:t>S-8</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21"/>
                <w:szCs w:val="21"/>
                <w:color w:val="auto"/>
              </w:rPr>
            </w:pPr>
          </w:p>
        </w:tc>
        <w:tc>
          <w:tcPr>
            <w:tcW w:w="4260" w:type="dxa"/>
            <w:vAlign w:val="bottom"/>
            <w:gridSpan w:val="32"/>
          </w:tcPr>
          <w:p>
            <w:pPr>
              <w:spacing w:after="0"/>
              <w:rPr>
                <w:rFonts w:ascii="Arial" w:cs="Arial" w:eastAsia="Arial" w:hAnsi="Arial"/>
                <w:sz w:val="18"/>
                <w:szCs w:val="18"/>
                <w:color w:val="0000FF"/>
              </w:rPr>
            </w:pPr>
            <w:hyperlink r:id="rId41">
              <w:r>
                <w:rPr>
                  <w:rFonts w:ascii="Arial" w:cs="Arial" w:eastAsia="Arial" w:hAnsi="Arial"/>
                  <w:sz w:val="18"/>
                  <w:szCs w:val="18"/>
                  <w:color w:val="0000FF"/>
                </w:rPr>
                <w:t>Standstill Agreement, dated May 14, 2012, between</w:t>
              </w:r>
            </w:hyperlink>
          </w:p>
        </w:tc>
        <w:tc>
          <w:tcPr>
            <w:tcW w:w="46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Kratos Defense &amp; Security Solutions, Inc., Bandel</w:t>
              </w:r>
            </w:hyperlink>
          </w:p>
        </w:tc>
        <w:tc>
          <w:tcPr>
            <w:tcW w:w="100" w:type="dxa"/>
            <w:vAlign w:val="bottom"/>
            <w:tcBorders>
              <w:top w:val="single" w:sz="8" w:color="0000FF"/>
            </w:tcBorders>
          </w:tcPr>
          <w:p>
            <w:pPr>
              <w:spacing w:after="0"/>
              <w:rPr>
                <w:sz w:val="17"/>
                <w:szCs w:val="17"/>
                <w:color w:val="auto"/>
              </w:rPr>
            </w:pPr>
          </w:p>
        </w:tc>
        <w:tc>
          <w:tcPr>
            <w:tcW w:w="520" w:type="dxa"/>
            <w:vAlign w:val="bottom"/>
            <w:gridSpan w:val="18"/>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Carano, Oak Investment Partners IX, L.P., Oak IX</w:t>
              </w:r>
            </w:hyperlink>
          </w:p>
        </w:tc>
        <w:tc>
          <w:tcPr>
            <w:tcW w:w="620" w:type="dxa"/>
            <w:vAlign w:val="bottom"/>
            <w:gridSpan w:val="19"/>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tcBorders>
              <w:bottom w:val="single" w:sz="8" w:color="0000FF"/>
            </w:tcBorders>
            <w:gridSpan w:val="31"/>
          </w:tcPr>
          <w:p>
            <w:pPr>
              <w:spacing w:after="0" w:line="196" w:lineRule="exact"/>
              <w:rPr>
                <w:rFonts w:ascii="Arial" w:cs="Arial" w:eastAsia="Arial" w:hAnsi="Arial"/>
                <w:sz w:val="18"/>
                <w:szCs w:val="18"/>
                <w:color w:val="0000FF"/>
                <w:w w:val="94"/>
              </w:rPr>
            </w:pPr>
            <w:hyperlink r:id="rId41">
              <w:r>
                <w:rPr>
                  <w:rFonts w:ascii="Arial" w:cs="Arial" w:eastAsia="Arial" w:hAnsi="Arial"/>
                  <w:sz w:val="18"/>
                  <w:szCs w:val="18"/>
                  <w:color w:val="0000FF"/>
                  <w:w w:val="94"/>
                </w:rPr>
                <w:t>Affiliates Fund, L.P., Oak IX Affiliates Fund-A, L.P., Oak</w:t>
              </w:r>
            </w:hyperlink>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gridSpan w:val="28"/>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X Affiliates Fund, L.P., Oak Investment Partners X, L.P.,</w:t>
              </w:r>
            </w:hyperlink>
          </w:p>
        </w:tc>
        <w:tc>
          <w:tcPr>
            <w:tcW w:w="14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and Oak Investment Partners XIII, L.P.</w:t>
              </w:r>
            </w:hyperlink>
          </w:p>
        </w:tc>
        <w:tc>
          <w:tcPr>
            <w:tcW w:w="1440" w:type="dxa"/>
            <w:vAlign w:val="bottom"/>
            <w:gridSpan w:val="23"/>
          </w:tcPr>
          <w:p>
            <w:pPr>
              <w:spacing w:after="0"/>
              <w:rPr>
                <w:sz w:val="17"/>
                <w:szCs w:val="17"/>
                <w:color w:val="auto"/>
              </w:rPr>
            </w:pPr>
          </w:p>
        </w:tc>
        <w:tc>
          <w:tcPr>
            <w:tcW w:w="460" w:type="dxa"/>
            <w:vAlign w:val="bottom"/>
          </w:tcPr>
          <w:p>
            <w:pPr>
              <w:ind w:left="100"/>
              <w:spacing w:after="0" w:line="196" w:lineRule="exact"/>
              <w:rPr>
                <w:sz w:val="20"/>
                <w:szCs w:val="20"/>
                <w:color w:val="auto"/>
              </w:rPr>
            </w:pPr>
            <w:r>
              <w:rPr>
                <w:rFonts w:ascii="Arial" w:cs="Arial" w:eastAsia="Arial" w:hAnsi="Arial"/>
                <w:sz w:val="18"/>
                <w:szCs w:val="18"/>
                <w:color w:val="auto"/>
              </w:rPr>
              <w:t>8-K</w:t>
            </w: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21"/>
                <w:szCs w:val="21"/>
                <w:color w:val="auto"/>
              </w:rPr>
            </w:pPr>
          </w:p>
        </w:tc>
        <w:tc>
          <w:tcPr>
            <w:tcW w:w="3940" w:type="dxa"/>
            <w:vAlign w:val="bottom"/>
            <w:tcBorders>
              <w:bottom w:val="single" w:sz="8" w:color="0000FF"/>
            </w:tcBorders>
            <w:gridSpan w:val="20"/>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Form of Notice of Grant of Restricted Stock Units and</w:t>
              </w:r>
            </w:hyperlink>
          </w:p>
        </w:tc>
        <w:tc>
          <w:tcPr>
            <w:tcW w:w="320" w:type="dxa"/>
            <w:vAlign w:val="bottom"/>
            <w:gridSpan w:val="12"/>
          </w:tcPr>
          <w:p>
            <w:pPr>
              <w:spacing w:after="0"/>
              <w:rPr>
                <w:sz w:val="21"/>
                <w:szCs w:val="21"/>
                <w:color w:val="auto"/>
              </w:rPr>
            </w:pPr>
          </w:p>
        </w:tc>
        <w:tc>
          <w:tcPr>
            <w:tcW w:w="46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Restricted Stock Unit Award Agreement, entered into</w:t>
              </w:r>
            </w:hyperlink>
          </w:p>
        </w:tc>
        <w:tc>
          <w:tcPr>
            <w:tcW w:w="380" w:type="dxa"/>
            <w:vAlign w:val="bottom"/>
            <w:gridSpan w:val="15"/>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32"/>
          </w:tcPr>
          <w:p>
            <w:pPr>
              <w:spacing w:after="0" w:line="196" w:lineRule="exact"/>
              <w:rPr>
                <w:rFonts w:ascii="Arial" w:cs="Arial" w:eastAsia="Arial" w:hAnsi="Arial"/>
                <w:sz w:val="18"/>
                <w:szCs w:val="18"/>
                <w:color w:val="0000FF"/>
                <w:w w:val="96"/>
              </w:rPr>
            </w:pPr>
            <w:hyperlink r:id="rId42">
              <w:r>
                <w:rPr>
                  <w:rFonts w:ascii="Arial" w:cs="Arial" w:eastAsia="Arial" w:hAnsi="Arial"/>
                  <w:sz w:val="18"/>
                  <w:szCs w:val="18"/>
                  <w:color w:val="0000FF"/>
                  <w:w w:val="96"/>
                </w:rPr>
                <w:t>between Kratos Defense &amp; Security Solutions, Inc. and</w:t>
              </w:r>
            </w:hyperlink>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certain employees of Composite Engineering, Inc.</w:t>
              </w:r>
            </w:hyperlink>
          </w:p>
        </w:tc>
        <w:tc>
          <w:tcPr>
            <w:tcW w:w="360" w:type="dxa"/>
            <w:vAlign w:val="bottom"/>
            <w:tcBorders>
              <w:top w:val="single" w:sz="8" w:color="0000FF"/>
            </w:tcBorders>
            <w:gridSpan w:val="10"/>
          </w:tcPr>
          <w:p>
            <w:pPr>
              <w:spacing w:after="0"/>
              <w:rPr>
                <w:sz w:val="17"/>
                <w:szCs w:val="17"/>
                <w:color w:val="auto"/>
              </w:rPr>
            </w:pPr>
          </w:p>
        </w:tc>
        <w:tc>
          <w:tcPr>
            <w:tcW w:w="280" w:type="dxa"/>
            <w:vAlign w:val="bottom"/>
            <w:gridSpan w:val="10"/>
          </w:tcPr>
          <w:p>
            <w:pPr>
              <w:spacing w:after="0"/>
              <w:rPr>
                <w:sz w:val="17"/>
                <w:szCs w:val="17"/>
                <w:color w:val="auto"/>
              </w:rPr>
            </w:pPr>
          </w:p>
        </w:tc>
        <w:tc>
          <w:tcPr>
            <w:tcW w:w="460" w:type="dxa"/>
            <w:vAlign w:val="bottom"/>
          </w:tcPr>
          <w:p>
            <w:pPr>
              <w:ind w:left="100"/>
              <w:spacing w:after="0" w:line="196" w:lineRule="exact"/>
              <w:rPr>
                <w:sz w:val="20"/>
                <w:szCs w:val="20"/>
                <w:color w:val="auto"/>
              </w:rPr>
            </w:pPr>
            <w:r>
              <w:rPr>
                <w:rFonts w:ascii="Arial" w:cs="Arial" w:eastAsia="Arial" w:hAnsi="Arial"/>
                <w:sz w:val="18"/>
                <w:szCs w:val="18"/>
                <w:color w:val="auto"/>
              </w:rPr>
              <w:t>S-8</w:t>
            </w: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21"/>
                <w:szCs w:val="21"/>
                <w:color w:val="auto"/>
              </w:rPr>
            </w:pPr>
          </w:p>
        </w:tc>
        <w:tc>
          <w:tcPr>
            <w:tcW w:w="3960" w:type="dxa"/>
            <w:vAlign w:val="bottom"/>
            <w:tcBorders>
              <w:bottom w:val="single" w:sz="8" w:color="0000FF"/>
            </w:tcBorders>
            <w:gridSpan w:val="21"/>
          </w:tcPr>
          <w:p>
            <w:pPr>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Employment Agreement, effective January 1, 2015, by</w:t>
              </w:r>
            </w:hyperlink>
          </w:p>
        </w:tc>
        <w:tc>
          <w:tcPr>
            <w:tcW w:w="300" w:type="dxa"/>
            <w:vAlign w:val="bottom"/>
            <w:gridSpan w:val="11"/>
          </w:tcPr>
          <w:p>
            <w:pPr>
              <w:spacing w:after="0"/>
              <w:rPr>
                <w:sz w:val="21"/>
                <w:szCs w:val="21"/>
                <w:color w:val="auto"/>
              </w:rPr>
            </w:pPr>
          </w:p>
        </w:tc>
        <w:tc>
          <w:tcPr>
            <w:tcW w:w="46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32"/>
          </w:tcPr>
          <w:p>
            <w:pPr>
              <w:spacing w:after="0" w:line="196" w:lineRule="exact"/>
              <w:rPr>
                <w:rFonts w:ascii="Arial" w:cs="Arial" w:eastAsia="Arial" w:hAnsi="Arial"/>
                <w:sz w:val="18"/>
                <w:szCs w:val="18"/>
                <w:color w:val="0000FF"/>
                <w:w w:val="96"/>
              </w:rPr>
            </w:pPr>
            <w:hyperlink r:id="rId43">
              <w:r>
                <w:rPr>
                  <w:rFonts w:ascii="Arial" w:cs="Arial" w:eastAsia="Arial" w:hAnsi="Arial"/>
                  <w:sz w:val="18"/>
                  <w:szCs w:val="18"/>
                  <w:color w:val="0000FF"/>
                  <w:w w:val="96"/>
                </w:rPr>
                <w:t>and between Kratos Defense &amp; Security Solutions, Inc.</w:t>
              </w:r>
            </w:hyperlink>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and Richard Poirier.</w:t>
              </w:r>
            </w:hyperlink>
          </w:p>
        </w:tc>
        <w:tc>
          <w:tcPr>
            <w:tcW w:w="280" w:type="dxa"/>
            <w:vAlign w:val="bottom"/>
            <w:gridSpan w:val="10"/>
          </w:tcPr>
          <w:p>
            <w:pPr>
              <w:spacing w:after="0"/>
              <w:rPr>
                <w:sz w:val="17"/>
                <w:szCs w:val="17"/>
                <w:color w:val="auto"/>
              </w:rPr>
            </w:pPr>
          </w:p>
        </w:tc>
        <w:tc>
          <w:tcPr>
            <w:tcW w:w="460" w:type="dxa"/>
            <w:vAlign w:val="bottom"/>
          </w:tcPr>
          <w:p>
            <w:pPr>
              <w:ind w:left="100"/>
              <w:spacing w:after="0" w:line="196" w:lineRule="exact"/>
              <w:rPr>
                <w:sz w:val="20"/>
                <w:szCs w:val="20"/>
                <w:color w:val="auto"/>
              </w:rPr>
            </w:pPr>
            <w:r>
              <w:rPr>
                <w:rFonts w:ascii="Arial" w:cs="Arial" w:eastAsia="Arial" w:hAnsi="Arial"/>
                <w:sz w:val="18"/>
                <w:szCs w:val="18"/>
                <w:color w:val="auto"/>
              </w:rPr>
              <w:t>8-K</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21"/>
                <w:szCs w:val="21"/>
                <w:color w:val="auto"/>
              </w:rPr>
            </w:pPr>
          </w:p>
        </w:tc>
        <w:tc>
          <w:tcPr>
            <w:tcW w:w="3980" w:type="dxa"/>
            <w:vAlign w:val="bottom"/>
            <w:tcBorders>
              <w:bottom w:val="single" w:sz="8" w:color="0000FF"/>
            </w:tcBorders>
            <w:gridSpan w:val="22"/>
          </w:tcPr>
          <w:p>
            <w:pPr>
              <w:spacing w:after="0"/>
              <w:rPr>
                <w:rFonts w:ascii="Arial" w:cs="Arial" w:eastAsia="Arial" w:hAnsi="Arial"/>
                <w:sz w:val="18"/>
                <w:szCs w:val="18"/>
                <w:color w:val="0000FF"/>
                <w:w w:val="88"/>
              </w:rPr>
            </w:pPr>
            <w:hyperlink r:id="rId44">
              <w:r>
                <w:rPr>
                  <w:rFonts w:ascii="Arial" w:cs="Arial" w:eastAsia="Arial" w:hAnsi="Arial"/>
                  <w:sz w:val="18"/>
                  <w:szCs w:val="18"/>
                  <w:color w:val="0000FF"/>
                  <w:w w:val="88"/>
                </w:rPr>
                <w:t>Bonus Agreement, dated June 1, 2015, by and between</w:t>
              </w:r>
            </w:hyperlink>
          </w:p>
        </w:tc>
        <w:tc>
          <w:tcPr>
            <w:tcW w:w="280" w:type="dxa"/>
            <w:vAlign w:val="bottom"/>
            <w:gridSpan w:val="10"/>
          </w:tcPr>
          <w:p>
            <w:pPr>
              <w:spacing w:after="0"/>
              <w:rPr>
                <w:sz w:val="21"/>
                <w:szCs w:val="21"/>
                <w:color w:val="auto"/>
              </w:rPr>
            </w:pPr>
          </w:p>
        </w:tc>
        <w:tc>
          <w:tcPr>
            <w:tcW w:w="46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Kratos Defense &amp; Security Solutions, Inc. and Richard</w:t>
              </w:r>
            </w:hyperlink>
          </w:p>
        </w:tc>
        <w:tc>
          <w:tcPr>
            <w:tcW w:w="280" w:type="dxa"/>
            <w:vAlign w:val="bottom"/>
            <w:gridSpan w:val="10"/>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32"/>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Poirier.</w:t>
              </w:r>
            </w:hyperlink>
          </w:p>
        </w:tc>
        <w:tc>
          <w:tcPr>
            <w:tcW w:w="460" w:type="dxa"/>
            <w:vAlign w:val="bottom"/>
          </w:tcPr>
          <w:p>
            <w:pPr>
              <w:ind w:left="100"/>
              <w:spacing w:after="0" w:line="196" w:lineRule="exact"/>
              <w:rPr>
                <w:sz w:val="20"/>
                <w:szCs w:val="20"/>
                <w:color w:val="auto"/>
              </w:rPr>
            </w:pPr>
            <w:r>
              <w:rPr>
                <w:rFonts w:ascii="Arial" w:cs="Arial" w:eastAsia="Arial" w:hAnsi="Arial"/>
                <w:sz w:val="18"/>
                <w:szCs w:val="18"/>
                <w:color w:val="auto"/>
              </w:rPr>
              <w:t>8-K</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21"/>
                <w:szCs w:val="21"/>
                <w:color w:val="auto"/>
              </w:rPr>
            </w:pPr>
          </w:p>
        </w:tc>
        <w:tc>
          <w:tcPr>
            <w:tcW w:w="3920" w:type="dxa"/>
            <w:vAlign w:val="bottom"/>
            <w:tcBorders>
              <w:bottom w:val="single" w:sz="8" w:color="0000FF"/>
            </w:tcBorders>
            <w:gridSpan w:val="19"/>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Employment Agreement, effective August 5, 2016, by</w:t>
              </w:r>
            </w:hyperlink>
          </w:p>
        </w:tc>
        <w:tc>
          <w:tcPr>
            <w:tcW w:w="340" w:type="dxa"/>
            <w:vAlign w:val="bottom"/>
            <w:gridSpan w:val="13"/>
          </w:tcPr>
          <w:p>
            <w:pPr>
              <w:spacing w:after="0"/>
              <w:rPr>
                <w:sz w:val="21"/>
                <w:szCs w:val="21"/>
                <w:color w:val="auto"/>
              </w:rPr>
            </w:pPr>
          </w:p>
        </w:tc>
        <w:tc>
          <w:tcPr>
            <w:tcW w:w="46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32"/>
          </w:tcPr>
          <w:p>
            <w:pPr>
              <w:spacing w:after="0" w:line="196" w:lineRule="exact"/>
              <w:rPr>
                <w:rFonts w:ascii="Arial" w:cs="Arial" w:eastAsia="Arial" w:hAnsi="Arial"/>
                <w:sz w:val="18"/>
                <w:szCs w:val="18"/>
                <w:color w:val="0000FF"/>
                <w:w w:val="96"/>
              </w:rPr>
            </w:pPr>
            <w:hyperlink r:id="rId45">
              <w:r>
                <w:rPr>
                  <w:rFonts w:ascii="Arial" w:cs="Arial" w:eastAsia="Arial" w:hAnsi="Arial"/>
                  <w:sz w:val="18"/>
                  <w:szCs w:val="18"/>
                  <w:color w:val="0000FF"/>
                  <w:w w:val="96"/>
                </w:rPr>
                <w:t>and between Kratos Defense &amp; Security Solutions, Inc.</w:t>
              </w:r>
            </w:hyperlink>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7"/>
              </w:rPr>
            </w:pPr>
            <w:hyperlink r:id="rId45">
              <w:r>
                <w:rPr>
                  <w:rFonts w:ascii="Arial" w:cs="Arial" w:eastAsia="Arial" w:hAnsi="Arial"/>
                  <w:sz w:val="18"/>
                  <w:szCs w:val="18"/>
                  <w:color w:val="0000FF"/>
                  <w:w w:val="87"/>
                </w:rPr>
                <w:t>and Gerald Beaman.</w:t>
              </w:r>
            </w:hyperlink>
          </w:p>
        </w:tc>
        <w:tc>
          <w:tcPr>
            <w:tcW w:w="2500" w:type="dxa"/>
            <w:vAlign w:val="bottom"/>
            <w:tcBorders>
              <w:top w:val="single" w:sz="8" w:color="0000FF"/>
            </w:tcBorders>
            <w:gridSpan w:val="14"/>
          </w:tcPr>
          <w:p>
            <w:pPr>
              <w:spacing w:after="0"/>
              <w:rPr>
                <w:sz w:val="17"/>
                <w:szCs w:val="17"/>
                <w:color w:val="auto"/>
              </w:rPr>
            </w:pPr>
          </w:p>
        </w:tc>
        <w:tc>
          <w:tcPr>
            <w:tcW w:w="280" w:type="dxa"/>
            <w:vAlign w:val="bottom"/>
            <w:gridSpan w:val="10"/>
          </w:tcPr>
          <w:p>
            <w:pPr>
              <w:spacing w:after="0"/>
              <w:rPr>
                <w:sz w:val="17"/>
                <w:szCs w:val="17"/>
                <w:color w:val="auto"/>
              </w:rPr>
            </w:pPr>
          </w:p>
        </w:tc>
        <w:tc>
          <w:tcPr>
            <w:tcW w:w="460" w:type="dxa"/>
            <w:vAlign w:val="bottom"/>
          </w:tcPr>
          <w:p>
            <w:pPr>
              <w:ind w:left="100"/>
              <w:spacing w:after="0" w:line="196" w:lineRule="exact"/>
              <w:rPr>
                <w:sz w:val="20"/>
                <w:szCs w:val="20"/>
                <w:color w:val="auto"/>
              </w:rPr>
            </w:pPr>
            <w:r>
              <w:rPr>
                <w:rFonts w:ascii="Arial" w:cs="Arial" w:eastAsia="Arial" w:hAnsi="Arial"/>
                <w:sz w:val="18"/>
                <w:szCs w:val="18"/>
                <w:color w:val="auto"/>
              </w:rPr>
              <w:t>8-K</w:t>
            </w: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21"/>
                <w:szCs w:val="21"/>
                <w:color w:val="auto"/>
              </w:rPr>
            </w:pPr>
          </w:p>
        </w:tc>
        <w:tc>
          <w:tcPr>
            <w:tcW w:w="3960" w:type="dxa"/>
            <w:vAlign w:val="bottom"/>
            <w:tcBorders>
              <w:bottom w:val="single" w:sz="8" w:color="0000FF"/>
            </w:tcBorders>
            <w:gridSpan w:val="21"/>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Employment Agreement, effective January 1, 2017, by</w:t>
              </w:r>
            </w:hyperlink>
          </w:p>
        </w:tc>
        <w:tc>
          <w:tcPr>
            <w:tcW w:w="300" w:type="dxa"/>
            <w:vAlign w:val="bottom"/>
            <w:gridSpan w:val="11"/>
          </w:tcPr>
          <w:p>
            <w:pPr>
              <w:spacing w:after="0"/>
              <w:rPr>
                <w:sz w:val="21"/>
                <w:szCs w:val="21"/>
                <w:color w:val="auto"/>
              </w:rPr>
            </w:pPr>
          </w:p>
        </w:tc>
        <w:tc>
          <w:tcPr>
            <w:tcW w:w="46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32"/>
          </w:tcPr>
          <w:p>
            <w:pPr>
              <w:spacing w:after="0" w:line="196" w:lineRule="exact"/>
              <w:rPr>
                <w:rFonts w:ascii="Arial" w:cs="Arial" w:eastAsia="Arial" w:hAnsi="Arial"/>
                <w:sz w:val="18"/>
                <w:szCs w:val="18"/>
                <w:color w:val="0000FF"/>
                <w:w w:val="96"/>
              </w:rPr>
            </w:pPr>
            <w:hyperlink r:id="rId46">
              <w:r>
                <w:rPr>
                  <w:rFonts w:ascii="Arial" w:cs="Arial" w:eastAsia="Arial" w:hAnsi="Arial"/>
                  <w:sz w:val="18"/>
                  <w:szCs w:val="18"/>
                  <w:color w:val="0000FF"/>
                  <w:w w:val="96"/>
                </w:rPr>
                <w:t>and between Kratos Defense &amp; Security Solutions, Inc.</w:t>
              </w:r>
            </w:hyperlink>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and Phil Carrai.</w:t>
              </w:r>
            </w:hyperlink>
          </w:p>
        </w:tc>
        <w:tc>
          <w:tcPr>
            <w:tcW w:w="2840" w:type="dxa"/>
            <w:vAlign w:val="bottom"/>
            <w:tcBorders>
              <w:top w:val="single" w:sz="8" w:color="0000FF"/>
            </w:tcBorders>
            <w:gridSpan w:val="17"/>
          </w:tcPr>
          <w:p>
            <w:pPr>
              <w:spacing w:after="0"/>
              <w:rPr>
                <w:sz w:val="17"/>
                <w:szCs w:val="17"/>
                <w:color w:val="auto"/>
              </w:rPr>
            </w:pPr>
          </w:p>
        </w:tc>
        <w:tc>
          <w:tcPr>
            <w:tcW w:w="280" w:type="dxa"/>
            <w:vAlign w:val="bottom"/>
            <w:gridSpan w:val="10"/>
          </w:tcPr>
          <w:p>
            <w:pPr>
              <w:spacing w:after="0"/>
              <w:rPr>
                <w:sz w:val="17"/>
                <w:szCs w:val="17"/>
                <w:color w:val="auto"/>
              </w:rPr>
            </w:pPr>
          </w:p>
        </w:tc>
        <w:tc>
          <w:tcPr>
            <w:tcW w:w="460" w:type="dxa"/>
            <w:vAlign w:val="bottom"/>
          </w:tcPr>
          <w:p>
            <w:pPr>
              <w:ind w:left="100"/>
              <w:spacing w:after="0" w:line="196" w:lineRule="exact"/>
              <w:rPr>
                <w:sz w:val="20"/>
                <w:szCs w:val="20"/>
                <w:color w:val="auto"/>
              </w:rPr>
            </w:pPr>
            <w:r>
              <w:rPr>
                <w:rFonts w:ascii="Arial" w:cs="Arial" w:eastAsia="Arial" w:hAnsi="Arial"/>
                <w:sz w:val="18"/>
                <w:szCs w:val="18"/>
                <w:color w:val="auto"/>
              </w:rPr>
              <w:t>8-K</w:t>
            </w: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21"/>
                <w:szCs w:val="21"/>
                <w:color w:val="auto"/>
              </w:rPr>
            </w:pPr>
          </w:p>
        </w:tc>
        <w:tc>
          <w:tcPr>
            <w:tcW w:w="4260" w:type="dxa"/>
            <w:vAlign w:val="bottom"/>
            <w:gridSpan w:val="32"/>
          </w:tcPr>
          <w:p>
            <w:pPr>
              <w:spacing w:after="0"/>
              <w:rPr>
                <w:rFonts w:ascii="Arial" w:cs="Arial" w:eastAsia="Arial" w:hAnsi="Arial"/>
                <w:sz w:val="18"/>
                <w:szCs w:val="18"/>
                <w:color w:val="0000FF"/>
              </w:rPr>
            </w:pPr>
            <w:hyperlink r:id="rId19">
              <w:r>
                <w:rPr>
                  <w:rFonts w:ascii="Arial" w:cs="Arial" w:eastAsia="Arial" w:hAnsi="Arial"/>
                  <w:sz w:val="18"/>
                  <w:szCs w:val="18"/>
                  <w:color w:val="0000FF"/>
                </w:rPr>
                <w:t>Credit and Security Agreement, dated as of May 14,</w:t>
              </w:r>
            </w:hyperlink>
          </w:p>
        </w:tc>
        <w:tc>
          <w:tcPr>
            <w:tcW w:w="46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32"/>
          </w:tcPr>
          <w:p>
            <w:pPr>
              <w:spacing w:after="0" w:line="196" w:lineRule="exact"/>
              <w:rPr>
                <w:rFonts w:ascii="Arial" w:cs="Arial" w:eastAsia="Arial" w:hAnsi="Arial"/>
                <w:sz w:val="18"/>
                <w:szCs w:val="18"/>
                <w:color w:val="0000FF"/>
                <w:w w:val="95"/>
              </w:rPr>
            </w:pPr>
            <w:hyperlink r:id="rId19">
              <w:r>
                <w:rPr>
                  <w:rFonts w:ascii="Arial" w:cs="Arial" w:eastAsia="Arial" w:hAnsi="Arial"/>
                  <w:sz w:val="18"/>
                  <w:szCs w:val="18"/>
                  <w:color w:val="0000FF"/>
                  <w:w w:val="95"/>
                </w:rPr>
                <w:t>2014, among Kratos Defense &amp; Security Solutions, Inc.,</w:t>
              </w:r>
            </w:hyperlink>
          </w:p>
        </w:tc>
        <w:tc>
          <w:tcPr>
            <w:tcW w:w="4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as Borrower, the Lenders named therein, SunTrust Bank,</w:t>
              </w:r>
            </w:hyperlink>
          </w:p>
        </w:tc>
        <w:tc>
          <w:tcPr>
            <w:tcW w:w="16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32"/>
          </w:tcPr>
          <w:p>
            <w:pPr>
              <w:spacing w:after="0" w:line="196"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as Agent, PNC Bank, National Association, as Joint Lead</w:t>
              </w:r>
            </w:hyperlink>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29"/>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Arranger and Documentation Agent, and SunTrust</w:t>
              </w:r>
            </w:hyperlink>
          </w:p>
        </w:tc>
        <w:tc>
          <w:tcPr>
            <w:tcW w:w="12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32"/>
          </w:tcPr>
          <w:p>
            <w:pPr>
              <w:spacing w:after="0" w:line="196" w:lineRule="exact"/>
              <w:rPr>
                <w:rFonts w:ascii="Arial" w:cs="Arial" w:eastAsia="Arial" w:hAnsi="Arial"/>
                <w:sz w:val="18"/>
                <w:szCs w:val="18"/>
                <w:color w:val="0000FF"/>
                <w:w w:val="98"/>
              </w:rPr>
            </w:pPr>
            <w:hyperlink r:id="rId19">
              <w:r>
                <w:rPr>
                  <w:rFonts w:ascii="Arial" w:cs="Arial" w:eastAsia="Arial" w:hAnsi="Arial"/>
                  <w:sz w:val="18"/>
                  <w:szCs w:val="18"/>
                  <w:color w:val="0000FF"/>
                  <w:w w:val="98"/>
                </w:rPr>
                <w:t>Robinson Humphrey, Inc., as Joint Lead Arranger and</w:t>
              </w:r>
            </w:hyperlink>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Sole Book Runner.</w:t>
              </w:r>
            </w:hyperlink>
          </w:p>
        </w:tc>
        <w:tc>
          <w:tcPr>
            <w:tcW w:w="360" w:type="dxa"/>
            <w:vAlign w:val="bottom"/>
            <w:gridSpan w:val="14"/>
          </w:tcPr>
          <w:p>
            <w:pPr>
              <w:spacing w:after="0"/>
              <w:rPr>
                <w:sz w:val="17"/>
                <w:szCs w:val="17"/>
                <w:color w:val="auto"/>
              </w:rPr>
            </w:pPr>
          </w:p>
        </w:tc>
        <w:tc>
          <w:tcPr>
            <w:tcW w:w="460" w:type="dxa"/>
            <w:vAlign w:val="bottom"/>
          </w:tcPr>
          <w:p>
            <w:pPr>
              <w:ind w:left="100"/>
              <w:spacing w:after="0" w:line="196" w:lineRule="exact"/>
              <w:rPr>
                <w:sz w:val="20"/>
                <w:szCs w:val="20"/>
                <w:color w:val="auto"/>
              </w:rPr>
            </w:pPr>
            <w:r>
              <w:rPr>
                <w:rFonts w:ascii="Arial" w:cs="Arial" w:eastAsia="Arial" w:hAnsi="Arial"/>
                <w:sz w:val="18"/>
                <w:szCs w:val="18"/>
                <w:color w:val="auto"/>
              </w:rPr>
              <w:t>8-K</w:t>
            </w: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21"/>
                <w:szCs w:val="21"/>
                <w:color w:val="auto"/>
              </w:rPr>
            </w:pPr>
          </w:p>
        </w:tc>
        <w:tc>
          <w:tcPr>
            <w:tcW w:w="3860" w:type="dxa"/>
            <w:vAlign w:val="bottom"/>
            <w:tcBorders>
              <w:bottom w:val="single" w:sz="8" w:color="0000FF"/>
            </w:tcBorders>
            <w:gridSpan w:val="16"/>
          </w:tcPr>
          <w:p>
            <w:pPr>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Third Amendment to Credit and Security Agreement,</w:t>
              </w:r>
            </w:hyperlink>
          </w:p>
        </w:tc>
        <w:tc>
          <w:tcPr>
            <w:tcW w:w="400" w:type="dxa"/>
            <w:vAlign w:val="bottom"/>
            <w:gridSpan w:val="16"/>
          </w:tcPr>
          <w:p>
            <w:pPr>
              <w:spacing w:after="0"/>
              <w:rPr>
                <w:sz w:val="21"/>
                <w:szCs w:val="21"/>
                <w:color w:val="auto"/>
              </w:rPr>
            </w:pPr>
          </w:p>
        </w:tc>
        <w:tc>
          <w:tcPr>
            <w:tcW w:w="460" w:type="dxa"/>
            <w:vAlign w:val="bottom"/>
          </w:tcPr>
          <w:p>
            <w:pPr>
              <w:spacing w:after="0"/>
              <w:rPr>
                <w:sz w:val="21"/>
                <w:szCs w:val="2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dated May 31, 2015, among Kratos Defense &amp; Security</w:t>
              </w:r>
            </w:hyperlink>
          </w:p>
        </w:tc>
        <w:tc>
          <w:tcPr>
            <w:tcW w:w="240" w:type="dxa"/>
            <w:vAlign w:val="bottom"/>
            <w:gridSpan w:val="8"/>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32"/>
          </w:tcPr>
          <w:p>
            <w:pPr>
              <w:spacing w:after="0" w:line="196" w:lineRule="exact"/>
              <w:rPr>
                <w:rFonts w:ascii="Arial" w:cs="Arial" w:eastAsia="Arial" w:hAnsi="Arial"/>
                <w:sz w:val="18"/>
                <w:szCs w:val="18"/>
                <w:color w:val="0000FF"/>
                <w:w w:val="97"/>
              </w:rPr>
            </w:pPr>
            <w:hyperlink r:id="rId47">
              <w:r>
                <w:rPr>
                  <w:rFonts w:ascii="Arial" w:cs="Arial" w:eastAsia="Arial" w:hAnsi="Arial"/>
                  <w:sz w:val="18"/>
                  <w:szCs w:val="18"/>
                  <w:color w:val="0000FF"/>
                  <w:w w:val="97"/>
                </w:rPr>
                <w:t>Solutions, Inc., as Borrower, each of the Credit Parties</w:t>
              </w:r>
            </w:hyperlink>
          </w:p>
        </w:tc>
        <w:tc>
          <w:tcPr>
            <w:tcW w:w="4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400" w:type="dxa"/>
            <w:vAlign w:val="bottom"/>
            <w:gridSpan w:val="18"/>
            <w:shd w:val="clear" w:color="auto" w:fill="0000FF"/>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30"/>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and Required Lenders party thereto and SunTrust Bank as</w:t>
              </w:r>
            </w:hyperlink>
          </w:p>
        </w:tc>
        <w:tc>
          <w:tcPr>
            <w:tcW w:w="8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gridSpan w:val="32"/>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Agent.</w:t>
              </w:r>
            </w:hyperlink>
          </w:p>
        </w:tc>
        <w:tc>
          <w:tcPr>
            <w:tcW w:w="460" w:type="dxa"/>
            <w:vAlign w:val="bottom"/>
          </w:tcPr>
          <w:p>
            <w:pPr>
              <w:ind w:left="100"/>
              <w:spacing w:after="0" w:line="196" w:lineRule="exact"/>
              <w:rPr>
                <w:sz w:val="20"/>
                <w:szCs w:val="20"/>
                <w:color w:val="auto"/>
              </w:rPr>
            </w:pPr>
            <w:r>
              <w:rPr>
                <w:rFonts w:ascii="Arial" w:cs="Arial" w:eastAsia="Arial" w:hAnsi="Arial"/>
                <w:sz w:val="18"/>
                <w:szCs w:val="18"/>
                <w:color w:val="auto"/>
                <w:w w:val="84"/>
              </w:rPr>
              <w:t>10-Q</w:t>
            </w:r>
          </w:p>
        </w:tc>
      </w:tr>
      <w:tr>
        <w:trPr>
          <w:trHeight w:val="507"/>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08/04/2011</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03/11/2010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03/08/2012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(333-179977)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03/08/2012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(333-179977)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05/15/2012</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07/27/2012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(333-182910)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03/12/2015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06/02/2015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08/09/2016</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12/08/2016</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05/15/2014</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08/06/2015</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(001-34460)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4.10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4.12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ectPr>
          <w:pgSz w:w="11900" w:h="16838" w:orient="portrait"/>
          <w:cols w:equalWidth="0" w:num="3">
            <w:col w:w="6420" w:space="720"/>
            <w:col w:w="980" w:space="500"/>
            <w:col w:w="1599"/>
          </w:cols>
          <w:pgMar w:left="240" w:top="108"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300" w:type="dxa"/>
            <w:vAlign w:val="bottom"/>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Table of Contents</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24"/>
                <w:szCs w:val="24"/>
                <w:color w:val="auto"/>
              </w:rPr>
            </w:pPr>
          </w:p>
        </w:tc>
        <w:tc>
          <w:tcPr>
            <w:tcW w:w="3940" w:type="dxa"/>
            <w:vAlign w:val="bottom"/>
            <w:tcBorders>
              <w:bottom w:val="single" w:sz="8" w:color="0000FF"/>
            </w:tcBorders>
            <w:gridSpan w:val="17"/>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Fourth Amendment to Credit and Security Agreement,</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dated August 20, 2015, among Kratos Defense &amp;</w:t>
              </w:r>
            </w:hyperlink>
          </w:p>
        </w:tc>
        <w:tc>
          <w:tcPr>
            <w:tcW w:w="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Security Solutions, Inc., as Borrower, each of the Credit</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22"/>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Parties and Required Lenders party thereto and SunTrust</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3"/>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Bank as Agent.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21"/>
                <w:szCs w:val="21"/>
                <w:color w:val="auto"/>
              </w:rPr>
            </w:pPr>
          </w:p>
        </w:tc>
        <w:tc>
          <w:tcPr>
            <w:tcW w:w="4020" w:type="dxa"/>
            <w:vAlign w:val="bottom"/>
            <w:tcBorders>
              <w:bottom w:val="single" w:sz="8" w:color="0000FF"/>
            </w:tcBorders>
            <w:gridSpan w:val="20"/>
          </w:tcPr>
          <w:p>
            <w:pPr>
              <w:spacing w:after="0"/>
              <w:rPr>
                <w:rFonts w:ascii="Arial" w:cs="Arial" w:eastAsia="Arial" w:hAnsi="Arial"/>
                <w:sz w:val="18"/>
                <w:szCs w:val="18"/>
                <w:color w:val="0000FF"/>
                <w:w w:val="89"/>
              </w:rPr>
            </w:pPr>
            <w:hyperlink r:id="rId49">
              <w:r>
                <w:rPr>
                  <w:rFonts w:ascii="Arial" w:cs="Arial" w:eastAsia="Arial" w:hAnsi="Arial"/>
                  <w:sz w:val="18"/>
                  <w:szCs w:val="18"/>
                  <w:color w:val="0000FF"/>
                  <w:w w:val="89"/>
                </w:rPr>
                <w:t>Amended and Restated Credit and Security Agreement,</w:t>
              </w:r>
            </w:hyperlink>
          </w:p>
        </w:tc>
        <w:tc>
          <w:tcPr>
            <w:tcW w:w="1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dated as of November 20, 2017, among Kratos Defense</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3"/>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&amp; Security Solutions, Inc., as Borrower, the lenders</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named therein, SunTrust Bank, as Agent, and SunTrust</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Robinson Humphrey, Inc., as Lead Arranger and Sole</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3"/>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Book Runner.</w:t>
              </w:r>
            </w:hyperlink>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tcBorders>
              <w:bottom w:val="single" w:sz="8" w:color="0000FF"/>
            </w:tcBorders>
            <w:gridSpan w:val="18"/>
          </w:tcPr>
          <w:p>
            <w:pPr>
              <w:spacing w:after="0"/>
              <w:rPr>
                <w:rFonts w:ascii="Arial" w:cs="Arial" w:eastAsia="Arial" w:hAnsi="Arial"/>
                <w:sz w:val="18"/>
                <w:szCs w:val="18"/>
                <w:color w:val="0000FF"/>
                <w:w w:val="89"/>
              </w:rPr>
            </w:pPr>
            <w:hyperlink r:id="rId50">
              <w:r>
                <w:rPr>
                  <w:rFonts w:ascii="Arial" w:cs="Arial" w:eastAsia="Arial" w:hAnsi="Arial"/>
                  <w:sz w:val="18"/>
                  <w:szCs w:val="18"/>
                  <w:color w:val="0000FF"/>
                  <w:w w:val="89"/>
                </w:rPr>
                <w:t>Office Lease, dated as of May 1, 2017, by and between</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Kratos Defense &amp; Security Solutions, Inc. and TPP 212</w:t>
              </w:r>
            </w:hyperlink>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Scripps, LLC.</w:t>
              </w:r>
            </w:hyperlink>
          </w:p>
        </w:tc>
        <w:tc>
          <w:tcPr>
            <w:tcW w:w="31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80" w:type="dxa"/>
            <w:vAlign w:val="bottom"/>
          </w:tcPr>
          <w:p>
            <w:pPr>
              <w:ind w:left="40"/>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24"/>
                <w:szCs w:val="24"/>
                <w:color w:val="auto"/>
              </w:rPr>
            </w:pPr>
          </w:p>
        </w:tc>
        <w:tc>
          <w:tcPr>
            <w:tcW w:w="3720" w:type="dxa"/>
            <w:vAlign w:val="bottom"/>
            <w:tcBorders>
              <w:bottom w:val="single" w:sz="8" w:color="0000FF"/>
            </w:tcBorders>
            <w:gridSpan w:val="12"/>
          </w:tcPr>
          <w:p>
            <w:pPr>
              <w:spacing w:after="0"/>
              <w:rPr>
                <w:rFonts w:ascii="Arial" w:cs="Arial" w:eastAsia="Arial" w:hAnsi="Arial"/>
                <w:sz w:val="18"/>
                <w:szCs w:val="18"/>
                <w:color w:val="0000FF"/>
                <w:w w:val="88"/>
              </w:rPr>
            </w:pPr>
            <w:hyperlink r:id="rId51">
              <w:r>
                <w:rPr>
                  <w:rFonts w:ascii="Arial" w:cs="Arial" w:eastAsia="Arial" w:hAnsi="Arial"/>
                  <w:sz w:val="18"/>
                  <w:szCs w:val="18"/>
                  <w:color w:val="0000FF"/>
                  <w:w w:val="88"/>
                </w:rPr>
                <w:t>Lease Agreement, dated as of May 31,2017, by and</w:t>
              </w:r>
            </w:hyperlink>
          </w:p>
        </w:tc>
        <w:tc>
          <w:tcPr>
            <w:tcW w:w="4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3"/>
          </w:tcPr>
          <w:p>
            <w:pPr>
              <w:spacing w:after="0" w:line="196"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between STORE Capital Acquisitions, LLC and Real</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Time Logic, Inc.</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gridSpan w:val="23"/>
          </w:tcPr>
          <w:p>
            <w:pPr>
              <w:spacing w:after="0"/>
              <w:rPr>
                <w:rFonts w:ascii="Arial" w:cs="Arial" w:eastAsia="Arial" w:hAnsi="Arial"/>
                <w:sz w:val="18"/>
                <w:szCs w:val="18"/>
                <w:color w:val="0000FF"/>
                <w:w w:val="99"/>
              </w:rPr>
            </w:pPr>
            <w:hyperlink r:id="rId52">
              <w:r>
                <w:rPr>
                  <w:rFonts w:ascii="Arial" w:cs="Arial" w:eastAsia="Arial" w:hAnsi="Arial"/>
                  <w:sz w:val="18"/>
                  <w:szCs w:val="18"/>
                  <w:color w:val="0000FF"/>
                  <w:w w:val="99"/>
                </w:rPr>
                <w:t>Lease Agreement, dated as of May 31, 2017, by and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3"/>
          </w:tcPr>
          <w:p>
            <w:pPr>
              <w:spacing w:after="0" w:line="196"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between STORE Capital Acquisitions, LLC and Real</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4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Time Logic, Inc.</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ind w:left="40"/>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24"/>
                <w:szCs w:val="24"/>
                <w:color w:val="auto"/>
              </w:rPr>
            </w:pPr>
          </w:p>
        </w:tc>
        <w:tc>
          <w:tcPr>
            <w:tcW w:w="4180" w:type="dxa"/>
            <w:vAlign w:val="bottom"/>
            <w:gridSpan w:val="23"/>
          </w:tcPr>
          <w:p>
            <w:pPr>
              <w:spacing w:after="0"/>
              <w:rPr>
                <w:rFonts w:ascii="Arial" w:cs="Arial" w:eastAsia="Arial" w:hAnsi="Arial"/>
                <w:sz w:val="18"/>
                <w:szCs w:val="18"/>
                <w:color w:val="0000FF"/>
              </w:rPr>
            </w:pPr>
            <w:hyperlink w:anchor="page120">
              <w:r>
                <w:rPr>
                  <w:rFonts w:ascii="Arial" w:cs="Arial" w:eastAsia="Arial" w:hAnsi="Arial"/>
                  <w:sz w:val="18"/>
                  <w:szCs w:val="18"/>
                  <w:color w:val="0000FF"/>
                </w:rPr>
                <w:t>Fifth Amendment to Credit and Security Agreement,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w:anchor="page120">
              <w:r>
                <w:rPr>
                  <w:rFonts w:ascii="Arial" w:cs="Arial" w:eastAsia="Arial" w:hAnsi="Arial"/>
                  <w:sz w:val="18"/>
                  <w:szCs w:val="18"/>
                  <w:color w:val="0000FF"/>
                  <w:w w:val="90"/>
                </w:rPr>
                <w:t>dated July 22, 2016, among Kratos Defense &amp; Security</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3"/>
          </w:tcPr>
          <w:p>
            <w:pPr>
              <w:spacing w:after="0" w:line="196" w:lineRule="exact"/>
              <w:rPr>
                <w:rFonts w:ascii="Arial" w:cs="Arial" w:eastAsia="Arial" w:hAnsi="Arial"/>
                <w:sz w:val="18"/>
                <w:szCs w:val="18"/>
                <w:color w:val="0000FF"/>
                <w:w w:val="96"/>
              </w:rPr>
            </w:pPr>
            <w:hyperlink w:anchor="page120">
              <w:r>
                <w:rPr>
                  <w:rFonts w:ascii="Arial" w:cs="Arial" w:eastAsia="Arial" w:hAnsi="Arial"/>
                  <w:sz w:val="18"/>
                  <w:szCs w:val="18"/>
                  <w:color w:val="0000FF"/>
                  <w:w w:val="96"/>
                </w:rPr>
                <w:t>Solutions, Inc., as Borrower, each of the Credit Parties</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w:anchor="page120">
              <w:r>
                <w:rPr>
                  <w:rFonts w:ascii="Arial" w:cs="Arial" w:eastAsia="Arial" w:hAnsi="Arial"/>
                  <w:sz w:val="18"/>
                  <w:szCs w:val="18"/>
                  <w:color w:val="0000FF"/>
                  <w:w w:val="89"/>
                </w:rPr>
                <w:t>and Required Lenders party thereto and SunTrust Bank as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3"/>
          </w:tcPr>
          <w:p>
            <w:pPr>
              <w:spacing w:after="0" w:line="196" w:lineRule="exact"/>
              <w:rPr>
                <w:rFonts w:ascii="Arial" w:cs="Arial" w:eastAsia="Arial" w:hAnsi="Arial"/>
                <w:sz w:val="18"/>
                <w:szCs w:val="18"/>
                <w:color w:val="0000FF"/>
              </w:rPr>
            </w:pPr>
            <w:hyperlink w:anchor="page120">
              <w:r>
                <w:rPr>
                  <w:rFonts w:ascii="Arial" w:cs="Arial" w:eastAsia="Arial" w:hAnsi="Arial"/>
                  <w:sz w:val="18"/>
                  <w:szCs w:val="18"/>
                  <w:color w:val="0000FF"/>
                </w:rPr>
                <w:t>Agent.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1"/>
                <w:szCs w:val="21"/>
                <w:color w:val="auto"/>
              </w:rPr>
            </w:pPr>
          </w:p>
        </w:tc>
        <w:tc>
          <w:tcPr>
            <w:tcW w:w="4180" w:type="dxa"/>
            <w:vAlign w:val="bottom"/>
            <w:gridSpan w:val="23"/>
          </w:tcPr>
          <w:p>
            <w:pPr>
              <w:spacing w:after="0"/>
              <w:rPr>
                <w:rFonts w:ascii="Arial" w:cs="Arial" w:eastAsia="Arial" w:hAnsi="Arial"/>
                <w:sz w:val="18"/>
                <w:szCs w:val="18"/>
                <w:color w:val="0000FF"/>
              </w:rPr>
            </w:pPr>
            <w:hyperlink w:anchor="page142">
              <w:r>
                <w:rPr>
                  <w:rFonts w:ascii="Arial" w:cs="Arial" w:eastAsia="Arial" w:hAnsi="Arial"/>
                  <w:sz w:val="18"/>
                  <w:szCs w:val="18"/>
                  <w:color w:val="0000FF"/>
                </w:rPr>
                <w:t>List of Subsidiaries.</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21"/>
                <w:szCs w:val="21"/>
                <w:color w:val="auto"/>
              </w:rPr>
            </w:pPr>
          </w:p>
        </w:tc>
        <w:tc>
          <w:tcPr>
            <w:tcW w:w="4180" w:type="dxa"/>
            <w:vAlign w:val="bottom"/>
            <w:gridSpan w:val="23"/>
          </w:tcPr>
          <w:p>
            <w:pPr>
              <w:spacing w:after="0"/>
              <w:rPr>
                <w:rFonts w:ascii="Arial" w:cs="Arial" w:eastAsia="Arial" w:hAnsi="Arial"/>
                <w:sz w:val="18"/>
                <w:szCs w:val="18"/>
                <w:color w:val="0000FF"/>
                <w:w w:val="96"/>
              </w:rPr>
            </w:pPr>
            <w:hyperlink w:anchor="page144">
              <w:r>
                <w:rPr>
                  <w:rFonts w:ascii="Arial" w:cs="Arial" w:eastAsia="Arial" w:hAnsi="Arial"/>
                  <w:sz w:val="18"/>
                  <w:szCs w:val="18"/>
                  <w:color w:val="0000FF"/>
                  <w:w w:val="96"/>
                </w:rPr>
                <w:t>Consent of Independent Registered Public Accounting</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144">
              <w:r>
                <w:rPr>
                  <w:rFonts w:ascii="Arial" w:cs="Arial" w:eastAsia="Arial" w:hAnsi="Arial"/>
                  <w:sz w:val="18"/>
                  <w:szCs w:val="18"/>
                  <w:color w:val="0000FF"/>
                  <w:w w:val="92"/>
                </w:rPr>
                <w:t>Firm.</w:t>
              </w:r>
            </w:hyperlink>
          </w:p>
        </w:tc>
        <w:tc>
          <w:tcPr>
            <w:tcW w:w="3520" w:type="dxa"/>
            <w:vAlign w:val="bottom"/>
            <w:tcBorders>
              <w:top w:val="single" w:sz="8" w:color="0000FF"/>
            </w:tcBorders>
            <w:gridSpan w:val="15"/>
          </w:tcPr>
          <w:p>
            <w:pPr>
              <w:spacing w:after="0"/>
              <w:rPr>
                <w:sz w:val="17"/>
                <w:szCs w:val="17"/>
                <w:color w:val="auto"/>
              </w:rPr>
            </w:pPr>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1"/>
                <w:szCs w:val="21"/>
                <w:color w:val="auto"/>
              </w:rPr>
            </w:pPr>
          </w:p>
        </w:tc>
        <w:tc>
          <w:tcPr>
            <w:tcW w:w="4180" w:type="dxa"/>
            <w:vAlign w:val="bottom"/>
            <w:gridSpan w:val="23"/>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Certification of Chief Executive Officer pursuant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top w:val="single" w:sz="8" w:color="0000FF"/>
            </w:tcBorders>
            <w:gridSpan w:val="12"/>
          </w:tcPr>
          <w:p>
            <w:pPr>
              <w:spacing w:after="0" w:line="196" w:lineRule="exact"/>
              <w:rPr>
                <w:rFonts w:ascii="Arial" w:cs="Arial" w:eastAsia="Arial" w:hAnsi="Arial"/>
                <w:sz w:val="18"/>
                <w:szCs w:val="18"/>
                <w:color w:val="0000FF"/>
                <w:w w:val="97"/>
              </w:rPr>
            </w:pPr>
            <w:hyperlink w:anchor="page145">
              <w:r>
                <w:rPr>
                  <w:rFonts w:ascii="Arial" w:cs="Arial" w:eastAsia="Arial" w:hAnsi="Arial"/>
                  <w:sz w:val="18"/>
                  <w:szCs w:val="18"/>
                  <w:color w:val="0000FF"/>
                  <w:w w:val="97"/>
                </w:rPr>
                <w:t>Section 302 of the Sarbanes Oxley Act of 2002.</w:t>
              </w:r>
            </w:hyperlink>
          </w:p>
        </w:tc>
        <w:tc>
          <w:tcPr>
            <w:tcW w:w="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1"/>
                <w:szCs w:val="21"/>
                <w:color w:val="auto"/>
              </w:rPr>
            </w:pPr>
          </w:p>
        </w:tc>
        <w:tc>
          <w:tcPr>
            <w:tcW w:w="4180" w:type="dxa"/>
            <w:vAlign w:val="bottom"/>
            <w:gridSpan w:val="23"/>
          </w:tcPr>
          <w:p>
            <w:pPr>
              <w:spacing w:after="0"/>
              <w:rPr>
                <w:rFonts w:ascii="Arial" w:cs="Arial" w:eastAsia="Arial" w:hAnsi="Arial"/>
                <w:sz w:val="18"/>
                <w:szCs w:val="18"/>
                <w:color w:val="0000FF"/>
              </w:rPr>
            </w:pPr>
            <w:hyperlink w:anchor="page146">
              <w:r>
                <w:rPr>
                  <w:rFonts w:ascii="Arial" w:cs="Arial" w:eastAsia="Arial" w:hAnsi="Arial"/>
                  <w:sz w:val="18"/>
                  <w:szCs w:val="18"/>
                  <w:color w:val="0000FF"/>
                </w:rPr>
                <w:t>Certification of Chief Financial Officer pursuant to</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top w:val="single" w:sz="8" w:color="0000FF"/>
            </w:tcBorders>
            <w:gridSpan w:val="12"/>
          </w:tcPr>
          <w:p>
            <w:pPr>
              <w:spacing w:after="0" w:line="196" w:lineRule="exact"/>
              <w:rPr>
                <w:rFonts w:ascii="Arial" w:cs="Arial" w:eastAsia="Arial" w:hAnsi="Arial"/>
                <w:sz w:val="18"/>
                <w:szCs w:val="18"/>
                <w:color w:val="0000FF"/>
                <w:w w:val="97"/>
              </w:rPr>
            </w:pPr>
            <w:hyperlink w:anchor="page146">
              <w:r>
                <w:rPr>
                  <w:rFonts w:ascii="Arial" w:cs="Arial" w:eastAsia="Arial" w:hAnsi="Arial"/>
                  <w:sz w:val="18"/>
                  <w:szCs w:val="18"/>
                  <w:color w:val="0000FF"/>
                  <w:w w:val="97"/>
                </w:rPr>
                <w:t>Section 302 of the Sarbanes Oxley Act of 2002.</w:t>
              </w:r>
            </w:hyperlink>
          </w:p>
        </w:tc>
        <w:tc>
          <w:tcPr>
            <w:tcW w:w="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1"/>
                <w:szCs w:val="21"/>
                <w:color w:val="auto"/>
              </w:rPr>
            </w:pPr>
          </w:p>
        </w:tc>
        <w:tc>
          <w:tcPr>
            <w:tcW w:w="4180" w:type="dxa"/>
            <w:vAlign w:val="bottom"/>
            <w:gridSpan w:val="23"/>
          </w:tcPr>
          <w:p>
            <w:pPr>
              <w:spacing w:after="0"/>
              <w:rPr>
                <w:rFonts w:ascii="Arial" w:cs="Arial" w:eastAsia="Arial" w:hAnsi="Arial"/>
                <w:sz w:val="18"/>
                <w:szCs w:val="18"/>
                <w:color w:val="0000FF"/>
              </w:rPr>
            </w:pPr>
            <w:hyperlink w:anchor="page147">
              <w:r>
                <w:rPr>
                  <w:rFonts w:ascii="Arial" w:cs="Arial" w:eastAsia="Arial" w:hAnsi="Arial"/>
                  <w:sz w:val="18"/>
                  <w:szCs w:val="18"/>
                  <w:color w:val="0000FF"/>
                </w:rPr>
                <w:t>Certification pursuant to 18 U.S.C. Section 1350, as</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w:anchor="page147">
              <w:r>
                <w:rPr>
                  <w:rFonts w:ascii="Arial" w:cs="Arial" w:eastAsia="Arial" w:hAnsi="Arial"/>
                  <w:sz w:val="18"/>
                  <w:szCs w:val="18"/>
                  <w:color w:val="0000FF"/>
                  <w:w w:val="89"/>
                </w:rPr>
                <w:t>adopted pursuant to Section 906 of the Sarbanes-Oxley</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3"/>
          </w:tcPr>
          <w:p>
            <w:pPr>
              <w:spacing w:after="0" w:line="196" w:lineRule="exact"/>
              <w:rPr>
                <w:rFonts w:ascii="Arial" w:cs="Arial" w:eastAsia="Arial" w:hAnsi="Arial"/>
                <w:sz w:val="18"/>
                <w:szCs w:val="18"/>
                <w:color w:val="0000FF"/>
              </w:rPr>
            </w:pPr>
            <w:hyperlink w:anchor="page147">
              <w:r>
                <w:rPr>
                  <w:rFonts w:ascii="Arial" w:cs="Arial" w:eastAsia="Arial" w:hAnsi="Arial"/>
                  <w:sz w:val="18"/>
                  <w:szCs w:val="18"/>
                  <w:color w:val="0000FF"/>
                </w:rPr>
                <w:t>Act of 2002 for Eric M. DeMarco.</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Pr>
          <w:p>
            <w:pPr>
              <w:ind w:left="4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1"/>
                <w:szCs w:val="21"/>
                <w:color w:val="auto"/>
              </w:rPr>
            </w:pPr>
          </w:p>
        </w:tc>
        <w:tc>
          <w:tcPr>
            <w:tcW w:w="4180" w:type="dxa"/>
            <w:vAlign w:val="bottom"/>
            <w:gridSpan w:val="23"/>
          </w:tcPr>
          <w:p>
            <w:pPr>
              <w:spacing w:after="0"/>
              <w:rPr>
                <w:rFonts w:ascii="Arial" w:cs="Arial" w:eastAsia="Arial" w:hAnsi="Arial"/>
                <w:sz w:val="18"/>
                <w:szCs w:val="18"/>
                <w:color w:val="0000FF"/>
              </w:rPr>
            </w:pPr>
            <w:hyperlink w:anchor="page148">
              <w:r>
                <w:rPr>
                  <w:rFonts w:ascii="Arial" w:cs="Arial" w:eastAsia="Arial" w:hAnsi="Arial"/>
                  <w:sz w:val="18"/>
                  <w:szCs w:val="18"/>
                  <w:color w:val="0000FF"/>
                </w:rPr>
                <w:t>Certification pursuant to 18 U.S.C. Section 1350, as</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8"/>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w:anchor="page148">
              <w:r>
                <w:rPr>
                  <w:rFonts w:ascii="Arial" w:cs="Arial" w:eastAsia="Arial" w:hAnsi="Arial"/>
                  <w:sz w:val="18"/>
                  <w:szCs w:val="18"/>
                  <w:color w:val="0000FF"/>
                  <w:w w:val="89"/>
                </w:rPr>
                <w:t>adopted pursuant to Section 906 of the Sarbanes-Oxley</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80" w:type="dxa"/>
            <w:vAlign w:val="bottom"/>
            <w:gridSpan w:val="23"/>
          </w:tcPr>
          <w:p>
            <w:pPr>
              <w:spacing w:after="0" w:line="196" w:lineRule="exact"/>
              <w:rPr>
                <w:rFonts w:ascii="Arial" w:cs="Arial" w:eastAsia="Arial" w:hAnsi="Arial"/>
                <w:sz w:val="18"/>
                <w:szCs w:val="18"/>
                <w:color w:val="0000FF"/>
              </w:rPr>
            </w:pPr>
            <w:hyperlink w:anchor="page148">
              <w:r>
                <w:rPr>
                  <w:rFonts w:ascii="Arial" w:cs="Arial" w:eastAsia="Arial" w:hAnsi="Arial"/>
                  <w:sz w:val="18"/>
                  <w:szCs w:val="18"/>
                  <w:color w:val="0000FF"/>
                </w:rPr>
                <w:t>Act of 2002 for Deanna Lund.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300" w:hanging="126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statements from the Annual Report on</w:t>
      </w:r>
    </w:p>
    <w:p>
      <w:pPr>
        <w:spacing w:after="0" w:line="23" w:lineRule="exact"/>
        <w:rPr>
          <w:rFonts w:ascii="Arial" w:cs="Arial" w:eastAsia="Arial" w:hAnsi="Arial"/>
          <w:sz w:val="18"/>
          <w:szCs w:val="18"/>
          <w:color w:val="auto"/>
        </w:rPr>
      </w:pPr>
    </w:p>
    <w:p>
      <w:pPr>
        <w:ind w:left="1300" w:right="20"/>
        <w:spacing w:after="0" w:line="252" w:lineRule="auto"/>
        <w:rPr>
          <w:rFonts w:ascii="Arial" w:cs="Arial" w:eastAsia="Arial" w:hAnsi="Arial"/>
          <w:sz w:val="18"/>
          <w:szCs w:val="18"/>
          <w:color w:val="auto"/>
        </w:rPr>
      </w:pPr>
      <w:r>
        <w:rPr>
          <w:rFonts w:ascii="Arial" w:cs="Arial" w:eastAsia="Arial" w:hAnsi="Arial"/>
          <w:sz w:val="18"/>
          <w:szCs w:val="18"/>
          <w:color w:val="auto"/>
        </w:rPr>
        <w:t>Form 10-K of Kratos Defense &amp; Security Solutions, Inc. for the year ended December 31, 2017, formatted in XBRL: (i) the Consolidated Balance Sheets, (ii) the Consolidated Statements of Operations and Comprehensive Loss, (iii) the Consolidated Statements of Cash Flows, (iv)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8-K</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10-Q</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10-Q</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10-Q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08/24/2015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(001-34460)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11/21/2017</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(001-34460)</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5/04/2017</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(001-34460)</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07/27/2017</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(001-34460)</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color w:val="auto"/>
        </w:rPr>
        <w:t>07/27/2017</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(001-34460)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w:t>
      </w:r>
    </w:p>
    <w:p>
      <w:pPr>
        <w:spacing w:after="0" w:line="232" w:lineRule="exact"/>
        <w:rPr>
          <w:sz w:val="20"/>
          <w:szCs w:val="20"/>
          <w:color w:val="auto"/>
        </w:rPr>
      </w:pPr>
    </w:p>
    <w:p>
      <w:pPr>
        <w:sectPr>
          <w:pgSz w:w="11900" w:h="16838" w:orient="portrait"/>
          <w:cols w:equalWidth="0" w:num="4">
            <w:col w:w="5480" w:space="180"/>
            <w:col w:w="760" w:space="720"/>
            <w:col w:w="900" w:space="580"/>
            <w:col w:w="2280"/>
          </w:cols>
          <w:pgMar w:left="240" w:top="108" w:right="759" w:bottom="1440" w:gutter="0" w:footer="0" w:header="0"/>
        </w:sectPr>
      </w:pPr>
    </w:p>
    <w:p>
      <w:pPr>
        <w:spacing w:after="0" w:line="398" w:lineRule="exact"/>
        <w:rPr>
          <w:sz w:val="20"/>
          <w:szCs w:val="20"/>
          <w:color w:val="auto"/>
        </w:rPr>
      </w:pPr>
    </w:p>
    <w:p>
      <w:pPr>
        <w:ind w:firstLine="8"/>
        <w:spacing w:after="0" w:line="308" w:lineRule="auto"/>
        <w:tabs>
          <w:tab w:leader="none" w:pos="282" w:val="left"/>
        </w:tabs>
        <w:numPr>
          <w:ilvl w:val="0"/>
          <w:numId w:val="30"/>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174"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00"/>
          </w:cols>
          <w:pgMar w:left="240" w:top="108" w:right="75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w:t>
      </w:r>
    </w:p>
    <w:p>
      <w:pPr>
        <w:spacing w:after="0" w:line="2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Management contract or compensatory plan or arrangement.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15(a)(3) above.</w:t>
      </w:r>
    </w:p>
    <w:p>
      <w:pPr>
        <w:spacing w:after="0" w:line="397" w:lineRule="exact"/>
        <w:rPr>
          <w:sz w:val="20"/>
          <w:szCs w:val="20"/>
          <w:color w:val="auto"/>
        </w:rPr>
      </w:pPr>
    </w:p>
    <w:p>
      <w:pPr>
        <w:ind w:left="660" w:right="8760" w:hanging="652"/>
        <w:spacing w:after="0" w:line="631" w:lineRule="auto"/>
        <w:tabs>
          <w:tab w:leader="none" w:pos="257"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 Schedules </w:t>
      </w:r>
      <w:r>
        <w:rPr>
          <w:rFonts w:ascii="Arial" w:cs="Arial" w:eastAsia="Arial" w:hAnsi="Arial"/>
          <w:sz w:val="15"/>
          <w:szCs w:val="15"/>
          <w:color w:val="auto"/>
        </w:rPr>
        <w:t>See Item 15(a)(2) above.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38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6080" w:type="dxa"/>
            <w:vAlign w:val="bottom"/>
          </w:tcPr>
          <w:p>
            <w:pPr>
              <w:jc w:val="center"/>
              <w:spacing w:after="0"/>
              <w:rPr>
                <w:sz w:val="20"/>
                <w:szCs w:val="20"/>
                <w:color w:val="auto"/>
              </w:rPr>
            </w:pPr>
            <w:r>
              <w:rPr>
                <w:rFonts w:ascii="Arial" w:cs="Arial" w:eastAsia="Arial" w:hAnsi="Arial"/>
                <w:sz w:val="18"/>
                <w:szCs w:val="18"/>
                <w:color w:val="auto"/>
                <w:w w:val="94"/>
              </w:rPr>
              <w:t>/s/ Eric M. DeMarco</w:t>
            </w:r>
          </w:p>
        </w:tc>
      </w:tr>
      <w:tr>
        <w:trPr>
          <w:trHeight w:val="41"/>
        </w:trPr>
        <w:tc>
          <w:tcPr>
            <w:tcW w:w="560" w:type="dxa"/>
            <w:vAlign w:val="bottom"/>
          </w:tcPr>
          <w:p>
            <w:pPr>
              <w:spacing w:after="0"/>
              <w:rPr>
                <w:sz w:val="3"/>
                <w:szCs w:val="3"/>
                <w:color w:val="auto"/>
              </w:rPr>
            </w:pPr>
          </w:p>
        </w:tc>
        <w:tc>
          <w:tcPr>
            <w:tcW w:w="6080" w:type="dxa"/>
            <w:vAlign w:val="bottom"/>
            <w:tcBorders>
              <w:bottom w:val="single" w:sz="8" w:color="auto"/>
            </w:tcBorders>
          </w:tcPr>
          <w:p>
            <w:pPr>
              <w:spacing w:after="0"/>
              <w:rPr>
                <w:sz w:val="3"/>
                <w:szCs w:val="3"/>
                <w:color w:val="auto"/>
              </w:rPr>
            </w:pPr>
          </w:p>
        </w:tc>
      </w:tr>
      <w:tr>
        <w:trPr>
          <w:trHeight w:val="236"/>
        </w:trPr>
        <w:tc>
          <w:tcPr>
            <w:tcW w:w="560" w:type="dxa"/>
            <w:vAlign w:val="bottom"/>
          </w:tcPr>
          <w:p>
            <w:pPr>
              <w:spacing w:after="0"/>
              <w:rPr>
                <w:sz w:val="20"/>
                <w:szCs w:val="20"/>
                <w:color w:val="auto"/>
              </w:rPr>
            </w:pPr>
          </w:p>
        </w:tc>
        <w:tc>
          <w:tcPr>
            <w:tcW w:w="608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30"/>
        </w:trPr>
        <w:tc>
          <w:tcPr>
            <w:tcW w:w="560" w:type="dxa"/>
            <w:vAlign w:val="bottom"/>
          </w:tcPr>
          <w:p>
            <w:pPr>
              <w:spacing w:after="0"/>
              <w:rPr>
                <w:sz w:val="19"/>
                <w:szCs w:val="19"/>
                <w:color w:val="auto"/>
              </w:rPr>
            </w:pPr>
          </w:p>
        </w:tc>
        <w:tc>
          <w:tcPr>
            <w:tcW w:w="608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and Chief Executive Officer (Principal</w:t>
            </w:r>
          </w:p>
        </w:tc>
      </w:tr>
      <w:tr>
        <w:trPr>
          <w:trHeight w:val="24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08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Officer)</w:t>
            </w:r>
          </w:p>
        </w:tc>
      </w:tr>
    </w:tbl>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125" w:right="2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left="700"/>
        <w:spacing w:after="0"/>
        <w:rPr>
          <w:sz w:val="20"/>
          <w:szCs w:val="20"/>
          <w:color w:val="auto"/>
        </w:rPr>
      </w:pPr>
      <w:r>
        <w:rPr>
          <w:rFonts w:ascii="Arial" w:cs="Arial" w:eastAsia="Arial" w:hAnsi="Arial"/>
          <w:sz w:val="14"/>
          <w:szCs w:val="14"/>
          <w:color w:val="auto"/>
        </w:rPr>
        <w:t>Signature</w:t>
      </w:r>
    </w:p>
    <w:p>
      <w:pPr>
        <w:spacing w:after="0" w:line="200" w:lineRule="exact"/>
        <w:rPr>
          <w:sz w:val="20"/>
          <w:szCs w:val="20"/>
          <w:color w:val="auto"/>
        </w:rPr>
      </w:pPr>
    </w:p>
    <w:p>
      <w:pPr>
        <w:spacing w:after="0" w:line="346"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Eric M. DeMarco</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Eric M. DeMarco</w:t>
      </w:r>
    </w:p>
    <w:p>
      <w:pPr>
        <w:spacing w:after="0" w:line="200" w:lineRule="exact"/>
        <w:rPr>
          <w:sz w:val="20"/>
          <w:szCs w:val="20"/>
          <w:color w:val="auto"/>
        </w:rPr>
      </w:pPr>
    </w:p>
    <w:p>
      <w:pPr>
        <w:spacing w:after="0" w:line="376"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Deanna H. Lund</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Deanna H. Lund</w:t>
      </w:r>
    </w:p>
    <w:p>
      <w:pPr>
        <w:spacing w:after="0" w:line="200" w:lineRule="exact"/>
        <w:rPr>
          <w:sz w:val="20"/>
          <w:szCs w:val="20"/>
          <w:color w:val="auto"/>
        </w:rPr>
      </w:pPr>
    </w:p>
    <w:p>
      <w:pPr>
        <w:spacing w:after="0" w:line="376" w:lineRule="exact"/>
        <w:rPr>
          <w:sz w:val="20"/>
          <w:szCs w:val="20"/>
          <w:color w:val="auto"/>
        </w:rPr>
      </w:pPr>
    </w:p>
    <w:p>
      <w:pPr>
        <w:jc w:val="center"/>
        <w:ind w:left="880"/>
        <w:spacing w:after="0"/>
        <w:rPr>
          <w:sz w:val="20"/>
          <w:szCs w:val="20"/>
          <w:color w:val="auto"/>
        </w:rPr>
      </w:pPr>
      <w:r>
        <w:rPr>
          <w:rFonts w:ascii="Arial" w:cs="Arial" w:eastAsia="Arial" w:hAnsi="Arial"/>
          <w:sz w:val="16"/>
          <w:szCs w:val="16"/>
          <w:u w:val="single" w:color="auto"/>
          <w:color w:val="auto"/>
        </w:rPr>
        <w:t>/s/ Maria Cervantes de Burgreen</w:t>
      </w:r>
    </w:p>
    <w:p>
      <w:pPr>
        <w:spacing w:after="0" w:line="46" w:lineRule="exact"/>
        <w:rPr>
          <w:sz w:val="20"/>
          <w:szCs w:val="20"/>
          <w:color w:val="auto"/>
        </w:rPr>
      </w:pPr>
    </w:p>
    <w:p>
      <w:pPr>
        <w:jc w:val="center"/>
        <w:ind w:left="880"/>
        <w:spacing w:after="0"/>
        <w:rPr>
          <w:sz w:val="20"/>
          <w:szCs w:val="20"/>
          <w:color w:val="auto"/>
        </w:rPr>
      </w:pPr>
      <w:r>
        <w:rPr>
          <w:rFonts w:ascii="Arial" w:cs="Arial" w:eastAsia="Arial" w:hAnsi="Arial"/>
          <w:sz w:val="17"/>
          <w:szCs w:val="17"/>
          <w:color w:val="auto"/>
        </w:rPr>
        <w:t>Maria Cervantes de Burgreen</w:t>
      </w:r>
    </w:p>
    <w:p>
      <w:pPr>
        <w:spacing w:after="0" w:line="200" w:lineRule="exact"/>
        <w:rPr>
          <w:sz w:val="20"/>
          <w:szCs w:val="20"/>
          <w:color w:val="auto"/>
        </w:rPr>
      </w:pPr>
    </w:p>
    <w:p>
      <w:pPr>
        <w:spacing w:after="0" w:line="387"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Scott Anderson</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Scott Anderson</w:t>
      </w:r>
    </w:p>
    <w:p>
      <w:pPr>
        <w:spacing w:after="0" w:line="200" w:lineRule="exact"/>
        <w:rPr>
          <w:sz w:val="20"/>
          <w:szCs w:val="20"/>
          <w:color w:val="auto"/>
        </w:rPr>
      </w:pPr>
    </w:p>
    <w:p>
      <w:pPr>
        <w:spacing w:after="0" w:line="376"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Bandel Carano</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Bandel Carano</w:t>
      </w:r>
    </w:p>
    <w:p>
      <w:pPr>
        <w:spacing w:after="0" w:line="200" w:lineRule="exact"/>
        <w:rPr>
          <w:sz w:val="20"/>
          <w:szCs w:val="20"/>
          <w:color w:val="auto"/>
        </w:rPr>
      </w:pPr>
    </w:p>
    <w:p>
      <w:pPr>
        <w:spacing w:after="0" w:line="376"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William Hoglund</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William Hoglund</w:t>
      </w:r>
    </w:p>
    <w:p>
      <w:pPr>
        <w:spacing w:after="0" w:line="200" w:lineRule="exact"/>
        <w:rPr>
          <w:sz w:val="20"/>
          <w:szCs w:val="20"/>
          <w:color w:val="auto"/>
        </w:rPr>
      </w:pPr>
    </w:p>
    <w:p>
      <w:pPr>
        <w:spacing w:after="0" w:line="376"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Scot Jarvis</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Scot Jarvis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Jane E. Judd</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Jane E. Judd</w:t>
      </w:r>
    </w:p>
    <w:p>
      <w:pPr>
        <w:spacing w:after="0" w:line="200" w:lineRule="exact"/>
        <w:rPr>
          <w:sz w:val="20"/>
          <w:szCs w:val="20"/>
          <w:color w:val="auto"/>
        </w:rPr>
      </w:pPr>
    </w:p>
    <w:p>
      <w:pPr>
        <w:spacing w:after="0" w:line="376" w:lineRule="exact"/>
        <w:rPr>
          <w:sz w:val="20"/>
          <w:szCs w:val="20"/>
          <w:color w:val="auto"/>
        </w:rPr>
      </w:pPr>
    </w:p>
    <w:p>
      <w:pPr>
        <w:jc w:val="center"/>
        <w:ind w:left="880"/>
        <w:spacing w:after="0"/>
        <w:rPr>
          <w:sz w:val="20"/>
          <w:szCs w:val="20"/>
          <w:color w:val="auto"/>
        </w:rPr>
      </w:pPr>
      <w:r>
        <w:rPr>
          <w:rFonts w:ascii="Arial" w:cs="Arial" w:eastAsia="Arial" w:hAnsi="Arial"/>
          <w:sz w:val="18"/>
          <w:szCs w:val="18"/>
          <w:u w:val="single" w:color="auto"/>
          <w:color w:val="auto"/>
        </w:rPr>
        <w:t>/s/ Sam Liberatore</w:t>
      </w:r>
    </w:p>
    <w:p>
      <w:pPr>
        <w:spacing w:after="0" w:line="23" w:lineRule="exact"/>
        <w:rPr>
          <w:sz w:val="20"/>
          <w:szCs w:val="20"/>
          <w:color w:val="auto"/>
        </w:rPr>
      </w:pPr>
    </w:p>
    <w:p>
      <w:pPr>
        <w:jc w:val="center"/>
        <w:ind w:left="880"/>
        <w:spacing w:after="0"/>
        <w:rPr>
          <w:sz w:val="20"/>
          <w:szCs w:val="20"/>
          <w:color w:val="auto"/>
        </w:rPr>
      </w:pPr>
      <w:r>
        <w:rPr>
          <w:rFonts w:ascii="Arial" w:cs="Arial" w:eastAsia="Arial" w:hAnsi="Arial"/>
          <w:sz w:val="18"/>
          <w:szCs w:val="18"/>
          <w:color w:val="auto"/>
        </w:rPr>
        <w:t>Sam Liberatore</w:t>
      </w:r>
    </w:p>
    <w:p>
      <w:pPr>
        <w:spacing w:after="0" w:line="200" w:lineRule="exact"/>
        <w:rPr>
          <w:sz w:val="20"/>
          <w:szCs w:val="20"/>
          <w:color w:val="auto"/>
        </w:rPr>
      </w:pPr>
    </w:p>
    <w:p>
      <w:pPr>
        <w:spacing w:after="0" w:line="376" w:lineRule="exact"/>
        <w:rPr>
          <w:sz w:val="20"/>
          <w:szCs w:val="20"/>
          <w:color w:val="auto"/>
        </w:rPr>
      </w:pPr>
    </w:p>
    <w:p>
      <w:pPr>
        <w:jc w:val="center"/>
        <w:ind w:left="700"/>
        <w:spacing w:after="0"/>
        <w:rPr>
          <w:sz w:val="20"/>
          <w:szCs w:val="20"/>
          <w:color w:val="auto"/>
        </w:rPr>
      </w:pPr>
      <w:r>
        <w:rPr>
          <w:rFonts w:ascii="Arial" w:cs="Arial" w:eastAsia="Arial" w:hAnsi="Arial"/>
          <w:sz w:val="18"/>
          <w:szCs w:val="18"/>
          <w:u w:val="single" w:color="auto"/>
          <w:color w:val="auto"/>
        </w:rPr>
        <w:t>/s/ Amy Zegart</w:t>
      </w:r>
    </w:p>
    <w:p>
      <w:pPr>
        <w:spacing w:after="0" w:line="23"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Amy Zegart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35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200" w:lineRule="exact"/>
        <w:rPr>
          <w:sz w:val="20"/>
          <w:szCs w:val="20"/>
          <w:color w:val="auto"/>
        </w:rPr>
      </w:pPr>
    </w:p>
    <w:p>
      <w:pPr>
        <w:spacing w:after="0" w:line="3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Executive Vice President, Chief Financial Officer (Principal Financial Officer)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Corporate Controller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February 28, 2018</w:t>
      </w:r>
    </w:p>
    <w:p>
      <w:pPr>
        <w:sectPr>
          <w:pgSz w:w="11900" w:h="16838" w:orient="portrait"/>
          <w:cols w:equalWidth="0" w:num="3">
            <w:col w:w="3900" w:space="720"/>
            <w:col w:w="4340" w:space="660"/>
            <w:col w:w="1320"/>
          </w:cols>
          <w:pgMar w:left="240" w:top="125" w:right="7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068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677"/>
        </w:trPr>
        <w:tc>
          <w:tcPr>
            <w:tcW w:w="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500" w:type="dxa"/>
            <w:vAlign w:val="bottom"/>
            <w:gridSpan w:val="6"/>
          </w:tcPr>
          <w:p>
            <w:pPr>
              <w:jc w:val="center"/>
              <w:ind w:right="2420"/>
              <w:spacing w:after="0"/>
              <w:rPr>
                <w:sz w:val="20"/>
                <w:szCs w:val="20"/>
                <w:color w:val="auto"/>
              </w:rPr>
            </w:pPr>
            <w:r>
              <w:rPr>
                <w:rFonts w:ascii="Arial" w:cs="Arial" w:eastAsia="Arial" w:hAnsi="Arial"/>
                <w:sz w:val="18"/>
                <w:szCs w:val="18"/>
                <w:b w:val="1"/>
                <w:bCs w:val="1"/>
                <w:color w:val="auto"/>
              </w:rPr>
              <w:t>INDEX TO CONSOLIDATED FINANCIAL STATEMENTS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500" w:type="dxa"/>
            <w:vAlign w:val="bottom"/>
            <w:gridSpan w:val="6"/>
          </w:tcPr>
          <w:p>
            <w:pPr>
              <w:jc w:val="center"/>
              <w:ind w:right="2440"/>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554"/>
        </w:trPr>
        <w:tc>
          <w:tcPr>
            <w:tcW w:w="40" w:type="dxa"/>
            <w:vAlign w:val="bottom"/>
          </w:tcPr>
          <w:p>
            <w:pPr>
              <w:spacing w:after="0"/>
              <w:rPr>
                <w:sz w:val="24"/>
                <w:szCs w:val="24"/>
                <w:color w:val="auto"/>
              </w:rPr>
            </w:pPr>
          </w:p>
        </w:tc>
        <w:tc>
          <w:tcPr>
            <w:tcW w:w="1064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Report of Independent Registered Public Accounting Firm</w:t>
              </w:r>
            </w:hyperlink>
          </w:p>
        </w:tc>
        <w:tc>
          <w:tcPr>
            <w:tcW w:w="720" w:type="dxa"/>
            <w:vAlign w:val="bottom"/>
            <w:gridSpan w:val="2"/>
          </w:tcPr>
          <w:p>
            <w:pPr>
              <w:ind w:left="460"/>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F-2</w:t>
              </w:r>
            </w:hyperlink>
          </w:p>
        </w:tc>
      </w:tr>
      <w:tr>
        <w:trPr>
          <w:trHeight w:val="20"/>
        </w:trPr>
        <w:tc>
          <w:tcPr>
            <w:tcW w:w="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7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Balance Sheets as of December 31, 2017 and December 25, 2016</w:t>
              </w:r>
            </w:hyperlink>
          </w:p>
        </w:tc>
        <w:tc>
          <w:tcPr>
            <w:tcW w:w="4940" w:type="dxa"/>
            <w:vAlign w:val="bottom"/>
            <w:gridSpan w:val="4"/>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Borders>
              <w:bottom w:val="single" w:sz="8" w:color="0000EE"/>
            </w:tcBorders>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F-4</w:t>
              </w:r>
            </w:hyperlink>
          </w:p>
        </w:tc>
      </w:tr>
      <w:tr>
        <w:trPr>
          <w:trHeight w:val="250"/>
        </w:trPr>
        <w:tc>
          <w:tcPr>
            <w:tcW w:w="40" w:type="dxa"/>
            <w:vAlign w:val="bottom"/>
          </w:tcPr>
          <w:p>
            <w:pPr>
              <w:spacing w:after="0"/>
              <w:rPr>
                <w:sz w:val="21"/>
                <w:szCs w:val="21"/>
                <w:color w:val="auto"/>
              </w:rPr>
            </w:pPr>
          </w:p>
        </w:tc>
        <w:tc>
          <w:tcPr>
            <w:tcW w:w="10640" w:type="dxa"/>
            <w:vAlign w:val="bottom"/>
            <w:gridSpan w:val="9"/>
          </w:tcPr>
          <w:p>
            <w:pPr>
              <w:spacing w:after="0"/>
              <w:rPr>
                <w:rFonts w:ascii="Arial" w:cs="Arial" w:eastAsia="Arial" w:hAnsi="Arial"/>
                <w:sz w:val="18"/>
                <w:szCs w:val="18"/>
                <w:color w:val="0000EE"/>
                <w:w w:val="93"/>
              </w:rPr>
            </w:pPr>
            <w:hyperlink w:anchor="page70">
              <w:r>
                <w:rPr>
                  <w:rFonts w:ascii="Arial" w:cs="Arial" w:eastAsia="Arial" w:hAnsi="Arial"/>
                  <w:sz w:val="18"/>
                  <w:szCs w:val="18"/>
                  <w:color w:val="0000EE"/>
                  <w:w w:val="93"/>
                </w:rPr>
                <w:t>Consolidated Statements of Operations and Comprehensive Income (Loss) for the Years Ended December 31, 2017, December 25, 2016, and</w:t>
              </w:r>
            </w:hyperlink>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101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December 27, 2015</w:t>
              </w:r>
            </w:hyperlink>
          </w:p>
        </w:tc>
        <w:tc>
          <w:tcPr>
            <w:tcW w:w="480" w:type="dxa"/>
            <w:vAlign w:val="bottom"/>
          </w:tcPr>
          <w:p>
            <w:pPr>
              <w:spacing w:after="0"/>
              <w:rPr>
                <w:sz w:val="17"/>
                <w:szCs w:val="17"/>
                <w:color w:val="auto"/>
              </w:rPr>
            </w:pPr>
          </w:p>
        </w:tc>
        <w:tc>
          <w:tcPr>
            <w:tcW w:w="720" w:type="dxa"/>
            <w:vAlign w:val="bottom"/>
            <w:gridSpan w:val="2"/>
          </w:tcPr>
          <w:p>
            <w:pPr>
              <w:ind w:left="460"/>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F-5</w:t>
              </w:r>
            </w:hyperlink>
          </w:p>
        </w:tc>
      </w:tr>
      <w:tr>
        <w:trPr>
          <w:trHeight w:val="20"/>
        </w:trPr>
        <w:tc>
          <w:tcPr>
            <w:tcW w:w="4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9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640" w:type="dxa"/>
            <w:vAlign w:val="bottom"/>
            <w:gridSpan w:val="9"/>
          </w:tcPr>
          <w:p>
            <w:pPr>
              <w:spacing w:after="0"/>
              <w:rPr>
                <w:rFonts w:ascii="Arial" w:cs="Arial" w:eastAsia="Arial" w:hAnsi="Arial"/>
                <w:sz w:val="18"/>
                <w:szCs w:val="18"/>
                <w:color w:val="0000EE"/>
                <w:w w:val="97"/>
              </w:rPr>
            </w:pPr>
            <w:hyperlink w:anchor="page71">
              <w:r>
                <w:rPr>
                  <w:rFonts w:ascii="Arial" w:cs="Arial" w:eastAsia="Arial" w:hAnsi="Arial"/>
                  <w:sz w:val="18"/>
                  <w:szCs w:val="18"/>
                  <w:color w:val="0000EE"/>
                  <w:w w:val="97"/>
                </w:rPr>
                <w:t>Consolidated Statements of Stockholders’ Equity for the Years Ended December 31, 2017, December 25, 2016, and December 27, 2015</w:t>
              </w:r>
            </w:hyperlink>
          </w:p>
        </w:tc>
        <w:tc>
          <w:tcPr>
            <w:tcW w:w="720" w:type="dxa"/>
            <w:vAlign w:val="bottom"/>
            <w:gridSpan w:val="2"/>
          </w:tcPr>
          <w:p>
            <w:pPr>
              <w:ind w:left="460"/>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F-6</w:t>
              </w:r>
            </w:hyperlink>
          </w:p>
        </w:tc>
      </w:tr>
      <w:tr>
        <w:trPr>
          <w:trHeight w:val="250"/>
        </w:trPr>
        <w:tc>
          <w:tcPr>
            <w:tcW w:w="40" w:type="dxa"/>
            <w:vAlign w:val="bottom"/>
          </w:tcPr>
          <w:p>
            <w:pPr>
              <w:spacing w:after="0"/>
              <w:rPr>
                <w:sz w:val="21"/>
                <w:szCs w:val="21"/>
                <w:color w:val="auto"/>
              </w:rPr>
            </w:pPr>
          </w:p>
        </w:tc>
        <w:tc>
          <w:tcPr>
            <w:tcW w:w="9780" w:type="dxa"/>
            <w:vAlign w:val="bottom"/>
            <w:tcBorders>
              <w:top w:val="single" w:sz="8" w:color="0000EE"/>
            </w:tcBorders>
            <w:gridSpan w:val="7"/>
          </w:tcPr>
          <w:p>
            <w:pPr>
              <w:spacing w:after="0"/>
              <w:rPr>
                <w:rFonts w:ascii="Arial" w:cs="Arial" w:eastAsia="Arial" w:hAnsi="Arial"/>
                <w:sz w:val="18"/>
                <w:szCs w:val="18"/>
                <w:color w:val="0000EE"/>
                <w:w w:val="95"/>
              </w:rPr>
            </w:pPr>
            <w:hyperlink w:anchor="page72">
              <w:r>
                <w:rPr>
                  <w:rFonts w:ascii="Arial" w:cs="Arial" w:eastAsia="Arial" w:hAnsi="Arial"/>
                  <w:sz w:val="18"/>
                  <w:szCs w:val="18"/>
                  <w:color w:val="0000EE"/>
                  <w:w w:val="95"/>
                </w:rPr>
                <w:t>Consolidated Statements of Cash Flows for the Years Ended December 31, 2017, December 25, 2016, and December 27, 2015</w:t>
              </w:r>
            </w:hyperlink>
          </w:p>
        </w:tc>
        <w:tc>
          <w:tcPr>
            <w:tcW w:w="86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F-7</w:t>
              </w:r>
            </w:hyperlink>
          </w:p>
        </w:tc>
      </w:tr>
      <w:tr>
        <w:trPr>
          <w:trHeight w:val="250"/>
        </w:trPr>
        <w:tc>
          <w:tcPr>
            <w:tcW w:w="40" w:type="dxa"/>
            <w:vAlign w:val="bottom"/>
          </w:tcPr>
          <w:p>
            <w:pPr>
              <w:spacing w:after="0"/>
              <w:rPr>
                <w:sz w:val="21"/>
                <w:szCs w:val="21"/>
                <w:color w:val="auto"/>
              </w:rPr>
            </w:pPr>
          </w:p>
        </w:tc>
        <w:tc>
          <w:tcPr>
            <w:tcW w:w="9100" w:type="dxa"/>
            <w:vAlign w:val="bottom"/>
            <w:tcBorders>
              <w:top w:val="single" w:sz="8" w:color="0000EE"/>
            </w:tcBorders>
            <w:gridSpan w:val="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Notes to Consolidated Financial Statements</w:t>
              </w:r>
            </w:hyperlink>
          </w:p>
        </w:tc>
        <w:tc>
          <w:tcPr>
            <w:tcW w:w="1540" w:type="dxa"/>
            <w:vAlign w:val="bottom"/>
            <w:gridSpan w:val="3"/>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Borders>
              <w:top w:val="single" w:sz="8" w:color="0000EE"/>
            </w:tcBorders>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F-8</w:t>
              </w:r>
            </w:hyperlink>
          </w:p>
        </w:tc>
      </w:tr>
      <w:tr>
        <w:trPr>
          <w:trHeight w:val="723"/>
        </w:trPr>
        <w:tc>
          <w:tcPr>
            <w:tcW w:w="4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74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6440" w:type="dxa"/>
            <w:vAlign w:val="bottom"/>
            <w:gridSpan w:val="5"/>
          </w:tcPr>
          <w:p>
            <w:pPr>
              <w:jc w:val="center"/>
              <w:ind w:right="3500"/>
              <w:spacing w:after="0"/>
              <w:rPr>
                <w:sz w:val="20"/>
                <w:szCs w:val="20"/>
                <w:color w:val="auto"/>
              </w:rPr>
            </w:pPr>
            <w:r>
              <w:rPr>
                <w:rFonts w:ascii="Arial" w:cs="Arial" w:eastAsia="Arial" w:hAnsi="Arial"/>
                <w:sz w:val="18"/>
                <w:szCs w:val="18"/>
                <w:color w:val="auto"/>
                <w:w w:val="96"/>
              </w:rPr>
              <w:t>F-1</w:t>
            </w:r>
          </w:p>
        </w:tc>
        <w:tc>
          <w:tcPr>
            <w:tcW w:w="46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Kratos Defense &amp; Security Solutions,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Consolidated Financial Statements and Internal Control over Financial Reporting</w:t>
      </w:r>
    </w:p>
    <w:p>
      <w:pPr>
        <w:spacing w:after="0" w:line="33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We have audited the accompanying consolidated balance sheets of Kratos Defense &amp; Security Solutions, Inc. and subsidiaries (the “Company”) as of December 31, 2017 and December 25, 2016, and the related consolidated statements of operations and comprehensive income (loss), stockholders’ equity, and cash flows, for each of the three fiscal years in the period ended December 31, 2017, and the related notes (collectively referred to as the “financial statements”). We also have audited the Company’s internal control over financial reporting as of December 31, 2017,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the Committee of Sponsoring Organizations of the Treadway Commission (COSO).</w:t>
      </w:r>
    </w:p>
    <w:p>
      <w:pPr>
        <w:spacing w:after="0" w:line="2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2017 and December 25, 2016, and the results of its operations and its cash flows for each of the three fiscal years in the period ended December 31, 2017, in conformity with accounting principles generally accepted in the United States of America. Also,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COSO.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w:t>
      </w:r>
    </w:p>
    <w:p>
      <w:pPr>
        <w:spacing w:after="0" w:line="3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As discussed in Note 2 to the financial statements, the Company has changed its method of accounting for the impairment of goodwill and intangible assets prospectively beginning December 26, 2016, with the adoption of Accounting Standards Update No.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3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0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33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11380"/>
          </w:cols>
          <w:pgMar w:left="240" w:top="125" w:right="279"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380"/>
          </w:cols>
          <w:pgMar w:left="240" w:top="125" w:right="27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20"/>
          </w:cols>
          <w:pgMar w:left="24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KRATOS DEFENSE &amp; SECURITY SOLUTIONS,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December 31, 2017 and December 25, 2016</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(in millions, except par value and number of shares)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3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4"/>
                <w:szCs w:val="14"/>
                <w:color w:val="auto"/>
              </w:rPr>
              <w:t>Current assets: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3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4"/>
                <w:szCs w:val="14"/>
                <w:color w:val="auto"/>
              </w:rPr>
              <w:t>Inventoried costs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4"/>
                <w:szCs w:val="14"/>
                <w:color w:val="auto"/>
              </w:rPr>
              <w:t>Income taxes receivable</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4"/>
                <w:szCs w:val="14"/>
                <w:color w:val="auto"/>
              </w:rPr>
              <w:t>Prepaid expenses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360"/>
              <w:spacing w:after="0"/>
              <w:rPr>
                <w:sz w:val="20"/>
                <w:szCs w:val="20"/>
                <w:color w:val="auto"/>
              </w:rPr>
            </w:pPr>
            <w:r>
              <w:rPr>
                <w:rFonts w:ascii="Arial" w:cs="Arial" w:eastAsia="Arial" w:hAnsi="Arial"/>
                <w:sz w:val="14"/>
                <w:szCs w:val="14"/>
                <w:color w:val="auto"/>
              </w:rPr>
              <w:t>Total current assets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4"/>
                <w:szCs w:val="14"/>
                <w:color w:val="auto"/>
              </w:rPr>
              <w:t>Goodwill</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4"/>
                <w:szCs w:val="14"/>
                <w:color w:val="auto"/>
              </w:rPr>
              <w:t>Intangible assets, net</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4"/>
                <w:szCs w:val="14"/>
                <w:color w:val="auto"/>
              </w:rPr>
              <w:t>Other assets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32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4"/>
                <w:szCs w:val="14"/>
                <w:color w:val="auto"/>
              </w:rPr>
              <w:t>Current liabilities: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3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32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4"/>
                <w:szCs w:val="14"/>
                <w:color w:val="auto"/>
              </w:rPr>
              <w:t>Accrued interest</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4"/>
                <w:szCs w:val="14"/>
                <w:color w:val="auto"/>
              </w:rPr>
              <w:t>Billings in excess of costs and earnings on uncompleted contracts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4"/>
                <w:szCs w:val="14"/>
                <w:color w:val="auto"/>
              </w:rPr>
              <w:t>Other current liabilities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4"/>
                <w:szCs w:val="14"/>
                <w:color w:val="auto"/>
              </w:rPr>
              <w:t>Current portion of long-term debt</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4"/>
                <w:szCs w:val="14"/>
                <w:color w:val="auto"/>
              </w:rPr>
              <w:t>Current liabilities of discontinued operations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4"/>
                <w:szCs w:val="14"/>
                <w:color w:val="auto"/>
              </w:rPr>
              <w:t>Long-term debt principal, net of current portion</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4"/>
                <w:szCs w:val="14"/>
                <w:color w:val="auto"/>
              </w:rPr>
              <w:t>Deferred income tax liability</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4"/>
                <w:szCs w:val="14"/>
                <w:color w:val="auto"/>
              </w:rPr>
              <w:t>Long-term liabilities of discontinued operations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360"/>
              <w:spacing w:after="0"/>
              <w:rPr>
                <w:sz w:val="20"/>
                <w:szCs w:val="20"/>
                <w:color w:val="auto"/>
              </w:rPr>
            </w:pPr>
            <w:r>
              <w:rPr>
                <w:rFonts w:ascii="Arial" w:cs="Arial" w:eastAsia="Arial" w:hAnsi="Arial"/>
                <w:sz w:val="14"/>
                <w:szCs w:val="14"/>
                <w:color w:val="auto"/>
              </w:rPr>
              <w:t>Total liabilities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4"/>
                <w:szCs w:val="14"/>
                <w:color w:val="auto"/>
              </w:rPr>
              <w:t>Stockholders’ equity:</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-5171440</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-4828540</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-4485640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-4142740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-3825240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-3482340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-2813050</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-2470150</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-2127250</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-1784350</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-1440815</wp:posOffset>
            </wp:positionV>
            <wp:extent cx="72294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-1123950</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-780415</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-120650</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-437515</wp:posOffset>
            </wp:positionV>
            <wp:extent cx="722947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8">
                      <a:extLst>
                        <a:ext uri="{28A0092B-C50C-407E-A947-70E740481C1C}"/>
                      </a:extLst>
                    </a:blip>
                    <a:srcRect/>
                    <a:stretch>
                      <a:fillRect/>
                    </a:stretch>
                  </pic:blipFill>
                  <pic:spPr bwMode="auto">
                    <a:xfrm>
                      <a:off x="0" y="0"/>
                      <a:ext cx="7229475" cy="1460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-3138805</wp:posOffset>
            </wp:positionV>
            <wp:extent cx="722947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9">
                      <a:extLst>
                        <a:ext uri="{28A0092B-C50C-407E-A947-70E740481C1C}"/>
                      </a:extLst>
                    </a:blip>
                    <a:srcRect/>
                    <a:stretch>
                      <a:fillRect/>
                    </a:stretch>
                  </pic:blipFill>
                  <pic:spPr bwMode="auto">
                    <a:xfrm>
                      <a:off x="0" y="0"/>
                      <a:ext cx="7229475" cy="15430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-5514340</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8" w:lineRule="exact"/>
        <w:rPr>
          <w:sz w:val="20"/>
          <w:szCs w:val="20"/>
          <w:color w:val="auto"/>
        </w:rPr>
      </w:pPr>
    </w:p>
    <w:p>
      <w:pPr>
        <w:ind w:left="180" w:right="860"/>
        <w:spacing w:after="0" w:line="253" w:lineRule="auto"/>
        <w:rPr>
          <w:sz w:val="20"/>
          <w:szCs w:val="20"/>
          <w:color w:val="auto"/>
        </w:rPr>
      </w:pPr>
      <w:r>
        <w:rPr>
          <w:rFonts w:ascii="Arial" w:cs="Arial" w:eastAsia="Arial" w:hAnsi="Arial"/>
          <w:sz w:val="14"/>
          <w:szCs w:val="14"/>
          <w:color w:val="auto"/>
        </w:rPr>
        <w:t>Preferred stock, $0.001 par value, 5,000,000 authorized, 0 shares outstanding at December 31, 2017 and December 25,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1905</wp:posOffset>
            </wp:positionV>
            <wp:extent cx="722947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1">
                      <a:extLst>
                        <a:ext uri="{28A0092B-C50C-407E-A947-70E740481C1C}"/>
                      </a:extLst>
                    </a:blip>
                    <a:srcRect/>
                    <a:stretch>
                      <a:fillRect/>
                    </a:stretch>
                  </pic:blipFill>
                  <pic:spPr bwMode="auto">
                    <a:xfrm>
                      <a:off x="0" y="0"/>
                      <a:ext cx="7229475" cy="222885"/>
                    </a:xfrm>
                    <a:prstGeom prst="rect">
                      <a:avLst/>
                    </a:prstGeom>
                    <a:noFill/>
                  </pic:spPr>
                </pic:pic>
              </a:graphicData>
            </a:graphic>
          </wp:anchor>
        </w:drawing>
      </w:r>
    </w:p>
    <w:p>
      <w:pPr>
        <w:ind w:left="180" w:right="360"/>
        <w:spacing w:after="0" w:line="253" w:lineRule="auto"/>
        <w:rPr>
          <w:sz w:val="20"/>
          <w:szCs w:val="20"/>
          <w:color w:val="auto"/>
        </w:rPr>
      </w:pPr>
      <w:r>
        <w:rPr>
          <w:rFonts w:ascii="Arial" w:cs="Arial" w:eastAsia="Arial" w:hAnsi="Arial"/>
          <w:sz w:val="14"/>
          <w:szCs w:val="14"/>
          <w:color w:val="auto"/>
        </w:rPr>
        <w:t>Common stock, $0.001 par value, 195,000,000 shares authorized; 103,297,525 and 73,945,533 shares issued and outstanding at December 31, 2017 and December 25, 2016, respectively</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Accumulated other comprehensive loss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Accumulated deficit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00" w:type="dxa"/>
            <w:vAlign w:val="bottom"/>
          </w:tcPr>
          <w:p>
            <w:pPr>
              <w:jc w:val="right"/>
              <w:ind w:right="1048"/>
              <w:spacing w:after="0"/>
              <w:rPr>
                <w:sz w:val="20"/>
                <w:szCs w:val="20"/>
                <w:color w:val="auto"/>
              </w:rPr>
            </w:pPr>
            <w:r>
              <w:rPr>
                <w:rFonts w:ascii="Arial" w:cs="Arial" w:eastAsia="Arial" w:hAnsi="Arial"/>
                <w:sz w:val="14"/>
                <w:szCs w:val="14"/>
                <w:b w:val="1"/>
                <w:bCs w:val="1"/>
                <w:color w:val="auto"/>
                <w:w w:val="83"/>
              </w:rPr>
              <w:t>2017</w:t>
            </w:r>
          </w:p>
        </w:tc>
        <w:tc>
          <w:tcPr>
            <w:tcW w:w="5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2016</w:t>
            </w:r>
          </w:p>
        </w:tc>
      </w:tr>
      <w:tr>
        <w:trPr>
          <w:trHeight w:val="784"/>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129.6</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69.1</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0.4</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268.4</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229.4</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50.4</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55.4</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2.4</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4.6</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12.9</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8.9</w:t>
            </w:r>
          </w:p>
        </w:tc>
      </w:tr>
      <w:tr>
        <w:trPr>
          <w:trHeight w:val="276"/>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7.2</w:t>
            </w: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r>
      <w:tr>
        <w:trPr>
          <w:trHeight w:val="204"/>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471.3</w:t>
            </w:r>
          </w:p>
        </w:tc>
        <w:tc>
          <w:tcPr>
            <w:tcW w:w="540" w:type="dxa"/>
            <w:vAlign w:val="bottom"/>
          </w:tcPr>
          <w:p>
            <w:pPr>
              <w:spacing w:after="0"/>
              <w:rPr>
                <w:sz w:val="17"/>
                <w:szCs w:val="17"/>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373.1</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61.2</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49.8</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461.2</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485.4</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22.0</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32.6</w:t>
            </w:r>
          </w:p>
        </w:tc>
      </w:tr>
      <w:tr>
        <w:trPr>
          <w:trHeight w:val="276"/>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8.3</w:t>
            </w: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w:t>
            </w:r>
          </w:p>
        </w:tc>
      </w:tr>
      <w:tr>
        <w:trPr>
          <w:trHeight w:val="21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1,024.0</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948.6</w:t>
            </w:r>
          </w:p>
        </w:tc>
      </w:tr>
      <w:tr>
        <w:trPr>
          <w:trHeight w:val="20"/>
        </w:trPr>
        <w:tc>
          <w:tcPr>
            <w:tcW w:w="1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758"/>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48.8</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52.7</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45.6</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50.0</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34.8</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39.1</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1.7</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3.6</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47.2</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41.8</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8.9</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6.7</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0.8</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6"/>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1.1</w:t>
            </w: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r>
      <w:tr>
        <w:trPr>
          <w:trHeight w:val="204"/>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188.9</w:t>
            </w:r>
          </w:p>
        </w:tc>
        <w:tc>
          <w:tcPr>
            <w:tcW w:w="540" w:type="dxa"/>
            <w:vAlign w:val="bottom"/>
          </w:tcPr>
          <w:p>
            <w:pPr>
              <w:spacing w:after="0"/>
              <w:rPr>
                <w:sz w:val="17"/>
                <w:szCs w:val="17"/>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196.5</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293.5</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431.0</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7.0</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17.3</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19.3</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23.7</w:t>
            </w:r>
          </w:p>
        </w:tc>
      </w:tr>
      <w:tr>
        <w:trPr>
          <w:trHeight w:val="276"/>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3.8</w:t>
            </w:r>
          </w:p>
        </w:tc>
        <w:tc>
          <w:tcPr>
            <w:tcW w:w="5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r>
      <w:tr>
        <w:trPr>
          <w:trHeight w:val="21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512.5</w:t>
            </w:r>
          </w:p>
        </w:tc>
        <w:tc>
          <w:tcPr>
            <w:tcW w:w="5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672.2</w:t>
            </w:r>
          </w:p>
        </w:tc>
      </w:tr>
      <w:tr>
        <w:trPr>
          <w:trHeight w:val="865"/>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400" w:type="dxa"/>
            <w:vAlign w:val="bottom"/>
          </w:tcPr>
          <w:p>
            <w:pPr>
              <w:jc w:val="right"/>
              <w:ind w:right="168"/>
              <w:spacing w:after="0"/>
              <w:rPr>
                <w:sz w:val="20"/>
                <w:szCs w:val="20"/>
                <w:color w:val="auto"/>
              </w:rPr>
            </w:pPr>
            <w:r>
              <w:rPr>
                <w:rFonts w:ascii="Arial" w:cs="Arial" w:eastAsia="Arial" w:hAnsi="Arial"/>
                <w:sz w:val="14"/>
                <w:szCs w:val="14"/>
                <w:color w:val="auto"/>
              </w:rPr>
              <w:t>1,233.7</w:t>
            </w:r>
          </w:p>
        </w:tc>
        <w:tc>
          <w:tcPr>
            <w:tcW w:w="54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956.2</w:t>
            </w:r>
          </w:p>
        </w:tc>
      </w:tr>
      <w:tr>
        <w:trPr>
          <w:trHeight w:val="270"/>
        </w:trPr>
        <w:tc>
          <w:tcPr>
            <w:tcW w:w="1400" w:type="dxa"/>
            <w:vAlign w:val="bottom"/>
          </w:tcPr>
          <w:p>
            <w:pPr>
              <w:jc w:val="right"/>
              <w:ind w:right="128"/>
              <w:spacing w:after="0"/>
              <w:rPr>
                <w:sz w:val="20"/>
                <w:szCs w:val="20"/>
                <w:color w:val="auto"/>
              </w:rPr>
            </w:pPr>
            <w:r>
              <w:rPr>
                <w:rFonts w:ascii="Arial" w:cs="Arial" w:eastAsia="Arial" w:hAnsi="Arial"/>
                <w:sz w:val="14"/>
                <w:szCs w:val="14"/>
                <w:color w:val="auto"/>
              </w:rPr>
              <w:t>(1.4)</w:t>
            </w:r>
          </w:p>
        </w:tc>
        <w:tc>
          <w:tcPr>
            <w:tcW w:w="5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70"/>
        </w:trPr>
        <w:tc>
          <w:tcPr>
            <w:tcW w:w="1400" w:type="dxa"/>
            <w:vAlign w:val="bottom"/>
          </w:tcPr>
          <w:p>
            <w:pPr>
              <w:jc w:val="right"/>
              <w:ind w:right="128"/>
              <w:spacing w:after="0"/>
              <w:rPr>
                <w:sz w:val="20"/>
                <w:szCs w:val="20"/>
                <w:color w:val="auto"/>
              </w:rPr>
            </w:pPr>
            <w:r>
              <w:rPr>
                <w:rFonts w:ascii="Arial" w:cs="Arial" w:eastAsia="Arial" w:hAnsi="Arial"/>
                <w:sz w:val="14"/>
                <w:szCs w:val="14"/>
                <w:color w:val="auto"/>
              </w:rPr>
              <w:t>(720.8)</w:t>
            </w:r>
          </w:p>
        </w:tc>
        <w:tc>
          <w:tcPr>
            <w:tcW w:w="5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(678.1)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-1295400</wp:posOffset>
            </wp:positionV>
            <wp:extent cx="14579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3">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-2272665</wp:posOffset>
            </wp:positionV>
            <wp:extent cx="14579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4">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-3979545</wp:posOffset>
            </wp:positionV>
            <wp:extent cx="14579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5">
                      <a:extLst>
                        <a:ext uri="{28A0092B-C50C-407E-A947-70E740481C1C}"/>
                      </a:extLst>
                    </a:blip>
                    <a:srcRect/>
                    <a:stretch>
                      <a:fillRect/>
                    </a:stretch>
                  </pic:blipFill>
                  <pic:spPr bwMode="auto">
                    <a:xfrm>
                      <a:off x="0" y="0"/>
                      <a:ext cx="1457960" cy="8890"/>
                    </a:xfrm>
                    <a:prstGeom prst="rect">
                      <a:avLst/>
                    </a:prstGeom>
                    <a:noFill/>
                  </pic:spPr>
                </pic:pic>
              </a:graphicData>
            </a:graphic>
          </wp:anchor>
        </w:drawing>
        <w:drawing>
          <wp:anchor simplePos="0" relativeHeight="251657728" behindDoc="1" locked="0" layoutInCell="0" allowOverlap="1">
            <wp:simplePos x="0" y="0"/>
            <wp:positionH relativeFrom="column">
              <wp:posOffset>-642620</wp:posOffset>
            </wp:positionH>
            <wp:positionV relativeFrom="paragraph">
              <wp:posOffset>-4974590</wp:posOffset>
            </wp:positionV>
            <wp:extent cx="14579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6">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040" w:space="720"/>
            <w:col w:w="3640"/>
          </w:cols>
          <w:pgMar w:left="240" w:top="125" w:right="259" w:bottom="1440" w:gutter="0" w:footer="0" w:header="0"/>
          <w:type w:val="continuous"/>
        </w:sectPr>
      </w:pPr>
    </w:p>
    <w:tbl>
      <w:tblPr>
        <w:tblLayout w:type="fixed"/>
        <w:tblInd w:w="20" w:type="dxa"/>
        <w:tblCellMar>
          <w:top w:w="0" w:type="dxa"/>
          <w:left w:w="0" w:type="dxa"/>
          <w:bottom w:w="0" w:type="dxa"/>
          <w:right w:w="0" w:type="dxa"/>
        </w:tblCellMar>
      </w:tblPr>
      <w:tr>
        <w:trPr>
          <w:trHeight w:val="222"/>
        </w:trPr>
        <w:tc>
          <w:tcPr>
            <w:tcW w:w="67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stockholders’ equity</w:t>
            </w: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511.5</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276.4</w:t>
            </w:r>
          </w:p>
        </w:tc>
      </w:tr>
      <w:tr>
        <w:trPr>
          <w:trHeight w:val="204"/>
        </w:trPr>
        <w:tc>
          <w:tcPr>
            <w:tcW w:w="6720" w:type="dxa"/>
            <w:vAlign w:val="bottom"/>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1,024.0</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948.6</w:t>
            </w: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125" w:right="25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OPERATIONS AND COMPREHENSIVE INCOME (LOSS)</w:t>
      </w:r>
    </w:p>
    <w:p>
      <w:pPr>
        <w:jc w:val="center"/>
        <w:ind w:right="-19"/>
        <w:spacing w:after="0"/>
        <w:rPr>
          <w:sz w:val="20"/>
          <w:szCs w:val="20"/>
          <w:color w:val="auto"/>
        </w:rPr>
      </w:pPr>
      <w:r>
        <w:rPr>
          <w:rFonts w:ascii="Arial" w:cs="Arial" w:eastAsia="Arial" w:hAnsi="Arial"/>
          <w:sz w:val="14"/>
          <w:szCs w:val="14"/>
          <w:b w:val="1"/>
          <w:bCs w:val="1"/>
          <w:color w:val="auto"/>
        </w:rPr>
        <w:t>Years ended December 31, 2017, December 25, 2016, and December 27,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 except per share amounts)</w:t>
      </w:r>
    </w:p>
    <w:p>
      <w:pPr>
        <w:sectPr>
          <w:pgSz w:w="11900" w:h="16838" w:orient="portrait"/>
          <w:cols w:equalWidth="0" w:num="1">
            <w:col w:w="11420"/>
          </w:cols>
          <w:pgMar w:left="240" w:top="125" w:right="239" w:bottom="11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Service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Product sales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 of service revenues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Cost of product sales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costs</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Gross profit</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Selling, general and administrative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Merger and acquisition related items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Research and development expenses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Impairment of goodwill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Unused office space and other restructuring</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Operating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income (expense):</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expense,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Gain (loss) on extinguishment of debt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income (expense),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Total other expense,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from continuing operations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Provision (benefit) for income taxes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Discontinued operations (Note 8)</w:t>
      </w:r>
    </w:p>
    <w:p>
      <w:pPr>
        <w:spacing w:after="0" w:line="123" w:lineRule="exact"/>
        <w:rPr>
          <w:sz w:val="20"/>
          <w:szCs w:val="20"/>
          <w:color w:val="auto"/>
        </w:rPr>
      </w:pPr>
    </w:p>
    <w:p>
      <w:pPr>
        <w:ind w:left="180"/>
        <w:spacing w:after="0" w:line="281" w:lineRule="auto"/>
        <w:rPr>
          <w:sz w:val="20"/>
          <w:szCs w:val="20"/>
          <w:color w:val="auto"/>
        </w:rPr>
      </w:pPr>
      <w:r>
        <w:rPr>
          <w:rFonts w:ascii="Arial" w:cs="Arial" w:eastAsia="Arial" w:hAnsi="Arial"/>
          <w:sz w:val="13"/>
          <w:szCs w:val="13"/>
          <w:color w:val="auto"/>
        </w:rPr>
        <w:t>Income (loss) from operations of discontinued component (including gain on disposal of $80.8 million for the year ended December 27, 2015)</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tax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(loss) from discontinued operations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Basic income and loss per common share:</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Loss from continuing operations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from discontinued operations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(loss) per common share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Diluted income and loss per common share:</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Loss from continuing operations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Income from discontinued operations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 (loss) per common share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Weighted average common shares outstanding:</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Basic</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Diluted</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Comprehensive Income (Loss)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 from above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cumulative translation adjustment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Postretirement benefit reserve adjustment net of tax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2015</w:t>
            </w:r>
          </w:p>
        </w:tc>
      </w:tr>
      <w:tr>
        <w:trPr>
          <w:trHeight w:val="244"/>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346.4</w:t>
            </w:r>
          </w:p>
        </w:tc>
        <w:tc>
          <w:tcPr>
            <w:tcW w:w="12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348.1</w:t>
            </w:r>
          </w:p>
        </w:tc>
        <w:tc>
          <w:tcPr>
            <w:tcW w:w="100" w:type="dxa"/>
            <w:vAlign w:val="bottom"/>
          </w:tcPr>
          <w:p>
            <w:pPr>
              <w:spacing w:after="0"/>
              <w:rPr>
                <w:sz w:val="21"/>
                <w:szCs w:val="21"/>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354.2</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405.5</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320.6</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302.9</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751.9</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668.7</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657.1</w:t>
            </w:r>
          </w:p>
        </w:tc>
      </w:tr>
      <w:tr>
        <w:trPr>
          <w:trHeight w:val="244"/>
        </w:trPr>
        <w:tc>
          <w:tcPr>
            <w:tcW w:w="48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247.5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255.8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266.5</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307.1</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259.3</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228.8</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554.6</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515.1</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495.3</w:t>
            </w:r>
          </w:p>
        </w:tc>
      </w:tr>
      <w:tr>
        <w:trPr>
          <w:trHeight w:val="244"/>
        </w:trPr>
        <w:tc>
          <w:tcPr>
            <w:tcW w:w="480" w:type="dxa"/>
            <w:vAlign w:val="bottom"/>
          </w:tcPr>
          <w:p>
            <w:pPr>
              <w:spacing w:after="0"/>
              <w:rPr>
                <w:sz w:val="21"/>
                <w:szCs w:val="21"/>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197.3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153.6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161.8</w:t>
            </w:r>
          </w:p>
        </w:tc>
      </w:tr>
      <w:tr>
        <w:trPr>
          <w:trHeight w:val="270"/>
        </w:trPr>
        <w:tc>
          <w:tcPr>
            <w:tcW w:w="48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160.6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146.3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150.7</w:t>
            </w:r>
          </w:p>
        </w:tc>
      </w:tr>
      <w:tr>
        <w:trPr>
          <w:trHeight w:val="270"/>
        </w:trPr>
        <w:tc>
          <w:tcPr>
            <w:tcW w:w="480" w:type="dxa"/>
            <w:vAlign w:val="bottom"/>
          </w:tcPr>
          <w:p>
            <w:pPr>
              <w:spacing w:after="0"/>
              <w:rPr>
                <w:sz w:val="23"/>
                <w:szCs w:val="23"/>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70"/>
        </w:trPr>
        <w:tc>
          <w:tcPr>
            <w:tcW w:w="48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16.2</w:t>
            </w:r>
          </w:p>
        </w:tc>
      </w:tr>
      <w:tr>
        <w:trPr>
          <w:trHeight w:val="270"/>
        </w:trPr>
        <w:tc>
          <w:tcPr>
            <w:tcW w:w="48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r>
      <w:tr>
        <w:trPr>
          <w:trHeight w:val="528"/>
        </w:trPr>
        <w:tc>
          <w:tcPr>
            <w:tcW w:w="480" w:type="dxa"/>
            <w:vAlign w:val="bottom"/>
          </w:tcPr>
          <w:p>
            <w:pPr>
              <w:spacing w:after="0"/>
              <w:rPr>
                <w:sz w:val="24"/>
                <w:szCs w:val="24"/>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(36.0)</w:t>
            </w:r>
          </w:p>
        </w:tc>
      </w:tr>
      <w:tr>
        <w:trPr>
          <w:trHeight w:val="270"/>
        </w:trPr>
        <w:tc>
          <w:tcPr>
            <w:tcW w:w="480" w:type="dxa"/>
            <w:vAlign w:val="bottom"/>
          </w:tcPr>
          <w:p>
            <w:pPr>
              <w:spacing w:after="0"/>
              <w:rPr>
                <w:sz w:val="23"/>
                <w:szCs w:val="23"/>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r>
      <w:tr>
        <w:trPr>
          <w:trHeight w:val="244"/>
        </w:trPr>
        <w:tc>
          <w:tcPr>
            <w:tcW w:w="480" w:type="dxa"/>
            <w:vAlign w:val="bottom"/>
          </w:tcPr>
          <w:p>
            <w:pPr>
              <w:spacing w:after="0"/>
              <w:rPr>
                <w:sz w:val="21"/>
                <w:szCs w:val="21"/>
                <w:color w:val="auto"/>
              </w:rPr>
            </w:pP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(44.6)</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r>
      <w:tr>
        <w:trPr>
          <w:trHeight w:val="609"/>
        </w:trPr>
        <w:tc>
          <w:tcPr>
            <w:tcW w:w="480" w:type="dxa"/>
            <w:vAlign w:val="bottom"/>
          </w:tcPr>
          <w:p>
            <w:pPr>
              <w:spacing w:after="0"/>
              <w:rPr>
                <w:sz w:val="24"/>
                <w:szCs w:val="2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75.5</w:t>
            </w:r>
          </w:p>
        </w:tc>
      </w:tr>
      <w:tr>
        <w:trPr>
          <w:trHeight w:val="276"/>
        </w:trPr>
        <w:tc>
          <w:tcPr>
            <w:tcW w:w="480" w:type="dxa"/>
            <w:vAlign w:val="bottom"/>
          </w:tcPr>
          <w:p>
            <w:pPr>
              <w:spacing w:after="0"/>
              <w:rPr>
                <w:sz w:val="24"/>
                <w:szCs w:val="24"/>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22.5</w:t>
            </w:r>
          </w:p>
        </w:tc>
      </w:tr>
      <w:tr>
        <w:trPr>
          <w:trHeight w:val="250"/>
        </w:trPr>
        <w:tc>
          <w:tcPr>
            <w:tcW w:w="48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53.0</w:t>
            </w:r>
          </w:p>
        </w:tc>
      </w:tr>
      <w:tr>
        <w:trPr>
          <w:trHeight w:val="237"/>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15"/>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(0.99)</w:t>
            </w:r>
          </w:p>
        </w:tc>
        <w:tc>
          <w:tcPr>
            <w:tcW w:w="10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(0.56)</w:t>
            </w:r>
          </w:p>
        </w:tc>
      </w:tr>
      <w:tr>
        <w:trPr>
          <w:trHeight w:val="276"/>
        </w:trPr>
        <w:tc>
          <w:tcPr>
            <w:tcW w:w="480" w:type="dxa"/>
            <w:vAlign w:val="bottom"/>
          </w:tcPr>
          <w:p>
            <w:pPr>
              <w:spacing w:after="0"/>
              <w:rPr>
                <w:sz w:val="24"/>
                <w:szCs w:val="2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0.90</w:t>
            </w:r>
          </w:p>
        </w:tc>
      </w:tr>
      <w:tr>
        <w:trPr>
          <w:trHeight w:val="237"/>
        </w:trPr>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(0.99)</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0.34</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15"/>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(0.99)</w:t>
            </w:r>
          </w:p>
        </w:tc>
        <w:tc>
          <w:tcPr>
            <w:tcW w:w="10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(0.56)</w:t>
            </w:r>
          </w:p>
        </w:tc>
      </w:tr>
      <w:tr>
        <w:trPr>
          <w:trHeight w:val="276"/>
        </w:trPr>
        <w:tc>
          <w:tcPr>
            <w:tcW w:w="480" w:type="dxa"/>
            <w:vAlign w:val="bottom"/>
          </w:tcPr>
          <w:p>
            <w:pPr>
              <w:spacing w:after="0"/>
              <w:rPr>
                <w:sz w:val="24"/>
                <w:szCs w:val="2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0.90</w:t>
            </w:r>
          </w:p>
        </w:tc>
      </w:tr>
      <w:tr>
        <w:trPr>
          <w:trHeight w:val="237"/>
        </w:trPr>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(0.99)</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0.34</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07"/>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58.7</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58.7</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21"/>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w:t>
            </w:r>
          </w:p>
        </w:tc>
      </w:tr>
      <w:tr>
        <w:trPr>
          <w:trHeight w:val="528"/>
        </w:trPr>
        <w:tc>
          <w:tcPr>
            <w:tcW w:w="480" w:type="dxa"/>
            <w:vAlign w:val="bottom"/>
          </w:tcPr>
          <w:p>
            <w:pPr>
              <w:spacing w:after="0"/>
              <w:rPr>
                <w:sz w:val="24"/>
                <w:szCs w:val="24"/>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76"/>
        </w:trPr>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r>
      <w:tr>
        <w:trPr>
          <w:trHeight w:val="250"/>
        </w:trPr>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r>
      <w:tr>
        <w:trPr>
          <w:trHeight w:val="237"/>
        </w:trPr>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(42.4)</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-7708900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-7366000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-7023100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-6680200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-6336665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-5993765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-5650865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-5299075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-4956175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-4613275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-4270375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-3918585</wp:posOffset>
            </wp:positionV>
            <wp:extent cx="724662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-3524250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-3180715</wp:posOffset>
            </wp:positionV>
            <wp:extent cx="72466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-2820670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-2477770</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-2117725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-1774825</wp:posOffset>
            </wp:positionV>
            <wp:extent cx="72466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-1414145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-1054100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-702310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-359410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4600" w:space="440"/>
            <w:col w:w="6380"/>
          </w:cols>
          <w:pgMar w:left="240" w:top="125" w:right="239" w:bottom="1124"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25" w:right="239" w:bottom="1124"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125" w:right="239" w:bottom="1124"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jc w:val="center"/>
        <w:spacing w:after="0"/>
        <w:rPr>
          <w:sz w:val="20"/>
          <w:szCs w:val="20"/>
          <w:color w:val="auto"/>
        </w:rPr>
      </w:pPr>
      <w:r>
        <w:rPr>
          <w:rFonts w:ascii="Arial" w:cs="Arial" w:eastAsia="Arial" w:hAnsi="Arial"/>
          <w:sz w:val="14"/>
          <w:szCs w:val="14"/>
          <w:b w:val="1"/>
          <w:bCs w:val="1"/>
          <w:color w:val="auto"/>
        </w:rPr>
        <w:t>Years ended December 31, 2017, December 25, 2016, and December 27,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2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3"/>
                <w:szCs w:val="13"/>
                <w:color w:val="auto"/>
              </w:rPr>
            </w:pPr>
          </w:p>
        </w:tc>
        <w:tc>
          <w:tcPr>
            <w:tcW w:w="2220" w:type="dxa"/>
            <w:vAlign w:val="bottom"/>
            <w:tcBorders>
              <w:bottom w:val="single" w:sz="8" w:color="auto"/>
            </w:tcBorders>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06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0"/>
                <w:szCs w:val="10"/>
                <w:color w:val="auto"/>
              </w:rPr>
            </w:pP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Additional</w:t>
            </w:r>
          </w:p>
        </w:tc>
        <w:tc>
          <w:tcPr>
            <w:tcW w:w="11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Paid-In Capital</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8"/>
              </w:rPr>
              <w:t>Deficit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28, 2014</w:t>
            </w:r>
          </w:p>
        </w:tc>
        <w:tc>
          <w:tcPr>
            <w:tcW w:w="1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57.8</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863.4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224.3</w:t>
            </w: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420"/>
          </w:cols>
          <w:pgMar w:left="240" w:top="125" w:right="239" w:bottom="1440" w:gutter="0" w:footer="0" w:header="0"/>
        </w:sectPr>
      </w:pPr>
    </w:p>
    <w:tbl>
      <w:tblPr>
        <w:tblLayout w:type="fixed"/>
        <w:tblInd w:w="40" w:type="dxa"/>
        <w:tblCellMar>
          <w:top w:w="0" w:type="dxa"/>
          <w:left w:w="0" w:type="dxa"/>
          <w:bottom w:w="0" w:type="dxa"/>
          <w:right w:w="0" w:type="dxa"/>
        </w:tblCellMar>
      </w:tblPr>
      <w:tr>
        <w:trPr>
          <w:trHeight w:val="182"/>
        </w:trPr>
        <w:tc>
          <w:tcPr>
            <w:tcW w:w="4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60" w:type="dxa"/>
            <w:vAlign w:val="bottom"/>
          </w:tcPr>
          <w:p>
            <w:pPr>
              <w:ind w:left="140"/>
              <w:spacing w:after="0"/>
              <w:rPr>
                <w:sz w:val="20"/>
                <w:szCs w:val="20"/>
                <w:color w:val="auto"/>
              </w:rPr>
            </w:pPr>
            <w:r>
              <w:rPr>
                <w:rFonts w:ascii="Arial" w:cs="Arial" w:eastAsia="Arial" w:hAnsi="Arial"/>
                <w:sz w:val="14"/>
                <w:szCs w:val="14"/>
                <w:color w:val="auto"/>
                <w:w w:val="98"/>
              </w:rPr>
              <w:t>Issuance of common stock for employee stock purchase plan, options and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60" w:type="dxa"/>
            <w:vAlign w:val="bottom"/>
          </w:tcPr>
          <w:p>
            <w:pPr>
              <w:ind w:left="140"/>
              <w:spacing w:after="0"/>
              <w:rPr>
                <w:sz w:val="20"/>
                <w:szCs w:val="20"/>
                <w:color w:val="auto"/>
              </w:rPr>
            </w:pPr>
            <w:r>
              <w:rPr>
                <w:rFonts w:ascii="Arial" w:cs="Arial" w:eastAsia="Arial" w:hAnsi="Arial"/>
                <w:sz w:val="14"/>
                <w:szCs w:val="14"/>
                <w:color w:val="auto"/>
              </w:rPr>
              <w:t>warrants</w:t>
            </w:r>
          </w:p>
        </w:tc>
        <w:tc>
          <w:tcPr>
            <w:tcW w:w="1040" w:type="dxa"/>
            <w:vAlign w:val="bottom"/>
          </w:tcPr>
          <w:p>
            <w:pPr>
              <w:jc w:val="right"/>
              <w:ind w:right="45"/>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1040" w:type="dxa"/>
            <w:vAlign w:val="bottom"/>
          </w:tcPr>
          <w:p>
            <w:pPr>
              <w:jc w:val="right"/>
              <w:ind w:right="45"/>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660" w:type="dxa"/>
            <w:vAlign w:val="bottom"/>
          </w:tcPr>
          <w:p>
            <w:pPr>
              <w:ind w:left="140"/>
              <w:spacing w:after="0"/>
              <w:rPr>
                <w:sz w:val="20"/>
                <w:szCs w:val="20"/>
                <w:color w:val="auto"/>
              </w:rPr>
            </w:pPr>
            <w:r>
              <w:rPr>
                <w:rFonts w:ascii="Arial" w:cs="Arial" w:eastAsia="Arial" w:hAnsi="Arial"/>
                <w:sz w:val="14"/>
                <w:szCs w:val="14"/>
                <w:color w:val="auto"/>
              </w:rPr>
              <w:t>Other comprehensive income, net of tax</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0"/>
                <w:szCs w:val="20"/>
                <w:color w:val="auto"/>
              </w:rPr>
            </w:pPr>
            <w:r>
              <w:rPr>
                <w:rFonts w:ascii="Arial" w:cs="Arial" w:eastAsia="Arial" w:hAnsi="Arial"/>
                <w:sz w:val="14"/>
                <w:szCs w:val="14"/>
                <w:b w:val="1"/>
                <w:bCs w:val="1"/>
                <w:color w:val="auto"/>
              </w:rPr>
              <w:t>Balance, December 27, 2015</w:t>
            </w:r>
          </w:p>
        </w:tc>
        <w:tc>
          <w:tcPr>
            <w:tcW w:w="1040" w:type="dxa"/>
            <w:vAlign w:val="bottom"/>
            <w:tcBorders>
              <w:top w:val="single" w:sz="8" w:color="auto"/>
            </w:tcBorders>
          </w:tcPr>
          <w:p>
            <w:pPr>
              <w:jc w:val="right"/>
              <w:ind w:right="45"/>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4"/>
                <w:szCs w:val="14"/>
                <w:color w:val="auto"/>
              </w:rPr>
              <w:t>Issuance of common stock for cash</w:t>
            </w:r>
          </w:p>
        </w:tc>
        <w:tc>
          <w:tcPr>
            <w:tcW w:w="1040" w:type="dxa"/>
            <w:vAlign w:val="bottom"/>
          </w:tcPr>
          <w:p>
            <w:pPr>
              <w:jc w:val="right"/>
              <w:ind w:right="45"/>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4660" w:type="dxa"/>
            <w:vAlign w:val="bottom"/>
          </w:tcPr>
          <w:p>
            <w:pPr>
              <w:ind w:left="140"/>
              <w:spacing w:after="0"/>
              <w:rPr>
                <w:sz w:val="20"/>
                <w:szCs w:val="20"/>
                <w:color w:val="auto"/>
              </w:rPr>
            </w:pPr>
            <w:r>
              <w:rPr>
                <w:rFonts w:ascii="Arial" w:cs="Arial" w:eastAsia="Arial" w:hAnsi="Arial"/>
                <w:sz w:val="14"/>
                <w:szCs w:val="14"/>
                <w:color w:val="auto"/>
                <w:w w:val="98"/>
              </w:rPr>
              <w:t>Issuance of common stock for employee stock purchase plan, options and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60" w:type="dxa"/>
            <w:vAlign w:val="bottom"/>
          </w:tcPr>
          <w:p>
            <w:pPr>
              <w:ind w:left="300"/>
              <w:spacing w:after="0"/>
              <w:rPr>
                <w:sz w:val="20"/>
                <w:szCs w:val="20"/>
                <w:color w:val="auto"/>
              </w:rPr>
            </w:pPr>
            <w:r>
              <w:rPr>
                <w:rFonts w:ascii="Arial" w:cs="Arial" w:eastAsia="Arial" w:hAnsi="Arial"/>
                <w:sz w:val="14"/>
                <w:szCs w:val="14"/>
                <w:color w:val="auto"/>
              </w:rPr>
              <w:t>warrants</w:t>
            </w:r>
          </w:p>
        </w:tc>
        <w:tc>
          <w:tcPr>
            <w:tcW w:w="1040" w:type="dxa"/>
            <w:vAlign w:val="bottom"/>
          </w:tcPr>
          <w:p>
            <w:pPr>
              <w:jc w:val="right"/>
              <w:ind w:right="45"/>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1040" w:type="dxa"/>
            <w:vAlign w:val="bottom"/>
          </w:tcPr>
          <w:p>
            <w:pPr>
              <w:jc w:val="right"/>
              <w:ind w:right="45"/>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660" w:type="dxa"/>
            <w:vAlign w:val="bottom"/>
          </w:tcPr>
          <w:p>
            <w:pPr>
              <w:ind w:left="140"/>
              <w:spacing w:after="0"/>
              <w:rPr>
                <w:sz w:val="20"/>
                <w:szCs w:val="20"/>
                <w:color w:val="auto"/>
              </w:rPr>
            </w:pPr>
            <w:r>
              <w:rPr>
                <w:rFonts w:ascii="Arial" w:cs="Arial" w:eastAsia="Arial" w:hAnsi="Arial"/>
                <w:sz w:val="14"/>
                <w:szCs w:val="14"/>
                <w:color w:val="auto"/>
              </w:rPr>
              <w:t>Other comprehensive loss, net of tax</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660" w:type="dxa"/>
            <w:vAlign w:val="bottom"/>
          </w:tcPr>
          <w:p>
            <w:pPr>
              <w:spacing w:after="0"/>
              <w:rPr>
                <w:sz w:val="20"/>
                <w:szCs w:val="20"/>
                <w:color w:val="auto"/>
              </w:rPr>
            </w:pPr>
            <w:r>
              <w:rPr>
                <w:rFonts w:ascii="Arial" w:cs="Arial" w:eastAsia="Arial" w:hAnsi="Arial"/>
                <w:sz w:val="14"/>
                <w:szCs w:val="14"/>
                <w:b w:val="1"/>
                <w:bCs w:val="1"/>
                <w:color w:val="auto"/>
              </w:rPr>
              <w:t>Balance, December 25, 2016</w:t>
            </w:r>
          </w:p>
        </w:tc>
        <w:tc>
          <w:tcPr>
            <w:tcW w:w="1040" w:type="dxa"/>
            <w:vAlign w:val="bottom"/>
            <w:tcBorders>
              <w:top w:val="single" w:sz="8" w:color="auto"/>
            </w:tcBorders>
          </w:tcPr>
          <w:p>
            <w:pPr>
              <w:jc w:val="right"/>
              <w:ind w:right="45"/>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4"/>
                <w:szCs w:val="14"/>
                <w:color w:val="auto"/>
              </w:rPr>
              <w:t>Issuance of common stock for cash</w:t>
            </w:r>
          </w:p>
        </w:tc>
        <w:tc>
          <w:tcPr>
            <w:tcW w:w="1040" w:type="dxa"/>
            <w:vAlign w:val="bottom"/>
          </w:tcPr>
          <w:p>
            <w:pPr>
              <w:jc w:val="right"/>
              <w:ind w:right="45"/>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4660" w:type="dxa"/>
            <w:vAlign w:val="bottom"/>
          </w:tcPr>
          <w:p>
            <w:pPr>
              <w:ind w:left="140"/>
              <w:spacing w:after="0"/>
              <w:rPr>
                <w:sz w:val="20"/>
                <w:szCs w:val="20"/>
                <w:color w:val="auto"/>
              </w:rPr>
            </w:pPr>
            <w:r>
              <w:rPr>
                <w:rFonts w:ascii="Arial" w:cs="Arial" w:eastAsia="Arial" w:hAnsi="Arial"/>
                <w:sz w:val="14"/>
                <w:szCs w:val="14"/>
                <w:color w:val="auto"/>
                <w:w w:val="98"/>
              </w:rPr>
              <w:t>Issuance of common stock for employee stock purchase plan, options and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vMerge w:val="restart"/>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660" w:type="dxa"/>
            <w:vAlign w:val="bottom"/>
          </w:tcPr>
          <w:p>
            <w:pPr>
              <w:ind w:left="300"/>
              <w:spacing w:after="0"/>
              <w:rPr>
                <w:sz w:val="20"/>
                <w:szCs w:val="20"/>
                <w:color w:val="auto"/>
              </w:rPr>
            </w:pPr>
            <w:r>
              <w:rPr>
                <w:rFonts w:ascii="Arial" w:cs="Arial" w:eastAsia="Arial" w:hAnsi="Arial"/>
                <w:sz w:val="14"/>
                <w:szCs w:val="14"/>
                <w:color w:val="auto"/>
              </w:rPr>
              <w:t>warrants</w:t>
            </w:r>
          </w:p>
        </w:tc>
        <w:tc>
          <w:tcPr>
            <w:tcW w:w="1040" w:type="dxa"/>
            <w:vAlign w:val="bottom"/>
          </w:tcPr>
          <w:p>
            <w:pPr>
              <w:jc w:val="right"/>
              <w:ind w:right="45"/>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4"/>
                <w:szCs w:val="14"/>
                <w:color w:val="auto"/>
              </w:rPr>
              <w:t>Restricted stock issued and related taxes</w:t>
            </w:r>
          </w:p>
        </w:tc>
        <w:tc>
          <w:tcPr>
            <w:tcW w:w="1040" w:type="dxa"/>
            <w:vAlign w:val="bottom"/>
          </w:tcPr>
          <w:p>
            <w:pPr>
              <w:jc w:val="right"/>
              <w:ind w:right="45"/>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tcPr>
          <w:p>
            <w:pPr>
              <w:ind w:left="14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660" w:type="dxa"/>
            <w:vAlign w:val="bottom"/>
          </w:tcPr>
          <w:p>
            <w:pPr>
              <w:ind w:left="140"/>
              <w:spacing w:after="0"/>
              <w:rPr>
                <w:sz w:val="20"/>
                <w:szCs w:val="20"/>
                <w:color w:val="auto"/>
              </w:rPr>
            </w:pPr>
            <w:r>
              <w:rPr>
                <w:rFonts w:ascii="Arial" w:cs="Arial" w:eastAsia="Arial" w:hAnsi="Arial"/>
                <w:sz w:val="14"/>
                <w:szCs w:val="14"/>
                <w:color w:val="auto"/>
              </w:rPr>
              <w:t>Other comprehensive income, net of tax</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0"/>
                <w:szCs w:val="20"/>
                <w:color w:val="auto"/>
              </w:rPr>
            </w:pPr>
            <w:r>
              <w:rPr>
                <w:rFonts w:ascii="Arial" w:cs="Arial" w:eastAsia="Arial" w:hAnsi="Arial"/>
                <w:sz w:val="14"/>
                <w:szCs w:val="14"/>
                <w:b w:val="1"/>
                <w:bCs w:val="1"/>
                <w:color w:val="auto"/>
              </w:rPr>
              <w:t>Balance, December 31, 2017</w:t>
            </w:r>
          </w:p>
        </w:tc>
        <w:tc>
          <w:tcPr>
            <w:tcW w:w="104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-3429635</wp:posOffset>
            </wp:positionV>
            <wp:extent cx="7246620"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-3035300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-2348865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-1954530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-1611630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-1268730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-925830</wp:posOffset>
            </wp:positionV>
            <wp:extent cx="724662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40" w:type="dxa"/>
            <w:vAlign w:val="bottom"/>
          </w:tcPr>
          <w:p>
            <w:pPr>
              <w:jc w:val="right"/>
              <w:ind w:right="144"/>
              <w:spacing w:after="0"/>
              <w:rPr>
                <w:sz w:val="20"/>
                <w:szCs w:val="20"/>
                <w:color w:val="auto"/>
              </w:rPr>
            </w:pPr>
            <w:r>
              <w:rPr>
                <w:rFonts w:ascii="Arial" w:cs="Arial" w:eastAsia="Arial" w:hAnsi="Arial"/>
                <w:sz w:val="14"/>
                <w:szCs w:val="14"/>
                <w:color w:val="auto"/>
              </w:rPr>
              <w:t>6.4</w:t>
            </w:r>
          </w:p>
        </w:tc>
        <w:tc>
          <w:tcPr>
            <w:tcW w:w="40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6.4</w:t>
            </w:r>
          </w:p>
        </w:tc>
      </w:tr>
      <w:tr>
        <w:trPr>
          <w:trHeight w:val="351"/>
        </w:trPr>
        <w:tc>
          <w:tcPr>
            <w:tcW w:w="640" w:type="dxa"/>
            <w:vAlign w:val="bottom"/>
          </w:tcPr>
          <w:p>
            <w:pPr>
              <w:jc w:val="right"/>
              <w:ind w:right="144"/>
              <w:spacing w:after="0"/>
              <w:rPr>
                <w:sz w:val="20"/>
                <w:szCs w:val="20"/>
                <w:color w:val="auto"/>
              </w:rPr>
            </w:pPr>
            <w:r>
              <w:rPr>
                <w:rFonts w:ascii="Arial" w:cs="Arial" w:eastAsia="Arial" w:hAnsi="Arial"/>
                <w:sz w:val="14"/>
                <w:szCs w:val="14"/>
                <w:color w:val="auto"/>
              </w:rPr>
              <w:t>4.0</w:t>
            </w:r>
          </w:p>
        </w:tc>
        <w:tc>
          <w:tcPr>
            <w:tcW w:w="4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4.0</w:t>
            </w:r>
          </w:p>
        </w:tc>
      </w:tr>
      <w:tr>
        <w:trPr>
          <w:trHeight w:val="270"/>
        </w:trPr>
        <w:tc>
          <w:tcPr>
            <w:tcW w:w="640" w:type="dxa"/>
            <w:vAlign w:val="bottom"/>
          </w:tcPr>
          <w:p>
            <w:pPr>
              <w:jc w:val="right"/>
              <w:ind w:right="84"/>
              <w:spacing w:after="0"/>
              <w:rPr>
                <w:sz w:val="20"/>
                <w:szCs w:val="20"/>
                <w:color w:val="auto"/>
              </w:rPr>
            </w:pPr>
            <w:r>
              <w:rPr>
                <w:rFonts w:ascii="Arial" w:cs="Arial" w:eastAsia="Arial" w:hAnsi="Arial"/>
                <w:sz w:val="14"/>
                <w:szCs w:val="14"/>
                <w:color w:val="auto"/>
              </w:rPr>
              <w:t>(0.6)</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70"/>
        </w:trPr>
        <w:tc>
          <w:tcPr>
            <w:tcW w:w="640" w:type="dxa"/>
            <w:vAlign w:val="bottom"/>
          </w:tcPr>
          <w:p>
            <w:pPr>
              <w:jc w:val="right"/>
              <w:ind w:right="144"/>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700" w:type="dxa"/>
            <w:vAlign w:val="bottom"/>
          </w:tcPr>
          <w:p>
            <w:pPr>
              <w:jc w:val="right"/>
              <w:ind w:right="20"/>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19.8</w:t>
            </w:r>
          </w:p>
        </w:tc>
      </w:tr>
      <w:tr>
        <w:trPr>
          <w:trHeight w:val="276"/>
        </w:trPr>
        <w:tc>
          <w:tcPr>
            <w:tcW w:w="640" w:type="dxa"/>
            <w:vAlign w:val="bottom"/>
          </w:tcPr>
          <w:p>
            <w:pPr>
              <w:jc w:val="right"/>
              <w:ind w:right="144"/>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620" w:type="dxa"/>
            <w:vAlign w:val="bottom"/>
          </w:tcPr>
          <w:p>
            <w:pPr>
              <w:jc w:val="right"/>
              <w:ind w:right="19"/>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0.3</w:t>
            </w:r>
          </w:p>
        </w:tc>
      </w:tr>
      <w:tr>
        <w:trPr>
          <w:trHeight w:val="244"/>
        </w:trPr>
        <w:tc>
          <w:tcPr>
            <w:tcW w:w="640" w:type="dxa"/>
            <w:vAlign w:val="bottom"/>
          </w:tcPr>
          <w:p>
            <w:pPr>
              <w:jc w:val="right"/>
              <w:ind w:right="144"/>
              <w:spacing w:after="0"/>
              <w:rPr>
                <w:sz w:val="20"/>
                <w:szCs w:val="20"/>
                <w:color w:val="auto"/>
              </w:rPr>
            </w:pPr>
            <w:r>
              <w:rPr>
                <w:rFonts w:ascii="Arial" w:cs="Arial" w:eastAsia="Arial" w:hAnsi="Arial"/>
                <w:sz w:val="14"/>
                <w:szCs w:val="14"/>
                <w:color w:val="auto"/>
              </w:rPr>
              <w:t>873.2</w:t>
            </w:r>
          </w:p>
        </w:tc>
        <w:tc>
          <w:tcPr>
            <w:tcW w:w="4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(617.6)</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254.2</w:t>
            </w:r>
          </w:p>
        </w:tc>
      </w:tr>
      <w:tr>
        <w:trPr>
          <w:trHeight w:val="270"/>
        </w:trPr>
        <w:tc>
          <w:tcPr>
            <w:tcW w:w="640" w:type="dxa"/>
            <w:vAlign w:val="bottom"/>
          </w:tcPr>
          <w:p>
            <w:pPr>
              <w:jc w:val="right"/>
              <w:ind w:right="144"/>
              <w:spacing w:after="0"/>
              <w:rPr>
                <w:sz w:val="20"/>
                <w:szCs w:val="20"/>
                <w:color w:val="auto"/>
              </w:rPr>
            </w:pPr>
            <w:r>
              <w:rPr>
                <w:rFonts w:ascii="Arial" w:cs="Arial" w:eastAsia="Arial" w:hAnsi="Arial"/>
                <w:sz w:val="14"/>
                <w:szCs w:val="14"/>
                <w:color w:val="auto"/>
              </w:rPr>
              <w:t>5.1</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5.1</w:t>
            </w:r>
          </w:p>
        </w:tc>
      </w:tr>
      <w:tr>
        <w:trPr>
          <w:trHeight w:val="270"/>
        </w:trPr>
        <w:tc>
          <w:tcPr>
            <w:tcW w:w="640" w:type="dxa"/>
            <w:vAlign w:val="bottom"/>
          </w:tcPr>
          <w:p>
            <w:pPr>
              <w:jc w:val="right"/>
              <w:ind w:right="144"/>
              <w:spacing w:after="0"/>
              <w:rPr>
                <w:sz w:val="20"/>
                <w:szCs w:val="20"/>
                <w:color w:val="auto"/>
              </w:rPr>
            </w:pPr>
            <w:r>
              <w:rPr>
                <w:rFonts w:ascii="Arial" w:cs="Arial" w:eastAsia="Arial" w:hAnsi="Arial"/>
                <w:sz w:val="14"/>
                <w:szCs w:val="14"/>
                <w:color w:val="auto"/>
              </w:rPr>
              <w:t>75.8</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75.8</w:t>
            </w:r>
          </w:p>
        </w:tc>
      </w:tr>
      <w:tr>
        <w:trPr>
          <w:trHeight w:val="351"/>
        </w:trPr>
        <w:tc>
          <w:tcPr>
            <w:tcW w:w="640" w:type="dxa"/>
            <w:vAlign w:val="bottom"/>
          </w:tcPr>
          <w:p>
            <w:pPr>
              <w:jc w:val="right"/>
              <w:ind w:right="144"/>
              <w:spacing w:after="0"/>
              <w:rPr>
                <w:sz w:val="20"/>
                <w:szCs w:val="20"/>
                <w:color w:val="auto"/>
              </w:rPr>
            </w:pPr>
            <w:r>
              <w:rPr>
                <w:rFonts w:ascii="Arial" w:cs="Arial" w:eastAsia="Arial" w:hAnsi="Arial"/>
                <w:sz w:val="14"/>
                <w:szCs w:val="14"/>
                <w:color w:val="auto"/>
              </w:rPr>
              <w:t>2.6</w:t>
            </w:r>
          </w:p>
        </w:tc>
        <w:tc>
          <w:tcPr>
            <w:tcW w:w="4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70"/>
        </w:trPr>
        <w:tc>
          <w:tcPr>
            <w:tcW w:w="640" w:type="dxa"/>
            <w:vAlign w:val="bottom"/>
          </w:tcPr>
          <w:p>
            <w:pPr>
              <w:jc w:val="right"/>
              <w:ind w:right="84"/>
              <w:spacing w:after="0"/>
              <w:rPr>
                <w:sz w:val="20"/>
                <w:szCs w:val="20"/>
                <w:color w:val="auto"/>
              </w:rPr>
            </w:pPr>
            <w:r>
              <w:rPr>
                <w:rFonts w:ascii="Arial" w:cs="Arial" w:eastAsia="Arial" w:hAnsi="Arial"/>
                <w:sz w:val="14"/>
                <w:szCs w:val="14"/>
                <w:color w:val="auto"/>
              </w:rPr>
              <w:t>(0.5)</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70"/>
        </w:trPr>
        <w:tc>
          <w:tcPr>
            <w:tcW w:w="640" w:type="dxa"/>
            <w:vAlign w:val="bottom"/>
          </w:tcPr>
          <w:p>
            <w:pPr>
              <w:jc w:val="right"/>
              <w:ind w:right="14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(60.5)</w:t>
            </w:r>
          </w:p>
        </w:tc>
      </w:tr>
      <w:tr>
        <w:trPr>
          <w:trHeight w:val="276"/>
        </w:trPr>
        <w:tc>
          <w:tcPr>
            <w:tcW w:w="640" w:type="dxa"/>
            <w:vAlign w:val="bottom"/>
          </w:tcPr>
          <w:p>
            <w:pPr>
              <w:jc w:val="right"/>
              <w:ind w:right="14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44"/>
        </w:trPr>
        <w:tc>
          <w:tcPr>
            <w:tcW w:w="640" w:type="dxa"/>
            <w:vAlign w:val="bottom"/>
          </w:tcPr>
          <w:p>
            <w:pPr>
              <w:jc w:val="right"/>
              <w:ind w:right="144"/>
              <w:spacing w:after="0"/>
              <w:rPr>
                <w:sz w:val="20"/>
                <w:szCs w:val="20"/>
                <w:color w:val="auto"/>
              </w:rPr>
            </w:pPr>
            <w:r>
              <w:rPr>
                <w:rFonts w:ascii="Arial" w:cs="Arial" w:eastAsia="Arial" w:hAnsi="Arial"/>
                <w:sz w:val="14"/>
                <w:szCs w:val="14"/>
                <w:color w:val="auto"/>
              </w:rPr>
              <w:t>956.2</w:t>
            </w:r>
          </w:p>
        </w:tc>
        <w:tc>
          <w:tcPr>
            <w:tcW w:w="4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(678.1)</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276.4</w:t>
            </w:r>
          </w:p>
        </w:tc>
      </w:tr>
      <w:tr>
        <w:trPr>
          <w:trHeight w:val="270"/>
        </w:trPr>
        <w:tc>
          <w:tcPr>
            <w:tcW w:w="640" w:type="dxa"/>
            <w:vAlign w:val="bottom"/>
          </w:tcPr>
          <w:p>
            <w:pPr>
              <w:jc w:val="right"/>
              <w:ind w:right="144"/>
              <w:spacing w:after="0"/>
              <w:rPr>
                <w:sz w:val="20"/>
                <w:szCs w:val="20"/>
                <w:color w:val="auto"/>
              </w:rPr>
            </w:pPr>
            <w:r>
              <w:rPr>
                <w:rFonts w:ascii="Arial" w:cs="Arial" w:eastAsia="Arial" w:hAnsi="Arial"/>
                <w:sz w:val="14"/>
                <w:szCs w:val="14"/>
                <w:color w:val="auto"/>
              </w:rPr>
              <w:t>7.8</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7.8</w:t>
            </w:r>
          </w:p>
        </w:tc>
      </w:tr>
      <w:tr>
        <w:trPr>
          <w:trHeight w:val="270"/>
        </w:trPr>
        <w:tc>
          <w:tcPr>
            <w:tcW w:w="640" w:type="dxa"/>
            <w:vAlign w:val="bottom"/>
          </w:tcPr>
          <w:p>
            <w:pPr>
              <w:jc w:val="right"/>
              <w:ind w:right="144"/>
              <w:spacing w:after="0"/>
              <w:rPr>
                <w:sz w:val="20"/>
                <w:szCs w:val="20"/>
                <w:color w:val="auto"/>
              </w:rPr>
            </w:pPr>
            <w:r>
              <w:rPr>
                <w:rFonts w:ascii="Arial" w:cs="Arial" w:eastAsia="Arial" w:hAnsi="Arial"/>
                <w:sz w:val="14"/>
                <w:szCs w:val="14"/>
                <w:color w:val="auto"/>
              </w:rPr>
              <w:t>268.2</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268.2</w:t>
            </w:r>
          </w:p>
        </w:tc>
      </w:tr>
      <w:tr>
        <w:trPr>
          <w:trHeight w:val="351"/>
        </w:trPr>
        <w:tc>
          <w:tcPr>
            <w:tcW w:w="640" w:type="dxa"/>
            <w:vAlign w:val="bottom"/>
          </w:tcPr>
          <w:p>
            <w:pPr>
              <w:jc w:val="right"/>
              <w:ind w:right="144"/>
              <w:spacing w:after="0"/>
              <w:rPr>
                <w:sz w:val="20"/>
                <w:szCs w:val="20"/>
                <w:color w:val="auto"/>
              </w:rPr>
            </w:pPr>
            <w:r>
              <w:rPr>
                <w:rFonts w:ascii="Arial" w:cs="Arial" w:eastAsia="Arial" w:hAnsi="Arial"/>
                <w:sz w:val="14"/>
                <w:szCs w:val="14"/>
                <w:color w:val="auto"/>
              </w:rPr>
              <w:t>3.5</w:t>
            </w:r>
          </w:p>
        </w:tc>
        <w:tc>
          <w:tcPr>
            <w:tcW w:w="40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270"/>
        </w:trPr>
        <w:tc>
          <w:tcPr>
            <w:tcW w:w="640" w:type="dxa"/>
            <w:vAlign w:val="bottom"/>
          </w:tcPr>
          <w:p>
            <w:pPr>
              <w:jc w:val="right"/>
              <w:ind w:right="84"/>
              <w:spacing w:after="0"/>
              <w:rPr>
                <w:sz w:val="20"/>
                <w:szCs w:val="20"/>
                <w:color w:val="auto"/>
              </w:rPr>
            </w:pPr>
            <w:r>
              <w:rPr>
                <w:rFonts w:ascii="Arial" w:cs="Arial" w:eastAsia="Arial" w:hAnsi="Arial"/>
                <w:sz w:val="14"/>
                <w:szCs w:val="14"/>
                <w:color w:val="auto"/>
              </w:rPr>
              <w:t>(2.0)</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70"/>
        </w:trPr>
        <w:tc>
          <w:tcPr>
            <w:tcW w:w="640" w:type="dxa"/>
            <w:vAlign w:val="bottom"/>
          </w:tcPr>
          <w:p>
            <w:pPr>
              <w:jc w:val="right"/>
              <w:ind w:right="14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(42.7)</w:t>
            </w:r>
          </w:p>
        </w:tc>
      </w:tr>
      <w:tr>
        <w:trPr>
          <w:trHeight w:val="276"/>
        </w:trPr>
        <w:tc>
          <w:tcPr>
            <w:tcW w:w="640" w:type="dxa"/>
            <w:vAlign w:val="bottom"/>
          </w:tcPr>
          <w:p>
            <w:pPr>
              <w:jc w:val="right"/>
              <w:ind w:right="14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620" w:type="dxa"/>
            <w:vAlign w:val="bottom"/>
          </w:tcPr>
          <w:p>
            <w:pPr>
              <w:jc w:val="right"/>
              <w:ind w:right="19"/>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0.3</w:t>
            </w:r>
          </w:p>
        </w:tc>
      </w:tr>
      <w:tr>
        <w:trPr>
          <w:trHeight w:val="237"/>
        </w:trPr>
        <w:tc>
          <w:tcPr>
            <w:tcW w:w="640" w:type="dxa"/>
            <w:vAlign w:val="bottom"/>
          </w:tcPr>
          <w:p>
            <w:pPr>
              <w:jc w:val="right"/>
              <w:ind w:right="144"/>
              <w:spacing w:after="0"/>
              <w:rPr>
                <w:sz w:val="20"/>
                <w:szCs w:val="20"/>
                <w:color w:val="auto"/>
              </w:rPr>
            </w:pPr>
            <w:r>
              <w:rPr>
                <w:rFonts w:ascii="Arial" w:cs="Arial" w:eastAsia="Arial" w:hAnsi="Arial"/>
                <w:sz w:val="14"/>
                <w:szCs w:val="14"/>
                <w:color w:val="auto"/>
                <w:w w:val="85"/>
              </w:rPr>
              <w:t>1,233.7</w:t>
            </w: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(720.8)</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511.5</w:t>
            </w:r>
          </w:p>
        </w:tc>
      </w:tr>
      <w:tr>
        <w:trPr>
          <w:trHeight w:val="20"/>
        </w:trPr>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-8255</wp:posOffset>
            </wp:positionV>
            <wp:extent cx="643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9">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-1440180</wp:posOffset>
            </wp:positionV>
            <wp:extent cx="643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40" w:space="380"/>
            <w:col w:w="3900"/>
          </w:cols>
          <w:pgMar w:left="240" w:top="125"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5"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KRATOS DEFENSE &amp; SECURITY SOLUTIONS, INC. CONSOLIDATED STATEMENTS OF CASH FLOWS Years ended December 31, 2017, December 25, 2016, and December 27, 2015 (in millions)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708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5"/>
              </w:rPr>
              <w:t>(42.7)</w:t>
            </w:r>
          </w:p>
        </w:tc>
        <w:tc>
          <w:tcPr>
            <w:tcW w:w="120" w:type="dxa"/>
            <w:vAlign w:val="bottom"/>
          </w:tcPr>
          <w:p>
            <w:pPr>
              <w:spacing w:after="0"/>
              <w:rPr>
                <w:sz w:val="20"/>
                <w:szCs w:val="20"/>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5"/>
              </w:rPr>
              <w:t>(60.5)</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19.8</w:t>
            </w:r>
          </w:p>
        </w:tc>
      </w:tr>
      <w:tr>
        <w:trPr>
          <w:trHeight w:val="33"/>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discontinued operations</w:t>
            </w:r>
          </w:p>
        </w:tc>
        <w:tc>
          <w:tcPr>
            <w:tcW w:w="9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r>
      <w:tr>
        <w:trPr>
          <w:trHeight w:val="217"/>
        </w:trPr>
        <w:tc>
          <w:tcPr>
            <w:tcW w:w="708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(42.6)</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(60.4)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w:t>
            </w:r>
          </w:p>
        </w:tc>
      </w:tr>
      <w:tr>
        <w:trPr>
          <w:trHeight w:val="33"/>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Adjustments to reconcile loss from continuing operations to net cash used in operating activities from</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continuing operations:</w:t>
            </w:r>
          </w:p>
        </w:tc>
        <w:tc>
          <w:tcPr>
            <w:tcW w:w="9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25.5</w:t>
            </w:r>
          </w:p>
        </w:tc>
      </w:tr>
      <w:tr>
        <w:trPr>
          <w:trHeight w:val="33"/>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9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impairment charge</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Loss (gain) on extinguishment of debt</w:t>
            </w:r>
          </w:p>
        </w:tc>
        <w:tc>
          <w:tcPr>
            <w:tcW w:w="9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Non-cash income tax benefit</w:t>
            </w: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9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premium and discount on Senior Secured Notes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Provision for doubtful accounts</w:t>
            </w:r>
          </w:p>
        </w:tc>
        <w:tc>
          <w:tcPr>
            <w:tcW w:w="90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Litigation related charges</w:t>
            </w:r>
          </w:p>
        </w:tc>
        <w:tc>
          <w:tcPr>
            <w:tcW w:w="9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380"/>
              <w:spacing w:after="0"/>
              <w:rPr>
                <w:sz w:val="20"/>
                <w:szCs w:val="20"/>
                <w:color w:val="auto"/>
              </w:rPr>
            </w:pPr>
            <w:r>
              <w:rPr>
                <w:rFonts w:ascii="Arial" w:cs="Arial" w:eastAsia="Arial" w:hAnsi="Arial"/>
                <w:sz w:val="16"/>
                <w:szCs w:val="16"/>
                <w:color w:val="auto"/>
              </w:rPr>
              <w:t>Provision for non-cash restructuring charges</w:t>
            </w:r>
          </w:p>
        </w:tc>
        <w:tc>
          <w:tcPr>
            <w:tcW w:w="90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70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 in accrual for excess facilities</w:t>
            </w:r>
          </w:p>
        </w:tc>
        <w:tc>
          <w:tcPr>
            <w:tcW w:w="9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70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assets and liabilities, net of acquisitions: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Inventoried costs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Accrued expenses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Accrued interest</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Income tax receivable and payable</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used in operating activities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paid for acquisitions, net of cash acquired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 in restricted cash</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the issuance of long-term debt</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Extinguishment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the issuance of common stock</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Repayments under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Cash paid for contingent acquisition consideration</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291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66" w:lineRule="exact"/>
        <w:rPr>
          <w:sz w:val="20"/>
          <w:szCs w:val="20"/>
          <w:color w:val="auto"/>
        </w:rPr>
      </w:pPr>
    </w:p>
    <w:p>
      <w:pPr>
        <w:ind w:left="180"/>
        <w:spacing w:after="0" w:line="293" w:lineRule="auto"/>
        <w:rPr>
          <w:sz w:val="20"/>
          <w:szCs w:val="20"/>
          <w:color w:val="auto"/>
        </w:rPr>
      </w:pPr>
      <w:r>
        <w:rPr>
          <w:rFonts w:ascii="Arial" w:cs="Arial" w:eastAsia="Arial" w:hAnsi="Arial"/>
          <w:sz w:val="16"/>
          <w:szCs w:val="16"/>
          <w:color w:val="auto"/>
        </w:rPr>
        <w:t>Proceeds from exercise of restricted stock units, employee stock options, and employee stock purchase plan</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cash provided by (used in) financing activities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flows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operating cash flows of discontinued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investing cash flows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 and cash equivalents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130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8">
                      <a:extLst>
                        <a:ext uri="{28A0092B-C50C-407E-A947-70E740481C1C}"/>
                      </a:extLst>
                    </a:blip>
                    <a:srcRect/>
                    <a:stretch>
                      <a:fillRect/>
                    </a:stretch>
                  </pic:blipFill>
                  <pic:spPr bwMode="auto">
                    <a:xfrm>
                      <a:off x="0" y="0"/>
                      <a:ext cx="7246620" cy="113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400" w:type="dxa"/>
            <w:vAlign w:val="bottom"/>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10.3</w:t>
            </w:r>
          </w:p>
        </w:tc>
      </w:tr>
      <w:tr>
        <w:trPr>
          <w:trHeight w:val="270"/>
        </w:trPr>
        <w:tc>
          <w:tcPr>
            <w:tcW w:w="140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70"/>
        </w:trPr>
        <w:tc>
          <w:tcPr>
            <w:tcW w:w="14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70"/>
        </w:trPr>
        <w:tc>
          <w:tcPr>
            <w:tcW w:w="14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0"/>
        </w:trPr>
        <w:tc>
          <w:tcPr>
            <w:tcW w:w="14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270"/>
        </w:trPr>
        <w:tc>
          <w:tcPr>
            <w:tcW w:w="14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270"/>
        </w:trPr>
        <w:tc>
          <w:tcPr>
            <w:tcW w:w="140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70"/>
        </w:trPr>
        <w:tc>
          <w:tcPr>
            <w:tcW w:w="140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140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70"/>
        </w:trPr>
        <w:tc>
          <w:tcPr>
            <w:tcW w:w="14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70"/>
        </w:trPr>
        <w:tc>
          <w:tcPr>
            <w:tcW w:w="14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40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501"/>
        </w:trPr>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4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270"/>
        </w:trPr>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270"/>
        </w:trPr>
        <w:tc>
          <w:tcPr>
            <w:tcW w:w="140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40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501"/>
        </w:trPr>
        <w:tc>
          <w:tcPr>
            <w:tcW w:w="1400" w:type="dxa"/>
            <w:vAlign w:val="bottom"/>
          </w:tcPr>
          <w:p>
            <w:pPr>
              <w:jc w:val="right"/>
              <w:ind w:right="39"/>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400" w:type="dxa"/>
            <w:vAlign w:val="bottom"/>
          </w:tcPr>
          <w:p>
            <w:pPr>
              <w:jc w:val="right"/>
              <w:spacing w:after="0"/>
              <w:rPr>
                <w:sz w:val="20"/>
                <w:szCs w:val="20"/>
                <w:color w:val="auto"/>
              </w:rPr>
            </w:pPr>
            <w:r>
              <w:rPr>
                <w:rFonts w:ascii="Arial" w:cs="Arial" w:eastAsia="Arial" w:hAnsi="Arial"/>
                <w:sz w:val="16"/>
                <w:szCs w:val="16"/>
                <w:color w:val="auto"/>
              </w:rPr>
              <w:t>(448.8)</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270"/>
        </w:trPr>
        <w:tc>
          <w:tcPr>
            <w:tcW w:w="1400" w:type="dxa"/>
            <w:vAlign w:val="bottom"/>
          </w:tcPr>
          <w:p>
            <w:pPr>
              <w:jc w:val="right"/>
              <w:ind w:right="39"/>
              <w:spacing w:after="0"/>
              <w:rPr>
                <w:sz w:val="20"/>
                <w:szCs w:val="20"/>
                <w:color w:val="auto"/>
              </w:rPr>
            </w:pPr>
            <w:r>
              <w:rPr>
                <w:rFonts w:ascii="Arial" w:cs="Arial" w:eastAsia="Arial" w:hAnsi="Arial"/>
                <w:sz w:val="16"/>
                <w:szCs w:val="16"/>
                <w:color w:val="auto"/>
              </w:rPr>
              <w:t>269.1</w:t>
            </w: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76.2</w:t>
            </w:r>
          </w:p>
        </w:tc>
        <w:tc>
          <w:tcPr>
            <w:tcW w:w="10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4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270"/>
        </w:trPr>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140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59"/>
        </w:trPr>
        <w:tc>
          <w:tcPr>
            <w:tcW w:w="14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270"/>
        </w:trPr>
        <w:tc>
          <w:tcPr>
            <w:tcW w:w="14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400" w:type="dxa"/>
            <w:vAlign w:val="bottom"/>
          </w:tcPr>
          <w:p>
            <w:pPr>
              <w:jc w:val="right"/>
              <w:ind w:right="39"/>
              <w:spacing w:after="0"/>
              <w:rPr>
                <w:sz w:val="20"/>
                <w:szCs w:val="20"/>
                <w:color w:val="auto"/>
              </w:rPr>
            </w:pPr>
            <w:r>
              <w:rPr>
                <w:rFonts w:ascii="Arial" w:cs="Arial" w:eastAsia="Arial" w:hAnsi="Arial"/>
                <w:sz w:val="16"/>
                <w:szCs w:val="16"/>
                <w:color w:val="auto"/>
              </w:rPr>
              <w:t>113.4</w:t>
            </w:r>
          </w:p>
        </w:tc>
        <w:tc>
          <w:tcPr>
            <w:tcW w:w="12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(214.7)</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400" w:type="dxa"/>
            <w:vAlign w:val="bottom"/>
          </w:tcPr>
          <w:p>
            <w:pPr>
              <w:jc w:val="right"/>
              <w:ind w:right="39"/>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(250.1)</w:t>
            </w:r>
          </w:p>
        </w:tc>
      </w:tr>
      <w:tr>
        <w:trPr>
          <w:trHeight w:val="270"/>
        </w:trPr>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270"/>
        </w:trPr>
        <w:tc>
          <w:tcPr>
            <w:tcW w:w="14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242.5</w:t>
            </w:r>
          </w:p>
        </w:tc>
      </w:tr>
      <w:tr>
        <w:trPr>
          <w:trHeight w:val="270"/>
        </w:trPr>
        <w:tc>
          <w:tcPr>
            <w:tcW w:w="140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400" w:type="dxa"/>
            <w:vAlign w:val="bottom"/>
          </w:tcPr>
          <w:p>
            <w:pPr>
              <w:jc w:val="right"/>
              <w:ind w:right="39"/>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(5.0)</w:t>
            </w:r>
          </w:p>
        </w:tc>
      </w:tr>
    </w:tbl>
    <w:p>
      <w:pPr>
        <w:sectPr>
          <w:pgSz w:w="11900" w:h="16838" w:orient="portrait"/>
          <w:cols w:equalWidth="0" w:num="2">
            <w:col w:w="6840" w:space="240"/>
            <w:col w:w="4340"/>
          </w:cols>
          <w:pgMar w:left="240" w:top="125" w:right="239" w:bottom="0" w:gutter="0" w:footer="0" w:header="0"/>
          <w:type w:val="continuous"/>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5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129.6</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28.5</w:t>
            </w:r>
          </w:p>
        </w:tc>
      </w:tr>
      <w:tr>
        <w:trPr>
          <w:trHeight w:val="73"/>
        </w:trPr>
        <w:tc>
          <w:tcPr>
            <w:tcW w:w="708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3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7080" w:type="dxa"/>
            <w:vAlign w:val="bottom"/>
          </w:tcPr>
          <w:p>
            <w:pPr>
              <w:ind w:left="200"/>
              <w:spacing w:after="0"/>
              <w:rPr>
                <w:sz w:val="20"/>
                <w:szCs w:val="20"/>
                <w:color w:val="auto"/>
              </w:rPr>
            </w:pPr>
            <w:r>
              <w:rPr>
                <w:rFonts w:ascii="Arial" w:cs="Arial" w:eastAsia="Arial" w:hAnsi="Arial"/>
                <w:sz w:val="16"/>
                <w:szCs w:val="16"/>
                <w:color w:val="auto"/>
              </w:rPr>
              <w:t>Cash paid during the year for interest</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43.8</w:t>
            </w:r>
          </w:p>
        </w:tc>
      </w:tr>
      <w:tr>
        <w:trPr>
          <w:trHeight w:val="33"/>
        </w:trPr>
        <w:tc>
          <w:tcPr>
            <w:tcW w:w="7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cash paid during the year for income taxes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24"/>
        </w:trPr>
        <w:tc>
          <w:tcPr>
            <w:tcW w:w="7080" w:type="dxa"/>
            <w:vAlign w:val="bottom"/>
          </w:tcPr>
          <w:p>
            <w:pPr>
              <w:ind w:left="40"/>
              <w:spacing w:after="0"/>
              <w:rPr>
                <w:sz w:val="20"/>
                <w:szCs w:val="20"/>
                <w:color w:val="auto"/>
              </w:rPr>
            </w:pPr>
            <w:r>
              <w:rPr>
                <w:rFonts w:ascii="Arial" w:cs="Arial" w:eastAsia="Arial" w:hAnsi="Arial"/>
                <w:sz w:val="16"/>
                <w:szCs w:val="16"/>
                <w:color w:val="auto"/>
              </w:rPr>
              <w:t>Non-cash financing and investing activities:</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7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 expenditures included in accounts payable and accrued expenses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080" w:type="dxa"/>
            <w:vAlign w:val="bottom"/>
          </w:tcPr>
          <w:p>
            <w:pPr>
              <w:ind w:left="200"/>
              <w:spacing w:after="0"/>
              <w:rPr>
                <w:sz w:val="20"/>
                <w:szCs w:val="20"/>
                <w:color w:val="auto"/>
              </w:rPr>
            </w:pPr>
            <w:r>
              <w:rPr>
                <w:rFonts w:ascii="Arial" w:cs="Arial" w:eastAsia="Arial" w:hAnsi="Arial"/>
                <w:sz w:val="16"/>
                <w:szCs w:val="16"/>
                <w:color w:val="auto"/>
              </w:rPr>
              <w:t>Liability for contingent consideration and goodwill related to acquisition</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40"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Summary of Significant Accounting Policies</w:t>
      </w:r>
    </w:p>
    <w:p>
      <w:pPr>
        <w:spacing w:after="0" w:line="22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Kratos is a mid-tier government contractor at the forefront of the U.S. Department of Defense’s (the “DoD”) Third Offset Strategy. Kratos is a leading technology, intellectual property and proprietary product and solution company focused on the U.S. and its allies’ national security. Kratos is a recognized industry leader in the rapid development, demonstration and fielding of high technology systems and products at an affordable cost. Kratos’ primary focus areas are unmanned systems, satellite communications, microwave electronics, cyber security/warfare, missile defense and combat systems. The Company believes that its technology, intellectual property, proprietary products and designed-in positions on its customers’ platforms and systems is a competitive advantage and high barrier to entry to the markets in which it operates. The Company’s work force is primarily technically oriented, highly skilled with a significant number holding national security clearances. The Company’s entire organization is focused on executing its strategy of becoming the leading technology and intellectual property based company in its industry.</w:t>
      </w:r>
    </w:p>
    <w:p>
      <w:pPr>
        <w:spacing w:after="0" w:line="17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The Company conducts most of its business with the U.S. Government (which includes foreign military sales) and performs work as the prime contractor, subcontractor, or preferred supplier. The Company also conducts business with local, state, and foreign governments and domestic and international commercial customers.</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operates in three reportable segments. The Kratos Government Solutions (“KGS”) reportable segment is comprised of an aggregation of operating segments, including its microwave electronic products, satellite communications, modular systems and rocket support operating segments. The Unmanned Systems (“US”) reportable segment consists of its unmanned aerial system, unmanned ground and unmanned seaborne system businesses. The Public Safety &amp; Security (“PSS”) reportable segment consists of its businesses that provide independent integrated solutions for advanced homeland security, public safety, critical infrastructure, and security and surveillance systems for government and commercial applications. The Company organizes its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the Company’s operating segments, see Note 13 of these notes to consolidated financial statements.</w:t>
      </w:r>
    </w:p>
    <w:p>
      <w:pPr>
        <w:spacing w:after="0" w:line="162"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 and Basis of Presentation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Kratos and its 100% owned subsidiaries, for which all intercompany transactions have been eliminated in consolidation.</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Fiscal Year</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has a 52/53 week fiscal year ending on the last Sunday of the calendar year, with interim fiscal periods ending on the last Sunday of each calendar quarter. There were 53 calendar weeks in the fiscal year ending on December 31, 2017, and 52 calendar weeks in the fiscal years ended on December 25, 2016 and December 27, 2015.</w:t>
      </w:r>
    </w:p>
    <w:p>
      <w:pPr>
        <w:spacing w:after="0" w:line="177"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Such estimates include revenue recognition, valuation of long-lived assets including identifiable intangibles and goodwill, accounting for income taxes including the related valuation allowance on the deferred tax asset and uncertain tax positions, contingencies and litigation, contingent acquisition consideration, and stock-based compensation. In the future, the Company may realize actual results that differ from the current reported estimates and if the estimates that the Company has used change in the future, such changes could have a material impact on the Company’s consolidated financial position, results of operations and cash flows.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typically generates its revenue from three different types of contractual arrangements: cost-plus-fee contracts, time-and-materials contracts, and fixed-price contracts. Revenue on cost-plus-fee contracts is recognized to the extent of allowable costs incurred plus an estimate of the applicable fees earned. The Company considers fees under cost-plus-fee contracts to be earned in proportion to the allowable costs incurred in performance of the contract and recognizes the relevant portion of the expected fee to be awarded by the customer at the time such fee can be reasonably estimated, based on factors such as its prior award experience and communications with the customer regarding performance, including any interim performance evaluations rendered by the customer. Revenue on time-and-materials contracts is recognized to the extent of billable rates times hours delivered for services provided, to the extent of material cost for products delivered to customers, and to the extent of expenses incurred on behalf of the customers.</w:t>
      </w:r>
    </w:p>
    <w:p>
      <w:pPr>
        <w:spacing w:after="0" w:line="16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 xml:space="preserve">The Company has three basic categories of fixed-price contracts: fixed unit price, fixed-price-level of effort, and fixed-price-completion. Revenue recognition methods on fixed-price contracts will vary depending on the nature of the work and the contract terms. Revenues on fixed-price service contracts are recorded as work is performed in accordance with </w:t>
      </w:r>
      <w:r>
        <w:rPr>
          <w:rFonts w:ascii="Arial" w:cs="Arial" w:eastAsia="Arial" w:hAnsi="Arial"/>
          <w:sz w:val="16"/>
          <w:szCs w:val="16"/>
          <w:i w:val="1"/>
          <w:iCs w:val="1"/>
          <w:color w:val="auto"/>
        </w:rPr>
        <w:t>Accounting Standards Codification</w:t>
      </w:r>
      <w:r>
        <w:rPr>
          <w:rFonts w:ascii="Arial" w:cs="Arial" w:eastAsia="Arial" w:hAnsi="Arial"/>
          <w:sz w:val="16"/>
          <w:szCs w:val="16"/>
          <w:color w:val="auto"/>
        </w:rPr>
        <w:t xml:space="preserve"> (“ASC”) </w:t>
      </w:r>
      <w:r>
        <w:rPr>
          <w:rFonts w:ascii="Arial" w:cs="Arial" w:eastAsia="Arial" w:hAnsi="Arial"/>
          <w:sz w:val="16"/>
          <w:szCs w:val="16"/>
          <w:i w:val="1"/>
          <w:iCs w:val="1"/>
          <w:color w:val="auto"/>
        </w:rPr>
        <w:t>Topic 605, Revenue Recognition</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605</w:t>
      </w:r>
      <w:r>
        <w:rPr>
          <w:rFonts w:ascii="Arial" w:cs="Arial" w:eastAsia="Arial" w:hAnsi="Arial"/>
          <w:sz w:val="16"/>
          <w:szCs w:val="16"/>
          <w:color w:val="auto"/>
        </w:rPr>
        <w:t xml:space="preserve">”), specifically </w:t>
      </w:r>
      <w:r>
        <w:rPr>
          <w:rFonts w:ascii="Arial" w:cs="Arial" w:eastAsia="Arial" w:hAnsi="Arial"/>
          <w:sz w:val="16"/>
          <w:szCs w:val="16"/>
          <w:i w:val="1"/>
          <w:iCs w:val="1"/>
          <w:color w:val="auto"/>
        </w:rPr>
        <w:t>Topic 605-10-S99</w:t>
      </w:r>
      <w:r>
        <w:rPr>
          <w:rFonts w:ascii="Arial" w:cs="Arial" w:eastAsia="Arial" w:hAnsi="Arial"/>
          <w:sz w:val="16"/>
          <w:szCs w:val="16"/>
          <w:color w:val="auto"/>
        </w:rPr>
        <w:t>, which generally requires revenue to be deferred until all of the following have occurred: (1) there is a contract in place;</w:t>
      </w:r>
    </w:p>
    <w:p>
      <w:pPr>
        <w:spacing w:after="0" w:line="2" w:lineRule="exact"/>
        <w:rPr>
          <w:sz w:val="20"/>
          <w:szCs w:val="20"/>
          <w:color w:val="auto"/>
        </w:rPr>
      </w:pPr>
    </w:p>
    <w:p>
      <w:pPr>
        <w:ind w:right="60" w:firstLine="8"/>
        <w:spacing w:after="0" w:line="277" w:lineRule="auto"/>
        <w:tabs>
          <w:tab w:leader="none" w:pos="2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delivery has occurred or services have been provided; (3) the price is fixed or determinable; and (4) collectability is reasonably assured. Revenues on fixed-price contracts that require delivery of specific items may be recorded based on a price per unit as units are delivered. Revenue for fixed-price contracts in which the Company is paid a specific amount to provide services for a stated period of time is recognized ratably over the service period.</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On a portion of the fixed price-completion contracts, revenue is recognized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xml:space="preserve"> using the percentage-of-completion method based on the ratio of total costs incurred to date compared to estimated total costs to complete the contract. Estimates of costs to complete include material, direct labor, overhead, and allowable indirect expenses for government contracts. These cost estimates are reviewed and, if necessary, revised on a contract-by-contract basis. If, as a result of this review, management determines that a loss on a contract is probable, then the full amount of estimated loss is charged to operations in the period. As of December 31, 2017 and December 25, 2016, accrued expenses included the accrual for losses on contracts of $10.3 million and $17.7 million, respectively.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certain instances, when the Company’s customers have requested that it commence work prior to receipt of the contract award and funding and it has incurred costs related to that specific anticipated contract, and the Company believes recoverability of the costs is probable, it may defer those costs incurred until the associated contract has been awarded and funded by the customer.</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accounting for the Company’s long-term contracts for production of products provided to the U.S. Government, the Company utilizes both cost-to-cost and units delivered measures under the percentage-of-completion method of accounting under the provisions of </w:t>
      </w:r>
      <w:r>
        <w:rPr>
          <w:rFonts w:ascii="Arial" w:cs="Arial" w:eastAsia="Arial" w:hAnsi="Arial"/>
          <w:sz w:val="18"/>
          <w:szCs w:val="18"/>
          <w:i w:val="1"/>
          <w:iCs w:val="1"/>
          <w:color w:val="auto"/>
        </w:rPr>
        <w:t>Topic 605</w:t>
      </w:r>
      <w:r>
        <w:rPr>
          <w:rFonts w:ascii="Arial" w:cs="Arial" w:eastAsia="Arial" w:hAnsi="Arial"/>
          <w:sz w:val="18"/>
          <w:szCs w:val="18"/>
          <w:color w:val="auto"/>
        </w:rPr>
        <w:t>. Under the units delivered measure of the percentage-of-completion method of accounting, sales are recognized as the units are accepted by the customer generally using sales values for units in accordance with the contract terms. The Company estimates profit as the difference between total estimated revenue and total estimated cost of a contract and recognizes that profit over the life of the contract based on units delivered or as computed on the basis of the estimated final average unit costs plus profit. The Company classifies contract revenues as product sales or service revenues depending upon the predominant attributes of the relevant underlying contracts.</w:t>
      </w:r>
    </w:p>
    <w:p>
      <w:pPr>
        <w:spacing w:after="0" w:line="18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Significant management judgments and estimates, including but not limited to the estimated costs to complete projects, must be made and used in connection with the revenue recognized in any accounting period. A cancellation, schedule delay, or modification of a fixed-price contract which is accounted for using the percentage-of-completion method may adversely affect the Company’s gross margins for the period in which the contract is modified or canceled. Under certain circumstances, a cancellation or negative modification could result in the Company having to reverse revenue that was recognized in a prior period, thus significantly reducing the amount of revenues recognized for the period in which the adjustment is made. Correspondingly, a positive modification may positively affect gross margins. In addition, a schedule delay or modifications can result in an increase in estimated cost to complete the project, which would also result in an impact to gross margins. Changes in contract estimates are reviewed on a contract-by-contract basis and are revised periodically throughout the life of the contract such that adjustments to profit resulting from revisions are made cumulative to the date of the revision in accordance with GAAP. Material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differences may result in the amount and timing of the Company’s revenue for any period if management made different judgments or utilized different estimates.</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It is the Company’s policy to review any arrangement containing software or software deliverables and services against the criteria contained in ASC </w:t>
      </w:r>
      <w:r>
        <w:rPr>
          <w:rFonts w:ascii="Arial" w:cs="Arial" w:eastAsia="Arial" w:hAnsi="Arial"/>
          <w:sz w:val="16"/>
          <w:szCs w:val="16"/>
          <w:i w:val="1"/>
          <w:iCs w:val="1"/>
          <w:color w:val="auto"/>
        </w:rPr>
        <w:t xml:space="preserve">Topic 985, Software </w:t>
      </w:r>
      <w:r>
        <w:rPr>
          <w:rFonts w:ascii="Arial" w:cs="Arial" w:eastAsia="Arial" w:hAnsi="Arial"/>
          <w:sz w:val="16"/>
          <w:szCs w:val="16"/>
          <w:color w:val="auto"/>
        </w:rPr>
        <w:t>(“</w:t>
      </w:r>
      <w:r>
        <w:rPr>
          <w:rFonts w:ascii="Arial" w:cs="Arial" w:eastAsia="Arial" w:hAnsi="Arial"/>
          <w:sz w:val="16"/>
          <w:szCs w:val="16"/>
          <w:i w:val="1"/>
          <w:iCs w:val="1"/>
          <w:color w:val="auto"/>
        </w:rPr>
        <w:t>Topic 985</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provisions of</w:t>
      </w:r>
      <w:r>
        <w:rPr>
          <w:rFonts w:ascii="Arial" w:cs="Arial" w:eastAsia="Arial" w:hAnsi="Arial"/>
          <w:sz w:val="16"/>
          <w:szCs w:val="16"/>
          <w:i w:val="1"/>
          <w:iCs w:val="1"/>
          <w:color w:val="auto"/>
        </w:rPr>
        <w:t xml:space="preserve"> Topic 985</w:t>
      </w:r>
      <w:r>
        <w:rPr>
          <w:rFonts w:ascii="Arial" w:cs="Arial" w:eastAsia="Arial" w:hAnsi="Arial"/>
          <w:sz w:val="16"/>
          <w:szCs w:val="16"/>
          <w:color w:val="auto"/>
        </w:rPr>
        <w:t>, the Company reviews the contract value of software deliverables and services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determines allocations of the contract value based on vendor-specific objective evidence (“VSOE”) of fair value for each of the software elements. All software arrangements requiring significant production, modification, or customization of the software are accounted for in conformity with </w:t>
      </w:r>
      <w:r>
        <w:rPr>
          <w:rFonts w:ascii="Arial" w:cs="Arial" w:eastAsia="Arial" w:hAnsi="Arial"/>
          <w:sz w:val="16"/>
          <w:szCs w:val="16"/>
          <w:i w:val="1"/>
          <w:iCs w:val="1"/>
          <w:color w:val="auto"/>
        </w:rPr>
        <w:t>Topic 605</w:t>
      </w:r>
      <w:r>
        <w:rPr>
          <w:rFonts w:ascii="Arial" w:cs="Arial" w:eastAsia="Arial" w:hAnsi="Arial"/>
          <w:sz w:val="16"/>
          <w:szCs w:val="16"/>
          <w:color w:val="auto"/>
        </w:rPr>
        <w:t>.</w:t>
      </w:r>
    </w:p>
    <w:p>
      <w:pPr>
        <w:spacing w:after="0" w:line="154"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 xml:space="preserve">The Company’s contracts may include the provision of more than one of its services (“multiple element arrangements”). In these situations, the Company applies the guidance of </w:t>
      </w:r>
      <w:r>
        <w:rPr>
          <w:rFonts w:ascii="Arial" w:cs="Arial" w:eastAsia="Arial" w:hAnsi="Arial"/>
          <w:sz w:val="18"/>
          <w:szCs w:val="18"/>
          <w:i w:val="1"/>
          <w:iCs w:val="1"/>
          <w:color w:val="auto"/>
        </w:rPr>
        <w:t>Topic 605</w:t>
      </w:r>
      <w:r>
        <w:rPr>
          <w:rFonts w:ascii="Arial" w:cs="Arial" w:eastAsia="Arial" w:hAnsi="Arial"/>
          <w:sz w:val="18"/>
          <w:szCs w:val="18"/>
          <w:color w:val="auto"/>
        </w:rPr>
        <w:t>. Accordingly, for applicable arrangements, revenue recognition includes the proper identification of separate units of accounting and the allocation of revenue across all elements based on relative fair values.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multiple element arrangements that include hardware products containing software essential to the hardware products’ functionality, the Company allocates revenue to all deliverables based on their relative selling prices. In such circumstances, the Company uses a hierarchy to determine the selling price to be used for allocating revenue to deliverables: (i) VSOE, (ii) third-party evidence of selling price (“TPE”), and (iii) best estimate of the selling price (“ESP”).</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VSOE generally exists only when the Company sells the deliverable separately and is the price actually charged by the Company for that deliverable. TPE is determined based on competitor prices for similar deliverables when sold separately. Generally, the Company’s offerings contain significant differentiation such that comparable pricing of products with similar functionality cannot be obtained. Furthermore, the Company is unable to reliably determine what similar competitor products’ selling prices are on a stand-alone basis. Therefore, the Company typically is unable to obtain TPE of selling price. ESP reflects the Company’s best estimates of what the selling prices of elements would be if they were sold regularly on a stand-alone basis. The Company determines ESP for a product or service by considering multiple factors including, but not limited to major product groupings, geographies, market conditions, competitive landscape, internal costs, gross margin objectives and pricing practices. The determination of ESP is made through consultation with management, taking into consideration the Company’s marketing strategy.</w:t>
      </w:r>
    </w:p>
    <w:p>
      <w:pPr>
        <w:spacing w:after="0" w:line="17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The Company accounts for multiple element arrangements that consist only of software or software-related products, including the sale of upgrades to previously sold software, in accordance with industry specific software accounting guidance. For such transactions, revenue on arrangements that include multiple elements is allocated to each element based on the relative fair value of each element, and fair value is determined by VSOE. If the Company cannot objectively determine the fair value of any undelivered element included in such multiple element arrangements, the Company defers revenue until all elements are delivered and services have been performed, or until fair value can objectively be determined for any remaining undelivered elements. Under certain of the Company’s contractual arrangements, the Company may also recognize revenue for out-of-pocket expenses in accordance with </w:t>
      </w:r>
      <w:r>
        <w:rPr>
          <w:rFonts w:ascii="Arial" w:cs="Arial" w:eastAsia="Arial" w:hAnsi="Arial"/>
          <w:sz w:val="17"/>
          <w:szCs w:val="17"/>
          <w:i w:val="1"/>
          <w:iCs w:val="1"/>
          <w:color w:val="auto"/>
        </w:rPr>
        <w:t>Topic 605.</w:t>
      </w:r>
      <w:r>
        <w:rPr>
          <w:rFonts w:ascii="Arial" w:cs="Arial" w:eastAsia="Arial" w:hAnsi="Arial"/>
          <w:sz w:val="17"/>
          <w:szCs w:val="17"/>
          <w:color w:val="auto"/>
        </w:rPr>
        <w:t xml:space="preserve"> Depending on the contractual arrangement, these expenses may be reimbursed with or without a fee.</w:t>
      </w:r>
    </w:p>
    <w:p>
      <w:pPr>
        <w:spacing w:after="0" w:line="17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Under certain of its contracts, the Company provides supplier procurement services and materials for its customers. The Company records revenue on these arrangements on a gross or net basis in accordance with </w:t>
      </w:r>
      <w:r>
        <w:rPr>
          <w:rFonts w:ascii="Arial" w:cs="Arial" w:eastAsia="Arial" w:hAnsi="Arial"/>
          <w:sz w:val="18"/>
          <w:szCs w:val="18"/>
          <w:i w:val="1"/>
          <w:iCs w:val="1"/>
          <w:color w:val="auto"/>
        </w:rPr>
        <w:t>Topic 605,</w:t>
      </w:r>
      <w:r>
        <w:rPr>
          <w:rFonts w:ascii="Arial" w:cs="Arial" w:eastAsia="Arial" w:hAnsi="Arial"/>
          <w:sz w:val="18"/>
          <w:szCs w:val="18"/>
          <w:color w:val="auto"/>
        </w:rPr>
        <w:t xml:space="preserve"> depending on the specific circumstances of the arrangement. The Company considers the following criteria, among others, for recording revenue on a gross or net basis:</w:t>
      </w:r>
    </w:p>
    <w:p>
      <w:pPr>
        <w:spacing w:after="0" w:line="181" w:lineRule="exact"/>
        <w:rPr>
          <w:sz w:val="20"/>
          <w:szCs w:val="20"/>
          <w:color w:val="auto"/>
        </w:rPr>
      </w:pPr>
    </w:p>
    <w:p>
      <w:pPr>
        <w:ind w:left="1100" w:hanging="471"/>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23" w:lineRule="exact"/>
        <w:rPr>
          <w:rFonts w:ascii="Arial" w:cs="Arial" w:eastAsia="Arial" w:hAnsi="Arial"/>
          <w:sz w:val="18"/>
          <w:szCs w:val="18"/>
          <w:color w:val="auto"/>
        </w:rPr>
      </w:pPr>
    </w:p>
    <w:p>
      <w:pPr>
        <w:ind w:left="1100" w:hanging="471"/>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9" w:lineRule="exact"/>
        <w:rPr>
          <w:rFonts w:ascii="Arial" w:cs="Arial" w:eastAsia="Arial" w:hAnsi="Arial"/>
          <w:sz w:val="18"/>
          <w:szCs w:val="18"/>
          <w:color w:val="auto"/>
        </w:rPr>
      </w:pPr>
    </w:p>
    <w:p>
      <w:pPr>
        <w:ind w:left="1100" w:hanging="471"/>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9" w:lineRule="exact"/>
        <w:rPr>
          <w:rFonts w:ascii="Arial" w:cs="Arial" w:eastAsia="Arial" w:hAnsi="Arial"/>
          <w:sz w:val="18"/>
          <w:szCs w:val="18"/>
          <w:color w:val="auto"/>
        </w:rPr>
      </w:pPr>
    </w:p>
    <w:p>
      <w:pPr>
        <w:ind w:left="1100" w:hanging="471"/>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9" w:lineRule="exact"/>
        <w:rPr>
          <w:rFonts w:ascii="Arial" w:cs="Arial" w:eastAsia="Arial" w:hAnsi="Arial"/>
          <w:sz w:val="18"/>
          <w:szCs w:val="18"/>
          <w:color w:val="auto"/>
        </w:rPr>
      </w:pPr>
    </w:p>
    <w:p>
      <w:pPr>
        <w:ind w:left="1100" w:hanging="471"/>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1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For federal contracts, the Company follows U.S. Government procurement and accounting standards in assessing the allowability and the allocability of costs to contracts. Due to the significance of the judgments and estimation processes, it is likely that materially different amounts could be recorded if different assumptions were used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or if the underlying circumstances were to change. The Company closely monitors the consistent application of its critical accounting policies and compliance with contract accounting. Business operations personnel conduct periodic contract status and performance reviews. When adjustments in estimated contract revenues or costs are required, any significant changes from prior estimates are included in earnings in the current period. Also, regular and recurring evaluations of contract cost, scheduling and technical matters are performed by management personnel who are independent from the business operations personnel performing work under the contract. Costs incurred and allocated to contracts with the U.S. Government are scrutinized for compliance with regulatory standards by the Company’s personnel, and are subject to audit by the Defense Contract Audit Agency.</w:t>
      </w:r>
    </w:p>
    <w:p>
      <w:pPr>
        <w:spacing w:after="0" w:line="178"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From time to time, the Company may proceed with work based on customer direction prior to the completion and signing of formal contract documents. The Company has a formal review process for approving any such work. Revenue associated with such work is recognized only when it can be reliably estimated and realization is probable. The Company bases its estimates on previous experiences with the customer, communications with the customer regarding funding status, and its knowledge of available funding for the contract or program. As of December 31, 2017 and December 25, 2016, approximately $1.9 million and $2.0 million, respectively, of the Company’s unbilled accounts receivable balance were under an authorization to proceed or work order from its customers where a formal purchase order had not yet been received.</w:t>
      </w:r>
    </w:p>
    <w:p>
      <w:pPr>
        <w:spacing w:after="0" w:line="17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Costs incurred for shipping and handling are included in cost of product sales at the time the related revenue is recognized. Amounts billed to a customer for shipping and handling are reported as revenue.</w:t>
      </w:r>
    </w:p>
    <w:p>
      <w:pPr>
        <w:spacing w:after="0" w:line="166"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Inventoried costs</w:t>
      </w:r>
    </w:p>
    <w:p>
      <w:pPr>
        <w:spacing w:after="0" w:line="229" w:lineRule="exact"/>
        <w:rPr>
          <w:sz w:val="20"/>
          <w:szCs w:val="20"/>
          <w:color w:val="auto"/>
        </w:rPr>
      </w:pPr>
    </w:p>
    <w:p>
      <w:pPr>
        <w:ind w:right="20" w:firstLine="648"/>
        <w:spacing w:after="0" w:line="316" w:lineRule="auto"/>
        <w:rPr>
          <w:sz w:val="20"/>
          <w:szCs w:val="20"/>
          <w:color w:val="auto"/>
        </w:rPr>
      </w:pPr>
      <w:r>
        <w:rPr>
          <w:rFonts w:ascii="Arial" w:cs="Arial" w:eastAsia="Arial" w:hAnsi="Arial"/>
          <w:sz w:val="15"/>
          <w:szCs w:val="15"/>
          <w:color w:val="auto"/>
        </w:rPr>
        <w:t>Inventoried costs are stated at the lower of cost or market. Cost is determined using the average cost or first-in, first-out methods and the applicable method is applied consistently within an operating entity. Inventoried costs primarily relate to work under fixed-price contracts using the units-of-delivery method of percentage-of-completion accounting.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and progress payments. The Company reflects those advances and payments as an offset against the related inventory balances.</w:t>
      </w:r>
    </w:p>
    <w:p>
      <w:pPr>
        <w:spacing w:after="0" w:line="150"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(g)</w:t>
      </w:r>
      <w:r>
        <w:rPr>
          <w:sz w:val="20"/>
          <w:szCs w:val="20"/>
          <w:color w:val="auto"/>
        </w:rPr>
        <w:tab/>
      </w:r>
      <w:r>
        <w:rPr>
          <w:rFonts w:ascii="Arial" w:cs="Arial" w:eastAsia="Arial" w:hAnsi="Arial"/>
          <w:sz w:val="16"/>
          <w:szCs w:val="16"/>
          <w:b w:val="1"/>
          <w:bCs w:val="1"/>
          <w:color w:val="auto"/>
        </w:rPr>
        <w:t>Research and Development</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Costs incurred in research and development activities are expensed as incurred in accordance with </w:t>
      </w:r>
      <w:r>
        <w:rPr>
          <w:rFonts w:ascii="Arial" w:cs="Arial" w:eastAsia="Arial" w:hAnsi="Arial"/>
          <w:sz w:val="18"/>
          <w:szCs w:val="18"/>
          <w:i w:val="1"/>
          <w:iCs w:val="1"/>
          <w:color w:val="auto"/>
        </w:rPr>
        <w:t>Financial Accounting Standards Board</w:t>
      </w:r>
      <w:r>
        <w:rPr>
          <w:rFonts w:ascii="Arial" w:cs="Arial" w:eastAsia="Arial" w:hAnsi="Arial"/>
          <w:sz w:val="18"/>
          <w:szCs w:val="18"/>
          <w:color w:val="auto"/>
        </w:rPr>
        <w:t xml:space="preserve"> (“FASB”) ASC </w:t>
      </w:r>
      <w:r>
        <w:rPr>
          <w:rFonts w:ascii="Arial" w:cs="Arial" w:eastAsia="Arial" w:hAnsi="Arial"/>
          <w:sz w:val="18"/>
          <w:szCs w:val="18"/>
          <w:i w:val="1"/>
          <w:iCs w:val="1"/>
          <w:color w:val="auto"/>
        </w:rPr>
        <w:t>Topic 730, Research and Development.</w:t>
      </w:r>
    </w:p>
    <w:p>
      <w:pPr>
        <w:spacing w:after="0" w:line="166"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The Company records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154"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Company maintains a valuation allowance on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147"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 xml:space="preserve">In accordance with the recognition standards established by ASC </w:t>
      </w:r>
      <w:r>
        <w:rPr>
          <w:rFonts w:ascii="Arial" w:cs="Arial" w:eastAsia="Arial" w:hAnsi="Arial"/>
          <w:sz w:val="18"/>
          <w:szCs w:val="18"/>
          <w:i w:val="1"/>
          <w:iCs w:val="1"/>
          <w:color w:val="auto"/>
        </w:rPr>
        <w:t>Topic 740, 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740</w:t>
      </w:r>
      <w:r>
        <w:rPr>
          <w:rFonts w:ascii="Arial" w:cs="Arial" w:eastAsia="Arial" w:hAnsi="Arial"/>
          <w:sz w:val="18"/>
          <w:szCs w:val="18"/>
          <w:color w:val="auto"/>
        </w:rPr>
        <w:t>”), the Company makes a comprehensive review of its portfolio of uncertain tax positions regularly. In this regard, an uncertain tax position represents the Company’s expected treatment of a tax position taken in a filed tax return, 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planned to be taken in a future tax return or claim, which has not been reflected in measuring income tax expense for financial reporting purposes. Until these positions are sustained by the taxing authorities, the Company has not recognized the tax benefits resulting from such positions and reports the tax effects as a liability for uncertain tax positions in its consolidated balance sheets.</w:t>
      </w:r>
    </w:p>
    <w:p>
      <w:pPr>
        <w:spacing w:after="0" w:line="177"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The Company accounts for stock-based compensation in accordance with ASC </w:t>
      </w:r>
      <w:r>
        <w:rPr>
          <w:rFonts w:ascii="Arial" w:cs="Arial" w:eastAsia="Arial" w:hAnsi="Arial"/>
          <w:sz w:val="17"/>
          <w:szCs w:val="17"/>
          <w:i w:val="1"/>
          <w:iCs w:val="1"/>
          <w:color w:val="auto"/>
        </w:rPr>
        <w:t>Topic 718, Compensation-Stock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Topic 718</w:t>
      </w:r>
      <w:r>
        <w:rPr>
          <w:rFonts w:ascii="Arial" w:cs="Arial" w:eastAsia="Arial" w:hAnsi="Arial"/>
          <w:sz w:val="17"/>
          <w:szCs w:val="17"/>
          <w:color w:val="auto"/>
        </w:rPr>
        <w:t xml:space="preserve">”). All of the Company’s stock-based compensation plans are considered equity plans under </w:t>
      </w:r>
      <w:r>
        <w:rPr>
          <w:rFonts w:ascii="Arial" w:cs="Arial" w:eastAsia="Arial" w:hAnsi="Arial"/>
          <w:sz w:val="17"/>
          <w:szCs w:val="17"/>
          <w:i w:val="1"/>
          <w:iCs w:val="1"/>
          <w:color w:val="auto"/>
        </w:rPr>
        <w:t>Topic 718</w:t>
      </w:r>
      <w:r>
        <w:rPr>
          <w:rFonts w:ascii="Arial" w:cs="Arial" w:eastAsia="Arial" w:hAnsi="Arial"/>
          <w:sz w:val="17"/>
          <w:szCs w:val="17"/>
          <w:color w:val="auto"/>
        </w:rPr>
        <w:t>, and compensation expense recognized is net of estimated forfeitures over the vesting period. The Company issues stock options and stock awards under its existing plans. The fair value of stock options is estimated on the date of grant using a Black-Scholes option-pricing model or a trinomial lattice options pricing model and is expensed on a straight-line basis over the remaining vesting period of the options, which is generally six or less years. The fair value of stock awards is determined based on the closing market price of the Company’s common stock on the grant date and is adjusted at each reporting date based on the amount of shares ultimately expected to vest. Compensation expense for stock awards is expensed over the vesting period, usually five to ten years. Compensation expense for stock issued under the Company’s employee stock purchase plan is estimated at the beginning date of the offering period using a Black-Scholes option-pricing model and is expensed on a straight-line basis over the period of the offering, which is generally six months.</w:t>
      </w:r>
    </w:p>
    <w:p>
      <w:pPr>
        <w:spacing w:after="0" w:line="18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the years ended December 31, 2017, December 25, 2016 and December 27, 2015, there were no incremental tax benefits from stock options exercised in the periods. The following table shows the amounts recognized in the consolidated financial statements for 2017, 2016 and 2015 for stock-based compensation expense related to stock options, stock awards and stock offered under the Company’s employee stock purchase plan (in millions, except per share amounts).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Total cost of employee stock-based compensation included in operating loss from</w:t>
            </w:r>
          </w:p>
        </w:tc>
        <w:tc>
          <w:tcPr>
            <w:tcW w:w="9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continuing operations</w:t>
            </w: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Impact on net loss per common share:</w:t>
            </w:r>
          </w:p>
        </w:tc>
        <w:tc>
          <w:tcPr>
            <w:tcW w:w="9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Basic and diluted</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(0.09)</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(0.08)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w:t>
            </w:r>
          </w:p>
        </w:tc>
        <w:tc>
          <w:tcPr>
            <w:tcW w:w="63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Allowance for Doubtful Accounts</w:t>
            </w: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0" w:type="dxa"/>
            <w:vAlign w:val="bottom"/>
            <w:gridSpan w:val="2"/>
            <w:vMerge w:val="continue"/>
          </w:tcPr>
          <w:p>
            <w:pPr>
              <w:spacing w:after="0"/>
              <w:rPr>
                <w:sz w:val="24"/>
                <w:szCs w:val="24"/>
                <w:color w:val="auto"/>
              </w:rPr>
            </w:pPr>
          </w:p>
        </w:tc>
        <w:tc>
          <w:tcPr>
            <w:tcW w:w="63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270" w:lineRule="auto"/>
        <w:rPr>
          <w:sz w:val="20"/>
          <w:szCs w:val="20"/>
          <w:color w:val="auto"/>
        </w:rPr>
      </w:pPr>
      <w:r>
        <w:rPr>
          <w:rFonts w:ascii="Arial" w:cs="Arial" w:eastAsia="Arial" w:hAnsi="Arial"/>
          <w:sz w:val="17"/>
          <w:szCs w:val="17"/>
          <w:color w:val="auto"/>
        </w:rPr>
        <w:t>The Company maintains an allowance for doubtful accounts for estimated losses resulting from the inability of its customers to make required payments, which results in bad debt expense. Management periodically determines the adequacy of this allowance by evaluating the comprehensive risk profiles of all individual customer receivable balances including, but not limited to, the customer’s financial condition, credit agency reports, financial statements and overall current economic conditions. Additionally, on certain contracts whereby the Company performs services for a prime/general contractor, a specified percentage of the invoiced trade accounts receivable may be retained by the customer until the project is completed. The Company periodically reviews all retainages for collectability and records allowances for doubtful accounts when deemed appropriate, based on its assessment of the associated credit risks. Changes to estimates of contract value are recorded as adjustments to revenue and not as a component of the allowance for doubtful accounts. Individual accounts receivable are written off to the allowance for doubtful accounts when the Company becomes aware of a specific customer’s inability to meet its financial obligation, and all collection efforts are exhausted.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following table outlines the balance of the Company’s allowance for doubtful accounts for 2017, 2016 and 2015. The table identifies the additional provisions each year as well as the write-offs that utilized the allowance (in millions).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3040" w:type="dxa"/>
            <w:vAlign w:val="bottom"/>
            <w:gridSpan w:val="3"/>
          </w:tcPr>
          <w:p>
            <w:pPr>
              <w:jc w:val="center"/>
              <w:ind w:left="1214"/>
              <w:spacing w:after="0"/>
              <w:rPr>
                <w:sz w:val="20"/>
                <w:szCs w:val="20"/>
                <w:color w:val="auto"/>
              </w:rPr>
            </w:pPr>
            <w:r>
              <w:rPr>
                <w:rFonts w:ascii="Arial" w:cs="Arial" w:eastAsia="Arial" w:hAnsi="Arial"/>
                <w:sz w:val="14"/>
                <w:szCs w:val="14"/>
                <w:b w:val="1"/>
                <w:bCs w:val="1"/>
                <w:color w:val="auto"/>
                <w:w w:val="91"/>
              </w:rPr>
              <w:t>Balance at Beginning</w:t>
            </w:r>
          </w:p>
        </w:tc>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Provisions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Write-offs/Recoveries</w:t>
            </w: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Balance at End of Year</w:t>
            </w:r>
          </w:p>
        </w:tc>
        <w:tc>
          <w:tcPr>
            <w:tcW w:w="0" w:type="dxa"/>
            <w:vAlign w:val="bottom"/>
          </w:tcPr>
          <w:p>
            <w:pPr>
              <w:spacing w:after="0"/>
              <w:rPr>
                <w:sz w:val="1"/>
                <w:szCs w:val="1"/>
                <w:color w:val="auto"/>
              </w:rPr>
            </w:pPr>
          </w:p>
        </w:tc>
      </w:tr>
      <w:tr>
        <w:trPr>
          <w:trHeight w:val="192"/>
        </w:trPr>
        <w:tc>
          <w:tcPr>
            <w:tcW w:w="372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of Year</w:t>
            </w:r>
          </w:p>
        </w:tc>
        <w:tc>
          <w:tcPr>
            <w:tcW w:w="90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27, 2015</w:t>
            </w:r>
          </w:p>
        </w:tc>
        <w:tc>
          <w:tcPr>
            <w:tcW w:w="1740" w:type="dxa"/>
            <w:vAlign w:val="bottom"/>
            <w:tcBorders>
              <w:top w:val="single" w:sz="8" w:color="auto"/>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Year ended December 25, 2016</w:t>
            </w:r>
          </w:p>
        </w:tc>
        <w:tc>
          <w:tcPr>
            <w:tcW w:w="17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600" w:type="dxa"/>
            <w:vAlign w:val="bottom"/>
          </w:tcPr>
          <w:p>
            <w:pPr>
              <w:jc w:val="right"/>
              <w:ind w:right="39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2017</w:t>
            </w:r>
          </w:p>
        </w:tc>
        <w:tc>
          <w:tcPr>
            <w:tcW w:w="17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7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Company’s cash equivalents consist of its highly liquid investments with an original maturity of three months or less when purchased by the Company.</w:t>
      </w:r>
    </w:p>
    <w:p>
      <w:pPr>
        <w:spacing w:after="0" w:line="170"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Company has restricted cash accounts of approximately $0.4 million at December 31, 2017 and $0.5 million at December 25, 2016. As of December 31, 2017 and December 25, 2016, restricted cash consists primarily of a deposit securing foreign letters of credit related to payment and performance bonds on international contracts.</w:t>
      </w:r>
    </w:p>
    <w:p>
      <w:pPr>
        <w:spacing w:after="0" w:line="177"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Property and equipment, net owned by the Company is depreciated over the estimated useful lives of individual assets. Equipment acquired under capital leases are amortized over the shorter of the lease term or the estimated useful life of the asset. Improvements, which significantly improve and extend the useful life of an asset, are capitalized and depreciated over the shorter of the lease period or the estimated useful life. Expenditures for maintenance and repairs are charged to operations as incurred.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are depreciated predominately using the straight-line method, with the following lives: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 – 39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3 – 10</w:t>
            </w:r>
          </w:p>
        </w:tc>
      </w:tr>
      <w:tr>
        <w:trPr>
          <w:trHeight w:val="27"/>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 – 10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Vehicles, furniture, and office equipment</w:t>
            </w:r>
          </w:p>
        </w:tc>
        <w:tc>
          <w:tcPr>
            <w:tcW w:w="240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7"/>
        </w:trPr>
        <w:tc>
          <w:tcPr>
            <w:tcW w:w="90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29"/>
        </w:trPr>
        <w:tc>
          <w:tcPr>
            <w:tcW w:w="902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Shorter of useful life or length</w:t>
            </w:r>
          </w:p>
        </w:tc>
      </w:tr>
      <w:tr>
        <w:trPr>
          <w:trHeight w:val="230"/>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of lease</w:t>
            </w:r>
          </w:p>
        </w:tc>
      </w:tr>
      <w:tr>
        <w:trPr>
          <w:trHeight w:val="27"/>
        </w:trPr>
        <w:tc>
          <w:tcPr>
            <w:tcW w:w="902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Company classifies assets and liabilities as held for sale (“disposal group”) when management, having the authority to approve the action, commits to a plan to sell the disposal group, the sale is probable within one year, and the disposal group is available for immediate sale in its present condition. The Company also considers whether an active program to locate a buyer has been initiated, whether the disposal group is marketed actively for sale at a price that is reasonable in relation to its current fair value, and whether actions required to complete the plan indicate that it is unlikely that significant changes to the plan will be made or the plan will be withdrawn.</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At the time of classifying assets as held for sale and at the end of each reporting period, the Company compares the carrying value of these assets to estimates of fair value to assess for impairment. The Company compares the carrying value to estimates of fair value utilizing the assistance of third-party broker opinions of value to assist in its fair value estimates.</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In the third quarter of 2016, the Company’s management, following the closure of its manufacturing facility in South Carolina, committed to a plan to sell the Walterboro building facility reported within the KGS segment. At that time, the building facility had a carrying value of $1.9 million and was classified as held for sale. In the fourth quarter of 2016, after not receiving any viable offers to purchase the building facility, the Company decided to reclassify the building facility from held for sale to held for use. In accordance with ASC </w:t>
      </w:r>
      <w:r>
        <w:rPr>
          <w:rFonts w:ascii="Arial" w:cs="Arial" w:eastAsia="Arial" w:hAnsi="Arial"/>
          <w:sz w:val="18"/>
          <w:szCs w:val="18"/>
          <w:i w:val="1"/>
          <w:iCs w:val="1"/>
          <w:color w:val="auto"/>
        </w:rPr>
        <w:t>Topic 360-10, Property, Plant and Equipment - Disposal of Long-Lived Assets</w:t>
      </w:r>
      <w:r>
        <w:rPr>
          <w:rFonts w:ascii="Arial" w:cs="Arial" w:eastAsia="Arial" w:hAnsi="Arial"/>
          <w:sz w:val="18"/>
          <w:szCs w:val="18"/>
          <w:color w:val="auto"/>
        </w:rPr>
        <w:t>, utilizing the assistance of a third-party broker to assist in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estimating of fair value, the remeasured fair value of the building was determined to be $500,000. The impairment loss of $1.4 million was recorded at that time and is reflected in unused office space and other restructuring in the consolidated statements of operations and comprehensive income (loss) for the year ended December 25, 2016.</w:t>
      </w:r>
    </w:p>
    <w:p>
      <w:pPr>
        <w:spacing w:after="0" w:line="177"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Company uses its incremental borrowing rate in the assessment of lease classification as capital or operating and defines the initial lease term to include renewal options determined to be reasonably assured. The Company conducts operations primarily under operating leases.</w:t>
      </w:r>
    </w:p>
    <w:p>
      <w:pPr>
        <w:spacing w:after="0" w:line="14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Most lease agreements for real property contain incentives for tenant improvements, rent holidays, or rent escalation clauses. For incentives for tenant improvements, the Company capitalizes the leasehold improvements which are depreciated over the shorter of the lease term or their estimated useful life and records a deferred rent liability which is amortized over the term of the lease as a reduction to rent expense. For rent holidays and rent escalation clauses during the lease term, the Company records minimum rental expenses on a straight-line basis over the term of the lease. For purposes of recognizing lease incentives, the Company uses the date of initial possession as the commencement date, which is generally when the Company is given the right of access to the space and begins to make improvements in preparation for intended use.</w:t>
      </w:r>
    </w:p>
    <w:p>
      <w:pPr>
        <w:spacing w:after="0" w:line="174"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Net</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In accordance with the provisions of ASC </w:t>
      </w:r>
      <w:r>
        <w:rPr>
          <w:rFonts w:ascii="Arial" w:cs="Arial" w:eastAsia="Arial" w:hAnsi="Arial"/>
          <w:sz w:val="18"/>
          <w:szCs w:val="18"/>
          <w:i w:val="1"/>
          <w:iCs w:val="1"/>
          <w:color w:val="auto"/>
        </w:rPr>
        <w:t>Topic 350, 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Topic 350</w:t>
      </w:r>
      <w:r>
        <w:rPr>
          <w:rFonts w:ascii="Arial" w:cs="Arial" w:eastAsia="Arial" w:hAnsi="Arial"/>
          <w:sz w:val="18"/>
          <w:szCs w:val="18"/>
          <w:color w:val="auto"/>
        </w:rPr>
        <w:t>”), the Company performs impairment tests for goodwill and indefinite lived intangibles as of the last day of its fiscal October, or when evidence of potential impairment exists. When it is determined that impairment has occurred, a charge to operations is recorded. Goodwill and other purchased intangible asset balances are included in the identifiable assets of the operating segment to which they have been assigned. Any goodwill impairment, as well as the amortization of other purchased intangible assets, is charged against the respective segments’ operating income.</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the Company classifies intangible assets into two categories: (1) intangible assets with finite lives subject to amortization and (2) intangible assets with indefinite lives not subject to amortization. Separately, the Company tests intangible assets with finite lives for impairment if conditions exist that indicate the carrying value may not be recoverable. Such conditions may include an economic downturn in a geographic market or a change in the assessment of future operations. The Company records an impairment charge when the carrying value of the finite lived intangible asset is not recoverable by the cash flows generated from the use of the asset.</w:t>
      </w:r>
    </w:p>
    <w:p>
      <w:pPr>
        <w:spacing w:after="0" w:line="18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determines the useful lives of identifiable intangible assets after considering the specific facts and circumstances related to each intangible asset. Factors considered when determining useful lives include the contractual term of any agreement, the history of the asset, the Company’s long-term strategy for the use of the asset, any laws or other local regulations which could impact the useful life of the asset, and other economic factors, including competition and specific market conditions. Intangible assets that are deemed to have finite lives are amortized, generally on a straight-line basis, over their useful lives, ranging from one to 15 years.</w:t>
      </w:r>
    </w:p>
    <w:p>
      <w:pPr>
        <w:spacing w:after="0" w:line="18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6"/>
          <w:szCs w:val="16"/>
          <w:b w:val="1"/>
          <w:bCs w:val="1"/>
          <w:color w:val="auto"/>
        </w:rPr>
        <w:t>Impairment of Long-Lived Assets and Long-Lived Assets to Be Disposed Of</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Long-lived assets are reviewed for impairment in accordance with ASC </w:t>
      </w:r>
      <w:r>
        <w:rPr>
          <w:rFonts w:ascii="Arial" w:cs="Arial" w:eastAsia="Arial" w:hAnsi="Arial"/>
          <w:sz w:val="16"/>
          <w:szCs w:val="16"/>
          <w:i w:val="1"/>
          <w:iCs w:val="1"/>
          <w:color w:val="auto"/>
        </w:rPr>
        <w:t>Topic 360, Property, Plant, and Equipment</w:t>
      </w:r>
      <w:r>
        <w:rPr>
          <w:rFonts w:ascii="Arial" w:cs="Arial" w:eastAsia="Arial" w:hAnsi="Arial"/>
          <w:sz w:val="16"/>
          <w:szCs w:val="16"/>
          <w:color w:val="auto"/>
        </w:rPr>
        <w:t>, whenever events or changes in circumstances indicate that the carrying amount of an asset may not be recoverable. Recoverability of assets to be held and used is measured by a comparison of the carrying amount of the assets to future net cash flows (undiscounted and without interest) expected to be generated by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15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 xml:space="preserve">ASC </w:t>
      </w:r>
      <w:r>
        <w:rPr>
          <w:rFonts w:ascii="Arial" w:cs="Arial" w:eastAsia="Arial" w:hAnsi="Arial"/>
          <w:sz w:val="16"/>
          <w:szCs w:val="16"/>
          <w:i w:val="1"/>
          <w:iCs w:val="1"/>
          <w:color w:val="auto"/>
        </w:rPr>
        <w:t>Topic 825, Financial Instruments,</w:t>
      </w:r>
      <w:r>
        <w:rPr>
          <w:rFonts w:ascii="Arial" w:cs="Arial" w:eastAsia="Arial" w:hAnsi="Arial"/>
          <w:sz w:val="16"/>
          <w:szCs w:val="16"/>
          <w:color w:val="auto"/>
        </w:rPr>
        <w:t xml:space="preserve"> requires that fair values be disclosed for the Company’s financial instruments. The carrying amounts of cash equivalents, accounts receivable, accounts payable, accrued expenses, billings in excess of costs and earnings on uncompleted contracts, and income taxes payable, approximate fair value due to the short-term nature of these instruments. The fair value of the Company’s long-term debt is based upon actual</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125" w:right="2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trading activity. The fair value of capital lease obligations is estimated based on quoted market prices for the same or similar obligations with the same remaining maturities.</w:t>
      </w:r>
    </w:p>
    <w:p>
      <w:pPr>
        <w:spacing w:after="0" w:line="166"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U.S.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12 for a discussion of the Company’s significant customers.</w:t>
      </w:r>
    </w:p>
    <w:p>
      <w:pPr>
        <w:spacing w:after="0" w:line="184"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(r)</w:t>
      </w:r>
      <w:r>
        <w:rPr>
          <w:sz w:val="20"/>
          <w:szCs w:val="20"/>
          <w:color w:val="auto"/>
        </w:rPr>
        <w:tab/>
      </w:r>
      <w:r>
        <w:rPr>
          <w:rFonts w:ascii="Arial" w:cs="Arial" w:eastAsia="Arial" w:hAnsi="Arial"/>
          <w:sz w:val="15"/>
          <w:szCs w:val="15"/>
          <w:b w:val="1"/>
          <w:bCs w:val="1"/>
          <w:color w:val="auto"/>
        </w:rPr>
        <w:t>Debt Issuance Costs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Fees paid to obtain debt financing and revolving credit facilities or amendments under such debt financing and revolving credit facilities are treated as debt issuance costs and are capitalized and amortized over the expected term of the related debt or revolving credit facility and are shown as a financing activity in the consolidated statements of cash flows. Issuance costs related to debt are presented in the consolidated balance sheets as a direct deduction from the carrying amount of the associated debt liability. Issuance costs related to a revolving credit facility are included in other assets in the consolidated balance sheets.</w:t>
      </w:r>
    </w:p>
    <w:p>
      <w:pPr>
        <w:spacing w:after="0" w:line="184"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Expense, Net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Interest expense, net is summarized in the following table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incurred primarily on the Company’s Senior Secured Notes</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Miscellaneous interest income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w:t>
            </w:r>
          </w:p>
        </w:tc>
        <w:tc>
          <w:tcPr>
            <w:tcW w:w="63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Foreign Currency</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0" w:type="dxa"/>
            <w:vAlign w:val="bottom"/>
            <w:gridSpan w:val="2"/>
            <w:vMerge w:val="continue"/>
          </w:tcPr>
          <w:p>
            <w:pPr>
              <w:spacing w:after="0"/>
              <w:rPr>
                <w:sz w:val="24"/>
                <w:szCs w:val="24"/>
                <w:color w:val="auto"/>
              </w:rPr>
            </w:pPr>
          </w:p>
        </w:tc>
        <w:tc>
          <w:tcPr>
            <w:tcW w:w="63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For operations outside the U.S. that prepare financial statements in currencies other than the U.S. dollar, results of operations and cash flows are translated at average exchange rates during the period, and assets and liabilities are generally translated at end-of-period exchange rates. Translation adjustments are included as a separate component of accumulated other comprehensive loss.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transacts with foreign customers in currencies other than the U.S. dollar. It experiences realized and unrealized foreign currency gains or losses on foreign denominated receivables. In addition, certain intercompany transactions give rise to realized and unrealized foreign currency gains or losses. Also, any other transactions between the Company or its subsidiaries and a third-party, denominated in a currency different from the functional currency, are foreign currency transactions.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aggregate foreign currency transaction gain (loss) included in determining net loss for the years ended December 31, 2017, December 25, 2016, and December 27, 2015 was approximately $0.4 million, $0.4 million, and $(0.8) million, respectively, which is included in other income (expense), net on the accompanying consolidated statements of operations and comprehensive income (loss).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(u)</w:t>
      </w:r>
      <w:r>
        <w:rPr>
          <w:sz w:val="20"/>
          <w:szCs w:val="20"/>
          <w:color w:val="auto"/>
        </w:rPr>
        <w:tab/>
      </w:r>
      <w:r>
        <w:rPr>
          <w:rFonts w:ascii="Arial" w:cs="Arial" w:eastAsia="Arial" w:hAnsi="Arial"/>
          <w:sz w:val="15"/>
          <w:szCs w:val="15"/>
          <w:b w:val="1"/>
          <w:bCs w:val="1"/>
          <w:color w:val="auto"/>
        </w:rPr>
        <w:t>Recent Accounting Pronouncements</w:t>
      </w: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On December 22, 2017, the Securities and Exchange Commission staff issued Staff Accounting Bulletin No. 118 (“SAB 118”) to address the application of U.S. GAAP related to the enactment of the comprehensive tax legislation, commonly referred to as the Tax Cut and Jobs Act (the “2017 Tax Act”). This guidance was adopted in the fourth quarter of 2017. Additional information regarding our adoption of this guidance is contained in Note 7.</w:t>
      </w:r>
    </w:p>
    <w:p>
      <w:pPr>
        <w:spacing w:after="0" w:line="14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In May 2017, the FASB issued Accounting Standards Update (“ASU”) 2017-09 (“ASU 2017-09”),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xml:space="preserve"> </w:t>
      </w:r>
      <w:r>
        <w:rPr>
          <w:rFonts w:ascii="Arial" w:cs="Arial" w:eastAsia="Arial" w:hAnsi="Arial"/>
          <w:sz w:val="18"/>
          <w:szCs w:val="18"/>
          <w:i w:val="1"/>
          <w:iCs w:val="1"/>
          <w:color w:val="auto"/>
        </w:rPr>
        <w:t>Scope of Modification Accounting</w:t>
      </w:r>
      <w:r>
        <w:rPr>
          <w:rFonts w:ascii="Arial" w:cs="Arial" w:eastAsia="Arial" w:hAnsi="Arial"/>
          <w:sz w:val="18"/>
          <w:szCs w:val="18"/>
          <w:color w:val="auto"/>
        </w:rPr>
        <w:t>. ASU 2017-09 was issued to provide guidance about which changes to the terms or conditions of a share-based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award require an entity to apply modification accounting. The amendments in this ASU are effective for annual periods beginning after December 15, 2017. The Company does not expect that the standard will have a material effect on its consolidated financial statements and will apply this guidance to applicable transactions after the adoption date.</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January 2017, the FASB issued ASU 2017-04 (“ASU 2017-04”), </w:t>
      </w:r>
      <w:r>
        <w:rPr>
          <w:rFonts w:ascii="Arial" w:cs="Arial" w:eastAsia="Arial" w:hAnsi="Arial"/>
          <w:sz w:val="17"/>
          <w:szCs w:val="17"/>
          <w:i w:val="1"/>
          <w:iCs w:val="1"/>
          <w:color w:val="auto"/>
        </w:rPr>
        <w:t>Intangibles - Goodwill and Other (Topic 350):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ASU 2017-04 amends the guidance to simplify the subsequent measurement of goodwill by removing Step 2 of the goodwill impairment test.</w:t>
      </w:r>
      <w:r>
        <w:rPr>
          <w:rFonts w:ascii="Arial" w:cs="Arial" w:eastAsia="Arial" w:hAnsi="Arial"/>
          <w:sz w:val="17"/>
          <w:szCs w:val="17"/>
          <w:i w:val="1"/>
          <w:iCs w:val="1"/>
          <w:color w:val="auto"/>
        </w:rPr>
        <w:t xml:space="preserve"> </w:t>
      </w:r>
      <w:r>
        <w:rPr>
          <w:rFonts w:ascii="Arial" w:cs="Arial" w:eastAsia="Arial" w:hAnsi="Arial"/>
          <w:sz w:val="17"/>
          <w:szCs w:val="17"/>
          <w:color w:val="auto"/>
        </w:rPr>
        <w:t>Instead, an entity should perform its annual, or interim, goodwill impairment test by comparing the fair value of a reporting unit with its carrying amount. An entity should recognize an impairment charge for the amount by which the carrying amount exceeds the reporting unit’s fair value. ASU 2017-04 is effective for annual reporting periods beginning after December 15, 2019, with early adoption permitted. The Company adopted this new guidance in 2017 in its assessment of the carrying value of the DRSS reporting unit, which resulted in a $24.2 million impairment charge.</w:t>
      </w:r>
    </w:p>
    <w:p>
      <w:pPr>
        <w:spacing w:after="0" w:line="17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In October 2016, the FASB issued ASU 2016-16 (“ASU 2016-16”), </w:t>
      </w:r>
      <w:r>
        <w:rPr>
          <w:rFonts w:ascii="Arial" w:cs="Arial" w:eastAsia="Arial" w:hAnsi="Arial"/>
          <w:sz w:val="16"/>
          <w:szCs w:val="16"/>
          <w:i w:val="1"/>
          <w:iCs w:val="1"/>
          <w:color w:val="auto"/>
        </w:rPr>
        <w:t>Income Taxes (Topic 740), Intra-Entity Transfers of Assets Other Than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Inventory. </w:t>
      </w:r>
      <w:r>
        <w:rPr>
          <w:rFonts w:ascii="Arial" w:cs="Arial" w:eastAsia="Arial" w:hAnsi="Arial"/>
          <w:sz w:val="16"/>
          <w:szCs w:val="16"/>
          <w:color w:val="auto"/>
        </w:rPr>
        <w:t>ASU 2016-16 requires that entities recognize the income tax consequences of an intra-entity transfer of an asset other than inventory when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occurs, rather than when the asset is sold to an outside party. ASU 2016-16 is effective for annual reporting periods beginning after December 15, 2017, including interim periods within those annual reporting periods. Early adoption is permitted as of the beginning of an annual reporting period (as of the first interim period if an entity issues interim financial statements). ASU 2016-16 requires adoption on a modified retrospective basis through a cumulative-effect adjustment directly to retained earnings as of the beginning of the period of adoption. The Company early adopted this standard on December 26, 2016. The adoption of this guidance did not have a material impact on the Company’s consolidated financial statements.</w:t>
      </w:r>
    </w:p>
    <w:p>
      <w:pPr>
        <w:spacing w:after="0" w:line="16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In February 2016, the FASB issued ASU 2016-02 (“ASU 2016-02”), </w:t>
      </w:r>
      <w:r>
        <w:rPr>
          <w:rFonts w:ascii="Arial" w:cs="Arial" w:eastAsia="Arial" w:hAnsi="Arial"/>
          <w:sz w:val="16"/>
          <w:szCs w:val="16"/>
          <w:i w:val="1"/>
          <w:iCs w:val="1"/>
          <w:color w:val="auto"/>
        </w:rPr>
        <w:t>Leases</w:t>
      </w:r>
      <w:r>
        <w:rPr>
          <w:rFonts w:ascii="Arial" w:cs="Arial" w:eastAsia="Arial" w:hAnsi="Arial"/>
          <w:sz w:val="16"/>
          <w:szCs w:val="16"/>
          <w:color w:val="auto"/>
        </w:rPr>
        <w:t>. ASU 2016-02 requires that lessees recognize assets and liabilities for the rights and obligations underlying leases with a lease term of more than one year. The amendments in this ASU are effective for annual periods beginning after December 15, 2018. Early adoption is permitted. The standard must be applied using a modified retrospective approach. The Company is currently evaluating the impact of the adoption of ASU 2016-02 on its consolidated financial statements. The Company has developed an implementation plan to evaluate the contracts across all the business segments, has educated both management and other employees on the effects of the new guidance and has preliminarily assessed the internal control structure in order to adopt the ASU on January 1, 2019.</w:t>
      </w:r>
    </w:p>
    <w:p>
      <w:pPr>
        <w:spacing w:after="0" w:line="16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In May 2014, the FASB issued ASU 2014-09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ASU 2014-09 establishes a broad principle that would require an entity to recognize revenue to depict the transfer of promised goods or services to customers in an amount that reflects the consideration to which the entity expects to be entitled in exchange for those goods or services. The FASB has also issued several updates to ASU 2014-09. The new standard supersedes GAAP guidance on revenue recognition and requires the use of more estimates and judgments than the present standards. It also requires additional disclosures. ASU 2014-09 may be applied either retrospectively or through the use of a modified-retrospective method. The full retrospective method requires companies to recast each prior reporting period presented as if the new guidance had always existed. Under the modified retrospective method, companies would recognize the cumulative effect of initially applying the standard as an adjustment to the opening balance of retained earnings at the date of initial application. The Company adopted the new revenue standard effective January 1, 2018, through the use of the modified-retrospective method.</w:t>
      </w:r>
    </w:p>
    <w:p>
      <w:pPr>
        <w:spacing w:after="0" w:line="197"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Company commenced a detailed analysis of the impact of ASU 2014-09 in 2016, by evaluating its impact on selected contracts at each of the Company’s business segments. With this baseline understanding, the Company developed a project plan to evaluate the contracts across all the business segments, spent significant effort in education of both management and other employees on the effects of the new guidance and assessed the internal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control structure in order to adopt the ASU on January 1, 2018. ASU 2014-09 also requires expanded disclosure regarding the nature, timing, and uncertainty of revenue, cash flow and customer contract balances, including how and when performance obligations are satisfied and the relationship between revenue recognized and changes in contract balances during a reporting period. An entity is also required to disclose requirements for the remaining performance obligations. Disclosure includes the aggregate amount of the transaction price allocated to the performance obligations that are unsatisfied (or partially unsatisfied) as of the end of the reporting period and an explanation of when the entity expects to recognize as revenue the amount of remaining performance obligations. The entity can disclose on a quantitative basis using the time bands that would be most appropriate for the duration of the remaining performance obligations or by using qualitative information.</w:t>
      </w:r>
    </w:p>
    <w:p>
      <w:pPr>
        <w:spacing w:after="0" w:line="18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has evaluated these disclosure requirements and has incorporated the collection of relevant data into its quarterly processes. The Company also designed and implemented specific controls based on its evaluation of the impact of ASU 2014-09, including the calculation of the cumulative effect of adopting ASU 2014-09. Significant changes to the Company’s accounting systems were not determined to be necessary upon adoption of ASU 2014-</w:t>
      </w:r>
    </w:p>
    <w:p>
      <w:pPr>
        <w:ind w:right="440" w:firstLine="8"/>
        <w:spacing w:after="0" w:line="261"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Several new controls were added and certain current controls have been modified to incorporate the revisions that have been made to the Company’s accounting policies and practices.</w:t>
      </w:r>
    </w:p>
    <w:p>
      <w:pPr>
        <w:spacing w:after="0" w:line="18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Based upon an assessment of material active contracts as of December 31, 2017, the Company has determined that the impact on the results of operations and cash flows upon adoption are not material. The Company also does not expect the impact in the periods after adoption to be material. Under ASU 2014-09, revenue is recognized as control transfers to the customer. As such, revenue for the Company’s contracts will generally be recognized over time using the cost-to-cost method, which is consistent with the revenue recognition model in use for the majority of contracts prior to adoption. For those contracts where revenue was previously recognized as units are delivered, in most cases the accounting for those contracts changed under ASU 2014-09 such that revenue will be recognized as costs are incurred. This change will generally result in an acceleration of revenue as compared with the pre-adoption revenue recognition method for those contracts.</w:t>
      </w:r>
    </w:p>
    <w:p>
      <w:pPr>
        <w:spacing w:after="0" w:line="189"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Company expects the cumulative effect of adopting ASU 2014-09 to result in an increase in revenue of less than $2 million and an increase in operating income of less than $2 million. These changes principally reflect the impact of converting contracts applying the units-of-delivery under the old revenue guidance to the cost-to-cost method of accounting. The cumulative effect of adoption of the new revenue guidance will be recognized as an increase in contract assets, a reduction in inventoried costs, an increase in contract liabilities and a net decrease in accumulated deficit as of January 1, 2018.</w:t>
      </w:r>
    </w:p>
    <w:p>
      <w:pPr>
        <w:spacing w:after="0" w:line="3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Goodwill and Other Intangible Assets</w:t>
      </w:r>
    </w:p>
    <w:p>
      <w:pPr>
        <w:spacing w:after="0" w:line="225"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Topic 350</w:t>
      </w:r>
      <w:r>
        <w:rPr>
          <w:rFonts w:ascii="Arial" w:cs="Arial" w:eastAsia="Arial" w:hAnsi="Arial"/>
          <w:sz w:val="18"/>
          <w:szCs w:val="18"/>
          <w:color w:val="auto"/>
        </w:rPr>
        <w:t xml:space="preserve"> as of the last day of its fiscal October or when evidence of potential impairment exists.</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w:t>
      </w:r>
    </w:p>
    <w:p>
      <w:pPr>
        <w:spacing w:after="0" w:line="15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KGS reportable segment has four operating segments: Defense Rocket Support Services (“DRSS”), Microwave Electronics (“ME”), Technical and Training Solutions (“TTS”), and Modular Systems (“MS”). All of the KGS operating segments provide technology based defense solutions, involving products and services, primarily for mission critical U.S. National Security priorities, with the primary focus relating to the nation’s Command, Control, Communications, Computing, Combat Systems, Intelligence, Surveillance and Reconnaissance requirements. The PSS reportable business segment provides integrated solutions for advanced homeland security, public safety, critical infrastructure security, and security and surveillance systems for government, industrial and commercial customers. The US reportable segment consists of our unmanned aerial system, unmanned ground, and unmanned seaborne system businesses.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The Company identified its reporting units to be the DRSS, ME, TTS, MS, US and PSS operating segments. In order to test for potential impairment, the Company estimates the fair value of each of its reporting units based on a comparison and weighting of the income approach, specifically the discounted cash flow method and the market approach, which estimates the fair value of the Company’s reporting units based upon comparable market prices and recent transactions and also validates the reasonableness of the implied multiples from the income approach. The Company reconciles the fair value of its reporting units to its market capitalization based upon the last business day of fiscal October and assumes a control premium. The Company uses this methodology to determine the fair value of its reporting units for comparison to their corresponding book values because there are no observable inputs available, a Level 3 measurement (See Note 9). If the book value exceeds the estimated fair value for a reporting unit a potential impairment is indicated, and </w:t>
      </w:r>
      <w:r>
        <w:rPr>
          <w:rFonts w:ascii="Arial" w:cs="Arial" w:eastAsia="Arial" w:hAnsi="Arial"/>
          <w:sz w:val="17"/>
          <w:szCs w:val="17"/>
          <w:i w:val="1"/>
          <w:iCs w:val="1"/>
          <w:color w:val="auto"/>
        </w:rPr>
        <w:t>Topic 350</w:t>
      </w:r>
      <w:r>
        <w:rPr>
          <w:rFonts w:ascii="Arial" w:cs="Arial" w:eastAsia="Arial" w:hAnsi="Arial"/>
          <w:sz w:val="17"/>
          <w:szCs w:val="17"/>
          <w:color w:val="auto"/>
        </w:rPr>
        <w:t xml:space="preserve"> prescribes the approach for determining the impairment amount, if any.</w:t>
      </w:r>
    </w:p>
    <w:p>
      <w:pPr>
        <w:spacing w:after="0" w:line="17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Company adopted ASU 2017-04 which amends the guidance to simplify the subsequent measurement of goodwill by removing Step 2 of the goodwill impairment test. This new guidance requires an entity to perform its annual, or interim, goodwill impairment test by comparing the fair value of a reporting unit with its carrying amount. An entity should recognize an impairment charge for the amount by which the carrying amount exceeds the reporting unit’s fair value. As a result of the annual goodwill impairment test, the Company recorded a $24.2 million impairment charge which represented the excess of the carrying amount of goodwill compared to the fair value of the DRSS reporting unit.</w:t>
      </w:r>
    </w:p>
    <w:p>
      <w:pPr>
        <w:spacing w:after="0" w:line="17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determining the fair value for the reporting units, there are key assumptions relating to future operating performance and revenue growth. If the actual operating performance and financial results are not consistent with the Company’s assumptions, an impairment of the remaining balance in its $461.2 million goodwill and $22.0 million long-lived intangible assets could occur in future periods. Market factors that could impact the Company’s ability to successfully develop new products include the successful completion of certain unmanned system platforms and the successful acceptance of new unmanned system platforms, including from a political and budgetary standpoint. For example, the US reporting unit fair value includes assumptions that the development of the high performance Unmanned Combat Aerial System (“UCAS”) product is successful and the Company is awarded future contracts for the UCAS product and other new tactical aerial systems. Additionally, the US reporting unit fair value assumes that the Company will receive follow on orders for the Sub-Sonic Aerial Target, which is currently under contract with the U.S. Navy.</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During the fourth quarter of 2017, as a result of the Company’s annual impairment test of the carrying value of its goodwill balances, the Company recorded an impairment charge of $24.2 million of the carrying value of the goodwill of its DRSS business reported in its KGS segment, which majority of business and revenue includes the Company’s legacy government services business. In 2010, the Company changed its strategy to focus on being a system, product, technology and intellectual property based company and deemphasized our legacy government services businesses which are no longer considered a core business. Over the past several years, similar to other businesses operating in the federal government technical services space, this business has been adversely impacted by competitive pressures and commoditization resulting from lower priced technically acceptable awards rather than awards based on best value or that are technologically or performance differentiated. Specifically, the Company was recently notified of losses on two new sizable five year contract opportunities where Kratos was underbid on cost, which significantly impacted the expected future financial performance of this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amounts of goodwill as of December 31, 2017 and December 25, 2016 by reportable segment are as follows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860" w:type="dxa"/>
            <w:vAlign w:val="bottom"/>
            <w:tcBorders>
              <w:bottom w:val="single" w:sz="8" w:color="CCEEFF"/>
            </w:tcBorders>
          </w:tcPr>
          <w:p>
            <w:pPr>
              <w:spacing w:after="0"/>
              <w:rPr>
                <w:sz w:val="22"/>
                <w:szCs w:val="22"/>
                <w:color w:val="auto"/>
              </w:rPr>
            </w:pPr>
          </w:p>
        </w:tc>
        <w:tc>
          <w:tcPr>
            <w:tcW w:w="35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PSS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KGS</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3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732.8</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3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239.5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271.6</w:t>
            </w:r>
          </w:p>
        </w:tc>
      </w:tr>
      <w:tr>
        <w:trPr>
          <w:trHeight w:val="27"/>
        </w:trPr>
        <w:tc>
          <w:tcPr>
            <w:tcW w:w="386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3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328.3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461.2</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3860" w:type="dxa"/>
            <w:vAlign w:val="bottom"/>
          </w:tcPr>
          <w:p>
            <w:pPr>
              <w:spacing w:after="0"/>
              <w:rPr>
                <w:sz w:val="24"/>
                <w:szCs w:val="24"/>
                <w:color w:val="auto"/>
              </w:rPr>
            </w:pPr>
          </w:p>
        </w:tc>
        <w:tc>
          <w:tcPr>
            <w:tcW w:w="3800" w:type="dxa"/>
            <w:vAlign w:val="bottom"/>
            <w:gridSpan w:val="2"/>
          </w:tcPr>
          <w:p>
            <w:pPr>
              <w:jc w:val="right"/>
              <w:ind w:right="1780"/>
              <w:spacing w:after="0"/>
              <w:rPr>
                <w:sz w:val="20"/>
                <w:szCs w:val="20"/>
                <w:color w:val="auto"/>
              </w:rPr>
            </w:pPr>
            <w:r>
              <w:rPr>
                <w:rFonts w:ascii="Arial" w:cs="Arial" w:eastAsia="Arial" w:hAnsi="Arial"/>
                <w:sz w:val="18"/>
                <w:szCs w:val="18"/>
                <w:color w:val="auto"/>
              </w:rPr>
              <w:t>F-18</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December 25, 2016</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PSS</w:t>
            </w:r>
          </w:p>
        </w:tc>
        <w:tc>
          <w:tcPr>
            <w:tcW w:w="160" w:type="dxa"/>
            <w:vAlign w:val="bottom"/>
          </w:tcPr>
          <w:p>
            <w:pPr>
              <w:spacing w:after="0"/>
              <w:rPr>
                <w:sz w:val="22"/>
                <w:szCs w:val="22"/>
                <w:color w:val="auto"/>
              </w:rPr>
            </w:pPr>
          </w:p>
        </w:tc>
        <w:tc>
          <w:tcPr>
            <w:tcW w:w="86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KGS</w:t>
            </w: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22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7"/>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215.3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247.4</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485.4</w:t>
            </w: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Purchased Intangible Assets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for acquired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2017</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As of December 25, 2016</w:t>
            </w: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3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53.7</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8.8</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9.5</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25.7</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32.6</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The aggregate amortization expense for finite-lived intangible assets was $10.4 million, $10.5 million and $13.0 million, for the years ended December 31, 2017, December 25, 2016, and December 27, 2015, respectively. The Company records all amortization expense in selling, general and administrative expenses.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estimated future amortization expense of acquired intangible assets with finite lives as of December 31, 2017 is as follows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Amount</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5.1</w:t>
            </w:r>
          </w:p>
        </w:tc>
      </w:tr>
      <w:tr>
        <w:trPr>
          <w:trHeight w:val="27"/>
        </w:trPr>
        <w:tc>
          <w:tcPr>
            <w:tcW w:w="9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
        </w:trPr>
        <w:tc>
          <w:tcPr>
            <w:tcW w:w="9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r>
      <w:tr>
        <w:trPr>
          <w:trHeight w:val="20"/>
        </w:trPr>
        <w:tc>
          <w:tcPr>
            <w:tcW w:w="9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Balance Sheet Details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 of certain assets in the consolidated balance sheets consists of the following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840" w:firstLine="648"/>
        <w:spacing w:after="0" w:line="342" w:lineRule="auto"/>
        <w:rPr>
          <w:sz w:val="20"/>
          <w:szCs w:val="20"/>
          <w:color w:val="auto"/>
        </w:rPr>
      </w:pPr>
      <w:r>
        <w:rPr>
          <w:rFonts w:ascii="Arial" w:cs="Arial" w:eastAsia="Arial" w:hAnsi="Arial"/>
          <w:sz w:val="16"/>
          <w:szCs w:val="16"/>
          <w:color w:val="auto"/>
        </w:rPr>
        <w:t>The Company’s cash equivalents consist of overnight cash sweep accounts that are invested on a daily basis. Cash and cash equivalents at December 31, 2017 and December 25, 2016 were $129.6 million and $69.1 million, respectively and approximated their fair value.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 (in millions)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Receivables including amounts due under long-term contracts are summarized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8"/>
              </w:rPr>
              <w:t>December 31, 2017</w:t>
            </w:r>
          </w:p>
        </w:tc>
        <w:tc>
          <w:tcPr>
            <w:tcW w:w="14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December 25, 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 current</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101.5</w:t>
            </w:r>
          </w:p>
        </w:tc>
        <w:tc>
          <w:tcPr>
            <w:tcW w:w="54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Unbilled, current</w:t>
            </w:r>
          </w:p>
        </w:tc>
        <w:tc>
          <w:tcPr>
            <w:tcW w:w="4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167.5</w:t>
            </w: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128.3</w:t>
            </w:r>
          </w:p>
        </w:tc>
      </w:tr>
      <w:tr>
        <w:trPr>
          <w:trHeight w:val="27"/>
        </w:trPr>
        <w:tc>
          <w:tcPr>
            <w:tcW w:w="8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accounts receivable</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269.0</w:t>
            </w: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net</w:t>
            </w: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268.4</w:t>
            </w:r>
          </w:p>
        </w:tc>
        <w:tc>
          <w:tcPr>
            <w:tcW w:w="54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229.4</w:t>
            </w:r>
          </w:p>
        </w:tc>
      </w:tr>
      <w:tr>
        <w:trPr>
          <w:trHeight w:val="20"/>
        </w:trPr>
        <w:tc>
          <w:tcPr>
            <w:tcW w:w="8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Unbilled receivables represent the balance of recoverable costs and accrued profit, composed principally of revenue recognized on contracts for which billings have not been presented to the customer because the amounts were earned but not contractually billable as of the balance sheet date. Retainages receivable were $6.6 million as of December 31, 2017 and $6.2 million as of December 25, 2016 and are included in accounts receivable net.</w:t>
      </w:r>
    </w:p>
    <w:p>
      <w:pPr>
        <w:spacing w:after="0" w:line="14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Substantially all accounts receivable at December 31, 2017, are expected to be collected in 2018. The Company does not believe it has significant exposure to credit risk, as accounts receivable and the related unbilled amounts are primarily from contracts where the end customer is the U.S. Government.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contract receivables where the Company is the prime contractor included in accounts receivable, net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c>
          <w:tcPr>
            <w:tcW w:w="1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December 25, 2016</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4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4140" w:type="dxa"/>
            <w:vAlign w:val="bottom"/>
            <w:tcBorders>
              <w:bottom w:val="single" w:sz="8" w:color="CCEEFF"/>
            </w:tcBorders>
            <w:gridSpan w:val="3"/>
            <w:shd w:val="clear" w:color="auto" w:fill="CCEEFF"/>
          </w:tcPr>
          <w:p>
            <w:pPr>
              <w:ind w:left="40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Unbilled</w:t>
            </w:r>
          </w:p>
        </w:tc>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55.3</w:t>
            </w:r>
          </w:p>
        </w:tc>
        <w:tc>
          <w:tcPr>
            <w:tcW w:w="2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U.S. Government contract receivables</w:t>
            </w:r>
          </w:p>
        </w:tc>
        <w:tc>
          <w:tcPr>
            <w:tcW w:w="4140" w:type="dxa"/>
            <w:vAlign w:val="bottom"/>
            <w:gridSpan w:val="3"/>
            <w:shd w:val="clear" w:color="auto" w:fill="CCEEFF"/>
          </w:tcPr>
          <w:p>
            <w:pPr>
              <w:ind w:left="40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Inventoried costs, net of progress payments (in millions)</w:t>
            </w:r>
          </w:p>
        </w:tc>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800" w:type="dxa"/>
            <w:vAlign w:val="bottom"/>
            <w:vMerge w:val="continue"/>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48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4"/>
                <w:szCs w:val="24"/>
                <w:color w:val="auto"/>
              </w:rPr>
            </w:pPr>
          </w:p>
        </w:tc>
        <w:tc>
          <w:tcPr>
            <w:tcW w:w="118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December 25,</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CCEEFF"/>
            </w:tcBorders>
          </w:tcPr>
          <w:p>
            <w:pPr>
              <w:spacing w:after="0"/>
              <w:rPr>
                <w:sz w:val="16"/>
                <w:szCs w:val="16"/>
                <w:color w:val="auto"/>
              </w:rPr>
            </w:pPr>
          </w:p>
        </w:tc>
        <w:tc>
          <w:tcPr>
            <w:tcW w:w="37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Supplies and other</w:t>
            </w:r>
          </w:p>
        </w:tc>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 inventoried costs</w:t>
            </w:r>
          </w:p>
        </w:tc>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51.0</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Less customer advances and progress payments</w:t>
            </w:r>
          </w:p>
        </w:tc>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inventoried costs</w:t>
            </w:r>
          </w:p>
        </w:tc>
        <w:tc>
          <w:tcPr>
            <w:tcW w:w="3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00" w:type="dxa"/>
            <w:vAlign w:val="bottom"/>
          </w:tcPr>
          <w:p>
            <w:pPr>
              <w:spacing w:after="0"/>
              <w:rPr>
                <w:sz w:val="24"/>
                <w:szCs w:val="24"/>
                <w:color w:val="auto"/>
              </w:rPr>
            </w:pPr>
          </w:p>
        </w:tc>
        <w:tc>
          <w:tcPr>
            <w:tcW w:w="4140" w:type="dxa"/>
            <w:vAlign w:val="bottom"/>
            <w:gridSpan w:val="3"/>
          </w:tcPr>
          <w:p>
            <w:pPr>
              <w:ind w:left="740"/>
              <w:spacing w:after="0"/>
              <w:rPr>
                <w:sz w:val="20"/>
                <w:szCs w:val="20"/>
                <w:color w:val="auto"/>
              </w:rPr>
            </w:pPr>
            <w:r>
              <w:rPr>
                <w:rFonts w:ascii="Arial" w:cs="Arial" w:eastAsia="Arial" w:hAnsi="Arial"/>
                <w:sz w:val="18"/>
                <w:szCs w:val="18"/>
                <w:color w:val="auto"/>
              </w:rPr>
              <w:t>F-20</w:t>
            </w: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 net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2017</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25, 2016</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48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26.9</w:t>
            </w:r>
          </w:p>
        </w:tc>
      </w:tr>
      <w:tr>
        <w:trPr>
          <w:trHeight w:val="27"/>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Furniture and office equipment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8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w:t>
            </w:r>
          </w:p>
        </w:tc>
      </w:tr>
      <w:tr>
        <w:trPr>
          <w:trHeight w:val="27"/>
        </w:trPr>
        <w:tc>
          <w:tcPr>
            <w:tcW w:w="8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7"/>
        </w:trPr>
        <w:tc>
          <w:tcPr>
            <w:tcW w:w="8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0"/>
        </w:trPr>
        <w:tc>
          <w:tcPr>
            <w:tcW w:w="8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Depreciation expense was $12.1 million, $12.3 million and $12.5 million for the years ended December 31, 2017, December 25, 2016, and December 27, 2015, respectively.</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Debt</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Issuance of 6.5% Senior Secured Notes due 2025</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2017, the Company issued and sold $300 million aggregate principal amount of 6.5% Senior Secured Notes due 2025 (the “6.5% Notes”) in a private placement conducted pursuant to Rule 144A and Regulation S under the Securities Act of 1933, as amended (the “Act”). The Company incurred debt issuance costs of $6.6 million associated with the new 6.5% Notes. The Company utilized the net proceeds from the sale of the 6.5% Notes, as well as cash from its recent equity offering to extinguish the outstanding 7% Notes. The total reacquisition price of the 7% Notes was $385.2 million, including a $12.0 million call premium, and $0.3 million of accrued interest.</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6.5% Notes are governed by the Indenture, dated as of November 20, 2017 (the “Indenture”), among the Company, the Company’s existing and future domestic subsidiaries parties thereto (the “Subsidiary Guarantors”) and Wilmington Trust, National Association, as trustee and collateral agent (in such capacity, the “2017 Trustee and Collateral Agent”). A Subsidiary Guarantor can be released from its guarantee if (a) all of the capital stock issued by such Subsidiary Guarantor or all or substantially all of the assets of such Subsidiary Guarantor are sold or otherwise disposed of; (b) the Company designates such Subsidiary Guarantor as an Unrestricted Subsidiary; (c) the Company exercises its legal defeasance option or its covenant defeasance option; or (d) upon satisfaction and discharge of the Indenture or payment in full in cash of the principal of, premium, if any, and accrued and unpaid interest on the 6.5% Notes.</w:t>
      </w:r>
    </w:p>
    <w:p>
      <w:pPr>
        <w:spacing w:after="0" w:line="1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6.5% Notes and the guarantees (as set forth in the Indenture, the “Guarantees”)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 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6.5% Notes will be redeemable, in whole or in part, at any time on or after November 30, 2020 at the respective redemption prices specified in the Indenture. In addition, the Company may redeem up to 40% of the 6.5% Notes before November 30, 2020 with the net proceeds of certain equity offerings. The Company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the Company may redeem up to 10% of the original aggregate principal amount of the 6.5% Notes issued under the Indenture at a redemption price of 103.000% of the principal amount thereof, plus accrued and unpaid interest, to, but excluding, the date of redemption, if any. The Company may also be required to make an offer to purchase the 6.5% Notes upon a change of control and certain sales of its assets.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Indenture contains covenants limiting, among other things, the Company’s ability and the Subsidiary Guarantors’ ability to: (a) pay dividends on or make distributions or repurchase or redeem the Company’s capital stock or make other restricted payments; (b) incur additional debt and guarantee debt;</w:t>
      </w:r>
    </w:p>
    <w:p>
      <w:pPr>
        <w:jc w:val="both"/>
        <w:ind w:firstLine="8"/>
        <w:spacing w:after="0" w:line="281" w:lineRule="auto"/>
        <w:tabs>
          <w:tab w:leader="none" w:pos="25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prepay, redeem or repurchase certain debt; (d) issue certain preferred stock or similar equity securities; (e) make loans and investments; (f) sell assets; (g) incur liens; (h) consolidate, merge, sell or otherwise dispose of all or substantially all of the Company’s assets; (i) enter into transactions with affiliates; and</w:t>
      </w:r>
    </w:p>
    <w:p>
      <w:pPr>
        <w:spacing w:after="0" w:line="1" w:lineRule="exact"/>
        <w:rPr>
          <w:rFonts w:ascii="Arial" w:cs="Arial" w:eastAsia="Arial" w:hAnsi="Arial"/>
          <w:sz w:val="16"/>
          <w:szCs w:val="16"/>
          <w:color w:val="auto"/>
        </w:rPr>
      </w:pPr>
    </w:p>
    <w:p>
      <w:pPr>
        <w:ind w:firstLine="8"/>
        <w:spacing w:after="0" w:line="323" w:lineRule="auto"/>
        <w:tabs>
          <w:tab w:leader="none" w:pos="218" w:val="left"/>
        </w:tabs>
        <w:numPr>
          <w:ilvl w:val="0"/>
          <w:numId w:val="53"/>
        </w:numPr>
        <w:rPr>
          <w:rFonts w:ascii="Arial" w:cs="Arial" w:eastAsia="Arial" w:hAnsi="Arial"/>
          <w:sz w:val="16"/>
          <w:szCs w:val="16"/>
          <w:color w:val="auto"/>
        </w:rPr>
      </w:pPr>
      <w:r>
        <w:rPr>
          <w:rFonts w:ascii="Arial" w:cs="Arial" w:eastAsia="Arial" w:hAnsi="Arial"/>
          <w:sz w:val="16"/>
          <w:szCs w:val="16"/>
          <w:color w:val="auto"/>
        </w:rPr>
        <w:t>enter into agreements restricting the Company’s ability and certain of its subsidiaries’ ability to pay dividends. These covenants are subject to a number of exceptions. As of December 31, 2017, the Company was in compliance with the covenants contained in the Indenture governing the 6.5% Notes.</w:t>
      </w:r>
    </w:p>
    <w:p>
      <w:pPr>
        <w:spacing w:after="0" w:line="13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terms of the Indenture require that the net cash proceeds from asset dispositions be either utilized to (i) repay or prepay amounts outstanding under the Credit Agreement unless such amounts are reinvested in similar collateral, (ii) permanently reduce other indebtedness, (iii) make an investment in assets that replace the collateral of the 6.5% Notes or (iii) a combination of (i), (ii) and (iii). To the extent there are any remaining net proceeds from the asset disposition after application of (i), (ii) and (iii), such amounts are required to be utilized to repurchase 6.5% Notes at par.</w:t>
      </w:r>
    </w:p>
    <w:p>
      <w:pPr>
        <w:spacing w:after="0" w:line="15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of them occurs, would permit or require the principal, premium, if any, interest, if any, and any other monetary obligations on all the then-outstanding 6.5% Notes to become or to be declared due and payable immediately.</w:t>
      </w:r>
    </w:p>
    <w:p>
      <w:pPr>
        <w:spacing w:after="0" w:line="143"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2014, the Company refinanced its $625.0 million 10% Senior Secured Notes due in 2017 (the “10% Notes”) with $625.0 million of newly issued 7.00% Senior Secured Notes due in 2019 (the “7% Notes”). The net proceeds of the 7% Notes was $618.5 million after an original issue discount of $6.5 million. The Company incurred debt issuance costs of $8.8 million associated with the new 7% Notes. The Company utilized the net proceeds from the 7% Notes, a $41.0 million draw on the Credit Agreement discussed below,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$39.1 million. On October 16, 2014, the Company exchanged the outstanding 7% Notes for an equal amount of 7% Notes that had been registered under the Act.</w:t>
      </w:r>
    </w:p>
    <w:p>
      <w:pPr>
        <w:spacing w:after="0" w:line="19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7% Notes were governed by an Indenture dated May 14, 2014 (the “Indenture”) among the Company, certain of the Company’s subsidiaries and Wilmington Trust, National Association, as Trustee and Collateral Agent. The Company paid interest on the 7% Notes semi-annually, in arrears, on May 15 and November 15 of each year. The 7% Notes included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w:t>
      </w:r>
    </w:p>
    <w:p>
      <w:pPr>
        <w:spacing w:after="0" w:line="16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Following the sale of the Herley Entities (as defined below) (see Note 8 - Discontinued Operations), the Company, on August 21, 2015, paid down the $41.0 million outstanding on the $110.0 million Credit Agreement and on September 22, 2015, repurchased $175.0 million of the 7% Notes at par, in accordance with the Indenture. In connection with the $175.0 million repurchase of 7% Notes, the Company wrote off $1.8 million of unamortized issue costs, $1.4 million of unamortized discount, and incurred $0.2 million of legal fees, which resulted in a loss on extinguishment of debt of $3.4 million. The Company reinvested all net proceeds remaining after the repurchase of the $175.0 million of 7% Notes in replacement collateral under the Indenture within the 360 days following the asset disposition in accordance with the terms of the Indenture.</w:t>
      </w:r>
    </w:p>
    <w:p>
      <w:pPr>
        <w:spacing w:after="0" w:line="178"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During the year ended December 25, 2016, the Company repurchased and extinguished $14.5 million of the outstanding 7% Notes, which resulted in a gain of $0.4 million offset by $0.1 million of unamortized issuance cost and $0.1 million of unamortized discount resulting in a net gain of $0.2 million.</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year ended December 31, 2017, the Company redeemed and extinguished the remaining $435.5 million of outstanding 7% Notes as of December 25, 2016, which resulted in a loss of $13.4 million and the realization of $2.3 million of unamortized issuance cost and $1.6 million of unamortized discount resulting in a loss on extinguishment of debt of $17.3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and Security Agreement</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May 14, 2014, the Company entered into a $110.0 million Credit and Security Agreement, dated May 14, 2014 (as amended from time to time, the “Credit Agreement”), with the lenders from time to time party thereto, SunTrust Bank, as Agent (the “Agent”), PNC Bank, National Association, as Joint Lead Arranger and Documentation Agent, and SunTrust Robinson Humphrey, Inc., as Joint Lead Arranger and Sole Book Runner.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a first priority lien on the Company’s accounts receivable, inventory, deposit accounts, securities accounts, cash, securities and general intangibles (other than intellectual property). The obligations under the Credit Agreement are secured by a second priority lien, junior to the lien securing the Notes, on all of the Company’s other assets.</w:t>
      </w:r>
    </w:p>
    <w:p>
      <w:pPr>
        <w:spacing w:after="0" w:line="18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Credit Agreement contains certain covenants, which include, but are not limited to, restrictions on indebtedness, liens, and investments, and limits on other various payments, as well as a financial covenant relating to a minimum fixed charge coverage ratio.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December 31, 2017, no event of default had occurred and the Company believes that events or conditions having a material adverse effect, giving rise to an acceleration of any amounts outstanding under the Credit Agreement, have not occurred and the likelihood of such events or conditions occurring is remote.</w:t>
      </w:r>
    </w:p>
    <w:p>
      <w:pPr>
        <w:spacing w:after="0" w:line="16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On May 31, 2015, the Company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7% Notes by the Company was required and the payment in full of the outstanding balance of the Credit Agreement was required upon consummation of the sale of the Herley Entities. 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7% Notes with proceeds from the sale of the Herley Entities shall be deemed to have occurred on the first day of the most recently completed four quarterly reporting periods prior to the sale.</w:t>
      </w:r>
    </w:p>
    <w:p>
      <w:pPr>
        <w:spacing w:after="0" w:line="18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On August 20,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 credit exposure outstanding of $17.0 million plus the amount of letters of credit outstanding for the divested Herley Entities 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which a cash deposit was placed in escrow by the Buyer to cover the amount of such outstanding letters of credit, should the letters of credit be pulled.</w:t>
      </w:r>
    </w:p>
    <w:p>
      <w:pPr>
        <w:spacing w:after="0" w:line="23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On November 20, 2017, the Company entered into an amended and restated Credit Agreement with the lenders from time to time party thereto, the Agent, PNC Bank, National Association, as Joint Lead Arranger and Documentation Agent, and SunTrust Robinson Humphrey, Inc., as Joint Lead Arranger and Sole Book Runner. As amended and restated, the Credit Agreement establishes a five year senior secured revolving credit facility in the aggregate principal amount of $90.0 million (subject to a potential increase of the aggregate principal amount to $115.0 million, subject to SunTrust’s and applicable lenders’ approval), consisting of a subline for letters of credit in an amount not to exceed $50.0 million, as well as a swingline loan in an aggregate principal amount at any time outstanding not to exceed $10.0 million.</w:t>
      </w:r>
    </w:p>
    <w:p>
      <w:pPr>
        <w:spacing w:after="0" w:line="2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receivables, then held eligible raw materials inventory, work-in-process inventory, and applicable reserves</w:t>
      </w:r>
      <w:r>
        <w:rPr>
          <w:rFonts w:ascii="Arial" w:cs="Arial" w:eastAsia="Arial" w:hAnsi="Arial"/>
          <w:sz w:val="18"/>
          <w:szCs w:val="18"/>
          <w:b w:val="1"/>
          <w:bCs w:val="1"/>
          <w:i w:val="1"/>
          <w:iCs w:val="1"/>
          <w:color w:val="auto"/>
        </w:rPr>
        <w:t>.</w:t>
      </w:r>
    </w:p>
    <w:p>
      <w:pPr>
        <w:spacing w:after="0" w:line="19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measurement of a minimum fixed charge coverage ratio was modified in the November 2017 amended and restated Credit Agreement to be required to be measured if Excess Availability, as defined in the Credit Agreement, is less than fifty percent of the lesser of the Borrowing Base or the Total Commitment Amount.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2017, there were no borrowings outstanding on the Credit Agreement; there was $9.5 million outstanding on letters of credit, resulting in net borrowing base availability of $65.8 million. The Company was in compliance with the financial covenants of the Credit Agreement as of December 31,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has a 10-year term loan with a bank in Israel entered into on September 16, 2008 in connection with the acquisition of one of its wholly owned subsidiaries. The balance as of December 31, 2017 and December 25, 2016 was $0.8 million and $1.8 million, respectively. The loan is payable in quarterly installments of $0.3 million plus interest at LIBOR plus a margin of 1.5%. The loan agreement governing the term loan contains various covenants, including a minimum net equity covenant as defined in the loan agreement. The Company was in compliance with all covenants contained in the loan agreement as of December 31, 2017.</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31, 2017 and December 25, 2016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2017</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0"/>
              </w:rPr>
              <w:t>As of December 25, 2016</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3"/>
                <w:szCs w:val="13"/>
                <w:color w:val="auto"/>
              </w:rPr>
            </w:pPr>
          </w:p>
        </w:tc>
        <w:tc>
          <w:tcPr>
            <w:tcW w:w="9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3"/>
                <w:szCs w:val="13"/>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3"/>
                <w:szCs w:val="13"/>
                <w:color w:val="auto"/>
              </w:rPr>
            </w:pPr>
          </w:p>
        </w:tc>
        <w:tc>
          <w:tcPr>
            <w:tcW w:w="94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10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294.3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312.7</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432.0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7"/>
        </w:trPr>
        <w:tc>
          <w:tcPr>
            <w:tcW w:w="3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 —quoted prices in active markets).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of December 31, 2017, the difference between the carrying amount of $294.3 million and the principal amount of $300.8 million presented in the previous table, is the unamortized debt issuance costs of $6.5 million, which are being accreted to interest expense over the term of the related debt. As of December 25, 2016, the difference between the carrying amount of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60"/>
        <w:spacing w:after="0" w:line="308" w:lineRule="auto"/>
        <w:rPr>
          <w:sz w:val="20"/>
          <w:szCs w:val="20"/>
          <w:color w:val="auto"/>
        </w:rPr>
      </w:pPr>
      <w:r>
        <w:rPr>
          <w:rFonts w:ascii="Arial" w:cs="Arial" w:eastAsia="Arial" w:hAnsi="Arial"/>
          <w:sz w:val="17"/>
          <w:szCs w:val="17"/>
          <w:color w:val="auto"/>
        </w:rPr>
        <w:t>$432.0 million and the principal amount of $437.3 million presented in the above table is the net unamortized original issue discount of $2.4 million and the unamortized debt issuance costs of $2.9 million, which are being accreted to interest expense over the term of the related debt.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maturities of long-term debt are $0.8 million in 2018, and $300.0 million in 2025.</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Lease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certain facilities and equipment under operating leases having terms expiring at various dates through 2033.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minimum lease payments under operating leases as of December 31, 2017, which does not include $7.4 million in sublease income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operating leases, are as follows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Year</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Operating Leases</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55.3</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r>
      <w:tr>
        <w:trPr>
          <w:trHeight w:val="20"/>
        </w:trPr>
        <w:tc>
          <w:tcPr>
            <w:tcW w:w="10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Gross rent expense under operating leases for the years ended December 31, 2017, December 25, 2016, and December 27, 2015 was $21.5 million, $21.6 million, and $23.1 million, respectively. Total sublease income for the years ended December 31, 2017, December 25, 2016, and December 27, 2015, totaling $3.4 million, $3.3 million, and $3.3 million, respectively, has been netted against rent expense.</w:t>
      </w:r>
    </w:p>
    <w:p>
      <w:pPr>
        <w:spacing w:after="0" w:line="18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Company’s accrual for excess facilities was $3.3 million and $4.0 million, as of December 31, 2017 and December 25, 2016, respectively. The accruals are included in other current liabilities and other long-term liabilities on the consolidated balance sheets. The Company estimates that the remaining accrual will be paid through 2020.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accrual for excess facilities is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Excess Facilities</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27,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Adjustment of excess facility accrual</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10060" w:type="dxa"/>
            <w:vAlign w:val="bottom"/>
          </w:tcPr>
          <w:p>
            <w:pPr>
              <w:ind w:left="40"/>
              <w:spacing w:after="0"/>
              <w:rPr>
                <w:sz w:val="20"/>
                <w:szCs w:val="20"/>
                <w:color w:val="auto"/>
              </w:rPr>
            </w:pPr>
            <w:r>
              <w:rPr>
                <w:rFonts w:ascii="Arial" w:cs="Arial" w:eastAsia="Arial" w:hAnsi="Arial"/>
                <w:sz w:val="18"/>
                <w:szCs w:val="18"/>
                <w:color w:val="auto"/>
              </w:rPr>
              <w:t>Balance as of December 25, 2016</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r>
      <w:tr>
        <w:trPr>
          <w:trHeight w:val="27"/>
        </w:trPr>
        <w:tc>
          <w:tcPr>
            <w:tcW w:w="10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of excess facility accruals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10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The lease on certain office facilities includes scheduled base rent increases over the term of the lease. The total amount of the base rent payments is being charged to expense on the straight-line method over the term of the lease. In addition to the base rent payment, the Company pays a monthly allocation of the building’s operating expenses. The Company has recorded deferred rent, included in accrued expenses and other long-term liabilities, of $3.3 million, and $3.9 million, at December 31, 2017 and December 25, 2016, respectively, to reflect the excess of rent expense over cash payments since inception of the respective leases.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Net Loss Per Common Share</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The Company calculates net loss per share in accordance with FASB ASC </w:t>
      </w:r>
      <w:r>
        <w:rPr>
          <w:rFonts w:ascii="Arial" w:cs="Arial" w:eastAsia="Arial" w:hAnsi="Arial"/>
          <w:sz w:val="18"/>
          <w:szCs w:val="18"/>
          <w:i w:val="1"/>
          <w:iCs w:val="1"/>
          <w:color w:val="auto"/>
        </w:rPr>
        <w:t>Topic 260</w:t>
      </w:r>
      <w:r>
        <w:rPr>
          <w:rFonts w:ascii="Arial" w:cs="Arial" w:eastAsia="Arial" w:hAnsi="Arial"/>
          <w:sz w:val="18"/>
          <w:szCs w:val="18"/>
          <w:color w:val="auto"/>
        </w:rPr>
        <w:t xml:space="preserve">,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w:t>
      </w:r>
      <w:r>
        <w:rPr>
          <w:rFonts w:ascii="Arial" w:cs="Arial" w:eastAsia="Arial" w:hAnsi="Arial"/>
          <w:sz w:val="18"/>
          <w:szCs w:val="18"/>
          <w:i w:val="1"/>
          <w:iCs w:val="1"/>
          <w:color w:val="auto"/>
        </w:rPr>
        <w:t>Topic 260</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Under </w:t>
      </w:r>
      <w:r>
        <w:rPr>
          <w:rFonts w:ascii="Arial" w:cs="Arial" w:eastAsia="Arial" w:hAnsi="Arial"/>
          <w:sz w:val="18"/>
          <w:szCs w:val="18"/>
          <w:i w:val="1"/>
          <w:iCs w:val="1"/>
          <w:color w:val="auto"/>
        </w:rPr>
        <w:t>Topic 260</w:t>
      </w:r>
      <w:r>
        <w:rPr>
          <w:rFonts w:ascii="Arial" w:cs="Arial" w:eastAsia="Arial" w:hAnsi="Arial"/>
          <w:sz w:val="18"/>
          <w:szCs w:val="18"/>
          <w:color w:val="auto"/>
        </w:rPr>
        <w:t>, basic net loss per common share is calculated by dividing net loss by the weighted-average number of common shares outstanding during the reporting period. Diluted net loss per common share reflects the effects of potentially dilutive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shares were excluded from the calculation of diluted loss per share because their inclusion would have been anti-dilutive (in millions):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2017</w:t>
            </w:r>
          </w:p>
        </w:tc>
        <w:tc>
          <w:tcPr>
            <w:tcW w:w="15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 2016</w:t>
            </w:r>
          </w:p>
        </w:tc>
        <w:tc>
          <w:tcPr>
            <w:tcW w:w="1360" w:type="dxa"/>
            <w:vAlign w:val="bottom"/>
          </w:tcPr>
          <w:p>
            <w:pPr>
              <w:jc w:val="right"/>
              <w:ind w:right="19"/>
              <w:spacing w:after="0"/>
              <w:rPr>
                <w:sz w:val="20"/>
                <w:szCs w:val="20"/>
                <w:color w:val="auto"/>
              </w:rPr>
            </w:pPr>
            <w:r>
              <w:rPr>
                <w:rFonts w:ascii="Arial" w:cs="Arial" w:eastAsia="Arial" w:hAnsi="Arial"/>
                <w:sz w:val="14"/>
                <w:szCs w:val="14"/>
                <w:b w:val="1"/>
                <w:bCs w:val="1"/>
                <w:color w:val="auto"/>
                <w:w w:val="98"/>
              </w:rPr>
              <w:t>December 27, 2015</w:t>
            </w:r>
          </w:p>
        </w:tc>
      </w:tr>
      <w:tr>
        <w:trPr>
          <w:trHeight w:val="243"/>
        </w:trPr>
        <w:tc>
          <w:tcPr>
            <w:tcW w:w="6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from stock options and awards</w:t>
            </w: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0.1</w:t>
            </w:r>
          </w:p>
        </w:tc>
        <w:tc>
          <w:tcPr>
            <w:tcW w:w="24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w:t>
            </w:r>
          </w:p>
        </w:tc>
      </w:tr>
      <w:tr>
        <w:trPr>
          <w:trHeight w:val="27"/>
        </w:trPr>
        <w:tc>
          <w:tcPr>
            <w:tcW w:w="68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Income Taxes</w:t>
      </w:r>
    </w:p>
    <w:p>
      <w:pPr>
        <w:spacing w:after="0" w:line="29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December 2017, the 2017 Tax Act was enacted. The 2017 Tax Act includes a number of changes to existing U.S. tax laws that impact the Company, most notably a reduction of the U.S. corporate income tax rate from 35% to 21% for tax years beginning after December 31, 2017. The 2017 Tax Act also provides for a one-time transition tax on certain foreign earnings and the acceleration of depreciation for certain assets placed into service after September 27, 2017 as well as prospective changes beginning in 2018, including repeal of the domestic manufacturing deduction, acceleration of tax revenue recognition, modification of NOL carryforwards, capitalization of research and development expenditures (starting in 2022), additional limitations on executive compensation deductions and limitations on the deductibility of interest.</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December 22, 2017, the SEC issued SAB 118, which provides companies with additional guidance on how to account for the 2017 Tax Act in its financial statements, allowing companies to use a measurement period. At December 31, 2017, the Company has not completed its accounting for the tax effects of enactment of the 2017 Tax Act; however, as described below, the Company has made a reasonable estimate of the effects on its existing deferred tax balances and the one-time transition tax. For these items, the Company recognized provisional amounts in accordance with SAB 118, which are included as a component of income tax expense from continuing operations. The Company expects to finalize these provisional estimates before the end of 2018 after completing its review and analysis, including review and analysis of any interpretations issued during this measurement period.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the adoption of a minimum tax on foreign earnings, the Company will be subject to tax on global intangible low-taxed income (“GILTI”) in future years. The Company is continuing to evaluate this provision and will not make a policy election on how to account for GILTI (as a period expense or as part of its rate on deferred taxes) until it has the necessary information available, including the interpretations of the new rules, to analyze the impacts and complete its analysis. The Company will make an election before the end of 2018. Because the Company has not made a policy election, no amounts for GILTI are included in its deferred taxes.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Reduction of the U.S. Corporate Income Tax Rate</w:t>
      </w:r>
    </w:p>
    <w:p>
      <w:pPr>
        <w:spacing w:after="0" w:line="23" w:lineRule="exact"/>
        <w:rPr>
          <w:sz w:val="20"/>
          <w:szCs w:val="20"/>
          <w:color w:val="auto"/>
        </w:rPr>
      </w:pPr>
    </w:p>
    <w:p>
      <w:pPr>
        <w:ind w:left="180" w:right="140"/>
        <w:spacing w:after="0" w:line="254" w:lineRule="auto"/>
        <w:rPr>
          <w:sz w:val="20"/>
          <w:szCs w:val="20"/>
          <w:color w:val="auto"/>
        </w:rPr>
      </w:pPr>
      <w:r>
        <w:rPr>
          <w:rFonts w:ascii="Arial" w:cs="Arial" w:eastAsia="Arial" w:hAnsi="Arial"/>
          <w:sz w:val="18"/>
          <w:szCs w:val="18"/>
          <w:color w:val="auto"/>
        </w:rPr>
        <w:t>The Company measures deferred tax assets and liabilities using enacted tax rates that will apply in the years in which the temporary differences are expected to be recovered or paid. Accordingly, the Company’s net deferred liability was remeasured to reflect the reduction in the U.S. corporate income tax rate from 35% to 21%, resulting in a $6.9 million income tax benefit for the year ended December 31, 2017 and a corresponding $6.9 million decrease in net deferred tax liabilities as of December 31, 2017.</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Modification of Net Operating Loss Carryforward Periods</w:t>
      </w:r>
    </w:p>
    <w:p>
      <w:pPr>
        <w:spacing w:after="0" w:line="23" w:lineRule="exact"/>
        <w:rPr>
          <w:sz w:val="20"/>
          <w:szCs w:val="20"/>
          <w:color w:val="auto"/>
        </w:rPr>
      </w:pPr>
    </w:p>
    <w:p>
      <w:pPr>
        <w:ind w:left="180" w:right="180"/>
        <w:spacing w:after="0" w:line="254" w:lineRule="auto"/>
        <w:rPr>
          <w:sz w:val="20"/>
          <w:szCs w:val="20"/>
          <w:color w:val="auto"/>
        </w:rPr>
      </w:pPr>
      <w:r>
        <w:rPr>
          <w:rFonts w:ascii="Arial" w:cs="Arial" w:eastAsia="Arial" w:hAnsi="Arial"/>
          <w:sz w:val="18"/>
          <w:szCs w:val="18"/>
          <w:color w:val="auto"/>
        </w:rPr>
        <w:t>The Company scheduled the expected reversal of deferred tax assets and liabilities and determined that approximately $6.3 million of federal deferred tax assets will likely generate a net operating loss with an indefinite-lived carryforward period. As such, $6.3 million of federal deferred tax assets were recognized without the need for a valuation allowance. These assets were netted with indefinite-lived deferred tax liabilities and resulted in a benefit recorded to income taxes.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Transition Tax on Foreign Earnings</w:t>
      </w:r>
    </w:p>
    <w:p>
      <w:pPr>
        <w:spacing w:after="0" w:line="23" w:lineRule="exact"/>
        <w:rPr>
          <w:sz w:val="20"/>
          <w:szCs w:val="20"/>
          <w:color w:val="auto"/>
        </w:rPr>
      </w:pPr>
    </w:p>
    <w:p>
      <w:pPr>
        <w:ind w:left="180" w:right="260"/>
        <w:spacing w:after="0" w:line="261" w:lineRule="auto"/>
        <w:rPr>
          <w:sz w:val="20"/>
          <w:szCs w:val="20"/>
          <w:color w:val="auto"/>
        </w:rPr>
      </w:pPr>
      <w:r>
        <w:rPr>
          <w:rFonts w:ascii="Arial" w:cs="Arial" w:eastAsia="Arial" w:hAnsi="Arial"/>
          <w:sz w:val="18"/>
          <w:szCs w:val="18"/>
          <w:color w:val="auto"/>
        </w:rPr>
        <w:t>The one-time transition tax on certain foreign earnings resulted in a $6.2 million decrease to deferred tax assets due to the reduction in net operating loss carryforwards. The decrease in deferred tax assets was offset by a corresponding decrease to</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color w:val="auto"/>
        </w:rPr>
        <w:t>the valuation allowance. The determination of the transition tax requires further analysis regarding the amount and composition of the Company’s historical foreign earnings, which is expected to be completed before the end of 2018.</w:t>
      </w:r>
    </w:p>
    <w:p>
      <w:pPr>
        <w:spacing w:after="0" w:line="23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Effective January 1, 2018, the 2017 Tax Act requires the acceleration of revenue for tax purposes for certain types of revenue. The new rules require the Company to not defer revenue on unbilled accounts receivable later than when the amounts are recognized as revenue for book purposes. This change impacts several accounting methods previously used by the Company and is expected to result in an acceleration of taxability of such revenue beginning in 2018 as compared with prior U.S. tax laws. Additionally, future interest deductions of the Company will be limited to 30% of tax adjusted EBITDA through 2021.</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the Company believes the significant impacts from the 2017 Tax Act are those described above, it continues to review and evaluate the other provisions of the 2017 Tax Act. This review could result in changes to the amounts that it has provisionally recorded. The Company expects to complete this review and evaluation before the end of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income (loss) from continuing operations before income taxes for the years ended December 31, 2017, December 25,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2015 are comprised of the following (in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Foreign</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9.6</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(50.8)</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provision (benefit) for income taxes from continuing operations for the years ended December 31, 2017, December 25, 2016, and December 27, 2015 are comprised of the following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4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3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income taxes:</w:t>
            </w:r>
          </w:p>
        </w:tc>
        <w:tc>
          <w:tcPr>
            <w:tcW w:w="326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20" w:type="dxa"/>
            <w:vAlign w:val="bottom"/>
          </w:tcPr>
          <w:p>
            <w:pPr>
              <w:ind w:left="200"/>
              <w:spacing w:after="0"/>
              <w:rPr>
                <w:sz w:val="20"/>
                <w:szCs w:val="20"/>
                <w:color w:val="auto"/>
              </w:rPr>
            </w:pPr>
            <w:r>
              <w:rPr>
                <w:rFonts w:ascii="Arial" w:cs="Arial" w:eastAsia="Arial" w:hAnsi="Arial"/>
                <w:sz w:val="18"/>
                <w:szCs w:val="18"/>
                <w:color w:val="auto"/>
              </w:rPr>
              <w:t>Current</w:t>
            </w:r>
          </w:p>
        </w:tc>
        <w:tc>
          <w:tcPr>
            <w:tcW w:w="41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38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w:t>
            </w:r>
          </w:p>
        </w:tc>
        <w:tc>
          <w:tcPr>
            <w:tcW w:w="3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37"/>
        </w:trPr>
        <w:tc>
          <w:tcPr>
            <w:tcW w:w="3820" w:type="dxa"/>
            <w:vAlign w:val="bottom"/>
          </w:tcPr>
          <w:p>
            <w:pPr>
              <w:ind w:left="360"/>
              <w:spacing w:after="0"/>
              <w:rPr>
                <w:sz w:val="20"/>
                <w:szCs w:val="20"/>
                <w:color w:val="auto"/>
              </w:rPr>
            </w:pPr>
            <w:r>
              <w:rPr>
                <w:rFonts w:ascii="Arial" w:cs="Arial" w:eastAsia="Arial" w:hAnsi="Arial"/>
                <w:sz w:val="18"/>
                <w:szCs w:val="18"/>
                <w:color w:val="auto"/>
              </w:rPr>
              <w:t>Total Federal</w:t>
            </w:r>
          </w:p>
        </w:tc>
        <w:tc>
          <w:tcPr>
            <w:tcW w:w="32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382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local income taxes</w:t>
            </w:r>
          </w:p>
        </w:tc>
        <w:tc>
          <w:tcPr>
            <w:tcW w:w="3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20" w:type="dxa"/>
            <w:vAlign w:val="bottom"/>
          </w:tcPr>
          <w:p>
            <w:pPr>
              <w:ind w:left="200"/>
              <w:spacing w:after="0"/>
              <w:rPr>
                <w:sz w:val="20"/>
                <w:szCs w:val="20"/>
                <w:color w:val="auto"/>
              </w:rPr>
            </w:pPr>
            <w:r>
              <w:rPr>
                <w:rFonts w:ascii="Arial" w:cs="Arial" w:eastAsia="Arial" w:hAnsi="Arial"/>
                <w:sz w:val="18"/>
                <w:szCs w:val="18"/>
                <w:color w:val="auto"/>
              </w:rPr>
              <w:t>Current</w:t>
            </w:r>
          </w:p>
        </w:tc>
        <w:tc>
          <w:tcPr>
            <w:tcW w:w="3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0.8</w:t>
            </w:r>
          </w:p>
        </w:tc>
      </w:tr>
      <w:tr>
        <w:trPr>
          <w:trHeight w:val="27"/>
        </w:trPr>
        <w:tc>
          <w:tcPr>
            <w:tcW w:w="38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w:t>
            </w:r>
          </w:p>
        </w:tc>
        <w:tc>
          <w:tcPr>
            <w:tcW w:w="3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3820" w:type="dxa"/>
            <w:vAlign w:val="bottom"/>
          </w:tcPr>
          <w:p>
            <w:pPr>
              <w:ind w:left="360"/>
              <w:spacing w:after="0"/>
              <w:rPr>
                <w:sz w:val="20"/>
                <w:szCs w:val="20"/>
                <w:color w:val="auto"/>
              </w:rPr>
            </w:pPr>
            <w:r>
              <w:rPr>
                <w:rFonts w:ascii="Arial" w:cs="Arial" w:eastAsia="Arial" w:hAnsi="Arial"/>
                <w:sz w:val="18"/>
                <w:szCs w:val="18"/>
                <w:color w:val="auto"/>
              </w:rPr>
              <w:t>Total State and local</w:t>
            </w:r>
          </w:p>
        </w:tc>
        <w:tc>
          <w:tcPr>
            <w:tcW w:w="32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0.8</w:t>
            </w:r>
          </w:p>
        </w:tc>
      </w:tr>
      <w:tr>
        <w:trPr>
          <w:trHeight w:val="27"/>
        </w:trPr>
        <w:tc>
          <w:tcPr>
            <w:tcW w:w="382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taxes:</w:t>
            </w:r>
          </w:p>
        </w:tc>
        <w:tc>
          <w:tcPr>
            <w:tcW w:w="3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20" w:type="dxa"/>
            <w:vAlign w:val="bottom"/>
          </w:tcPr>
          <w:p>
            <w:pPr>
              <w:ind w:left="200"/>
              <w:spacing w:after="0"/>
              <w:rPr>
                <w:sz w:val="20"/>
                <w:szCs w:val="20"/>
                <w:color w:val="auto"/>
              </w:rPr>
            </w:pPr>
            <w:r>
              <w:rPr>
                <w:rFonts w:ascii="Arial" w:cs="Arial" w:eastAsia="Arial" w:hAnsi="Arial"/>
                <w:sz w:val="18"/>
                <w:szCs w:val="18"/>
                <w:color w:val="auto"/>
              </w:rPr>
              <w:t>Current</w:t>
            </w:r>
          </w:p>
        </w:tc>
        <w:tc>
          <w:tcPr>
            <w:tcW w:w="3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38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w:t>
            </w:r>
          </w:p>
        </w:tc>
        <w:tc>
          <w:tcPr>
            <w:tcW w:w="3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r>
      <w:tr>
        <w:trPr>
          <w:trHeight w:val="237"/>
        </w:trPr>
        <w:tc>
          <w:tcPr>
            <w:tcW w:w="3820" w:type="dxa"/>
            <w:vAlign w:val="bottom"/>
          </w:tcPr>
          <w:p>
            <w:pPr>
              <w:ind w:left="360"/>
              <w:spacing w:after="0"/>
              <w:rPr>
                <w:sz w:val="20"/>
                <w:szCs w:val="20"/>
                <w:color w:val="auto"/>
              </w:rPr>
            </w:pPr>
            <w:r>
              <w:rPr>
                <w:rFonts w:ascii="Arial" w:cs="Arial" w:eastAsia="Arial" w:hAnsi="Arial"/>
                <w:sz w:val="18"/>
                <w:szCs w:val="18"/>
                <w:color w:val="auto"/>
              </w:rPr>
              <w:t>Total Foreign</w:t>
            </w:r>
          </w:p>
        </w:tc>
        <w:tc>
          <w:tcPr>
            <w:tcW w:w="32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r>
      <w:tr>
        <w:trPr>
          <w:trHeight w:val="27"/>
        </w:trPr>
        <w:tc>
          <w:tcPr>
            <w:tcW w:w="382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1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3820" w:type="dxa"/>
            <w:vAlign w:val="bottom"/>
          </w:tcPr>
          <w:p>
            <w:pPr>
              <w:spacing w:after="0"/>
              <w:rPr>
                <w:sz w:val="24"/>
                <w:szCs w:val="24"/>
                <w:color w:val="auto"/>
              </w:rPr>
            </w:pPr>
          </w:p>
        </w:tc>
        <w:tc>
          <w:tcPr>
            <w:tcW w:w="4180" w:type="dxa"/>
            <w:vAlign w:val="bottom"/>
            <w:gridSpan w:val="2"/>
          </w:tcPr>
          <w:p>
            <w:pPr>
              <w:jc w:val="right"/>
              <w:ind w:right="2120"/>
              <w:spacing w:after="0"/>
              <w:rPr>
                <w:sz w:val="20"/>
                <w:szCs w:val="20"/>
                <w:color w:val="auto"/>
              </w:rPr>
            </w:pPr>
            <w:r>
              <w:rPr>
                <w:rFonts w:ascii="Arial" w:cs="Arial" w:eastAsia="Arial" w:hAnsi="Arial"/>
                <w:sz w:val="18"/>
                <w:szCs w:val="18"/>
                <w:color w:val="auto"/>
              </w:rPr>
              <w:t>F-27</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 reconciliation of the total income tax provision (benefit) to the amount computed by applying the statutory federal income tax rate of 35% to the loss from continuing operations before income taxes for the years ended December 31, 2017, December 25, 2016, and December 27, 2015 is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State taxes, net of federal tax benefit and valuation allowance</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Difference in tax rates between U.S. and foreign</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Increase (decrease) in valuation allowance</w:t>
            </w:r>
          </w:p>
        </w:tc>
        <w:tc>
          <w:tcPr>
            <w:tcW w:w="8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(45.6)</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Increase in reserve for uncertain tax positions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to indefinite life items and separate state deferred taxes</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One-time transition tax on previously undistributed foreign earnings</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Impact related to the 2017 Tax Act</w:t>
            </w:r>
          </w:p>
        </w:tc>
        <w:tc>
          <w:tcPr>
            <w:tcW w:w="88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7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deferred tax assets and deferred tax liabilities as of December 31, 2017 and December 25, 2016 are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Sundry accruals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Vacation accrual</w:t>
            </w: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Payroll related accruals</w:t>
            </w: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accruals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Tax credit carryforwards</w:t>
            </w: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9.5</w:t>
            </w:r>
          </w:p>
        </w:tc>
        <w:tc>
          <w:tcPr>
            <w:tcW w:w="3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Reserves and other</w:t>
            </w: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6.1</w:t>
            </w:r>
          </w:p>
        </w:tc>
        <w:tc>
          <w:tcPr>
            <w:tcW w:w="3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127.1</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(87.5)</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 net of valuation allowance</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39.6</w:t>
            </w: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intangibles</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principally due to differences in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3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tax liability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c>
          <w:tcPr>
            <w:tcW w:w="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deferred tax assets, with the exception of an amount equal to its deferred tax liabilities, which can be expected to reverse over a definite life and certain foreign and separate state deferred tax assets. Management will continue to evaluate the necessity to maintain a valuation allowance against the Company’s net deferred tax assets. During fiscal 2017, the Company recorded a net decrease in its federal valuation allowance of $47.8 million.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2017, the Company had federal tax loss carryforwards of $390.7 million and various state tax loss carryforwards of $348.7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federal tax loss carryforwards will begin to expire in 2020 and state tax loss carryforwards will begin to expire in 2018 in certain states.</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losses (“NOLs”)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3-year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 year period after the ownership change.</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at least $27.0 million a year for the five years succeeding the March 2010 ownership change and at least $11.6 million for each year thereafter subject to separate limitations for Acquired NOLs. If the entire limitation amount is not utilized in a year, the excess can be carried forward and utilized in future years. For the year ended December 31, 2017, there was no impact of such limitations on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 As discussed elsewhere, deferred tax assets relating to the NOLs and credit carryforwards are offset by a full valuation allowance. In addition, utilization of state tax loss carryforwards is dependent upon sufficient taxable income apportioned to the states.</w:t>
      </w:r>
    </w:p>
    <w:p>
      <w:pPr>
        <w:spacing w:after="0" w:line="18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has not provided deferred U.S. income taxes or foreign withholding taxes of approximately $7.7 million on temporary differences relating to the outside basis in its investment in foreign subsidiaries, which are essentially permanent in duration. As of December 31, 2017, all accumulated undistributed earnings of our foreign subsidiaries were subject to the one-time transition tax on foreign earnings required by the 2017 Tax Act. It is the Company’s intention to permanently reinvest undistributed earnings of its foreign subsidiaries. As of December 31, 2017, the Company has $10.7 million of cash and cash equivalents available for distribution.</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later are subject to examination by the U.S. and state tax authorities due to the existence of NOL carryforwards. Generally, the Company’s tax years for 2002 and later are subject to examination by various foreign tax authorities, as well.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125" w:right="25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00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696"/>
        </w:trPr>
        <w:tc>
          <w:tcPr>
            <w:tcW w:w="10060" w:type="dxa"/>
            <w:vAlign w:val="bottom"/>
            <w:gridSpan w:val="2"/>
          </w:tcPr>
          <w:p>
            <w:pPr>
              <w:spacing w:after="0"/>
              <w:rPr>
                <w:sz w:val="20"/>
                <w:szCs w:val="20"/>
                <w:color w:val="auto"/>
              </w:rPr>
            </w:pPr>
            <w:r>
              <w:rPr>
                <w:rFonts w:ascii="Arial" w:cs="Arial" w:eastAsia="Arial" w:hAnsi="Arial"/>
                <w:sz w:val="18"/>
                <w:szCs w:val="18"/>
                <w:color w:val="auto"/>
              </w:rPr>
              <w:t>The following table summarizes the activity related to the Company’s unrecognized tax benefits (in millions):</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1"/>
        </w:trPr>
        <w:tc>
          <w:tcPr>
            <w:tcW w:w="128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28, 2014</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Increases related to prior periods (acquired entities)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1280" w:type="dxa"/>
            <w:vAlign w:val="bottom"/>
          </w:tcPr>
          <w:p>
            <w:pPr>
              <w:spacing w:after="0"/>
              <w:rPr>
                <w:sz w:val="2"/>
                <w:szCs w:val="2"/>
                <w:color w:val="auto"/>
              </w:rPr>
            </w:pPr>
          </w:p>
        </w:tc>
        <w:tc>
          <w:tcPr>
            <w:tcW w:w="8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Decreases related to disposition</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1280" w:type="dxa"/>
            <w:vAlign w:val="bottom"/>
            <w:tcBorders>
              <w:bottom w:val="single" w:sz="8" w:color="CCEEFF"/>
            </w:tcBorders>
          </w:tcPr>
          <w:p>
            <w:pPr>
              <w:spacing w:after="0"/>
              <w:rPr>
                <w:sz w:val="2"/>
                <w:szCs w:val="2"/>
                <w:color w:val="auto"/>
              </w:rPr>
            </w:pPr>
          </w:p>
        </w:tc>
        <w:tc>
          <w:tcPr>
            <w:tcW w:w="87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27, 2015</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Increases related to prior periods (acquired entities)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1280" w:type="dxa"/>
            <w:vAlign w:val="bottom"/>
          </w:tcPr>
          <w:p>
            <w:pPr>
              <w:spacing w:after="0"/>
              <w:rPr>
                <w:sz w:val="2"/>
                <w:szCs w:val="2"/>
                <w:color w:val="auto"/>
              </w:rPr>
            </w:pPr>
          </w:p>
        </w:tc>
        <w:tc>
          <w:tcPr>
            <w:tcW w:w="8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Expiration of applicable statutes of limitations</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1280" w:type="dxa"/>
            <w:vAlign w:val="bottom"/>
            <w:tcBorders>
              <w:bottom w:val="single" w:sz="8" w:color="CCEEFF"/>
            </w:tcBorders>
          </w:tcPr>
          <w:p>
            <w:pPr>
              <w:spacing w:after="0"/>
              <w:rPr>
                <w:sz w:val="2"/>
                <w:szCs w:val="2"/>
                <w:color w:val="auto"/>
              </w:rPr>
            </w:pPr>
          </w:p>
        </w:tc>
        <w:tc>
          <w:tcPr>
            <w:tcW w:w="87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25, 2016</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Increases related to prior periods</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1280" w:type="dxa"/>
            <w:vAlign w:val="bottom"/>
          </w:tcPr>
          <w:p>
            <w:pPr>
              <w:spacing w:after="0"/>
              <w:rPr>
                <w:sz w:val="2"/>
                <w:szCs w:val="2"/>
                <w:color w:val="auto"/>
              </w:rPr>
            </w:pPr>
          </w:p>
        </w:tc>
        <w:tc>
          <w:tcPr>
            <w:tcW w:w="8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Expiration of applicable statutes of limitations</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1280" w:type="dxa"/>
            <w:vAlign w:val="bottom"/>
          </w:tcPr>
          <w:p>
            <w:pPr>
              <w:spacing w:after="0"/>
              <w:rPr>
                <w:sz w:val="2"/>
                <w:szCs w:val="2"/>
                <w:color w:val="auto"/>
              </w:rPr>
            </w:pPr>
          </w:p>
        </w:tc>
        <w:tc>
          <w:tcPr>
            <w:tcW w:w="8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Decrease in federal tax rate</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57"/>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2017</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r>
      <w:tr>
        <w:trPr>
          <w:trHeight w:val="20"/>
        </w:trPr>
        <w:tc>
          <w:tcPr>
            <w:tcW w:w="128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Included in the balance of unrecognized tax benefits at December 31, 2017, are $15.6 million of tax benefits that, if recognized, would affect the effective tax rate. Included in this amount is $11.0 million that would become a deferred tax asset if the tax benefit were recognized. As such, this benefit may be impacted by a corresponding valuation allowance depending upon the Company’s consolidated financial position at the time the benefits are recognized.</w:t>
      </w:r>
    </w:p>
    <w:p>
      <w:pPr>
        <w:spacing w:after="0" w:line="14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recognizes interest and penalties related to unrecognized tax benefits in its provision for income taxes. For the years ended December 31, 2017, December 25, 2016 and December 27, 2015, the Company recorded $0.5 million, $0.9 million, and $0.2 million, respectively, in interest or penalties. These amounts are netted by a benefit for interest and penalties related to the reversal of prior positions as noted above of $0.2 million, $0.0 million, and $0.1 million for the years ended December 31, 2017, December 25, 2016, and December 27, 2015, respectively. As of December 31, 2017, December 25, 2016, and December 27, 2015, the Company had recorded total interest and penalties of $2.2 million, $1.9 million and $1.0 million, respectively.</w:t>
      </w:r>
    </w:p>
    <w:p>
      <w:pPr>
        <w:spacing w:after="0" w:line="19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believes that it is reasonably possible that as much as $0.4 million of the liabilities for uncertain tax positions will expire within 12 months of December 31, 2017 due to the expiration of various applicable statues of limitations.</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Discontinued Operations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On August 21, 2015, the Company completed the sale of the U.S. and U.K. operations of its Electronic Products Division to Ultra Electronics Holdings plc (“Ultra”), a public limited company formed under the laws of England and Wales and traded on the London Stock Exchange, and Ultra Electronics Defense Inc. (the “Buyer”), a Delaware corporation ultimately owned by Ultra, (the “Transaction”). Pursuant to the terms of that certain Stock Purchase Agreement, dated May 31, 2015, by and among the Company, Ultra and the Buyer (the “Purchase Agreement”), the Company sold to the Buyer all of the issued and outstanding capital stock of its wholly owned subsidiary Herley Industries, Inc. (“Herley”) and certain of Herley’s subsidiaries, including Herley-CTI, Inc., EW Simulation Technology, Ltd. and Stapor Research, Inc. (collectively, the “Herley Entities”), for $260.0 million in cash plus $5.0 million for taxes incurred as part of the Transaction, less a $2.0 million escrow to satisfy any purchase price adjustments, and an estimated working capital adjustment of $8.3 million. The Purchase Agreement also contains certain non-compete and indemnification provisions. Under the Purchase Agreement, the Company entered into an agreement to indemnify the Buyer for any pre-acquisition tax liabilities. The Company also agreed to indemnify Ultra for pre-existing environmental conditions for a period of five years from the closing date and with a maximum indemnification payment of $34.0 million. The Company does not believe payments will be required under the indemnification provision, and the assessment of the fair value is immaterial. Under the terms of the Purchase Agreement, a joint 338(h)(10) election has been made for income tax purposes, providing a “step up” in tax basis to Ultra. The Company incurred approximately $11.5 million in transaction-related costs. The gain on sale of $80.8 million is subject to changes in the indemnification obligations. In accordance with </w:t>
      </w:r>
      <w:r>
        <w:rPr>
          <w:rFonts w:ascii="Arial" w:cs="Arial" w:eastAsia="Arial" w:hAnsi="Arial"/>
          <w:sz w:val="16"/>
          <w:szCs w:val="16"/>
          <w:i w:val="1"/>
          <w:iCs w:val="1"/>
          <w:color w:val="auto"/>
        </w:rPr>
        <w:t>ASC 360-10-45-9, Property, Plant, and Equipment (Topic 360) and ASC 205-20-45-3 Presentation of Financial Statements (Topic 205),</w:t>
      </w:r>
      <w:r>
        <w:rPr>
          <w:rFonts w:ascii="Arial" w:cs="Arial" w:eastAsia="Arial" w:hAnsi="Arial"/>
          <w:sz w:val="16"/>
          <w:szCs w:val="16"/>
          <w:color w:val="auto"/>
        </w:rPr>
        <w:t xml:space="preserve"> the Herley Entities were classified as discontinued operations in the accompanying consolidated financial statements for all periods presented.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08"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Immediately prior to the closing of the Transaction, the outstanding shares of the capital stock of (i) General Microwave Corporation, a New York corporation, and its direct and indirect wholly owned subsidiaries General Microwave Israel Corporation, a Delaware corporation, General Microwave Israel (1987) Ltd., an Israeli company, and Herley GMI Eyal Ltd., an Israeli company, (ii) MSI Acquisition Corp., a Delaware corporation and its wholly owned subsidiary Micro Systems, Inc., a Florida corporation, and (iii) Herley-RSS, Inc., a Delaware corporation, were distributed as a dividend by Herley to the Company and continued their current operations as wholly owned subsidiaries of the Company.</w:t>
      </w:r>
    </w:p>
    <w:p>
      <w:pPr>
        <w:spacing w:after="0" w:line="17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November 2015, the Company and Ultra settled the working capital adjustment at $8.1 million, and the net cash position at closing, resulting in a net payment to the Company of $2.7 million. This represents the payment from escrow to the Company of $2.0 million, as well as the payment from Ultra of $0.7 million, reflecting the difference in the estimated working capital and actual working capital and the net cash position at the close of the Transaction. In December 2015, the Company submitted to Ultra for reimbursement the maximum $5.0 million for taxes incurred as part of the Transaction, which was reimbursed in January 2016.</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Year ended</w:t>
            </w:r>
          </w:p>
        </w:tc>
        <w:tc>
          <w:tcPr>
            <w:tcW w:w="220" w:type="dxa"/>
            <w:vAlign w:val="bottom"/>
          </w:tcPr>
          <w:p>
            <w:pPr>
              <w:spacing w:after="0"/>
              <w:rPr>
                <w:sz w:val="14"/>
                <w:szCs w:val="14"/>
                <w:color w:val="auto"/>
              </w:rPr>
            </w:pPr>
          </w:p>
        </w:tc>
        <w:tc>
          <w:tcPr>
            <w:tcW w:w="1140" w:type="dxa"/>
            <w:vAlign w:val="bottom"/>
          </w:tcPr>
          <w:p>
            <w:pPr>
              <w:jc w:val="right"/>
              <w:ind w:right="252"/>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7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December 31, 2017</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25, 2016</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December 27, 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40.6</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 income (expense) items that are not major</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disposal of discontinued operations before income taxes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80.8</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gain (loss) of discontinued operations before income taxes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75.5</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53.0</w:t>
            </w: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for the year ended December 27, 2015 are through the date of disposal of August 21, 2015.</w:t>
      </w:r>
    </w:p>
    <w:p>
      <w:pPr>
        <w:spacing w:after="0" w:line="36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There was $4.2 million of depreciation and amortization expense included in selling, general and administrative expenses for the year ended December 27, 2015.</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Interest expense is included based on an allocation consistent with the redemption of $175.0 million of the Notes and the repayment of $41.0 million in outstanding borrowings on the Credit Agreement that was repaid upon the completion of the sale of the Herley Entities in accordance with the terms and conditions of the Indenture and the Credit Agreement. Refer to Note 4 for further discussion.</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Intra-period tax allocation rules require the Company to allocate its provision for income taxes between continuing operations and other categories of earnings, such as discontinued operations. In periods in which there is a year-to-date pre-tax loss from continuing operations and pre-tax income in other categories of earnings, such as discontinued operations, the Company must allocate the tax provision to the other categories of earnings. A related tax benefit is then recorded in continuing operations. Due to the intra-period allocation rules, the Company recorded income tax expense of $0.1 million and $22.5 million in discontinued operations for the years ended December 31, 2017, and December 27, 2015, respectively. There was no income tax recorded in discontinued operations for the year ended December 25, 2016.</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assets and liabilities of discontinued operations as of December 31, 2017 and December 25, 2016 (in millions):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December 31, 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25, 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8"/>
                <w:szCs w:val="18"/>
                <w:color w:val="auto"/>
              </w:rPr>
              <w:t>Other long-term liabilities of discontinued operations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Fair Value Measurement</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i w:val="1"/>
          <w:iCs w:val="1"/>
          <w:color w:val="auto"/>
        </w:rPr>
        <w:t xml:space="preserve">Topic 820 </w:t>
      </w:r>
      <w:r>
        <w:rPr>
          <w:rFonts w:ascii="Arial" w:cs="Arial" w:eastAsia="Arial" w:hAnsi="Arial"/>
          <w:sz w:val="18"/>
          <w:szCs w:val="18"/>
          <w:color w:val="auto"/>
        </w:rPr>
        <w:t>establishes a valuation hierarchy for disclosure of the inputs to valuation used to measure fair value. This hierarchy prioritizes the inputs</w:t>
      </w:r>
      <w:r>
        <w:rPr>
          <w:rFonts w:ascii="Arial" w:cs="Arial" w:eastAsia="Arial" w:hAnsi="Arial"/>
          <w:sz w:val="18"/>
          <w:szCs w:val="18"/>
          <w:i w:val="1"/>
          <w:iCs w:val="1"/>
          <w:color w:val="auto"/>
        </w:rPr>
        <w:t xml:space="preserve"> </w:t>
      </w:r>
      <w:r>
        <w:rPr>
          <w:rFonts w:ascii="Arial" w:cs="Arial" w:eastAsia="Arial" w:hAnsi="Arial"/>
          <w:sz w:val="18"/>
          <w:szCs w:val="18"/>
          <w:color w:val="auto"/>
        </w:rPr>
        <w:t>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Stockholders’ Equity</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Common Stock</w:t>
      </w:r>
    </w:p>
    <w:p>
      <w:pPr>
        <w:spacing w:after="0" w:line="243" w:lineRule="exact"/>
        <w:rPr>
          <w:sz w:val="20"/>
          <w:szCs w:val="20"/>
          <w:color w:val="auto"/>
        </w:rPr>
      </w:pPr>
    </w:p>
    <w:p>
      <w:pPr>
        <w:ind w:right="180" w:firstLine="648"/>
        <w:spacing w:after="0" w:line="275" w:lineRule="auto"/>
        <w:rPr>
          <w:sz w:val="20"/>
          <w:szCs w:val="20"/>
          <w:color w:val="auto"/>
        </w:rPr>
      </w:pPr>
      <w:r>
        <w:rPr>
          <w:rFonts w:ascii="Arial" w:cs="Arial" w:eastAsia="Arial" w:hAnsi="Arial"/>
          <w:sz w:val="18"/>
          <w:szCs w:val="18"/>
          <w:color w:val="auto"/>
        </w:rPr>
        <w:t>On November 23, 2016, the Company sold approximately 13.4 million shares of its common stock at a purchase price of $6.00 per share in an underwritten public offering. The Company received gross proceeds of approximately $80.5 million. After deducting underwriting fees and other offering expenses, the Company received approximately $76.2 million in net proceeds. The Company used $14.1 million of the net proceeds from this transaction to redeem approximately $14.5 million of its Notes.</w:t>
      </w:r>
    </w:p>
    <w:p>
      <w:pPr>
        <w:spacing w:after="0" w:line="13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March 7, 2017 and September 12, 2017, the Company sold approximately 11.9 million and 16.1 million, respectively, shares of common stock at a purchase price of $7.25 and $12.25, respectively, per share in underwritten public offerings. The Company received gross proceeds of approximately $283.5 million. After deducting underwriting fees and other offering expenses, the Company received approximately $269.1 million in net proceeds. The Company used the net proceeds to repurchase and extinguish $135.5 million of its outstanding 7% Notes.</w:t>
      </w:r>
    </w:p>
    <w:p>
      <w:pPr>
        <w:spacing w:after="0" w:line="187"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remainder of the funds will be used for general corporate purposes, including funding expected growth and strategic investments in the Company’s high performance unmanned aerial vehicle business area and other new programs under contract.</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Stock Option Plans and Restricted Stock Unit Plans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March 2014 the Company’s board of directors (the “Board”) approved the 2014 Equity Incentive Plan (the “2014 Plan”). The 2014 Plan is the successor to the Kratos Defense &amp; Security Solutions, Inc. 2011 Equity Incentive Plan, the Kratos Defense &amp; Security Solutions, Inc. Amended and Restated 2005 Equity Incentive Plan, the Kratos Defense &amp; Security Solutions, Inc. 2000 Nonstatutory Stock Option Plan, the Kratos Defense &amp; Security Solutions, Inc. 1999 Equity Incentive Plan, the Amended and Restated Integral Systems, Inc. 2008 Stock Incentive Plan, the Amended and Restated Herley Industries, Inc. 2010 Stock Plan, the Herley Industries, Inc. 2003 Stock Option Plan, the Henry Bros. Electronics, Inc. 2007 Stock Option Plan, the Henry Bros. Electronics, Inc. 2006 Stock Option Plan, the Amended and Restated 2005 Digital Fusion, Inc. Equity Incentive Plan, the 2000 Digital Fusion, Inc. Stock Option Plan, the 1999 Digital Fusion, Inc. Stock Option Plan, and the 1998 Digital Fusion, Inc. Stock Option Plan (collectively, the “Prior Plans”).</w:t>
      </w:r>
    </w:p>
    <w:p>
      <w:pPr>
        <w:spacing w:after="0" w:line="167"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2014 Plan became effective May 14, 2014 and no additional stock awards will be granted under the Prior Plans as of April 1, 2014. All outstanding stock awards granted subject to the terms of the Prior Plans will continue to be subject to the terms and conditions as set forth in the agreements evidencing such stock awards and the terms of the respective Prior Plans. Any shares subject to outstanding stock awards granted under the Prior Plans or granted outside of a Prior Plan that, at any time after March 27, 2014, (i) expire or terminate for any reason prior to exercise or settlement; (ii) are forfeited, canceled or otherwise returned to the Company because of the failure to meet a contingency or condition required to vest such shares;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20" w:firstLine="8"/>
        <w:spacing w:after="0" w:line="264" w:lineRule="auto"/>
        <w:tabs>
          <w:tab w:leader="none" w:pos="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are reacquired, withheld (or not issued) to satisfy a tax withholding obligation in connection with an award or to satisfy the purchase price or exercise price of a stock award (collectively, the “Returning Shares”) will immediately be added to the share reserve of the 2014 Plan and become available for issuance pursuant to stock awards granted under the 2014 Plan.</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March 27, 2014, there were 2,306,256 shares remaining available for issuance under the Prior Plans. The total number of awards outstanding under all of the Prior Plans and outside of any Prior Plan was 5,511,322 as of March 27, 2014. The 2014 Plan decreased the number of shares remaining available for issuance under its equity compensation plans from 2,306,256 to 1,550,000, although, per the 2014 Plan, up to 5,511,322 shares subject to outstanding awards under the Prior Plans and non-plan grants could potentially become Returning Shares available for issuance under the 2014 Plan. In May 2017, the Company’s shareholders approved an amendment to the 2014 Plan to increase the aggregate number of shares that may be issued under the plan by 2,500,000 shares.</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Board may grant equity-based awards to selected employees, directors and consultants of the Company pursuant to its 2014 Plan. As of December 31, 2017, there were 3,954,912 shares reserved for issuance for future grant under the 2014 Plan. The Board may amend or terminate the 2014 Plan at any time. Certain amendments, including an increase in the share reserve, require stockholder approval. Generally, options and restricted stock units outstanding vest over periods not exceeding ten years. When the Company grants stock options, they are granted with a per share exercise price not less than the fair market value of the Company’s common stock on the date of grant, and generally would be exercisable for up to ten years from the grant date.</w:t>
      </w:r>
    </w:p>
    <w:p>
      <w:pPr>
        <w:spacing w:after="0" w:line="15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Company records compensation expense for employee stock options based on the estimated fair value of the options on the date of grant using the Black-Scholes option-pricing model or a trinomial lattice options pricing model with the weighted average assumptions (annualized percentages) included in the following table. Awards with graded vesting are recognized using the straight-line method with the following assumptions: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7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Expected life</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5"/>
              </w:rPr>
              <w:t>10.0</w:t>
            </w:r>
          </w:p>
        </w:tc>
        <w:tc>
          <w:tcPr>
            <w:tcW w:w="12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1"/>
                <w:szCs w:val="21"/>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6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Volatility(2)</w:t>
            </w:r>
          </w:p>
        </w:tc>
        <w:tc>
          <w:tcPr>
            <w:tcW w:w="700" w:type="dxa"/>
            <w:vAlign w:val="bottom"/>
          </w:tcPr>
          <w:p>
            <w:pPr>
              <w:jc w:val="right"/>
              <w:spacing w:after="0"/>
              <w:rPr>
                <w:sz w:val="20"/>
                <w:szCs w:val="20"/>
                <w:color w:val="auto"/>
              </w:rPr>
            </w:pPr>
            <w:r>
              <w:rPr>
                <w:rFonts w:ascii="Arial" w:cs="Arial" w:eastAsia="Arial" w:hAnsi="Arial"/>
                <w:sz w:val="18"/>
                <w:szCs w:val="18"/>
                <w:color w:val="auto"/>
              </w:rPr>
              <w:t>53.8%</w:t>
            </w:r>
          </w:p>
        </w:tc>
        <w:tc>
          <w:tcPr>
            <w:tcW w:w="800" w:type="dxa"/>
            <w:vAlign w:val="bottom"/>
          </w:tcPr>
          <w:p>
            <w:pPr>
              <w:ind w:left="20"/>
              <w:spacing w:after="0"/>
              <w:rPr>
                <w:sz w:val="20"/>
                <w:szCs w:val="20"/>
                <w:color w:val="auto"/>
              </w:rPr>
            </w:pPr>
            <w:r>
              <w:rPr>
                <w:rFonts w:ascii="Arial" w:cs="Arial" w:eastAsia="Arial" w:hAnsi="Arial"/>
                <w:sz w:val="18"/>
                <w:szCs w:val="18"/>
                <w:color w:val="auto"/>
              </w:rPr>
              <w:t>- 55.0%</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55.2%</w:t>
            </w:r>
          </w:p>
        </w:tc>
        <w:tc>
          <w:tcPr>
            <w:tcW w:w="800" w:type="dxa"/>
            <w:vAlign w:val="bottom"/>
          </w:tcPr>
          <w:p>
            <w:pPr>
              <w:ind w:left="20"/>
              <w:spacing w:after="0"/>
              <w:rPr>
                <w:sz w:val="20"/>
                <w:szCs w:val="20"/>
                <w:color w:val="auto"/>
              </w:rPr>
            </w:pPr>
            <w:r>
              <w:rPr>
                <w:rFonts w:ascii="Arial" w:cs="Arial" w:eastAsia="Arial" w:hAnsi="Arial"/>
                <w:sz w:val="18"/>
                <w:szCs w:val="18"/>
                <w:color w:val="auto"/>
              </w:rPr>
              <w:t>- 55.8%</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w:t>
            </w:r>
          </w:p>
        </w:tc>
        <w:tc>
          <w:tcPr>
            <w:tcW w:w="780" w:type="dxa"/>
            <w:vAlign w:val="bottom"/>
          </w:tcPr>
          <w:p>
            <w:pPr>
              <w:ind w:left="20"/>
              <w:spacing w:after="0"/>
              <w:rPr>
                <w:sz w:val="20"/>
                <w:szCs w:val="20"/>
                <w:color w:val="auto"/>
              </w:rPr>
            </w:pPr>
            <w:r>
              <w:rPr>
                <w:rFonts w:ascii="Arial" w:cs="Arial" w:eastAsia="Arial" w:hAnsi="Arial"/>
                <w:sz w:val="18"/>
                <w:szCs w:val="18"/>
                <w:color w:val="auto"/>
              </w:rPr>
              <w:t>- 54.7%</w:t>
            </w:r>
          </w:p>
        </w:tc>
      </w:tr>
      <w:tr>
        <w:trPr>
          <w:trHeight w:val="27"/>
        </w:trPr>
        <w:tc>
          <w:tcPr>
            <w:tcW w:w="67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Forfeiture rate(3)</w:t>
            </w:r>
          </w:p>
        </w:tc>
        <w:tc>
          <w:tcPr>
            <w:tcW w:w="150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Dividend yield(4)</w:t>
            </w: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r>
    </w:tbl>
    <w:p>
      <w:pPr>
        <w:spacing w:after="0" w:line="229" w:lineRule="exact"/>
        <w:rPr>
          <w:sz w:val="20"/>
          <w:szCs w:val="20"/>
          <w:color w:val="auto"/>
        </w:rPr>
      </w:pPr>
    </w:p>
    <w:p>
      <w:pPr>
        <w:ind w:left="1240" w:hanging="260"/>
        <w:spacing w:after="0"/>
        <w:tabs>
          <w:tab w:leader="none" w:pos="12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risk-free interest rate is based on U.S. Treasury yields in effect at the time of grant with a term equal to the expected term of the options.</w:t>
      </w:r>
    </w:p>
    <w:p>
      <w:pPr>
        <w:spacing w:after="0" w:line="46" w:lineRule="exact"/>
        <w:rPr>
          <w:rFonts w:ascii="Arial" w:cs="Arial" w:eastAsia="Arial" w:hAnsi="Arial"/>
          <w:sz w:val="16"/>
          <w:szCs w:val="16"/>
          <w:color w:val="auto"/>
        </w:rPr>
      </w:pPr>
    </w:p>
    <w:p>
      <w:pPr>
        <w:ind w:left="1240" w:hanging="260"/>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2017, 2016, and 2015, the Company estimated implied volatility based upon trailing volatility.</w:t>
      </w:r>
    </w:p>
    <w:p>
      <w:pPr>
        <w:spacing w:after="0" w:line="9" w:lineRule="exact"/>
        <w:rPr>
          <w:rFonts w:ascii="Arial" w:cs="Arial" w:eastAsia="Arial" w:hAnsi="Arial"/>
          <w:sz w:val="18"/>
          <w:szCs w:val="18"/>
          <w:color w:val="auto"/>
        </w:rPr>
      </w:pPr>
    </w:p>
    <w:p>
      <w:pPr>
        <w:ind w:left="1620" w:right="520" w:hanging="640"/>
        <w:spacing w:after="0" w:line="250" w:lineRule="auto"/>
        <w:tabs>
          <w:tab w:leader="none" w:pos="1227"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Forfeitures are estimated at the time of grant based upon historical information. Forfeitures will be revised, if necessary, in subsequent periods if actual forfeitures differ from estimates.</w:t>
      </w:r>
    </w:p>
    <w:p>
      <w:pPr>
        <w:ind w:left="1240" w:hanging="260"/>
        <w:spacing w:after="0"/>
        <w:tabs>
          <w:tab w:leader="none" w:pos="12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1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 summary of the status of the Company’s stock option plan as of December 31, 2017, and changes in options outstanding under the plan for the year ended December 31, 2017, is as follows: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880" w:type="dxa"/>
            <w:vAlign w:val="bottom"/>
            <w:vMerge w:val="restart"/>
          </w:tcPr>
          <w:p>
            <w:pPr>
              <w:jc w:val="center"/>
              <w:ind w:right="77"/>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Under</w:t>
            </w: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per Share</w:t>
            </w: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70"/>
        </w:trPr>
        <w:tc>
          <w:tcPr>
            <w:tcW w:w="4320" w:type="dxa"/>
            <w:vAlign w:val="bottom"/>
            <w:tcBorders>
              <w:top w:val="single" w:sz="8" w:color="CCEEFF"/>
            </w:tcBorders>
            <w:shd w:val="clear" w:color="auto" w:fill="CCEEFF"/>
          </w:tcPr>
          <w:p>
            <w:pPr>
              <w:spacing w:after="0"/>
              <w:rPr>
                <w:sz w:val="23"/>
                <w:szCs w:val="23"/>
                <w:color w:val="auto"/>
              </w:rPr>
            </w:pPr>
          </w:p>
        </w:tc>
        <w:tc>
          <w:tcPr>
            <w:tcW w:w="220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0"/>
              </w:rPr>
              <w:t>(000’s)</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jc w:val="center"/>
              <w:ind w:right="77"/>
              <w:spacing w:after="0"/>
              <w:rPr>
                <w:sz w:val="20"/>
                <w:szCs w:val="20"/>
                <w:color w:val="auto"/>
              </w:rPr>
            </w:pPr>
            <w:r>
              <w:rPr>
                <w:rFonts w:ascii="Arial" w:cs="Arial" w:eastAsia="Arial" w:hAnsi="Arial"/>
                <w:sz w:val="14"/>
                <w:szCs w:val="14"/>
                <w:b w:val="1"/>
                <w:bCs w:val="1"/>
                <w:color w:val="auto"/>
                <w:w w:val="90"/>
              </w:rPr>
              <w:t>(000’s)</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Options outstanding at December 25, 2016</w:t>
            </w:r>
          </w:p>
        </w:tc>
        <w:tc>
          <w:tcPr>
            <w:tcW w:w="3460" w:type="dxa"/>
            <w:vAlign w:val="bottom"/>
            <w:gridSpan w:val="2"/>
          </w:tcPr>
          <w:p>
            <w:pPr>
              <w:jc w:val="right"/>
              <w:ind w:right="40"/>
              <w:spacing w:after="0"/>
              <w:rPr>
                <w:sz w:val="20"/>
                <w:szCs w:val="20"/>
                <w:color w:val="auto"/>
              </w:rPr>
            </w:pPr>
            <w:r>
              <w:rPr>
                <w:rFonts w:ascii="Arial" w:cs="Arial" w:eastAsia="Arial" w:hAnsi="Arial"/>
                <w:sz w:val="18"/>
                <w:szCs w:val="18"/>
                <w:color w:val="auto"/>
              </w:rPr>
              <w:t>963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1,924.1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3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2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16.40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outstanding at December 31, 2017</w:t>
            </w:r>
          </w:p>
        </w:tc>
        <w:tc>
          <w:tcPr>
            <w:tcW w:w="220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899</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jc w:val="right"/>
              <w:ind w:right="36"/>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jc w:val="right"/>
              <w:ind w:right="37"/>
              <w:spacing w:after="0"/>
              <w:rPr>
                <w:sz w:val="20"/>
                <w:szCs w:val="20"/>
                <w:color w:val="auto"/>
              </w:rPr>
            </w:pPr>
            <w:r>
              <w:rPr>
                <w:rFonts w:ascii="Arial" w:cs="Arial" w:eastAsia="Arial" w:hAnsi="Arial"/>
                <w:sz w:val="18"/>
                <w:szCs w:val="18"/>
                <w:color w:val="auto"/>
              </w:rPr>
              <w:t>4,224.8</w:t>
            </w:r>
          </w:p>
        </w:tc>
        <w:tc>
          <w:tcPr>
            <w:tcW w:w="0" w:type="dxa"/>
            <w:vAlign w:val="bottom"/>
          </w:tcPr>
          <w:p>
            <w:pPr>
              <w:spacing w:after="0"/>
              <w:rPr>
                <w:sz w:val="1"/>
                <w:szCs w:val="1"/>
                <w:color w:val="auto"/>
              </w:rPr>
            </w:pPr>
          </w:p>
        </w:tc>
      </w:tr>
      <w:tr>
        <w:trPr>
          <w:trHeight w:val="251"/>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at December 31, 2017</w:t>
            </w:r>
          </w:p>
        </w:tc>
        <w:tc>
          <w:tcPr>
            <w:tcW w:w="2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965.6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320" w:type="dxa"/>
            <w:vAlign w:val="bottom"/>
          </w:tcPr>
          <w:p>
            <w:pPr>
              <w:spacing w:after="0"/>
              <w:rPr>
                <w:sz w:val="24"/>
                <w:szCs w:val="24"/>
                <w:color w:val="auto"/>
              </w:rPr>
            </w:pPr>
          </w:p>
        </w:tc>
        <w:tc>
          <w:tcPr>
            <w:tcW w:w="3460" w:type="dxa"/>
            <w:vAlign w:val="bottom"/>
            <w:gridSpan w:val="2"/>
          </w:tcPr>
          <w:p>
            <w:pPr>
              <w:jc w:val="right"/>
              <w:ind w:right="1840"/>
              <w:spacing w:after="0"/>
              <w:rPr>
                <w:sz w:val="20"/>
                <w:szCs w:val="20"/>
                <w:color w:val="auto"/>
              </w:rPr>
            </w:pPr>
            <w:r>
              <w:rPr>
                <w:rFonts w:ascii="Arial" w:cs="Arial" w:eastAsia="Arial" w:hAnsi="Arial"/>
                <w:sz w:val="18"/>
                <w:szCs w:val="18"/>
                <w:color w:val="auto"/>
              </w:rPr>
              <w:t>F-33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of December 31, 2017, there was $0.1 million of total unrecognized stock-based compensation expense related to nonvested options, which is expected to be recognized over a remaining weighted-average vesting period of .5 years. Upon exercise of an option, the Company issues new shares of common stock.</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During the years ended December 31, 2017, December 25, 2016, and December 27, 2015 the following values relate to the grants and exercises under the Company’s option plans: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2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grant date fair value of options granted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6.39</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3.31</w:t>
            </w: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Total intrinsic value of options exercised (in thousands)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67.1</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459"/>
        </w:trPr>
        <w:tc>
          <w:tcPr>
            <w:tcW w:w="20" w:type="dxa"/>
            <w:vAlign w:val="bottom"/>
          </w:tcPr>
          <w:p>
            <w:pPr>
              <w:spacing w:after="0"/>
              <w:rPr>
                <w:sz w:val="24"/>
                <w:szCs w:val="24"/>
                <w:color w:val="auto"/>
              </w:rPr>
            </w:pPr>
          </w:p>
        </w:tc>
        <w:tc>
          <w:tcPr>
            <w:tcW w:w="7080" w:type="dxa"/>
            <w:vAlign w:val="bottom"/>
          </w:tcPr>
          <w:p>
            <w:pPr>
              <w:ind w:left="640"/>
              <w:spacing w:after="0"/>
              <w:rPr>
                <w:sz w:val="20"/>
                <w:szCs w:val="20"/>
                <w:color w:val="auto"/>
              </w:rPr>
            </w:pPr>
            <w:r>
              <w:rPr>
                <w:rFonts w:ascii="Arial" w:cs="Arial" w:eastAsia="Arial" w:hAnsi="Arial"/>
                <w:sz w:val="18"/>
                <w:szCs w:val="18"/>
                <w:color w:val="auto"/>
              </w:rPr>
              <w:t>The following table summarizes the Company’s Restricted Stock Unit activity:</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04"/>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114"/>
              <w:spacing w:after="0"/>
              <w:rPr>
                <w:sz w:val="20"/>
                <w:szCs w:val="20"/>
                <w:color w:val="auto"/>
              </w:rPr>
            </w:pPr>
            <w:r>
              <w:rPr>
                <w:rFonts w:ascii="Arial" w:cs="Arial" w:eastAsia="Arial" w:hAnsi="Arial"/>
                <w:sz w:val="14"/>
                <w:szCs w:val="14"/>
                <w:b w:val="1"/>
                <w:bCs w:val="1"/>
                <w:color w:val="auto"/>
                <w:w w:val="97"/>
              </w:rPr>
              <w:t>Weighted-</w:t>
            </w: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Average Grant</w:t>
            </w:r>
          </w:p>
        </w:tc>
      </w:tr>
      <w:tr>
        <w:trPr>
          <w:trHeight w:val="192"/>
        </w:trPr>
        <w:tc>
          <w:tcPr>
            <w:tcW w:w="20" w:type="dxa"/>
            <w:vAlign w:val="bottom"/>
            <w:tcBorders>
              <w:bottom w:val="single" w:sz="8" w:color="CCEEFF"/>
            </w:tcBorders>
          </w:tcPr>
          <w:p>
            <w:pPr>
              <w:spacing w:after="0"/>
              <w:rPr>
                <w:sz w:val="16"/>
                <w:szCs w:val="16"/>
                <w:color w:val="auto"/>
              </w:rPr>
            </w:pPr>
          </w:p>
        </w:tc>
        <w:tc>
          <w:tcPr>
            <w:tcW w:w="70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(000’s)</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Date Fair Value</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balance at December 25, 2016</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2,246</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w:t>
            </w: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Grants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1,180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7.45</w:t>
            </w: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(841)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w:t>
            </w: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Forfeitures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7.28</w:t>
            </w: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but not released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0"/>
              </w:rPr>
              <w:t>(307)</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7.24</w:t>
            </w:r>
          </w:p>
        </w:tc>
      </w:tr>
      <w:tr>
        <w:trPr>
          <w:trHeight w:val="257"/>
        </w:trPr>
        <w:tc>
          <w:tcPr>
            <w:tcW w:w="20" w:type="dxa"/>
            <w:vAlign w:val="bottom"/>
          </w:tcPr>
          <w:p>
            <w:pPr>
              <w:spacing w:after="0"/>
              <w:rPr>
                <w:sz w:val="22"/>
                <w:szCs w:val="22"/>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Nonvested balance at December 31, 2017</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Borders>
              <w:top w:val="single" w:sz="8" w:color="auto"/>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2,258</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6.83</w:t>
            </w: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December 31, 2017, there was $7.2 million of total unrecognized stock-based compensation expense related to nonvested restricted stock units which is expected to be recognized over a remaining weighted-average vesting period of 3.1 years. The fair value of restricted stock unit awards that vested in 2017, 2016, and 2015 was $6.3 million, $4.7 million, and $3.6 million, respectively.</w:t>
      </w:r>
    </w:p>
    <w:p>
      <w:pPr>
        <w:spacing w:after="0" w:line="177"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Amended and Restated Employee Stock Purchase Plan</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August 1999, the Board approved the 1999 Employee Stock Purchase Plan (as amended from time to time, the “Purchase Plan”). A total of 5,200,000 shares of common stock had been previously approved for reservation of the Company’s common stock for purchase by employees under the Purchase Plan. In May 2017, the Company’s shareholders approved an amendment to the Purchase Plan to increase the maximum number of shares of common stock that may be issued under the Purchase Plan by 3,000,000 shares. The Purchase Plan qualifies as an employee stock purchase plan within the meaning of Section 423 of the Internal Revenue Service Code. Unless otherwise determined by the Compensation Committee of the Board, all employees are eligible to participate in the Purchase Plan, so long as they are employed by the Company (or a subsidiary designated by the Board) for at least 20 hours per week and were customarily employed by the Company (or a subsidiary designated by the Board) for at least 5 months per calendar year.</w:t>
      </w:r>
    </w:p>
    <w:p>
      <w:pPr>
        <w:spacing w:after="0" w:line="16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Employees who actively participate in the Purchase Plan are eligible to have up to 15% of their earnings for each purchase period withheld pursuant to the Purchase Plan. The amount that is withheld is used at various purchase dates within the offering period to purchase shares of common stock. The price paid for common stock at each such purchase date is equal to the lower of 85% of the fair market value of the common stock at the commencement date of that offering period or 85% of the fair market value of the common stock on the relevant purchase date. Employees are also able to end their participation in the offering at any time during the offering period, and participation ends automatically upon termination of employment. From the Purchase Plan’s inception through December 31, 2017, the cumulative number of shares of common stock that have been issued under the Purchase Plan is 5.0 million and approximately 3.2 million shares are available for future issuance. During fiscal 2017, approximately 870,000 shares were issued under the plan at an average price of $5.65.</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fair value of Kratos’ Purchase Plan shares for 2017 was estimated using the Black-Scholes option pricing model. The assumptions and resulting fair values of options granted for 2017, 2016 and 2015 were as follows:</w:t>
      </w: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Offering</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Offering</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r>
      <w:tr>
        <w:trPr>
          <w:trHeight w:val="149"/>
        </w:trPr>
        <w:tc>
          <w:tcPr>
            <w:tcW w:w="606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Periods</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Periods</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Periods</w:t>
            </w:r>
          </w:p>
        </w:tc>
      </w:tr>
      <w:tr>
        <w:trPr>
          <w:trHeight w:val="149"/>
        </w:trPr>
        <w:tc>
          <w:tcPr>
            <w:tcW w:w="6060" w:type="dxa"/>
            <w:vAlign w:val="bottom"/>
          </w:tcPr>
          <w:p>
            <w:pPr>
              <w:spacing w:after="0"/>
              <w:rPr>
                <w:sz w:val="12"/>
                <w:szCs w:val="12"/>
                <w:color w:val="auto"/>
              </w:rPr>
            </w:pP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January 1 to</w:t>
            </w:r>
          </w:p>
        </w:tc>
      </w:tr>
      <w:tr>
        <w:trPr>
          <w:trHeight w:val="149"/>
        </w:trPr>
        <w:tc>
          <w:tcPr>
            <w:tcW w:w="6060" w:type="dxa"/>
            <w:vAlign w:val="bottom"/>
          </w:tcPr>
          <w:p>
            <w:pPr>
              <w:spacing w:after="0"/>
              <w:rPr>
                <w:sz w:val="12"/>
                <w:szCs w:val="12"/>
                <w:color w:val="auto"/>
              </w:rPr>
            </w:pPr>
          </w:p>
        </w:tc>
        <w:tc>
          <w:tcPr>
            <w:tcW w:w="1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December 31</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06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years)(1)</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Risk-free interest rate(2)</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.62% - 1.14%</w:t>
            </w:r>
          </w:p>
        </w:tc>
        <w:tc>
          <w:tcPr>
            <w:tcW w:w="1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0.36% - 0.49%</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0.11% - 0.12%</w:t>
            </w:r>
          </w:p>
        </w:tc>
      </w:tr>
      <w:tr>
        <w:trPr>
          <w:trHeight w:val="27"/>
        </w:trPr>
        <w:tc>
          <w:tcPr>
            <w:tcW w:w="6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volatility(3)</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44.38% - 53.70%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53.00% - 55.55%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39.63% - 40.91%</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Expected dividend yield(4)</w:t>
            </w:r>
          </w:p>
        </w:tc>
        <w:tc>
          <w:tcPr>
            <w:tcW w:w="18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0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grant-date fair value per share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$2.51</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$1.43</w:t>
            </w:r>
          </w:p>
        </w:tc>
      </w:tr>
      <w:tr>
        <w:trPr>
          <w:trHeight w:val="27"/>
        </w:trPr>
        <w:tc>
          <w:tcPr>
            <w:tcW w:w="60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960"/>
        <w:spacing w:after="0"/>
        <w:tabs>
          <w:tab w:leader="none" w:pos="12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expected term is equivalent to the offering period.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(2)The risk-free interest rate is based on U.S. Treasury yields in effect at the time of grant with a term equal to the expected term.</w:t>
      </w:r>
    </w:p>
    <w:p>
      <w:pPr>
        <w:spacing w:after="0" w:line="9" w:lineRule="exact"/>
        <w:rPr>
          <w:sz w:val="20"/>
          <w:szCs w:val="20"/>
          <w:color w:val="auto"/>
        </w:rPr>
      </w:pPr>
    </w:p>
    <w:p>
      <w:pPr>
        <w:ind w:left="1360" w:hanging="380"/>
        <w:spacing w:after="0"/>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estimated implied volatility based upon trailing volatility.</w:t>
      </w:r>
    </w:p>
    <w:p>
      <w:pPr>
        <w:spacing w:after="0" w:line="9" w:lineRule="exact"/>
        <w:rPr>
          <w:rFonts w:ascii="Arial" w:cs="Arial" w:eastAsia="Arial" w:hAnsi="Arial"/>
          <w:sz w:val="18"/>
          <w:szCs w:val="18"/>
          <w:color w:val="auto"/>
        </w:rPr>
      </w:pPr>
    </w:p>
    <w:p>
      <w:pPr>
        <w:ind w:left="1360" w:hanging="380"/>
        <w:spacing w:after="0"/>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there was no material unrecognized compensation expense related to the Purchase Plan.</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Retirement Plans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provides eligible employees the opportunity to participate in defined-contribution savings plans (commonly known as 401(k) plans), which permit contributions on a before-tax basis. Generally, salaried employees and certain hourly employees are eligible to participate in the plans. Under most plans, the employee may contribute to various investment alternatives. In certain plans, the Company matches a portion of the employees’ contributions. The Company’s matching contributions to these defined-contribution savings plans totaled $4.7 million in 2017, $4.3 million in 2016, and $4.9 million in 2015.</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Significant Customers</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$452.8 million, $398.3 million, and $402.9 million or 60%, 60%, and 61%, of total revenue for the years ended December 31, 2017, December 25, 2016, and December 27, 2015, respectively.</w:t>
      </w:r>
    </w:p>
    <w:p>
      <w:pPr>
        <w:spacing w:after="0" w:line="15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Company operates in three reportable segments. The KGS reportable segment is comprised of an aggregation of KGS operating segments, including defense and rocket support services, microwave electronic products and satellite communications, technical and training solutions, and modular systems operating segments. The US reportable segment consists of the Company’s unmanned aerial, unmanned ground, unmanned seaborne and command, control and communications system business. The KGS and US segments provide products, solutions and services for mission critical national security programs. KGS and US customers primarily include national security related agencies, the DoD, intelligence agencies and classified agencies, and to a lesser degree, international government agencies and domestic and international commercial customers. The PSS segment designs, engineers, deploys, operates, integrates into command and control infrastructure, maintains and operates security and surveillance solutions for homeland security, public safety, critical infrastructure, government and commercial customers. PSS customers include those in the critical infrastructure, power generation, power transport, nuclear energy, financial, IT, healthcare, education, transportation and petro-chemical industries, as well as certain government and military customers.</w:t>
      </w:r>
    </w:p>
    <w:p>
      <w:pPr>
        <w:spacing w:after="0" w:line="16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In the following table total operating income (loss) from continuing operations of the reportable business segments is reconciled to the corresponding consolidated amount. The reconciling item “unallocated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discussed in “Discontinued Operations” in Note 8 of these notes to consolidated financial statements, the Company began reporting the Herley Entities as discontinued operations effective in the second quarter of fiscal 2015. Prior to the decision to sell the Herley Entities, the Company reported their financial results in the KGS reportable segment. Accordingly, segment results have been recast for 2015 to reflect the disposition of the Herley Entities as discontinued operations.</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certain overhead type costs previously allocated to the Herley Entities were not allocable to discontinued operations, prior period corporate costs have been reallocated amongst the continuing reportable segments.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125"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Revenues, operating income (loss) and assets disclosed below provided by the Company’s reportable segments for the years ended December 31, 2017, December 25, 2016, and December 27, 2015, are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Kratos Government Solutions</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196.5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283.8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Kratos Government Solutions</w:t>
            </w: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480.3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37"/>
        </w:trPr>
        <w:tc>
          <w:tcPr>
            <w:tcW w:w="7080" w:type="dxa"/>
            <w:vAlign w:val="bottom"/>
          </w:tcPr>
          <w:p>
            <w:pPr>
              <w:ind w:left="200"/>
              <w:spacing w:after="0"/>
              <w:rPr>
                <w:sz w:val="20"/>
                <w:szCs w:val="20"/>
                <w:color w:val="auto"/>
              </w:rPr>
            </w:pPr>
            <w:r>
              <w:rPr>
                <w:rFonts w:ascii="Arial" w:cs="Arial" w:eastAsia="Arial" w:hAnsi="Arial"/>
                <w:sz w:val="18"/>
                <w:szCs w:val="18"/>
                <w:color w:val="auto"/>
              </w:rPr>
              <w:t>Public Safety &amp; Security</w:t>
            </w:r>
          </w:p>
        </w:tc>
        <w:tc>
          <w:tcPr>
            <w:tcW w:w="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8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Public Safety &amp; Security</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Unmanned Systems</w:t>
            </w: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121.7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Unmanned Systems</w:t>
            </w: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121.7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86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751.9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668.7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8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Kratos Government Solutions</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Public Safety &amp; Security</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Unmanned Systems</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depreciation and amortization</w:t>
            </w: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Operating income (loss) from continuing operations:</w:t>
            </w: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Kratos Government Solutions</w:t>
            </w: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Public Safety &amp; Security</w:t>
            </w:r>
          </w:p>
        </w:tc>
        <w:tc>
          <w:tcPr>
            <w:tcW w:w="8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Unmanned Systems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7080" w:type="dxa"/>
            <w:vAlign w:val="bottom"/>
          </w:tcPr>
          <w:p>
            <w:pPr>
              <w:ind w:left="200"/>
              <w:spacing w:after="0"/>
              <w:rPr>
                <w:sz w:val="20"/>
                <w:szCs w:val="20"/>
                <w:color w:val="auto"/>
              </w:rPr>
            </w:pPr>
            <w:r>
              <w:rPr>
                <w:rFonts w:ascii="Arial" w:cs="Arial" w:eastAsia="Arial" w:hAnsi="Arial"/>
                <w:sz w:val="18"/>
                <w:szCs w:val="18"/>
                <w:color w:val="auto"/>
              </w:rPr>
              <w:t>Corporate activities</w:t>
            </w:r>
          </w:p>
        </w:tc>
        <w:tc>
          <w:tcPr>
            <w:tcW w:w="8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loss from continuing operations</w:t>
            </w: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Revenues from foreign customers were approximately $84.7 million or 11%, $80.1 million or 12% and $73.2 million or 11% of total revenue for the years ended December 31, 2017, December 25, 2016, and December 27, 2015, respectively.</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Included in the 2016 operating losses for the US reportable segment is an $18.7 million loss accrual recorded on the Air Force Research Laboratory (“AFRL”) Low-Cost Attritable Strike UAS Demonstration (“LCASD”) cost share contract awarded in July 2016. Included in the 2015 operating losses for the US reportable segment are increased costs of $5.7 million, primarily related to certain retrofits necessary to address product design changes as well as due to a contract conversion adjustment on certain of the Company’s aerial platforms.</w:t>
      </w:r>
    </w:p>
    <w:p>
      <w:pPr>
        <w:spacing w:after="0" w:line="187" w:lineRule="exact"/>
        <w:rPr>
          <w:sz w:val="20"/>
          <w:szCs w:val="20"/>
          <w:color w:val="auto"/>
        </w:rPr>
      </w:pPr>
    </w:p>
    <w:p>
      <w:pPr>
        <w:jc w:val="both"/>
        <w:ind w:right="2280" w:firstLine="648"/>
        <w:spacing w:after="0" w:line="264" w:lineRule="auto"/>
        <w:rPr>
          <w:sz w:val="20"/>
          <w:szCs w:val="20"/>
          <w:color w:val="auto"/>
        </w:rPr>
      </w:pPr>
      <w:r>
        <w:rPr>
          <w:rFonts w:ascii="Arial" w:cs="Arial" w:eastAsia="Arial" w:hAnsi="Arial"/>
          <w:sz w:val="18"/>
          <w:szCs w:val="18"/>
          <w:color w:val="auto"/>
        </w:rPr>
        <w:t>Included in the 2016 operating losses for the PSS reportable segment is a $1.9 million charge related to the settlement of a contract dispute and $4.1 million in unexpected cost growth on several large long-term security integration projects which are nearing completion.</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Included in the 2017 operating loss for the KGS reportable segment is a $24.2 million impairment of the carrying value of the goodwill of the DRSS business within the KGS segment.</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Included in the 2016 operating income for the KGS reportable segment is a $9.2 million charge that was recorded in the Company’s modular systems business as a result of the closure of one of its manufacturing facilities, and the exit from certain lower margin product business lines.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Reportable segment assets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20" w:type="dxa"/>
            <w:vAlign w:val="bottom"/>
          </w:tcPr>
          <w:p>
            <w:pPr>
              <w:jc w:val="right"/>
              <w:ind w:right="95"/>
              <w:spacing w:after="0"/>
              <w:rPr>
                <w:sz w:val="20"/>
                <w:szCs w:val="20"/>
                <w:color w:val="auto"/>
              </w:rPr>
            </w:pPr>
            <w:r>
              <w:rPr>
                <w:rFonts w:ascii="Arial" w:cs="Arial" w:eastAsia="Arial" w:hAnsi="Arial"/>
                <w:sz w:val="14"/>
                <w:szCs w:val="14"/>
                <w:b w:val="1"/>
                <w:bCs w:val="1"/>
                <w:color w:val="auto"/>
                <w:w w:val="90"/>
              </w:rPr>
              <w:t>December 25,</w:t>
            </w:r>
          </w:p>
        </w:tc>
        <w:tc>
          <w:tcPr>
            <w:tcW w:w="22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December 27,</w:t>
            </w:r>
          </w:p>
        </w:tc>
      </w:tr>
      <w:tr>
        <w:trPr>
          <w:trHeight w:val="192"/>
        </w:trPr>
        <w:tc>
          <w:tcPr>
            <w:tcW w:w="7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Kratos Government Solutions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597.9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609.8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606.8</w:t>
            </w: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Unmanned Systems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172.1</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162.0</w:t>
            </w:r>
          </w:p>
        </w:tc>
      </w:tr>
      <w:tr>
        <w:trPr>
          <w:trHeight w:val="243"/>
        </w:trPr>
        <w:tc>
          <w:tcPr>
            <w:tcW w:w="7780" w:type="dxa"/>
            <w:vAlign w:val="bottom"/>
          </w:tcPr>
          <w:p>
            <w:pPr>
              <w:ind w:left="200"/>
              <w:spacing w:after="0"/>
              <w:rPr>
                <w:sz w:val="20"/>
                <w:szCs w:val="20"/>
                <w:color w:val="auto"/>
              </w:rPr>
            </w:pPr>
            <w:r>
              <w:rPr>
                <w:rFonts w:ascii="Arial" w:cs="Arial" w:eastAsia="Arial" w:hAnsi="Arial"/>
                <w:sz w:val="18"/>
                <w:szCs w:val="18"/>
                <w:color w:val="auto"/>
              </w:rPr>
              <w:t>Public Safety &amp; Security</w:t>
            </w:r>
          </w:p>
        </w:tc>
        <w:tc>
          <w:tcPr>
            <w:tcW w:w="1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92.0</w:t>
            </w:r>
          </w:p>
        </w:tc>
        <w:tc>
          <w:tcPr>
            <w:tcW w:w="2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96.8</w:t>
            </w: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activities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74.7</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37.7</w:t>
            </w:r>
          </w:p>
        </w:tc>
      </w:tr>
      <w:tr>
        <w:trPr>
          <w:trHeight w:val="257"/>
        </w:trPr>
        <w:tc>
          <w:tcPr>
            <w:tcW w:w="77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1,024.0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948.6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903.3</w:t>
            </w:r>
          </w:p>
        </w:tc>
      </w:tr>
      <w:tr>
        <w:trPr>
          <w:trHeight w:val="20"/>
        </w:trPr>
        <w:tc>
          <w:tcPr>
            <w:tcW w:w="7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Assets of foreign subsidiaries in the KGS segment were $116.7 million, $113.7 million and $106.2 million as of December 31, 2017, December 25, 2016 and December 27, 2015, respectively.</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consolidated financial statements. An estimated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consolidated financial statements; and the unique facts and circumstances of the particular matter that may give rise to additional factors.</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and Regulatory Matters.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Costs incurred and allocated to contracts with the U.S. Government are regularly scrutinized for compliance with regulatory standards by the Company’s personnel. On July 28, 2015, the Company received a determination letter from Defense Contract Management Agency (“DCMA”) regarding what DCMA believed were certain unallowable costs for one of the Company’s subsidiaries with respect to fiscal year 2007. In April 2016, the Company reached agreement with the DCAA to settle matters related to unallowable costs for this subsidiary for fiscal years 2007 and 2008 for approximately $0.2 million.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its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Quarterly Financial Data (Unaudited)</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following financial information reflects all normal and recurring adjustments that are, in the opinion of management, necessary for a fair statement of the results of the interim periods. Summarized quarterly data for the years ended December 31, 2017 and December 25, 2016, is as follows (in millions, except per share data):</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First</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Fourth</w:t>
            </w:r>
          </w:p>
        </w:tc>
      </w:tr>
      <w:tr>
        <w:trPr>
          <w:trHeight w:val="192"/>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Quarter</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Fiscal year 2017</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202.2</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Operating income (loss) from continuing operations</w:t>
            </w: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60"/>
              <w:spacing w:after="0"/>
              <w:rPr>
                <w:sz w:val="20"/>
                <w:szCs w:val="20"/>
                <w:color w:val="auto"/>
              </w:rPr>
            </w:pPr>
            <w:r>
              <w:rPr>
                <w:rFonts w:ascii="Arial" w:cs="Arial" w:eastAsia="Arial" w:hAnsi="Arial"/>
                <w:sz w:val="18"/>
                <w:szCs w:val="18"/>
                <w:color w:val="auto"/>
              </w:rPr>
              <w:t>Net loss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(0.21)</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60"/>
              <w:spacing w:after="0"/>
              <w:rPr>
                <w:sz w:val="20"/>
                <w:szCs w:val="20"/>
                <w:color w:val="auto"/>
              </w:rPr>
            </w:pPr>
            <w:r>
              <w:rPr>
                <w:rFonts w:ascii="Arial" w:cs="Arial" w:eastAsia="Arial" w:hAnsi="Arial"/>
                <w:sz w:val="18"/>
                <w:szCs w:val="18"/>
                <w:color w:val="auto"/>
              </w:rPr>
              <w:t>Net loss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(0.21)</w:t>
            </w:r>
          </w:p>
        </w:tc>
      </w:tr>
    </w:tbl>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the fourth quarter of 2017, the Company recorded an impairment of $24.2 million of the carrying value of the goodwill related to its DRSS reporting unit within its KGS reportable segment. The Company also recorded a $15.2 million loss on extinguishment of debt in the fourth quarter of 2017 related to the redemption and extinguishment of the Company’s 7% Notes.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First</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Second</w:t>
            </w: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Fourth</w:t>
            </w:r>
          </w:p>
        </w:tc>
      </w:tr>
      <w:tr>
        <w:trPr>
          <w:trHeight w:val="192"/>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Quarter</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Fiscal year 2016</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182.1</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Operating income (loss) from continuing operations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60"/>
              <w:spacing w:after="0"/>
              <w:rPr>
                <w:sz w:val="20"/>
                <w:szCs w:val="20"/>
                <w:color w:val="auto"/>
              </w:rPr>
            </w:pPr>
            <w:r>
              <w:rPr>
                <w:rFonts w:ascii="Arial" w:cs="Arial" w:eastAsia="Arial" w:hAnsi="Arial"/>
                <w:sz w:val="18"/>
                <w:szCs w:val="18"/>
                <w:color w:val="auto"/>
              </w:rPr>
              <w:t>Net loss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20"/>
              <w:spacing w:after="0"/>
              <w:rPr>
                <w:sz w:val="20"/>
                <w:szCs w:val="20"/>
                <w:color w:val="auto"/>
              </w:rPr>
            </w:pPr>
            <w:r>
              <w:rPr>
                <w:rFonts w:ascii="Arial" w:cs="Arial" w:eastAsia="Arial" w:hAnsi="Arial"/>
                <w:sz w:val="18"/>
                <w:szCs w:val="18"/>
                <w:color w:val="auto"/>
              </w:rPr>
              <w:t>Loss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60"/>
              <w:spacing w:after="0"/>
              <w:rPr>
                <w:sz w:val="20"/>
                <w:szCs w:val="20"/>
                <w:color w:val="auto"/>
              </w:rPr>
            </w:pPr>
            <w:r>
              <w:rPr>
                <w:rFonts w:ascii="Arial" w:cs="Arial" w:eastAsia="Arial" w:hAnsi="Arial"/>
                <w:sz w:val="18"/>
                <w:szCs w:val="18"/>
                <w:color w:val="auto"/>
              </w:rPr>
              <w:t>Net loss per common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(0.07)</w:t>
            </w:r>
          </w:p>
        </w:tc>
      </w:tr>
    </w:tbl>
    <w:p>
      <w:pPr>
        <w:spacing w:after="0" w:line="229"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In the first, second, third, and fourth quarters of 2016, the Company recorded restructuring charges of $3.0 million, $4.7 million, $0.1 million, and $1.4 million, respectively, related to the closure of one of its facilities for its modular systems business and exit from certain lower margin product lines. In the third quarter of 2016, the Company recorded an $18.7 million loss accrual recorded on the AFRL LCASD cost share contract awarded in July 2016.</w:t>
      </w:r>
    </w:p>
    <w:p>
      <w:pPr>
        <w:spacing w:after="0" w:line="35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Condensed Consolidating Financial Statements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Company has $300.0 million in outstanding 6.5% Notes (see Note 4). The 6.5% Notes are guaranteed by the Subsidiary Guarantors and are collateralized by the assets of certain of the Company’s 100% owned subsidiaries. The 6.5% Notes are fully and unconditionally guaranteed on a joint and several basis by each guarantor subsidiary and the Company. There are no contractual restrictions limiting cash transfers from guarantor subsidiaries by dividends, loans or advances to the Company. The 6.5% Notes are not guaranteed by the Company’s foreign subsidiaries (the “Non-Guarantor Subsidiaries”).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tables present condensed consolidating financial statements for the parent company, the Subsidiary Guarantors and the Non-Guarantor Subsidiaries, respectively, for 2017, 2016, and 2015. The consolidating financial information below follows the same accounting policies as described in the consolidated financial statements, except for the use of the equity method of accounting to reflect ownership interests in wholly-owned subsidiaries, which are eliminated upon consolidation.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Subsidiary</w:t>
            </w: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Parent Company</w:t>
            </w: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129.6</w:t>
            </w:r>
          </w:p>
        </w:tc>
      </w:tr>
      <w:tr>
        <w:trPr>
          <w:trHeight w:val="237"/>
        </w:trPr>
        <w:tc>
          <w:tcPr>
            <w:tcW w:w="470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268.4</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50.4</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r>
      <w:tr>
        <w:trPr>
          <w:trHeight w:val="217"/>
        </w:trPr>
        <w:tc>
          <w:tcPr>
            <w:tcW w:w="470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285.5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471.3</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Goodwill</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418.3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461.2</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Investment in subsidiaries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471.1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r>
      <w:tr>
        <w:trPr>
          <w:trHeight w:val="284"/>
        </w:trPr>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836.9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849.6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116.7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(779.2)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1,024.0</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r>
      <w:tr>
        <w:trPr>
          <w:trHeight w:val="237"/>
        </w:trPr>
        <w:tc>
          <w:tcPr>
            <w:tcW w:w="470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47.3</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w w:val="96"/>
              </w:rPr>
              <w:t>Billings in excess of costs and earnings on uncompleted contracts</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47.2</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to affiliated companies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9.7</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17"/>
        </w:trPr>
        <w:tc>
          <w:tcPr>
            <w:tcW w:w="470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359.2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188.9</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current portion</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26.3</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17"/>
        </w:trPr>
        <w:tc>
          <w:tcPr>
            <w:tcW w:w="470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325.4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366.5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512.5</w:t>
            </w: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511.5</w:t>
            </w:r>
          </w:p>
        </w:tc>
      </w:tr>
      <w:tr>
        <w:trPr>
          <w:trHeight w:val="244"/>
        </w:trPr>
        <w:tc>
          <w:tcPr>
            <w:tcW w:w="4700" w:type="dxa"/>
            <w:vAlign w:val="bottom"/>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836.9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849.6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116.7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(779.2)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1,024.0</w:t>
            </w:r>
          </w:p>
        </w:tc>
      </w:tr>
      <w:tr>
        <w:trPr>
          <w:trHeight w:val="20"/>
        </w:trPr>
        <w:tc>
          <w:tcPr>
            <w:tcW w:w="4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25,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Subsidiary</w:t>
            </w: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Parent Company</w:t>
            </w: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67.2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229.4</w:t>
            </w:r>
          </w:p>
        </w:tc>
        <w:tc>
          <w:tcPr>
            <w:tcW w:w="0" w:type="dxa"/>
            <w:vAlign w:val="bottom"/>
          </w:tcPr>
          <w:p>
            <w:pPr>
              <w:spacing w:after="0"/>
              <w:rPr>
                <w:sz w:val="1"/>
                <w:szCs w:val="1"/>
                <w:color w:val="auto"/>
              </w:rPr>
            </w:pPr>
          </w:p>
        </w:tc>
      </w:tr>
      <w:tr>
        <w:trPr>
          <w:trHeight w:val="237"/>
        </w:trPr>
        <w:tc>
          <w:tcPr>
            <w:tcW w:w="4700" w:type="dxa"/>
            <w:vAlign w:val="bottom"/>
          </w:tcPr>
          <w:p>
            <w:pPr>
              <w:ind w:left="100"/>
              <w:spacing w:after="0"/>
              <w:rPr>
                <w:sz w:val="20"/>
                <w:szCs w:val="20"/>
                <w:color w:val="auto"/>
              </w:rPr>
            </w:pPr>
            <w:r>
              <w:rPr>
                <w:rFonts w:ascii="Arial" w:cs="Arial" w:eastAsia="Arial" w:hAnsi="Arial"/>
                <w:sz w:val="16"/>
                <w:szCs w:val="16"/>
                <w:color w:val="auto"/>
              </w:rPr>
              <w:t>Amounts due from affiliated companies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Inventoried costs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37"/>
        </w:trPr>
        <w:tc>
          <w:tcPr>
            <w:tcW w:w="470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assets</w:t>
            </w: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subsidiaries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948.6</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expenses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37"/>
        </w:trPr>
        <w:tc>
          <w:tcPr>
            <w:tcW w:w="4700" w:type="dxa"/>
            <w:vAlign w:val="bottom"/>
          </w:tcPr>
          <w:p>
            <w:pPr>
              <w:ind w:left="100"/>
              <w:spacing w:after="0"/>
              <w:rPr>
                <w:sz w:val="20"/>
                <w:szCs w:val="20"/>
                <w:color w:val="auto"/>
              </w:rPr>
            </w:pPr>
            <w:r>
              <w:rPr>
                <w:rFonts w:ascii="Arial" w:cs="Arial" w:eastAsia="Arial" w:hAnsi="Arial"/>
                <w:sz w:val="16"/>
                <w:szCs w:val="16"/>
                <w:color w:val="auto"/>
              </w:rPr>
              <w:t>Accrued compensation</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7"/>
              </w:rPr>
              <w:t>Billings in excess of costs and earnings on uncompleted contracts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37"/>
        </w:trPr>
        <w:tc>
          <w:tcPr>
            <w:tcW w:w="4700" w:type="dxa"/>
            <w:vAlign w:val="bottom"/>
          </w:tcPr>
          <w:p>
            <w:pPr>
              <w:ind w:left="100"/>
              <w:spacing w:after="0"/>
              <w:rPr>
                <w:sz w:val="20"/>
                <w:szCs w:val="20"/>
                <w:color w:val="auto"/>
              </w:rPr>
            </w:pPr>
            <w:r>
              <w:rPr>
                <w:rFonts w:ascii="Arial" w:cs="Arial" w:eastAsia="Arial" w:hAnsi="Arial"/>
                <w:sz w:val="16"/>
                <w:szCs w:val="16"/>
                <w:color w:val="auto"/>
              </w:rPr>
              <w:t>Amounts due to affiliated companies</w:t>
            </w:r>
          </w:p>
        </w:tc>
        <w:tc>
          <w:tcPr>
            <w:tcW w:w="44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4700" w:type="dxa"/>
            <w:vAlign w:val="bottom"/>
          </w:tcPr>
          <w:p>
            <w:pPr>
              <w:ind w:left="120"/>
              <w:spacing w:after="0"/>
              <w:rPr>
                <w:sz w:val="20"/>
                <w:szCs w:val="20"/>
                <w:color w:val="auto"/>
              </w:rPr>
            </w:pPr>
            <w:r>
              <w:rPr>
                <w:rFonts w:ascii="Arial" w:cs="Arial" w:eastAsia="Arial" w:hAnsi="Arial"/>
                <w:sz w:val="16"/>
                <w:szCs w:val="16"/>
                <w:color w:val="auto"/>
              </w:rPr>
              <w:t>Current liabilities of discontinued operations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Long-term debt, net of current portion</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430.2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431.0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w:t>
            </w:r>
          </w:p>
        </w:tc>
        <w:tc>
          <w:tcPr>
            <w:tcW w:w="4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672.2</w:t>
            </w:r>
          </w:p>
        </w:tc>
        <w:tc>
          <w:tcPr>
            <w:tcW w:w="0" w:type="dxa"/>
            <w:vAlign w:val="bottom"/>
          </w:tcPr>
          <w:p>
            <w:pPr>
              <w:spacing w:after="0"/>
              <w:rPr>
                <w:sz w:val="1"/>
                <w:szCs w:val="1"/>
                <w:color w:val="auto"/>
              </w:rPr>
            </w:pPr>
          </w:p>
        </w:tc>
      </w:tr>
      <w:tr>
        <w:trPr>
          <w:trHeight w:val="237"/>
        </w:trPr>
        <w:tc>
          <w:tcPr>
            <w:tcW w:w="4700" w:type="dxa"/>
            <w:vAlign w:val="bottom"/>
          </w:tcPr>
          <w:p>
            <w:pPr>
              <w:ind w:left="80"/>
              <w:spacing w:after="0"/>
              <w:rPr>
                <w:sz w:val="20"/>
                <w:szCs w:val="20"/>
                <w:color w:val="auto"/>
              </w:rPr>
            </w:pPr>
            <w:r>
              <w:rPr>
                <w:rFonts w:ascii="Arial" w:cs="Arial" w:eastAsia="Arial" w:hAnsi="Arial"/>
                <w:sz w:val="16"/>
                <w:szCs w:val="16"/>
                <w:color w:val="auto"/>
              </w:rPr>
              <w:t>Total stockholders’ equity</w:t>
            </w:r>
          </w:p>
        </w:tc>
        <w:tc>
          <w:tcPr>
            <w:tcW w:w="4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276.4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470.0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liabilities and stockholders’ equity</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948.6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31,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Subsidiary</w:t>
            </w: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Parent Company</w:t>
            </w: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405.5</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751.9</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247.5</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307.1</w:t>
            </w:r>
          </w:p>
        </w:tc>
      </w:tr>
      <w:tr>
        <w:trPr>
          <w:trHeight w:val="217"/>
        </w:trPr>
        <w:tc>
          <w:tcPr>
            <w:tcW w:w="470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513.0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554.6</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4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185.3</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r>
      <w:tr>
        <w:trPr>
          <w:trHeight w:val="217"/>
        </w:trPr>
        <w:tc>
          <w:tcPr>
            <w:tcW w:w="4700" w:type="dxa"/>
            <w:vAlign w:val="bottom"/>
          </w:tcPr>
          <w:p>
            <w:pPr>
              <w:ind w:left="120"/>
              <w:spacing w:after="0"/>
              <w:rPr>
                <w:sz w:val="20"/>
                <w:szCs w:val="20"/>
                <w:color w:val="auto"/>
              </w:rPr>
            </w:pPr>
            <w:r>
              <w:rPr>
                <w:rFonts w:ascii="Arial" w:cs="Arial" w:eastAsia="Arial" w:hAnsi="Arial"/>
                <w:sz w:val="16"/>
                <w:szCs w:val="16"/>
                <w:color w:val="auto"/>
              </w:rPr>
              <w:t>Operating income (loss) from continuing operations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20"/>
              <w:spacing w:after="0"/>
              <w:rPr>
                <w:sz w:val="20"/>
                <w:szCs w:val="20"/>
                <w:color w:val="auto"/>
              </w:rPr>
            </w:pPr>
            <w:r>
              <w:rPr>
                <w:rFonts w:ascii="Arial" w:cs="Arial" w:eastAsia="Arial" w:hAnsi="Arial"/>
                <w:sz w:val="16"/>
                <w:szCs w:val="16"/>
                <w:color w:val="auto"/>
              </w:rPr>
              <w:t>Interest income (expense), net</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(28.6)</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extinguishment of debt</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37"/>
        </w:trPr>
        <w:tc>
          <w:tcPr>
            <w:tcW w:w="470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other income (expense), net</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(50.8)</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 from continuing operations</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(42.6)</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r>
      <w:tr>
        <w:trPr>
          <w:trHeight w:val="20"/>
        </w:trPr>
        <w:tc>
          <w:tcPr>
            <w:tcW w:w="4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r>
      <w:tr>
        <w:trPr>
          <w:trHeight w:val="20"/>
        </w:trPr>
        <w:tc>
          <w:tcPr>
            <w:tcW w:w="4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25,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Subsidiary</w:t>
            </w: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Non-Guarantors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Guarantors on a</w:t>
            </w: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on a Combined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Parent Company</w:t>
            </w: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Combined Basis</w:t>
            </w:r>
          </w:p>
        </w:tc>
        <w:tc>
          <w:tcPr>
            <w:tcW w:w="28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320.6</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668.7</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255.8</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259.3</w:t>
            </w:r>
          </w:p>
        </w:tc>
      </w:tr>
      <w:tr>
        <w:trPr>
          <w:trHeight w:val="217"/>
        </w:trPr>
        <w:tc>
          <w:tcPr>
            <w:tcW w:w="470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469.0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515.1</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4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153.6</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46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158.3</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r>
      <w:tr>
        <w:trPr>
          <w:trHeight w:val="217"/>
        </w:trPr>
        <w:tc>
          <w:tcPr>
            <w:tcW w:w="4700" w:type="dxa"/>
            <w:vAlign w:val="bottom"/>
          </w:tcPr>
          <w:p>
            <w:pPr>
              <w:ind w:left="120"/>
              <w:spacing w:after="0"/>
              <w:rPr>
                <w:sz w:val="20"/>
                <w:szCs w:val="20"/>
                <w:color w:val="auto"/>
              </w:rPr>
            </w:pPr>
            <w:r>
              <w:rPr>
                <w:rFonts w:ascii="Arial" w:cs="Arial" w:eastAsia="Arial" w:hAnsi="Arial"/>
                <w:sz w:val="16"/>
                <w:szCs w:val="16"/>
                <w:color w:val="auto"/>
              </w:rPr>
              <w:t>Operating income (loss) from continuing operations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(34.7)</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Gain on extinguishment of debt</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37"/>
        </w:trPr>
        <w:tc>
          <w:tcPr>
            <w:tcW w:w="470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4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0.8</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other income (expense), net</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income taxes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(52.3)</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 from continuing operations</w:t>
            </w: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w:t>
            </w:r>
          </w:p>
        </w:tc>
      </w:tr>
      <w:tr>
        <w:trPr>
          <w:trHeight w:val="33"/>
        </w:trPr>
        <w:tc>
          <w:tcPr>
            <w:tcW w:w="4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w:t>
            </w:r>
          </w:p>
        </w:tc>
      </w:tr>
      <w:tr>
        <w:trPr>
          <w:trHeight w:val="20"/>
        </w:trPr>
        <w:tc>
          <w:tcPr>
            <w:tcW w:w="4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r>
      <w:tr>
        <w:trPr>
          <w:trHeight w:val="20"/>
        </w:trPr>
        <w:tc>
          <w:tcPr>
            <w:tcW w:w="4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27,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354.2</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262.3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302.9</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657.1</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255.5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266.5</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w:t>
            </w:r>
          </w:p>
        </w:tc>
      </w:tr>
      <w:tr>
        <w:trPr>
          <w:trHeight w:val="217"/>
        </w:trPr>
        <w:tc>
          <w:tcPr>
            <w:tcW w:w="412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458.6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495.3</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161.8</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5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150.1</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Operating income (loss) from continuing operations</w:t>
            </w: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extinguishment of debt</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7"/>
        </w:trPr>
        <w:tc>
          <w:tcPr>
            <w:tcW w:w="412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other income (expense), net</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w w:val="92"/>
              </w:rPr>
              <w:t>Income (loss) from continuing operations before income taxes</w:t>
            </w: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(44.6)</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 from continuing</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Income (loss) from continuing operations</w:t>
            </w: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0"/>
        </w:trPr>
        <w:tc>
          <w:tcPr>
            <w:tcW w:w="4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w:t>
            </w:r>
          </w:p>
        </w:tc>
      </w:tr>
      <w:tr>
        <w:trPr>
          <w:trHeight w:val="20"/>
        </w:trPr>
        <w:tc>
          <w:tcPr>
            <w:tcW w:w="4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31,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Subsidiary</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Guarantors on</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Guarantors 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Parent</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 Combined</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Company</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 continuing</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r>
      <w:tr>
        <w:trPr>
          <w:trHeight w:val="231"/>
        </w:trPr>
        <w:tc>
          <w:tcPr>
            <w:tcW w:w="50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Investment in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04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assets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00"/>
        </w:trPr>
        <w:tc>
          <w:tcPr>
            <w:tcW w:w="504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 from continuing</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50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120"/>
              <w:spacing w:after="0"/>
              <w:rPr>
                <w:sz w:val="20"/>
                <w:szCs w:val="20"/>
                <w:color w:val="auto"/>
              </w:rPr>
            </w:pPr>
            <w:r>
              <w:rPr>
                <w:rFonts w:ascii="Arial" w:cs="Arial" w:eastAsia="Arial" w:hAnsi="Arial"/>
                <w:sz w:val="16"/>
                <w:szCs w:val="16"/>
                <w:color w:val="auto"/>
              </w:rPr>
              <w:t>Proceeds from the issuance of long-term debt</w:t>
            </w: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300.0</w:t>
            </w: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Extinguishment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(448.8)</w:t>
            </w: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Repayments under credit facility</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7"/>
        </w:trPr>
        <w:tc>
          <w:tcPr>
            <w:tcW w:w="5040" w:type="dxa"/>
            <w:vAlign w:val="bottom"/>
          </w:tcPr>
          <w:p>
            <w:pPr>
              <w:ind w:left="120"/>
              <w:spacing w:after="0"/>
              <w:rPr>
                <w:sz w:val="20"/>
                <w:szCs w:val="20"/>
                <w:color w:val="auto"/>
              </w:rPr>
            </w:pPr>
            <w:r>
              <w:rPr>
                <w:rFonts w:ascii="Arial" w:cs="Arial" w:eastAsia="Arial" w:hAnsi="Arial"/>
                <w:sz w:val="16"/>
                <w:szCs w:val="16"/>
                <w:color w:val="auto"/>
              </w:rPr>
              <w:t>Proceeds from the issuance of common stock</w:t>
            </w:r>
          </w:p>
        </w:tc>
        <w:tc>
          <w:tcPr>
            <w:tcW w:w="1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269.1</w:t>
            </w: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Proceeds from exercise of restricted stock units, employee stock options,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employee stock purchase plan, and other</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37"/>
        </w:trPr>
        <w:tc>
          <w:tcPr>
            <w:tcW w:w="5040" w:type="dxa"/>
            <w:vAlign w:val="bottom"/>
          </w:tcPr>
          <w:p>
            <w:pPr>
              <w:ind w:left="120"/>
              <w:spacing w:after="0"/>
              <w:rPr>
                <w:sz w:val="20"/>
                <w:szCs w:val="20"/>
                <w:color w:val="auto"/>
              </w:rPr>
            </w:pPr>
            <w:r>
              <w:rPr>
                <w:rFonts w:ascii="Arial" w:cs="Arial" w:eastAsia="Arial" w:hAnsi="Arial"/>
                <w:sz w:val="16"/>
                <w:szCs w:val="16"/>
                <w:color w:val="auto"/>
              </w:rPr>
              <w:t>Financings from affiliated companies</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 from continuing</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113.4</w:t>
            </w: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60.6</w:t>
            </w:r>
          </w:p>
        </w:tc>
      </w:tr>
      <w:tr>
        <w:trPr>
          <w:trHeight w:val="33"/>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25,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Subsidiary</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Guarantors on</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Guarantors 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Parent</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 Combined</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Company</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 continuing</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31"/>
        </w:trPr>
        <w:tc>
          <w:tcPr>
            <w:tcW w:w="49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paid for acquisitions,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37"/>
        </w:trPr>
        <w:tc>
          <w:tcPr>
            <w:tcW w:w="4920" w:type="dxa"/>
            <w:vAlign w:val="bottom"/>
          </w:tcPr>
          <w:p>
            <w:pPr>
              <w:ind w:left="120"/>
              <w:spacing w:after="0"/>
              <w:rPr>
                <w:sz w:val="20"/>
                <w:szCs w:val="20"/>
                <w:color w:val="auto"/>
              </w:rPr>
            </w:pPr>
            <w:r>
              <w:rPr>
                <w:rFonts w:ascii="Arial" w:cs="Arial" w:eastAsia="Arial" w:hAnsi="Arial"/>
                <w:sz w:val="16"/>
                <w:szCs w:val="16"/>
                <w:color w:val="auto"/>
              </w:rPr>
              <w:t>Change in restricted cash</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Investment in affiliated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92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the sale of assets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00"/>
        </w:trPr>
        <w:tc>
          <w:tcPr>
            <w:tcW w:w="492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 from continuing</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92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Extinguishment of long-term debt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under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Proceeds from the issuance of common stock</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76.2</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49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1"/>
              </w:rPr>
              <w:t>Proceeds from exercise of restricted stock units, employee stock options,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employee stock purchase plan</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4920" w:type="dxa"/>
            <w:vAlign w:val="bottom"/>
          </w:tcPr>
          <w:p>
            <w:pPr>
              <w:ind w:left="120"/>
              <w:spacing w:after="0"/>
              <w:rPr>
                <w:sz w:val="20"/>
                <w:szCs w:val="20"/>
                <w:color w:val="auto"/>
              </w:rPr>
            </w:pPr>
            <w:r>
              <w:rPr>
                <w:rFonts w:ascii="Arial" w:cs="Arial" w:eastAsia="Arial" w:hAnsi="Arial"/>
                <w:sz w:val="16"/>
                <w:szCs w:val="16"/>
                <w:color w:val="auto"/>
              </w:rPr>
              <w:t>Financings from affiliated companies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 from continuing</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r>
      <w:tr>
        <w:trPr>
          <w:trHeight w:val="217"/>
        </w:trPr>
        <w:tc>
          <w:tcPr>
            <w:tcW w:w="4920" w:type="dxa"/>
            <w:vAlign w:val="bottom"/>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36.8</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44"/>
        </w:trPr>
        <w:tc>
          <w:tcPr>
            <w:tcW w:w="49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40.6</w:t>
            </w: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27, 2015</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Subsidiary</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Guarantors on</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Guarantors on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Parent</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 Combined</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 Combined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Company</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Basis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 continuing</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31"/>
        </w:trPr>
        <w:tc>
          <w:tcPr>
            <w:tcW w:w="49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 in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37"/>
        </w:trPr>
        <w:tc>
          <w:tcPr>
            <w:tcW w:w="4920" w:type="dxa"/>
            <w:vAlign w:val="bottom"/>
          </w:tcPr>
          <w:p>
            <w:pPr>
              <w:ind w:left="120"/>
              <w:spacing w:after="0"/>
              <w:rPr>
                <w:sz w:val="20"/>
                <w:szCs w:val="20"/>
                <w:color w:val="auto"/>
              </w:rPr>
            </w:pPr>
            <w:r>
              <w:rPr>
                <w:rFonts w:ascii="Arial" w:cs="Arial" w:eastAsia="Arial" w:hAnsi="Arial"/>
                <w:sz w:val="16"/>
                <w:szCs w:val="16"/>
                <w:color w:val="auto"/>
              </w:rPr>
              <w:t>Investment in affiliated companies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37"/>
        </w:trPr>
        <w:tc>
          <w:tcPr>
            <w:tcW w:w="4920" w:type="dxa"/>
            <w:vAlign w:val="bottom"/>
          </w:tcPr>
          <w:p>
            <w:pPr>
              <w:ind w:left="180"/>
              <w:spacing w:after="0"/>
              <w:rPr>
                <w:sz w:val="20"/>
                <w:szCs w:val="20"/>
                <w:color w:val="auto"/>
              </w:rPr>
            </w:pPr>
            <w:r>
              <w:rPr>
                <w:rFonts w:ascii="Arial" w:cs="Arial" w:eastAsia="Arial" w:hAnsi="Arial"/>
                <w:sz w:val="16"/>
                <w:szCs w:val="16"/>
                <w:color w:val="auto"/>
              </w:rPr>
              <w:t>Proceeds from the sale of assets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 from continuing</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operations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31"/>
        </w:trPr>
        <w:tc>
          <w:tcPr>
            <w:tcW w:w="49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Extinguishment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Repayments under credit facility</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Proceeds from exercise of restricted stock units, employee stock options,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employee stock purchase plan</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37"/>
        </w:trPr>
        <w:tc>
          <w:tcPr>
            <w:tcW w:w="4920" w:type="dxa"/>
            <w:vAlign w:val="bottom"/>
          </w:tcPr>
          <w:p>
            <w:pPr>
              <w:ind w:left="120"/>
              <w:spacing w:after="0"/>
              <w:rPr>
                <w:sz w:val="20"/>
                <w:szCs w:val="20"/>
                <w:color w:val="auto"/>
              </w:rPr>
            </w:pPr>
            <w:r>
              <w:rPr>
                <w:rFonts w:ascii="Arial" w:cs="Arial" w:eastAsia="Arial" w:hAnsi="Arial"/>
                <w:sz w:val="16"/>
                <w:szCs w:val="16"/>
                <w:color w:val="auto"/>
              </w:rPr>
              <w:t>Financing from affiliated companies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0"/>
        </w:trPr>
        <w:tc>
          <w:tcPr>
            <w:tcW w:w="492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 from continuing</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92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(214.7)</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(250.1)</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33"/>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242.5</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Subsequent Event</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announced on February 28, 2018 that it has signed a definitive agreement to divest its PSS business for approximately $69 million in cash, subject to a net working capital target at closing, with the estimated net cash proceeds expected to be received by Kratos of approximately $70 million including a negotiated transaction services agreement amount between the two companies, receipt by Kratos of approximately $7 million in net working capital retained by Kratos, and associated transaction fees and expenses. The transaction is expected to close in the next 90 days, contingent on customary closing and regulatory conditions. As a result of the expected divestiture, the PSS segment will be reflected as a discontinued operation going forward in the Company’s consolidated financial statements. Accordingly, all prior year financial statement comparative data in future periodic filings will be recast to reflect this business as discontinued operations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300"/>
          </w:cols>
          <w:pgMar w:left="240" w:top="125" w:right="35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color w:val="auto"/>
        </w:rPr>
        <w:t>Execution Copy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SUPPLEMENTAL INDENTURE</w:t>
      </w:r>
    </w:p>
    <w:p>
      <w:pPr>
        <w:spacing w:after="0" w:line="2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First Supplemental Indenture (this “</w:t>
      </w:r>
      <w:r>
        <w:rPr>
          <w:rFonts w:ascii="Arial" w:cs="Arial" w:eastAsia="Arial" w:hAnsi="Arial"/>
          <w:sz w:val="22"/>
          <w:szCs w:val="22"/>
          <w:u w:val="single" w:color="auto"/>
          <w:color w:val="auto"/>
        </w:rPr>
        <w:t>Supplemental Indenture</w:t>
      </w:r>
      <w:r>
        <w:rPr>
          <w:rFonts w:ascii="Arial" w:cs="Arial" w:eastAsia="Arial" w:hAnsi="Arial"/>
          <w:sz w:val="22"/>
          <w:szCs w:val="22"/>
          <w:color w:val="auto"/>
        </w:rPr>
        <w:t>”), dated as of December 21, 2017, among Kratos Defense &amp; Security Solutions, Inc., a Delaware corporation (the “</w:t>
      </w:r>
      <w:r>
        <w:rPr>
          <w:rFonts w:ascii="Arial" w:cs="Arial" w:eastAsia="Arial" w:hAnsi="Arial"/>
          <w:sz w:val="22"/>
          <w:szCs w:val="22"/>
          <w:u w:val="single" w:color="auto"/>
          <w:color w:val="auto"/>
        </w:rPr>
        <w:t>Issuer</w:t>
      </w:r>
      <w:r>
        <w:rPr>
          <w:rFonts w:ascii="Arial" w:cs="Arial" w:eastAsia="Arial" w:hAnsi="Arial"/>
          <w:sz w:val="22"/>
          <w:szCs w:val="22"/>
          <w:color w:val="auto"/>
        </w:rPr>
        <w:t>”), each of the parties identified on the signature page of this Supplemental Indenture as a Guaranteeing Subsidiary (as defined below), and Wilmington Trust, National Association, as trustee under the Indenture referred to below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WHEREAS, the Issuer heretofore executed and delivered to the Trustee an indenture, dated as of November 20, 2017 (the “</w:t>
      </w:r>
      <w:r>
        <w:rPr>
          <w:rFonts w:ascii="Arial" w:cs="Arial" w:eastAsia="Arial" w:hAnsi="Arial"/>
          <w:sz w:val="21"/>
          <w:szCs w:val="21"/>
          <w:u w:val="single" w:color="auto"/>
          <w:color w:val="auto"/>
        </w:rPr>
        <w:t>Indenture</w:t>
      </w:r>
      <w:r>
        <w:rPr>
          <w:rFonts w:ascii="Arial" w:cs="Arial" w:eastAsia="Arial" w:hAnsi="Arial"/>
          <w:sz w:val="21"/>
          <w:szCs w:val="21"/>
          <w:color w:val="auto"/>
        </w:rPr>
        <w:t>”), providing for the issuance of the Issuer’s 6.5% Senior Secured Notes due 2025 (the “</w:t>
      </w:r>
      <w:r>
        <w:rPr>
          <w:rFonts w:ascii="Arial" w:cs="Arial" w:eastAsia="Arial" w:hAnsi="Arial"/>
          <w:sz w:val="21"/>
          <w:szCs w:val="21"/>
          <w:u w:val="single" w:color="auto"/>
          <w:color w:val="auto"/>
        </w:rPr>
        <w:t>Notes</w:t>
      </w:r>
      <w:r>
        <w:rPr>
          <w:rFonts w:ascii="Arial" w:cs="Arial" w:eastAsia="Arial" w:hAnsi="Arial"/>
          <w:sz w:val="21"/>
          <w:szCs w:val="21"/>
          <w:color w:val="auto"/>
        </w:rPr>
        <w:t>”);</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Section 4.16 of the Indenture provides that under certain circumstances each Guaranteeing Subsidiary shall execute and deliver to the Trustee a supplemental indenture and a Guarantee pursuant to which any newly-acquired or created Guarantor shall unconditionally guarantee all of the Issuer’s obligations under the Notes and the Indenture on the terms and conditions set forth therein and herein and in such Guarantee;</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parties hereto desire to cause Kratos Systems and Solutions, Inc., a Virginia corporation (“</w:t>
      </w:r>
      <w:r>
        <w:rPr>
          <w:rFonts w:ascii="Arial" w:cs="Arial" w:eastAsia="Arial" w:hAnsi="Arial"/>
          <w:sz w:val="22"/>
          <w:szCs w:val="22"/>
          <w:u w:val="single" w:color="auto"/>
          <w:color w:val="auto"/>
        </w:rPr>
        <w:t>KSS</w:t>
      </w:r>
      <w:r>
        <w:rPr>
          <w:rFonts w:ascii="Arial" w:cs="Arial" w:eastAsia="Arial" w:hAnsi="Arial"/>
          <w:sz w:val="22"/>
          <w:szCs w:val="22"/>
          <w:color w:val="auto"/>
        </w:rPr>
        <w:t>”), and Shadow I, Inc., a California corporation (“</w:t>
      </w:r>
      <w:r>
        <w:rPr>
          <w:rFonts w:ascii="Arial" w:cs="Arial" w:eastAsia="Arial" w:hAnsi="Arial"/>
          <w:sz w:val="22"/>
          <w:szCs w:val="22"/>
          <w:u w:val="single" w:color="auto"/>
          <w:color w:val="auto"/>
        </w:rPr>
        <w:t>Shadow I</w:t>
      </w:r>
      <w:r>
        <w:rPr>
          <w:rFonts w:ascii="Arial" w:cs="Arial" w:eastAsia="Arial" w:hAnsi="Arial"/>
          <w:sz w:val="22"/>
          <w:szCs w:val="22"/>
          <w:color w:val="auto"/>
        </w:rPr>
        <w:t>” and, together with KSS, the “</w:t>
      </w:r>
      <w:r>
        <w:rPr>
          <w:rFonts w:ascii="Arial" w:cs="Arial" w:eastAsia="Arial" w:hAnsi="Arial"/>
          <w:sz w:val="22"/>
          <w:szCs w:val="22"/>
          <w:u w:val="single" w:color="auto"/>
          <w:color w:val="auto"/>
        </w:rPr>
        <w:t>Guaranteeing Subsidiaries</w:t>
      </w:r>
      <w:r>
        <w:rPr>
          <w:rFonts w:ascii="Arial" w:cs="Arial" w:eastAsia="Arial" w:hAnsi="Arial"/>
          <w:sz w:val="22"/>
          <w:szCs w:val="22"/>
          <w:color w:val="auto"/>
        </w:rPr>
        <w:t>”), to guarantee the Notes; and</w:t>
      </w:r>
    </w:p>
    <w:p>
      <w:pPr>
        <w:spacing w:after="0" w:line="19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pursuant to Section 9.01 of the Indenture, the Trustee is authorized to execute and delivery this Supplemental Indenture.</w:t>
      </w:r>
    </w:p>
    <w:p>
      <w:pPr>
        <w:spacing w:after="0" w:line="215" w:lineRule="exact"/>
        <w:rPr>
          <w:sz w:val="20"/>
          <w:szCs w:val="20"/>
          <w:color w:val="auto"/>
        </w:rPr>
      </w:pPr>
    </w:p>
    <w:p>
      <w:pPr>
        <w:jc w:val="both"/>
        <w:ind w:right="80"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Issuer, the Guarantors, each Guaranteeing Subsidiary and the Trustee mutually covenant and agree for the equal and ratable benefit of the Holders of the Notes as follows:</w:t>
      </w:r>
    </w:p>
    <w:p>
      <w:pPr>
        <w:spacing w:after="0" w:line="226" w:lineRule="exact"/>
        <w:rPr>
          <w:sz w:val="20"/>
          <w:szCs w:val="20"/>
          <w:color w:val="auto"/>
        </w:rPr>
      </w:pPr>
    </w:p>
    <w:p>
      <w:pPr>
        <w:ind w:right="580" w:firstLine="332"/>
        <w:spacing w:after="0" w:line="276" w:lineRule="auto"/>
        <w:tabs>
          <w:tab w:leader="none" w:pos="81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Capitalized Terms</w:t>
      </w:r>
      <w:r>
        <w:rPr>
          <w:rFonts w:ascii="Arial" w:cs="Arial" w:eastAsia="Arial" w:hAnsi="Arial"/>
          <w:sz w:val="22"/>
          <w:szCs w:val="22"/>
          <w:color w:val="auto"/>
        </w:rPr>
        <w:t>. Capitalized terms used herein without definition shall have the meanings assigned to them in the Indenture.</w:t>
      </w:r>
    </w:p>
    <w:p>
      <w:pPr>
        <w:spacing w:after="0" w:line="214" w:lineRule="exact"/>
        <w:rPr>
          <w:rFonts w:ascii="Arial" w:cs="Arial" w:eastAsia="Arial" w:hAnsi="Arial"/>
          <w:sz w:val="22"/>
          <w:szCs w:val="22"/>
          <w:color w:val="auto"/>
        </w:rPr>
      </w:pPr>
    </w:p>
    <w:p>
      <w:pPr>
        <w:jc w:val="both"/>
        <w:ind w:right="160" w:firstLine="332"/>
        <w:spacing w:after="0" w:line="327" w:lineRule="auto"/>
        <w:tabs>
          <w:tab w:leader="none" w:pos="810"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Joinder to Indenture</w:t>
      </w:r>
      <w:r>
        <w:rPr>
          <w:rFonts w:ascii="Arial" w:cs="Arial" w:eastAsia="Arial" w:hAnsi="Arial"/>
          <w:sz w:val="19"/>
          <w:szCs w:val="19"/>
          <w:color w:val="auto"/>
        </w:rPr>
        <w:t>. Each of the Guaranteeing Subsidiaries hereby agrees to become bound by the terms, conditions and other provisions of the Indenture, with all attendant rights, duties and obligations stated therein and with the same force and effect as if originally named as a Guarantor therein and as if such Guaranteeing Subsidiary executed the Indenture on the date thereof.</w:t>
      </w:r>
    </w:p>
    <w:p>
      <w:pPr>
        <w:spacing w:after="0" w:line="173" w:lineRule="exact"/>
        <w:rPr>
          <w:rFonts w:ascii="Arial" w:cs="Arial" w:eastAsia="Arial" w:hAnsi="Arial"/>
          <w:sz w:val="19"/>
          <w:szCs w:val="19"/>
          <w:color w:val="auto"/>
        </w:rPr>
      </w:pPr>
    </w:p>
    <w:p>
      <w:pPr>
        <w:ind w:right="120" w:firstLine="332"/>
        <w:spacing w:after="0" w:line="261" w:lineRule="auto"/>
        <w:tabs>
          <w:tab w:leader="none" w:pos="81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Agreement to Guarantee</w:t>
      </w:r>
      <w:r>
        <w:rPr>
          <w:rFonts w:ascii="Arial" w:cs="Arial" w:eastAsia="Arial" w:hAnsi="Arial"/>
          <w:sz w:val="22"/>
          <w:szCs w:val="22"/>
          <w:color w:val="auto"/>
        </w:rPr>
        <w:t>. Each Guaranteeing Subsidiary hereby fully, irrevocably and unconditionally, jointly and severally, guarantees (such guarantee, as amended or supplemented from time to time, to be referred to herein as the “</w:t>
      </w:r>
      <w:r>
        <w:rPr>
          <w:rFonts w:ascii="Arial" w:cs="Arial" w:eastAsia="Arial" w:hAnsi="Arial"/>
          <w:sz w:val="22"/>
          <w:szCs w:val="22"/>
          <w:u w:val="single" w:color="auto"/>
          <w:color w:val="auto"/>
        </w:rPr>
        <w:t>Guarantee</w:t>
      </w:r>
      <w:r>
        <w:rPr>
          <w:rFonts w:ascii="Arial" w:cs="Arial" w:eastAsia="Arial" w:hAnsi="Arial"/>
          <w:sz w:val="22"/>
          <w:szCs w:val="22"/>
          <w:color w:val="auto"/>
        </w:rPr>
        <w:t>”), to each of the Holders, the Trustee and the Collateral Agent and their respective successors and assigns that (i) the principal of, premium, if any, and interest, if any, on the Notes shall be promptly paid in full when due, subject to any applicable grace period, whether upon redemption pursuant to the terms of the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2"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color w:val="auto"/>
        </w:rPr>
        <w:t>Execution Copy</w:t>
      </w:r>
    </w:p>
    <w:p>
      <w:pPr>
        <w:spacing w:after="0" w:line="395" w:lineRule="exact"/>
        <w:rPr>
          <w:sz w:val="20"/>
          <w:szCs w:val="20"/>
          <w:color w:val="auto"/>
        </w:rPr>
      </w:pPr>
    </w:p>
    <w:p>
      <w:pPr>
        <w:ind w:right="40"/>
        <w:spacing w:after="0" w:line="303" w:lineRule="auto"/>
        <w:rPr>
          <w:sz w:val="20"/>
          <w:szCs w:val="20"/>
          <w:color w:val="auto"/>
        </w:rPr>
      </w:pPr>
      <w:r>
        <w:rPr>
          <w:rFonts w:ascii="Arial" w:cs="Arial" w:eastAsia="Arial" w:hAnsi="Arial"/>
          <w:sz w:val="19"/>
          <w:szCs w:val="19"/>
          <w:color w:val="auto"/>
        </w:rPr>
        <w:t xml:space="preserve">Notes, by acceleration or otherwise, and interest on the overdue principal (including interest accruing at the then-applicable rate provided in the Indenture Documents after the occurrence of any Event of Default set forth in Section 6.01(6) or 6.01(7) of the Indenture, whether or not a claim for post-filing or post-petition interest is allowed under applicable law following the institution of a proceeding under bankruptcy, insolvency or similar laws), if any, and interest on any interest, if any, to the extent lawful, of the Notes and all other obligations of the Issuer to the Holders, the Trustee and the Collateral Agent hereunder, thereunder or under any Collateral Agreement shall be promptly paid in full or performed, all in accordance with the terms hereof, thereof and of the Collateral Agreements; and (ii) in case of any extension of time of payment or renewal of any of the Notes or of any such other obligations, the same shall be promptly paid in full when due or performed in accordance with the terms of the extension or renewal, subject to any applicable grace period, whether at stated maturity, by acceleration or otherwise, subject, however, in the case of </w:t>
      </w:r>
      <w:r>
        <w:rPr>
          <w:rFonts w:ascii="Arial" w:cs="Arial" w:eastAsia="Arial" w:hAnsi="Arial"/>
          <w:sz w:val="19"/>
          <w:szCs w:val="19"/>
          <w:u w:val="single" w:color="auto"/>
          <w:color w:val="auto"/>
        </w:rPr>
        <w:t>clauses</w:t>
      </w:r>
      <w:r>
        <w:rPr>
          <w:rFonts w:ascii="Arial" w:cs="Arial" w:eastAsia="Arial" w:hAnsi="Arial"/>
          <w:sz w:val="19"/>
          <w:szCs w:val="19"/>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color w:val="auto"/>
        </w:rPr>
        <w:t>) and (</w:t>
      </w:r>
      <w:r>
        <w:rPr>
          <w:rFonts w:ascii="Arial" w:cs="Arial" w:eastAsia="Arial" w:hAnsi="Arial"/>
          <w:sz w:val="19"/>
          <w:szCs w:val="19"/>
          <w:u w:val="single" w:color="auto"/>
          <w:color w:val="auto"/>
        </w:rPr>
        <w:t>ii</w:t>
      </w:r>
      <w:r>
        <w:rPr>
          <w:rFonts w:ascii="Arial" w:cs="Arial" w:eastAsia="Arial" w:hAnsi="Arial"/>
          <w:sz w:val="19"/>
          <w:szCs w:val="19"/>
          <w:color w:val="auto"/>
        </w:rPr>
        <w:t>) above, to the limitations set forth in Section 10.03 of the Indenture.</w:t>
      </w:r>
    </w:p>
    <w:p>
      <w:pPr>
        <w:spacing w:after="0" w:line="200" w:lineRule="exact"/>
        <w:rPr>
          <w:sz w:val="20"/>
          <w:szCs w:val="20"/>
          <w:color w:val="auto"/>
        </w:rPr>
      </w:pP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obligations of each Guaranteeing Subsidiary to the Holders and to the Trustee pursuant to this Supplemental Indenture and the Indenture are expressly set forth in Article Ten of the Indenture and reference is hereby made to such Indenture for the precise terms of the Guarantee.</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No past, present or future director, officer, employee, incorporator or stockholder of the Issuer or of any Subsidiary of the Issuer, as such, shall have any liability for any obligations of the Issuer or the Guarantors under the Indenture, the Notes, the Guarantees or the Collateral Agreements or for any claim based on, in respect of, or by reason of, such obligations or their creation. Each Holder by accepting a Note waives and releases all such liability. The waiver and release are part of the consideration for issuance of the Notes and Guarantees. The waiver may not be effective to waive liabilities under the federal securities laws.</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Guarantee executed and delivered hereby is a continuing Guarantee and shall remain in full force and effect and shall be binding upon each Guaranteeing Subsidiary and its successors and assigns until full and final payment of all of the Issuer’s obligations under the Notes and Indenture or until released or legally defeased in accordance with the Indenture and shall inure to the benefit of the successors and assigns of the Trustee and the Holders, and, in the event of any transfer or assignment of rights by any Holder or the Trustee, the rights and privileges herein conferred upon that party shall automatically extend to and be vested in such transferee or assignee, all subject to the terms and conditions hereof. This is a Guarantee of payment and performance and not of collectibility.</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obligations of each Guaranteeing Subsidiary under its Guarantee shall be limited to the extent necessary to insure that it does not constitute a fraudulent conveyance under applicable law.</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TERMS OF ARTICLE TEN OF THE INDENTURE ARE INCORPORATED HEREIN BY REFERENCE.</w:t>
      </w:r>
    </w:p>
    <w:p>
      <w:pPr>
        <w:spacing w:after="0" w:line="266" w:lineRule="exact"/>
        <w:rPr>
          <w:sz w:val="20"/>
          <w:szCs w:val="20"/>
          <w:color w:val="auto"/>
        </w:rPr>
      </w:pPr>
    </w:p>
    <w:p>
      <w:pPr>
        <w:ind w:right="360" w:firstLine="332"/>
        <w:spacing w:after="0" w:line="266" w:lineRule="auto"/>
        <w:tabs>
          <w:tab w:leader="none" w:pos="81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SUPPLEMENTAL INDENTURE SHALL BE GOVERNED BY AND CONSTRUED IN ACCORDANCE WITH THE LAWS OF THE STATE OF NEW YORK. EACH OF THE PARTIES HERETO AGREES TO SUBMIT TO THE JURISDICTION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32"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color w:val="auto"/>
        </w:rPr>
        <w:t>Execution Copy</w:t>
      </w:r>
    </w:p>
    <w:p>
      <w:pPr>
        <w:spacing w:after="0" w:line="395" w:lineRule="exact"/>
        <w:rPr>
          <w:sz w:val="20"/>
          <w:szCs w:val="20"/>
          <w:color w:val="auto"/>
        </w:rPr>
      </w:pPr>
    </w:p>
    <w:p>
      <w:pPr>
        <w:ind w:right="60"/>
        <w:spacing w:after="0" w:line="276" w:lineRule="auto"/>
        <w:rPr>
          <w:sz w:val="20"/>
          <w:szCs w:val="20"/>
          <w:color w:val="auto"/>
        </w:rPr>
      </w:pPr>
      <w:r>
        <w:rPr>
          <w:rFonts w:ascii="Arial" w:cs="Arial" w:eastAsia="Arial" w:hAnsi="Arial"/>
          <w:sz w:val="22"/>
          <w:szCs w:val="22"/>
          <w:color w:val="auto"/>
        </w:rPr>
        <w:t>OF THE COURTS OF THE STATE OF NEW YORK IN ANY ACTION OR PROCEEDING ARISING OUT OF OR RELATING TO THIS SUPPLEMENTAL INDENTURE.</w:t>
      </w:r>
    </w:p>
    <w:p>
      <w:pPr>
        <w:spacing w:after="0" w:line="215" w:lineRule="exact"/>
        <w:rPr>
          <w:sz w:val="20"/>
          <w:szCs w:val="20"/>
          <w:color w:val="auto"/>
        </w:rPr>
      </w:pPr>
    </w:p>
    <w:p>
      <w:pPr>
        <w:ind w:right="320" w:firstLine="332"/>
        <w:spacing w:after="0" w:line="276" w:lineRule="auto"/>
        <w:tabs>
          <w:tab w:leader="none" w:pos="81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Supplemental Indenture. Each signed copy shall be an original, but all of them together represent the same agreement.</w:t>
      </w:r>
    </w:p>
    <w:p>
      <w:pPr>
        <w:spacing w:after="0" w:line="214" w:lineRule="exact"/>
        <w:rPr>
          <w:rFonts w:ascii="Arial" w:cs="Arial" w:eastAsia="Arial" w:hAnsi="Arial"/>
          <w:sz w:val="22"/>
          <w:szCs w:val="22"/>
          <w:color w:val="auto"/>
        </w:rPr>
      </w:pPr>
    </w:p>
    <w:p>
      <w:pPr>
        <w:jc w:val="center"/>
        <w:ind w:left="4640" w:right="420" w:hanging="4308"/>
        <w:spacing w:after="0" w:line="520" w:lineRule="auto"/>
        <w:tabs>
          <w:tab w:leader="none" w:pos="819"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Effect of Headings</w:t>
      </w:r>
      <w:r>
        <w:rPr>
          <w:rFonts w:ascii="Arial" w:cs="Arial" w:eastAsia="Arial" w:hAnsi="Arial"/>
          <w:sz w:val="22"/>
          <w:szCs w:val="22"/>
          <w:color w:val="auto"/>
        </w:rPr>
        <w:t>. The Section headings herein are for convenience only and shall not affect the construction hereof.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31" w:right="239" w:bottom="1440" w:gutter="0" w:footer="0" w:header="0"/>
        </w:sectPr>
      </w:pPr>
    </w:p>
    <w:bookmarkStart w:id="118" w:name="page119"/>
    <w:bookmarkEnd w:id="118"/>
    <w:p>
      <w:pPr>
        <w:ind w:firstLine="567"/>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written below.</w:t>
      </w:r>
    </w:p>
    <w:p>
      <w:pPr>
        <w:spacing w:after="0" w:line="200" w:lineRule="exact"/>
        <w:rPr>
          <w:sz w:val="20"/>
          <w:szCs w:val="20"/>
          <w:color w:val="auto"/>
        </w:rPr>
      </w:pPr>
    </w:p>
    <w:p>
      <w:pPr>
        <w:spacing w:after="0" w:line="266"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GUARANTEEING SUBSIDIARIES:</w:t>
      </w:r>
    </w:p>
    <w:p>
      <w:pPr>
        <w:spacing w:after="0" w:line="260"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KRATOS SYSTEMS AND SOLUTIONS, INC.</w:t>
      </w:r>
    </w:p>
    <w:p>
      <w:pPr>
        <w:spacing w:after="0" w:line="28"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SHADOW I, INC.</w:t>
      </w:r>
    </w:p>
    <w:p>
      <w:pPr>
        <w:spacing w:after="0" w:line="391" w:lineRule="exact"/>
        <w:rPr>
          <w:sz w:val="20"/>
          <w:szCs w:val="20"/>
          <w:color w:val="auto"/>
        </w:rPr>
      </w:pPr>
    </w:p>
    <w:p>
      <w:pPr>
        <w:ind w:left="3840"/>
        <w:spacing w:after="0"/>
        <w:rPr>
          <w:sz w:val="20"/>
          <w:szCs w:val="20"/>
          <w:color w:val="auto"/>
        </w:rPr>
      </w:pPr>
      <w:r>
        <w:rPr>
          <w:rFonts w:ascii="Arial" w:cs="Arial" w:eastAsia="Arial" w:hAnsi="Arial"/>
          <w:sz w:val="22"/>
          <w:szCs w:val="22"/>
          <w:u w:val="single" w:color="auto"/>
          <w:color w:val="auto"/>
        </w:rPr>
        <w:t>/s/ Deanna H. Lund</w:t>
      </w:r>
    </w:p>
    <w:p>
      <w:pPr>
        <w:spacing w:after="0" w:line="44"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Name: Deanna H. Lund</w:t>
      </w:r>
    </w:p>
    <w:p>
      <w:pPr>
        <w:spacing w:after="0" w:line="44" w:lineRule="exact"/>
        <w:rPr>
          <w:sz w:val="20"/>
          <w:szCs w:val="20"/>
          <w:color w:val="auto"/>
        </w:rPr>
      </w:pPr>
    </w:p>
    <w:p>
      <w:pPr>
        <w:ind w:left="3840"/>
        <w:spacing w:after="0"/>
        <w:tabs>
          <w:tab w:leader="none" w:pos="44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&amp; Chief</w:t>
      </w:r>
    </w:p>
    <w:p>
      <w:pPr>
        <w:spacing w:after="0" w:line="4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351"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THE TRUSTEE:</w:t>
      </w:r>
    </w:p>
    <w:p>
      <w:pPr>
        <w:spacing w:after="0" w:line="287"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WILMINGTON TRUST, NATIONAL ASSOCIATION</w:t>
      </w:r>
      <w:r>
        <w:rPr>
          <w:rFonts w:ascii="Arial" w:cs="Arial" w:eastAsia="Arial" w:hAnsi="Arial"/>
          <w:sz w:val="22"/>
          <w:szCs w:val="22"/>
          <w:color w:val="auto"/>
        </w:rPr>
        <w:t>, as Trustee</w:t>
      </w:r>
    </w:p>
    <w:p>
      <w:pPr>
        <w:spacing w:after="0" w:line="200" w:lineRule="exact"/>
        <w:rPr>
          <w:sz w:val="20"/>
          <w:szCs w:val="20"/>
          <w:color w:val="auto"/>
        </w:rPr>
      </w:pPr>
    </w:p>
    <w:p>
      <w:pPr>
        <w:spacing w:after="0" w:line="215" w:lineRule="exact"/>
        <w:rPr>
          <w:sz w:val="20"/>
          <w:szCs w:val="20"/>
          <w:color w:val="auto"/>
        </w:rPr>
      </w:pPr>
    </w:p>
    <w:p>
      <w:pPr>
        <w:ind w:left="3840"/>
        <w:spacing w:after="0"/>
        <w:rPr>
          <w:sz w:val="20"/>
          <w:szCs w:val="20"/>
          <w:color w:val="auto"/>
        </w:rPr>
      </w:pPr>
      <w:r>
        <w:rPr>
          <w:rFonts w:ascii="Arial" w:cs="Arial" w:eastAsia="Arial" w:hAnsi="Arial"/>
          <w:sz w:val="22"/>
          <w:szCs w:val="22"/>
          <w:u w:val="single" w:color="auto"/>
          <w:color w:val="auto"/>
        </w:rPr>
        <w:t>/s/ Jane Schweiger</w:t>
      </w:r>
    </w:p>
    <w:p>
      <w:pPr>
        <w:spacing w:after="0" w:line="44"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Name: Jane Schweiger</w:t>
      </w:r>
    </w:p>
    <w:p>
      <w:pPr>
        <w:spacing w:after="0" w:line="44" w:lineRule="exact"/>
        <w:rPr>
          <w:sz w:val="20"/>
          <w:szCs w:val="20"/>
          <w:color w:val="auto"/>
        </w:rPr>
      </w:pPr>
    </w:p>
    <w:p>
      <w:pPr>
        <w:ind w:left="3840"/>
        <w:spacing w:after="0"/>
        <w:tabs>
          <w:tab w:leader="none" w:pos="4520" w:val="left"/>
        </w:tabs>
        <w:rPr>
          <w:sz w:val="20"/>
          <w:szCs w:val="20"/>
          <w:color w:val="auto"/>
        </w:rPr>
      </w:pPr>
      <w:r>
        <w:rPr>
          <w:rFonts w:ascii="Arial" w:cs="Arial" w:eastAsia="Arial" w:hAnsi="Arial"/>
          <w:sz w:val="22"/>
          <w:szCs w:val="22"/>
          <w:color w:val="auto"/>
        </w:rPr>
        <w:t>Title:</w:t>
        <w:tab/>
        <w:t>Vice President</w:t>
      </w:r>
    </w:p>
    <w:p>
      <w:pPr>
        <w:spacing w:after="0" w:line="200" w:lineRule="exact"/>
        <w:rPr>
          <w:sz w:val="20"/>
          <w:szCs w:val="20"/>
          <w:color w:val="auto"/>
        </w:rPr>
      </w:pPr>
    </w:p>
    <w:p>
      <w:pPr>
        <w:spacing w:after="0" w:line="338"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THE ISSUER</w:t>
      </w:r>
      <w:r>
        <w:rPr>
          <w:rFonts w:ascii="Arial" w:cs="Arial" w:eastAsia="Arial" w:hAnsi="Arial"/>
          <w:sz w:val="22"/>
          <w:szCs w:val="22"/>
          <w:color w:val="auto"/>
        </w:rPr>
        <w:t>:</w:t>
      </w:r>
    </w:p>
    <w:p>
      <w:pPr>
        <w:spacing w:after="0" w:line="260"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KRATOS DEFENSE &amp; SECURITY SOLUTIONS, INC.</w:t>
      </w:r>
    </w:p>
    <w:p>
      <w:pPr>
        <w:spacing w:after="0" w:line="307"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Deanna H. Lund</w:t>
      </w:r>
    </w:p>
    <w:p>
      <w:pPr>
        <w:spacing w:after="0" w:line="44"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Name: Deanna H. Lund</w:t>
      </w:r>
    </w:p>
    <w:p>
      <w:pPr>
        <w:spacing w:after="0" w:line="44" w:lineRule="exact"/>
        <w:rPr>
          <w:sz w:val="20"/>
          <w:szCs w:val="20"/>
          <w:color w:val="auto"/>
        </w:rPr>
      </w:pPr>
    </w:p>
    <w:p>
      <w:pPr>
        <w:ind w:left="4300"/>
        <w:spacing w:after="0"/>
        <w:tabs>
          <w:tab w:leader="none" w:pos="49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&amp; Chief</w:t>
      </w:r>
    </w:p>
    <w:p>
      <w:pPr>
        <w:spacing w:after="0" w:line="44"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Supplemental Indenture]</w:t>
      </w:r>
    </w:p>
    <w:p>
      <w:pPr>
        <w:sectPr>
          <w:pgSz w:w="11900" w:h="16838" w:orient="portrait"/>
          <w:cols w:equalWidth="0" w:num="1">
            <w:col w:w="11420"/>
          </w:cols>
          <w:pgMar w:left="240" w:top="807"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67" w:lineRule="exact"/>
        <w:rPr>
          <w:sz w:val="20"/>
          <w:szCs w:val="20"/>
          <w:color w:val="auto"/>
        </w:rPr>
      </w:pPr>
    </w:p>
    <w:p>
      <w:pPr>
        <w:ind w:left="900"/>
        <w:spacing w:after="0"/>
        <w:rPr>
          <w:sz w:val="20"/>
          <w:szCs w:val="20"/>
          <w:color w:val="auto"/>
        </w:rPr>
      </w:pPr>
      <w:r>
        <w:rPr>
          <w:rFonts w:ascii="Arial" w:cs="Arial" w:eastAsia="Arial" w:hAnsi="Arial"/>
          <w:sz w:val="20"/>
          <w:szCs w:val="20"/>
          <w:b w:val="1"/>
          <w:bCs w:val="1"/>
          <w:color w:val="auto"/>
        </w:rPr>
        <w:t>FIFTH AMENDMENT TO CREDIT AND SECURITY AGREEMENT, LIMITED CONSENT, AND WAIVER</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This FIFTH AMENDMENT TO CREDIT AND SECURITY AGREEMENT, LIMITED CONSENT, AND WAIVER (this</w:t>
      </w:r>
    </w:p>
    <w:p>
      <w:pPr>
        <w:spacing w:after="0" w:line="20" w:lineRule="exact"/>
        <w:rPr>
          <w:sz w:val="20"/>
          <w:szCs w:val="20"/>
          <w:color w:val="auto"/>
        </w:rPr>
      </w:pPr>
    </w:p>
    <w:p>
      <w:pPr>
        <w:ind w:left="640" w:right="100"/>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is made as of July 22, 2016, and effective upon the Effective Date (as defined below), by and among KRATOS DEFENSE &amp; SECURITY SOLUTIONS, INC., a Delaware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each of the other Credit Parties identified as such on the signature pages hereof, each of the lenders signatory hereto constituting the Required Lenders (as defined in the Credit Agreement described below) and SUNTRUST BANK, a Georgia banking corporation, as administrative agent (together with its successors and assigns in such capacity,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jc w:val="both"/>
        <w:ind w:firstLine="644"/>
        <w:spacing w:after="0" w:line="274" w:lineRule="auto"/>
        <w:tabs>
          <w:tab w:leader="none" w:pos="1489"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Borrower, Agent and certain lenders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are parties to that certain Credit and Security Agreement, dated as of May 14, 2014 (as amended to date and as it may be further amended, restated, supplemented and/or otherwise modified from time to time prior to the date hereof,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Except as otherwise defined herein, capitalized terms used herein have the respective meanings assigned to them in the Credit Agreement.</w:t>
      </w:r>
    </w:p>
    <w:p>
      <w:pPr>
        <w:spacing w:after="0" w:line="192" w:lineRule="exact"/>
        <w:rPr>
          <w:rFonts w:ascii="Arial" w:cs="Arial" w:eastAsia="Arial" w:hAnsi="Arial"/>
          <w:sz w:val="20"/>
          <w:szCs w:val="20"/>
          <w:color w:val="auto"/>
        </w:rPr>
      </w:pPr>
    </w:p>
    <w:p>
      <w:pPr>
        <w:jc w:val="both"/>
        <w:ind w:firstLine="644"/>
        <w:spacing w:after="0" w:line="293" w:lineRule="auto"/>
        <w:tabs>
          <w:tab w:leader="none" w:pos="1478" w:val="left"/>
        </w:tabs>
        <w:numPr>
          <w:ilvl w:val="0"/>
          <w:numId w:val="62"/>
        </w:numPr>
        <w:rPr>
          <w:rFonts w:ascii="Arial" w:cs="Arial" w:eastAsia="Arial" w:hAnsi="Arial"/>
          <w:sz w:val="19"/>
          <w:szCs w:val="19"/>
          <w:color w:val="auto"/>
        </w:rPr>
      </w:pPr>
      <w:r>
        <w:rPr>
          <w:rFonts w:ascii="Arial" w:cs="Arial" w:eastAsia="Arial" w:hAnsi="Arial"/>
          <w:sz w:val="19"/>
          <w:szCs w:val="19"/>
          <w:color w:val="auto"/>
        </w:rPr>
        <w:t>In connection with the Credit Agreement, each Credit Party (other than the Borrower) guaranteed the Obligations of the Borrower pursuant to that certain Guaranty of Payment, dated as of May 14, 2014, and each Credit Party granted to Agent, for the benefit of the Lenders, a first priority security interest (subject only to Permitted Liens) in substantially all of such Credit Party’s assets pursuant to that certain Security Agreement, dated as of May 14, 2014, executed by the Credit Parties in favor of Agent.</w:t>
      </w:r>
    </w:p>
    <w:p>
      <w:pPr>
        <w:spacing w:after="0" w:line="175" w:lineRule="exact"/>
        <w:rPr>
          <w:rFonts w:ascii="Arial" w:cs="Arial" w:eastAsia="Arial" w:hAnsi="Arial"/>
          <w:sz w:val="19"/>
          <w:szCs w:val="19"/>
          <w:color w:val="auto"/>
        </w:rPr>
      </w:pPr>
    </w:p>
    <w:p>
      <w:pPr>
        <w:jc w:val="both"/>
        <w:ind w:firstLine="644"/>
        <w:spacing w:after="0" w:line="300" w:lineRule="auto"/>
        <w:tabs>
          <w:tab w:leader="none" w:pos="14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Gichner Systems Group, Inc., a Delaware corporation (“</w:t>
      </w:r>
      <w:r>
        <w:rPr>
          <w:rFonts w:ascii="Arial" w:cs="Arial" w:eastAsia="Arial" w:hAnsi="Arial"/>
          <w:sz w:val="18"/>
          <w:szCs w:val="18"/>
          <w:u w:val="single" w:color="auto"/>
          <w:color w:val="auto"/>
        </w:rPr>
        <w:t>Gichner</w:t>
      </w:r>
      <w:r>
        <w:rPr>
          <w:rFonts w:ascii="Arial" w:cs="Arial" w:eastAsia="Arial" w:hAnsi="Arial"/>
          <w:sz w:val="18"/>
          <w:szCs w:val="18"/>
          <w:color w:val="auto"/>
        </w:rPr>
        <w:t>”) and wholly-owned Subsidiary of the Borrower, has entered into, and desires to modify, a contracting relationship with Raytheon Company a Delaware corporation (“</w:t>
      </w:r>
      <w:r>
        <w:rPr>
          <w:rFonts w:ascii="Arial" w:cs="Arial" w:eastAsia="Arial" w:hAnsi="Arial"/>
          <w:sz w:val="18"/>
          <w:szCs w:val="18"/>
          <w:u w:val="single" w:color="auto"/>
          <w:color w:val="auto"/>
        </w:rPr>
        <w:t>Raytheon</w:t>
      </w:r>
      <w:r>
        <w:rPr>
          <w:rFonts w:ascii="Arial" w:cs="Arial" w:eastAsia="Arial" w:hAnsi="Arial"/>
          <w:sz w:val="18"/>
          <w:szCs w:val="18"/>
          <w:color w:val="auto"/>
        </w:rPr>
        <w:t xml:space="preserve">”), pursuant to the purchase orders listed on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hereto (as such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may be amended by Agent and Raytheon from time to time, collectively, the “</w:t>
      </w:r>
      <w:r>
        <w:rPr>
          <w:rFonts w:ascii="Arial" w:cs="Arial" w:eastAsia="Arial" w:hAnsi="Arial"/>
          <w:sz w:val="18"/>
          <w:szCs w:val="18"/>
          <w:u w:val="single" w:color="auto"/>
          <w:color w:val="auto"/>
        </w:rPr>
        <w:t>Raytheon Purchase Orders</w:t>
      </w:r>
      <w:r>
        <w:rPr>
          <w:rFonts w:ascii="Arial" w:cs="Arial" w:eastAsia="Arial" w:hAnsi="Arial"/>
          <w:sz w:val="18"/>
          <w:szCs w:val="18"/>
          <w:color w:val="auto"/>
        </w:rPr>
        <w:t>”), and in connection therewith has granted to Raytheon, and will grant to Raytheon, a first priority Lien in all goods purchased by Gichner with progress, advance, milestone and/or performance based payments (collectively, “</w:t>
      </w:r>
      <w:r>
        <w:rPr>
          <w:rFonts w:ascii="Arial" w:cs="Arial" w:eastAsia="Arial" w:hAnsi="Arial"/>
          <w:sz w:val="18"/>
          <w:szCs w:val="18"/>
          <w:u w:val="single" w:color="auto"/>
          <w:color w:val="auto"/>
        </w:rPr>
        <w:t>Raytheon Progress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 made by Raytheon to Gichner pursuant to the Raytheon Purchase Orders (the “</w:t>
      </w:r>
      <w:r>
        <w:rPr>
          <w:rFonts w:ascii="Arial" w:cs="Arial" w:eastAsia="Arial" w:hAnsi="Arial"/>
          <w:sz w:val="18"/>
          <w:szCs w:val="18"/>
          <w:u w:val="single" w:color="auto"/>
          <w:color w:val="auto"/>
        </w:rPr>
        <w:t>Raytheon Collateral</w:t>
      </w:r>
      <w:r>
        <w:rPr>
          <w:rFonts w:ascii="Arial" w:cs="Arial" w:eastAsia="Arial" w:hAnsi="Arial"/>
          <w:sz w:val="18"/>
          <w:szCs w:val="18"/>
          <w:color w:val="auto"/>
        </w:rPr>
        <w:t>”) pursuant to that certain Security Agreement, dated as of June 24, 2014 among Raytheon Integrated Defense Company, a Delaware corporation (“</w:t>
      </w:r>
      <w:r>
        <w:rPr>
          <w:rFonts w:ascii="Arial" w:cs="Arial" w:eastAsia="Arial" w:hAnsi="Arial"/>
          <w:sz w:val="18"/>
          <w:szCs w:val="18"/>
          <w:u w:val="single" w:color="auto"/>
          <w:color w:val="auto"/>
        </w:rPr>
        <w:t>Raytheon IDC</w:t>
      </w:r>
      <w:r>
        <w:rPr>
          <w:rFonts w:ascii="Arial" w:cs="Arial" w:eastAsia="Arial" w:hAnsi="Arial"/>
          <w:sz w:val="18"/>
          <w:szCs w:val="18"/>
          <w:color w:val="auto"/>
        </w:rPr>
        <w:t xml:space="preserve">”), and a division or wholly-owned subsidiary of Raytheon, as amended by (i) that certain First Amendment to Security Agreement, dated November 10, 2014, between Raytheon IDC and Gichner, and (ii) as further amended by that certain Second Amendment to Security Agreement, dated as of the date hereof, between Raytheon and Gichner, a fully-executed copy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so amended, and as the same may be further amended, restated, supplemented and/or otherwise modified from time to time, together with all other security agreements between Gichner and Raytheon as Gichner may attach to Exhibit A with the written consent of Agent, the “</w:t>
      </w:r>
      <w:r>
        <w:rPr>
          <w:rFonts w:ascii="Arial" w:cs="Arial" w:eastAsia="Arial" w:hAnsi="Arial"/>
          <w:sz w:val="18"/>
          <w:szCs w:val="18"/>
          <w:u w:val="single" w:color="auto"/>
          <w:color w:val="auto"/>
        </w:rPr>
        <w:t>Raytheon Security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to secure, up to the aggregate amount of the Raytheon Progress Payments actually received by Gichner from Raytheon that have not been liquidated pursuant to the applicable Raytheon Purchase Orders, Gichner’s obligations to purchase goods and perform labor on such goods as required by the Raytheon Purchase Orders, and (ii) have Agent subordinate Agent’s Lien in the Raytheon Collateral in favor of such Lien of Raytheon, pursuant to that certain Amended and Restated Subordination Agreement, dated as of the date hereof between Raytheon and Agent (and approved by Gichner), a fully- executed copy of which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Raytheon Subordination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(collectively, the “</w:t>
      </w:r>
      <w:r>
        <w:rPr>
          <w:rFonts w:ascii="Arial" w:cs="Arial" w:eastAsia="Arial" w:hAnsi="Arial"/>
          <w:sz w:val="18"/>
          <w:szCs w:val="18"/>
          <w:u w:val="single" w:color="auto"/>
          <w:color w:val="auto"/>
        </w:rPr>
        <w:t>Transaction</w:t>
      </w:r>
      <w:r>
        <w:rPr>
          <w:rFonts w:ascii="Arial" w:cs="Arial" w:eastAsia="Arial" w:hAnsi="Arial"/>
          <w:sz w:val="18"/>
          <w:szCs w:val="18"/>
          <w:color w:val="auto"/>
        </w:rPr>
        <w:t>”).</w:t>
      </w:r>
    </w:p>
    <w:p>
      <w:pPr>
        <w:spacing w:after="0" w:line="200" w:lineRule="exact"/>
        <w:rPr>
          <w:sz w:val="20"/>
          <w:szCs w:val="20"/>
          <w:color w:val="auto"/>
        </w:rPr>
      </w:pPr>
    </w:p>
    <w:p>
      <w:pPr>
        <w:spacing w:after="0" w:line="28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[Kratos] Fifth Amendment</w:t>
      </w:r>
    </w:p>
    <w:p>
      <w:pPr>
        <w:ind w:left="680"/>
        <w:spacing w:after="0"/>
        <w:rPr>
          <w:sz w:val="20"/>
          <w:szCs w:val="20"/>
          <w:color w:val="auto"/>
        </w:rPr>
      </w:pPr>
      <w:r>
        <w:rPr>
          <w:rFonts w:ascii="Arial" w:cs="Arial" w:eastAsia="Arial" w:hAnsi="Arial"/>
          <w:sz w:val="14"/>
          <w:szCs w:val="14"/>
          <w:color w:val="auto"/>
        </w:rPr>
        <w:t>#46502663</w:t>
      </w:r>
    </w:p>
    <w:p>
      <w:pPr>
        <w:sectPr>
          <w:pgSz w:w="11900" w:h="16838" w:orient="portrait"/>
          <w:cols w:equalWidth="0" w:num="1">
            <w:col w:w="11300"/>
          </w:cols>
          <w:pgMar w:left="360" w:top="121" w:right="239" w:bottom="1440" w:gutter="0" w:footer="0" w:header="0"/>
        </w:sectPr>
      </w:pPr>
    </w:p>
    <w:bookmarkStart w:id="120" w:name="page121"/>
    <w:bookmarkEnd w:id="120"/>
    <w:p>
      <w:pPr>
        <w:jc w:val="both"/>
        <w:ind w:firstLine="644"/>
        <w:spacing w:after="0" w:line="278" w:lineRule="auto"/>
        <w:tabs>
          <w:tab w:leader="none" w:pos="1489" w:val="left"/>
        </w:tabs>
        <w:numPr>
          <w:ilvl w:val="0"/>
          <w:numId w:val="63"/>
        </w:numPr>
        <w:rPr>
          <w:rFonts w:ascii="Arial" w:cs="Arial" w:eastAsia="Arial" w:hAnsi="Arial"/>
          <w:sz w:val="20"/>
          <w:szCs w:val="20"/>
          <w:color w:val="auto"/>
        </w:rPr>
      </w:pPr>
      <w:r>
        <w:rPr>
          <w:rFonts w:ascii="Arial" w:cs="Arial" w:eastAsia="Arial" w:hAnsi="Arial"/>
          <w:sz w:val="20"/>
          <w:szCs w:val="20"/>
          <w:color w:val="auto"/>
        </w:rPr>
        <w:t>Agent consented to the earlier transactions between Gichner and Raytheon, and Borrower has requested that Agent and the Lenders (i) consent to the Transaction, (ii) waive any Event of Default that would otherwise occur under the Loan Documents solely as a result of the Transaction, and (iii) amend the Credit Agreement as set forth herein.</w:t>
      </w:r>
    </w:p>
    <w:p>
      <w:pPr>
        <w:spacing w:after="0" w:line="200" w:lineRule="exact"/>
        <w:rPr>
          <w:rFonts w:ascii="Arial" w:cs="Arial" w:eastAsia="Arial" w:hAnsi="Arial"/>
          <w:sz w:val="20"/>
          <w:szCs w:val="20"/>
          <w:color w:val="auto"/>
        </w:rPr>
      </w:pPr>
    </w:p>
    <w:p>
      <w:pPr>
        <w:jc w:val="both"/>
        <w:ind w:firstLine="644"/>
        <w:spacing w:after="0" w:line="378" w:lineRule="auto"/>
        <w:tabs>
          <w:tab w:leader="none" w:pos="1467" w:val="left"/>
        </w:tabs>
        <w:numPr>
          <w:ilvl w:val="0"/>
          <w:numId w:val="63"/>
        </w:numPr>
        <w:rPr>
          <w:rFonts w:ascii="Arial" w:cs="Arial" w:eastAsia="Arial" w:hAnsi="Arial"/>
          <w:sz w:val="16"/>
          <w:szCs w:val="16"/>
          <w:color w:val="auto"/>
        </w:rPr>
      </w:pPr>
      <w:r>
        <w:rPr>
          <w:rFonts w:ascii="Arial" w:cs="Arial" w:eastAsia="Arial" w:hAnsi="Arial"/>
          <w:sz w:val="16"/>
          <w:szCs w:val="16"/>
          <w:color w:val="auto"/>
        </w:rPr>
        <w:t>Agent acknowledges that the Required Lenders have the authority under the Credit Agreement to give such consents, grant such waivers and make such amendments to the Credit Agreement, and Agent and the Required Lenders are willing to provide such limited consent and limited waivers and to make such amendments to the Credit Agreement on the terms and subject to the conditions set forth herein.</w:t>
      </w:r>
    </w:p>
    <w:p>
      <w:pPr>
        <w:spacing w:after="0" w:line="111"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foregoing recitals and other good and valuable consideration, the receipt and</w:t>
      </w:r>
      <w:r>
        <w:rPr>
          <w:rFonts w:ascii="Arial" w:cs="Arial" w:eastAsia="Arial" w:hAnsi="Arial"/>
          <w:sz w:val="20"/>
          <w:szCs w:val="20"/>
          <w:b w:val="1"/>
          <w:bCs w:val="1"/>
          <w:color w:val="auto"/>
        </w:rPr>
        <w:t xml:space="preserve"> </w:t>
      </w:r>
      <w:r>
        <w:rPr>
          <w:rFonts w:ascii="Arial" w:cs="Arial" w:eastAsia="Arial" w:hAnsi="Arial"/>
          <w:sz w:val="20"/>
          <w:szCs w:val="20"/>
          <w:color w:val="auto"/>
        </w:rPr>
        <w:t>sufficiency of which are hereby acknowledged, the parties hereto agree as follows:</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AGREEMENTS</w:t>
      </w:r>
    </w:p>
    <w:p>
      <w:pPr>
        <w:spacing w:after="0" w:line="216" w:lineRule="exact"/>
        <w:rPr>
          <w:sz w:val="20"/>
          <w:szCs w:val="20"/>
          <w:color w:val="auto"/>
        </w:rPr>
      </w:pPr>
    </w:p>
    <w:p>
      <w:pPr>
        <w:jc w:val="both"/>
        <w:ind w:firstLine="644"/>
        <w:spacing w:after="0" w:line="258" w:lineRule="auto"/>
        <w:tabs>
          <w:tab w:leader="none" w:pos="1031" w:val="left"/>
        </w:tabs>
        <w:numPr>
          <w:ilvl w:val="0"/>
          <w:numId w:val="64"/>
        </w:numPr>
        <w:rPr>
          <w:rFonts w:ascii="Arial" w:cs="Arial" w:eastAsia="Arial" w:hAnsi="Arial"/>
          <w:sz w:val="19"/>
          <w:szCs w:val="19"/>
          <w:color w:val="auto"/>
        </w:rPr>
      </w:pPr>
      <w:r>
        <w:rPr>
          <w:rFonts w:ascii="Arial" w:cs="Arial" w:eastAsia="Arial" w:hAnsi="Arial"/>
          <w:sz w:val="19"/>
          <w:szCs w:val="19"/>
          <w:b w:val="1"/>
          <w:bCs w:val="1"/>
          <w:color w:val="auto"/>
        </w:rPr>
        <w:t xml:space="preserve">Limited Consent and Waiver. </w:t>
      </w:r>
      <w:r>
        <w:rPr>
          <w:rFonts w:ascii="Arial" w:cs="Arial" w:eastAsia="Arial" w:hAnsi="Arial"/>
          <w:sz w:val="19"/>
          <w:szCs w:val="19"/>
          <w:color w:val="auto"/>
        </w:rPr>
        <w:t>Effective on the Effective Date (as defined below), Agent and the Required Lenders hereby (i)</w:t>
      </w:r>
      <w:r>
        <w:rPr>
          <w:rFonts w:ascii="Arial" w:cs="Arial" w:eastAsia="Arial" w:hAnsi="Arial"/>
          <w:sz w:val="19"/>
          <w:szCs w:val="19"/>
          <w:b w:val="1"/>
          <w:bCs w:val="1"/>
          <w:color w:val="auto"/>
        </w:rPr>
        <w:t xml:space="preserve"> </w:t>
      </w:r>
      <w:r>
        <w:rPr>
          <w:rFonts w:ascii="Arial" w:cs="Arial" w:eastAsia="Arial" w:hAnsi="Arial"/>
          <w:sz w:val="19"/>
          <w:szCs w:val="19"/>
          <w:color w:val="auto"/>
        </w:rPr>
        <w:t>consent to the Transaction, including, without limitation, to Gichner’s execution of the Raytheon Security Agreement, (ii) consent to Agent’s execution of the Raytheon Subordination Agreement, and (iii) waive any Event of Default that would otherwise occur under the Credit Agreement solely as a result of the Transaction. Except as expressly set forth in this Agreement, the consent and waiver by Agent and the Required Lenders under this Agreement is not intended, and shall not be construed: (a) to modify or otherwise affect any of the provisions of the Credit Agreement or the other Loan Documents, (b) as a waiver of any of Agent’s or any Lender’s rights under the Credit Agreement or any other Loan Document, or (c) as an authorization or a consent by Agent and the Lenders to any further actions by any Credit Party not otherwise permitted by the Loan Documents.</w:t>
      </w:r>
    </w:p>
    <w:p>
      <w:pPr>
        <w:spacing w:after="0" w:line="173" w:lineRule="exact"/>
        <w:rPr>
          <w:rFonts w:ascii="Arial" w:cs="Arial" w:eastAsia="Arial" w:hAnsi="Arial"/>
          <w:sz w:val="19"/>
          <w:szCs w:val="19"/>
          <w:color w:val="auto"/>
        </w:rPr>
      </w:pPr>
    </w:p>
    <w:p>
      <w:pPr>
        <w:ind w:firstLine="644"/>
        <w:spacing w:after="0" w:line="267" w:lineRule="auto"/>
        <w:tabs>
          <w:tab w:leader="none" w:pos="1017" w:val="left"/>
        </w:tabs>
        <w:numPr>
          <w:ilvl w:val="0"/>
          <w:numId w:val="64"/>
        </w:numPr>
        <w:rPr>
          <w:rFonts w:ascii="Arial" w:cs="Arial" w:eastAsia="Arial" w:hAnsi="Arial"/>
          <w:sz w:val="20"/>
          <w:szCs w:val="20"/>
          <w:color w:val="auto"/>
        </w:rPr>
      </w:pPr>
      <w:r>
        <w:rPr>
          <w:rFonts w:ascii="Arial" w:cs="Arial" w:eastAsia="Arial" w:hAnsi="Arial"/>
          <w:sz w:val="20"/>
          <w:szCs w:val="20"/>
          <w:b w:val="1"/>
          <w:bCs w:val="1"/>
          <w:color w:val="auto"/>
        </w:rPr>
        <w:t xml:space="preserve">Amendments to the Credit Agreement. </w:t>
      </w:r>
      <w:r>
        <w:rPr>
          <w:rFonts w:ascii="Arial" w:cs="Arial" w:eastAsia="Arial" w:hAnsi="Arial"/>
          <w:sz w:val="20"/>
          <w:szCs w:val="20"/>
          <w:color w:val="auto"/>
        </w:rPr>
        <w:t>Effective as of the Effective Date (as defined below), the Credit Agreement is hereby</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as follows:</w:t>
      </w:r>
    </w:p>
    <w:p>
      <w:pPr>
        <w:spacing w:after="0" w:line="183" w:lineRule="exact"/>
        <w:rPr>
          <w:rFonts w:ascii="Arial" w:cs="Arial" w:eastAsia="Arial" w:hAnsi="Arial"/>
          <w:sz w:val="20"/>
          <w:szCs w:val="20"/>
          <w:color w:val="auto"/>
        </w:rPr>
      </w:pPr>
    </w:p>
    <w:p>
      <w:pPr>
        <w:ind w:firstLine="1293"/>
        <w:spacing w:after="0" w:line="260" w:lineRule="auto"/>
        <w:tabs>
          <w:tab w:leader="none" w:pos="1804" w:val="left"/>
        </w:tabs>
        <w:numPr>
          <w:ilvl w:val="1"/>
          <w:numId w:val="64"/>
        </w:numPr>
        <w:rPr>
          <w:rFonts w:ascii="Arial" w:cs="Arial" w:eastAsia="Arial" w:hAnsi="Arial"/>
          <w:sz w:val="20"/>
          <w:szCs w:val="20"/>
          <w:color w:val="010000"/>
        </w:rPr>
      </w:pPr>
      <w:r>
        <w:rPr>
          <w:rFonts w:ascii="Arial" w:cs="Arial" w:eastAsia="Arial" w:hAnsi="Arial"/>
          <w:sz w:val="20"/>
          <w:szCs w:val="20"/>
          <w:u w:val="single" w:color="auto"/>
          <w:color w:val="auto"/>
        </w:rPr>
        <w:t>Amendment to Section 1.1-New Definition</w:t>
      </w:r>
      <w:r>
        <w:rPr>
          <w:rFonts w:ascii="Arial" w:cs="Arial" w:eastAsia="Arial" w:hAnsi="Arial"/>
          <w:sz w:val="20"/>
          <w:szCs w:val="20"/>
          <w:color w:val="auto"/>
        </w:rPr>
        <w:t>. Section 1.1 of the Credit Agreement is hereby amended by adding the following new definitions thereto in proper alphabetical order therefor:</w:t>
      </w:r>
    </w:p>
    <w:p>
      <w:pPr>
        <w:spacing w:after="0" w:line="177" w:lineRule="exact"/>
        <w:rPr>
          <w:sz w:val="20"/>
          <w:szCs w:val="20"/>
          <w:color w:val="auto"/>
        </w:rPr>
      </w:pPr>
    </w:p>
    <w:p>
      <w:pPr>
        <w:jc w:val="both"/>
        <w:ind w:left="64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Fifth Amendment</w:t>
      </w:r>
      <w:r>
        <w:rPr>
          <w:rFonts w:ascii="Arial" w:cs="Arial" w:eastAsia="Arial" w:hAnsi="Arial"/>
          <w:sz w:val="20"/>
          <w:szCs w:val="20"/>
          <w:color w:val="auto"/>
        </w:rPr>
        <w:t>” means that certain Fifth Amendment to Credit and Security Agreement, Limited Consent and Waiver dated as of July 22, 2016, by and among the Borrower, each of the other Credit Parties identified as such on the signature pages thereof, each of the lenders signatory thereto constituting the Required Lenders and Agent.”</w:t>
      </w:r>
    </w:p>
    <w:p>
      <w:pPr>
        <w:spacing w:after="0" w:line="186" w:lineRule="exact"/>
        <w:rPr>
          <w:sz w:val="20"/>
          <w:szCs w:val="20"/>
          <w:color w:val="auto"/>
        </w:rPr>
      </w:pPr>
    </w:p>
    <w:p>
      <w:pPr>
        <w:ind w:firstLine="1293"/>
        <w:spacing w:after="0" w:line="260" w:lineRule="auto"/>
        <w:tabs>
          <w:tab w:leader="none" w:pos="1842" w:val="left"/>
        </w:tabs>
        <w:numPr>
          <w:ilvl w:val="0"/>
          <w:numId w:val="65"/>
        </w:numPr>
        <w:rPr>
          <w:rFonts w:ascii="Arial" w:cs="Arial" w:eastAsia="Arial" w:hAnsi="Arial"/>
          <w:sz w:val="20"/>
          <w:szCs w:val="20"/>
          <w:color w:val="010000"/>
        </w:rPr>
      </w:pPr>
      <w:r>
        <w:rPr>
          <w:rFonts w:ascii="Arial" w:cs="Arial" w:eastAsia="Arial" w:hAnsi="Arial"/>
          <w:sz w:val="20"/>
          <w:szCs w:val="20"/>
          <w:u w:val="single" w:color="auto"/>
          <w:color w:val="auto"/>
        </w:rPr>
        <w:t>Amendment to Section 1.1 of the Credit Agreement. Section 1.1</w:t>
      </w:r>
      <w:r>
        <w:rPr>
          <w:rFonts w:ascii="Arial" w:cs="Arial" w:eastAsia="Arial" w:hAnsi="Arial"/>
          <w:sz w:val="20"/>
          <w:szCs w:val="20"/>
          <w:color w:val="auto"/>
        </w:rPr>
        <w:t xml:space="preserve"> of the Credit Agreement is hereby amended by amending and restating the definitions set forth below in their entirety to provide as follows:</w:t>
      </w:r>
    </w:p>
    <w:p>
      <w:pPr>
        <w:spacing w:after="0" w:line="177" w:lineRule="exact"/>
        <w:rPr>
          <w:sz w:val="20"/>
          <w:szCs w:val="20"/>
          <w:color w:val="auto"/>
        </w:rPr>
      </w:pPr>
    </w:p>
    <w:p>
      <w:pPr>
        <w:ind w:left="64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Raytheon Progress Payments</w:t>
      </w:r>
      <w:r>
        <w:rPr>
          <w:rFonts w:ascii="Arial" w:cs="Arial" w:eastAsia="Arial" w:hAnsi="Arial"/>
          <w:sz w:val="20"/>
          <w:szCs w:val="20"/>
          <w:color w:val="auto"/>
        </w:rPr>
        <w:t>” means and includes the Raytheon Progress Payments as defined in the First Amendment and the Fifth Amendment.</w:t>
      </w:r>
    </w:p>
    <w:p>
      <w:pPr>
        <w:spacing w:after="0" w:line="177" w:lineRule="exact"/>
        <w:rPr>
          <w:sz w:val="20"/>
          <w:szCs w:val="20"/>
          <w:color w:val="auto"/>
        </w:rPr>
      </w:pPr>
    </w:p>
    <w:p>
      <w:pPr>
        <w:ind w:left="64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Raytheon Purchase Orders</w:t>
      </w:r>
      <w:r>
        <w:rPr>
          <w:rFonts w:ascii="Arial" w:cs="Arial" w:eastAsia="Arial" w:hAnsi="Arial"/>
          <w:sz w:val="18"/>
          <w:szCs w:val="18"/>
          <w:color w:val="auto"/>
        </w:rPr>
        <w:t>” means and includes the Raytheon Purchase Orders as defined in the First Amendment and the Fifth Amendment, and shall include all amendments, restatements and modifications made by Gichner and Raytheon (provided,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[Kratos] Fifth Amendment</w:t>
            </w:r>
          </w:p>
        </w:tc>
        <w:tc>
          <w:tcPr>
            <w:tcW w:w="37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176"/>
        </w:trPr>
        <w:tc>
          <w:tcPr>
            <w:tcW w:w="1540" w:type="dxa"/>
            <w:vAlign w:val="bottom"/>
          </w:tcPr>
          <w:p>
            <w:pPr>
              <w:spacing w:after="0"/>
              <w:rPr>
                <w:sz w:val="20"/>
                <w:szCs w:val="20"/>
                <w:color w:val="auto"/>
              </w:rPr>
            </w:pPr>
            <w:r>
              <w:rPr>
                <w:rFonts w:ascii="Arial" w:cs="Arial" w:eastAsia="Arial" w:hAnsi="Arial"/>
                <w:sz w:val="14"/>
                <w:szCs w:val="14"/>
                <w:color w:val="auto"/>
              </w:rPr>
              <w:t>#46502663</w:t>
            </w:r>
          </w:p>
        </w:tc>
        <w:tc>
          <w:tcPr>
            <w:tcW w:w="3780" w:type="dxa"/>
            <w:vAlign w:val="bottom"/>
          </w:tcPr>
          <w:p>
            <w:pPr>
              <w:spacing w:after="0"/>
              <w:rPr>
                <w:sz w:val="15"/>
                <w:szCs w:val="15"/>
                <w:color w:val="auto"/>
              </w:rPr>
            </w:pPr>
          </w:p>
        </w:tc>
      </w:tr>
    </w:tbl>
    <w:p>
      <w:pPr>
        <w:sectPr>
          <w:pgSz w:w="11900" w:h="16838" w:orient="portrait"/>
          <w:cols w:equalWidth="0" w:num="1">
            <w:col w:w="11300"/>
          </w:cols>
          <w:pgMar w:left="360" w:top="433" w:right="239" w:bottom="1440" w:gutter="0" w:footer="0" w:header="0"/>
        </w:sectPr>
      </w:pPr>
    </w:p>
    <w:bookmarkStart w:id="121" w:name="page122"/>
    <w:bookmarkEnd w:id="121"/>
    <w:p>
      <w:pPr>
        <w:jc w:val="both"/>
        <w:ind w:left="640"/>
        <w:spacing w:after="0" w:line="244" w:lineRule="auto"/>
        <w:rPr>
          <w:sz w:val="20"/>
          <w:szCs w:val="20"/>
          <w:color w:val="auto"/>
        </w:rPr>
      </w:pPr>
      <w:r>
        <w:rPr>
          <w:rFonts w:ascii="Arial" w:cs="Arial" w:eastAsia="Arial" w:hAnsi="Arial"/>
          <w:sz w:val="20"/>
          <w:szCs w:val="20"/>
          <w:color w:val="auto"/>
        </w:rPr>
        <w:t xml:space="preserve">to the extent such amendment, restatement and modification is not consistent with the existing terms and conditions of such Raytheon Purchase Order or constitutes a material change to such Raytheon Purchase Order or will result in additional Raytheon Collateral being created and being subject to the Raytheon Subordination Agreement such amendment, restatement and modification has been approved by Agent, such approval to not be unreasonably withheld) to the Raytheon Purchase Orders, including the purchase orders described on </w:t>
      </w:r>
      <w:r>
        <w:rPr>
          <w:rFonts w:ascii="Arial" w:cs="Arial" w:eastAsia="Arial" w:hAnsi="Arial"/>
          <w:sz w:val="20"/>
          <w:szCs w:val="20"/>
          <w:u w:val="single" w:color="auto"/>
          <w:color w:val="auto"/>
        </w:rPr>
        <w:t>Annex I</w:t>
      </w:r>
      <w:r>
        <w:rPr>
          <w:rFonts w:ascii="Arial" w:cs="Arial" w:eastAsia="Arial" w:hAnsi="Arial"/>
          <w:sz w:val="20"/>
          <w:szCs w:val="20"/>
          <w:color w:val="auto"/>
        </w:rPr>
        <w:t xml:space="preserve"> to the Fifth Amendment</w:t>
      </w:r>
    </w:p>
    <w:p>
      <w:pPr>
        <w:spacing w:after="0" w:line="189" w:lineRule="exact"/>
        <w:rPr>
          <w:sz w:val="20"/>
          <w:szCs w:val="20"/>
          <w:color w:val="auto"/>
        </w:rPr>
      </w:pPr>
    </w:p>
    <w:p>
      <w:pPr>
        <w:ind w:left="1300" w:hanging="656"/>
        <w:spacing w:after="0"/>
        <w:tabs>
          <w:tab w:leader="none" w:pos="130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Covenants of the Credit Parties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firstLine="1293"/>
        <w:spacing w:after="0" w:line="271" w:lineRule="auto"/>
        <w:tabs>
          <w:tab w:leader="none" w:pos="1491"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consideration of the agreements set forth herein, each Credit Party hereby acknowledges and agrees with Agent and the Lenders that, notwithstanding anything in the Credit Agreement to the contrary, (i) no Inventory related to any Raytheon Purchase Order, up to the aggregate amount of the Raytheon Progress Payments actually received by the Credit Parties that have been used to purchase parts and materials but have not been liquidated pursuant to the applicable Raytheon Purchase Order, shall at any time constitute “Eligible Inventory” or otherwise be eligible for inclusion in the Borrowing Base and (ii) no obligation of Raytheon to make Raytheon Progress Payments or any Account otherwise arising in connection with any Raytheon Purchase Order shall be eligible for inclusion in the Borrowing Base as an Eligible Billed Account Receivable, an Eligible Billed Government Account Receivable or an Eligible Billed Government Subcontract Account Receivable, and (iii) except to the extent, if any, that Raytheon has made Raytheon Progress Payments that have been liquidated pursuant to the applicable Raytheon Purchase Order, no Account arising in connection with such Raytheon Purchase Order shall be eligible for inclusion in the Borrowing Base as an Eligible Unbilled Account Receivable, an Eligible Unbilled Government Account Receivable, or an Eligible Unbilled Government Subcontract Account Receivable.</w:t>
      </w:r>
    </w:p>
    <w:p>
      <w:pPr>
        <w:spacing w:after="0" w:line="178" w:lineRule="exact"/>
        <w:rPr>
          <w:rFonts w:ascii="Arial" w:cs="Arial" w:eastAsia="Arial" w:hAnsi="Arial"/>
          <w:sz w:val="18"/>
          <w:szCs w:val="18"/>
          <w:color w:val="auto"/>
        </w:rPr>
      </w:pPr>
    </w:p>
    <w:p>
      <w:pPr>
        <w:ind w:firstLine="644"/>
        <w:spacing w:after="0" w:line="267" w:lineRule="auto"/>
        <w:tabs>
          <w:tab w:leader="none" w:pos="1004"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 xml:space="preserve">Conditions to Effectiveness of Agreement. </w:t>
      </w:r>
      <w:r>
        <w:rPr>
          <w:rFonts w:ascii="Arial" w:cs="Arial" w:eastAsia="Arial" w:hAnsi="Arial"/>
          <w:sz w:val="20"/>
          <w:szCs w:val="20"/>
          <w:color w:val="auto"/>
        </w:rPr>
        <w:t>This Agreement shall be effective on the earliest date on which all of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have been satisfied (such date being the “</w:t>
      </w:r>
      <w:r>
        <w:rPr>
          <w:rFonts w:ascii="Arial" w:cs="Arial" w:eastAsia="Arial" w:hAnsi="Arial"/>
          <w:sz w:val="20"/>
          <w:szCs w:val="20"/>
          <w:u w:val="single" w:color="auto"/>
          <w:color w:val="auto"/>
        </w:rPr>
        <w:t>Effective Date</w:t>
      </w:r>
      <w:r>
        <w:rPr>
          <w:rFonts w:ascii="Arial" w:cs="Arial" w:eastAsia="Arial" w:hAnsi="Arial"/>
          <w:sz w:val="20"/>
          <w:szCs w:val="20"/>
          <w:color w:val="auto"/>
        </w:rPr>
        <w:t>”):</w:t>
      </w:r>
    </w:p>
    <w:p>
      <w:pPr>
        <w:spacing w:after="0" w:line="170" w:lineRule="exact"/>
        <w:rPr>
          <w:sz w:val="20"/>
          <w:szCs w:val="20"/>
          <w:color w:val="auto"/>
        </w:rPr>
      </w:pPr>
    </w:p>
    <w:p>
      <w:pPr>
        <w:ind w:left="1700" w:hanging="407"/>
        <w:spacing w:after="0"/>
        <w:tabs>
          <w:tab w:leader="none" w:pos="1700" w:val="left"/>
        </w:tabs>
        <w:numPr>
          <w:ilvl w:val="0"/>
          <w:numId w:val="67"/>
        </w:numPr>
        <w:rPr>
          <w:rFonts w:ascii="Arial" w:cs="Arial" w:eastAsia="Arial" w:hAnsi="Arial"/>
          <w:sz w:val="20"/>
          <w:szCs w:val="20"/>
          <w:color w:val="010000"/>
        </w:rPr>
      </w:pPr>
      <w:r>
        <w:rPr>
          <w:rFonts w:ascii="Arial" w:cs="Arial" w:eastAsia="Arial" w:hAnsi="Arial"/>
          <w:sz w:val="20"/>
          <w:szCs w:val="20"/>
          <w:color w:val="auto"/>
        </w:rPr>
        <w:t>Agent shall have received this Agreement, duly executed by the Credit Parties and the Required Lenders;</w:t>
      </w:r>
    </w:p>
    <w:p>
      <w:pPr>
        <w:spacing w:after="0" w:line="215" w:lineRule="exact"/>
        <w:rPr>
          <w:rFonts w:ascii="Arial" w:cs="Arial" w:eastAsia="Arial" w:hAnsi="Arial"/>
          <w:sz w:val="20"/>
          <w:szCs w:val="20"/>
          <w:color w:val="010000"/>
        </w:rPr>
      </w:pPr>
    </w:p>
    <w:p>
      <w:pPr>
        <w:ind w:left="1700" w:hanging="407"/>
        <w:spacing w:after="0"/>
        <w:tabs>
          <w:tab w:leader="none" w:pos="1700" w:val="left"/>
        </w:tabs>
        <w:numPr>
          <w:ilvl w:val="0"/>
          <w:numId w:val="67"/>
        </w:numPr>
        <w:rPr>
          <w:rFonts w:ascii="Arial" w:cs="Arial" w:eastAsia="Arial" w:hAnsi="Arial"/>
          <w:sz w:val="20"/>
          <w:szCs w:val="20"/>
          <w:color w:val="010000"/>
        </w:rPr>
      </w:pPr>
      <w:r>
        <w:rPr>
          <w:rFonts w:ascii="Arial" w:cs="Arial" w:eastAsia="Arial" w:hAnsi="Arial"/>
          <w:sz w:val="20"/>
          <w:szCs w:val="20"/>
          <w:color w:val="auto"/>
        </w:rPr>
        <w:t>Agent shall have received fully executed copies of the Raytheon Purchase Orders;</w:t>
      </w:r>
    </w:p>
    <w:p>
      <w:pPr>
        <w:spacing w:after="0" w:line="215" w:lineRule="exact"/>
        <w:rPr>
          <w:rFonts w:ascii="Arial" w:cs="Arial" w:eastAsia="Arial" w:hAnsi="Arial"/>
          <w:sz w:val="20"/>
          <w:szCs w:val="20"/>
          <w:color w:val="010000"/>
        </w:rPr>
      </w:pPr>
    </w:p>
    <w:p>
      <w:pPr>
        <w:ind w:firstLine="1293"/>
        <w:spacing w:after="0" w:line="260" w:lineRule="auto"/>
        <w:tabs>
          <w:tab w:leader="none" w:pos="1831" w:val="left"/>
        </w:tabs>
        <w:numPr>
          <w:ilvl w:val="0"/>
          <w:numId w:val="67"/>
        </w:numPr>
        <w:rPr>
          <w:rFonts w:ascii="Arial" w:cs="Arial" w:eastAsia="Arial" w:hAnsi="Arial"/>
          <w:sz w:val="20"/>
          <w:szCs w:val="20"/>
          <w:color w:val="010000"/>
        </w:rPr>
      </w:pPr>
      <w:r>
        <w:rPr>
          <w:rFonts w:ascii="Arial" w:cs="Arial" w:eastAsia="Arial" w:hAnsi="Arial"/>
          <w:sz w:val="20"/>
          <w:szCs w:val="20"/>
          <w:color w:val="auto"/>
        </w:rPr>
        <w:t>Agent shall have received a fully executed copy of the Raytheon Security Agreement, and corresponding UCC-1 financing statements, each of which shall be in form and substance satisfactory to Agent;</w:t>
      </w:r>
    </w:p>
    <w:p>
      <w:pPr>
        <w:spacing w:after="0" w:line="176" w:lineRule="exact"/>
        <w:rPr>
          <w:rFonts w:ascii="Arial" w:cs="Arial" w:eastAsia="Arial" w:hAnsi="Arial"/>
          <w:sz w:val="20"/>
          <w:szCs w:val="20"/>
          <w:color w:val="010000"/>
        </w:rPr>
      </w:pPr>
    </w:p>
    <w:p>
      <w:pPr>
        <w:ind w:firstLine="1293"/>
        <w:spacing w:after="0" w:line="260" w:lineRule="auto"/>
        <w:tabs>
          <w:tab w:leader="none" w:pos="1707" w:val="left"/>
        </w:tabs>
        <w:numPr>
          <w:ilvl w:val="0"/>
          <w:numId w:val="67"/>
        </w:numPr>
        <w:rPr>
          <w:rFonts w:ascii="Arial" w:cs="Arial" w:eastAsia="Arial" w:hAnsi="Arial"/>
          <w:sz w:val="20"/>
          <w:szCs w:val="20"/>
          <w:color w:val="010000"/>
        </w:rPr>
      </w:pPr>
      <w:r>
        <w:rPr>
          <w:rFonts w:ascii="Arial" w:cs="Arial" w:eastAsia="Arial" w:hAnsi="Arial"/>
          <w:sz w:val="20"/>
          <w:szCs w:val="20"/>
          <w:color w:val="auto"/>
        </w:rPr>
        <w:t>Agent shall have received the Raytheon Subordination Agreement, duly executed by Raytheon and Gichner, in substance and form satisfactory to Agent; and</w:t>
      </w:r>
    </w:p>
    <w:p>
      <w:pPr>
        <w:spacing w:after="0" w:line="203" w:lineRule="exact"/>
        <w:rPr>
          <w:rFonts w:ascii="Arial" w:cs="Arial" w:eastAsia="Arial" w:hAnsi="Arial"/>
          <w:sz w:val="20"/>
          <w:szCs w:val="20"/>
          <w:color w:val="010000"/>
        </w:rPr>
      </w:pPr>
    </w:p>
    <w:p>
      <w:pPr>
        <w:ind w:left="1880" w:hanging="587"/>
        <w:spacing w:after="0"/>
        <w:tabs>
          <w:tab w:leader="none" w:pos="1880" w:val="left"/>
        </w:tabs>
        <w:numPr>
          <w:ilvl w:val="0"/>
          <w:numId w:val="67"/>
        </w:numPr>
        <w:rPr>
          <w:rFonts w:ascii="Arial" w:cs="Arial" w:eastAsia="Arial" w:hAnsi="Arial"/>
          <w:sz w:val="21"/>
          <w:szCs w:val="21"/>
          <w:color w:val="auto"/>
        </w:rPr>
      </w:pPr>
      <w:r>
        <w:rPr>
          <w:rFonts w:ascii="Arial" w:cs="Arial" w:eastAsia="Arial" w:hAnsi="Arial"/>
          <w:sz w:val="19"/>
          <w:szCs w:val="19"/>
          <w:color w:val="auto"/>
        </w:rPr>
        <w:t>Agent shall have received a duly executed legal opinion with respect to DFI Realty, LLC, in form and substance</w:t>
      </w:r>
    </w:p>
    <w:p>
      <w:pPr>
        <w:spacing w:after="0" w:line="1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0"/>
          <w:szCs w:val="20"/>
          <w:color w:val="auto"/>
        </w:rPr>
        <w:t>satisfactory to Agent.</w:t>
      </w:r>
    </w:p>
    <w:p>
      <w:pPr>
        <w:spacing w:after="0" w:line="24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Credit Parties shall be deemed to represent and warrant to Agent and Lenders that each of the foregoing conditions have been satisfied upon the release of their respective signatures to this Amendment.</w:t>
      </w:r>
    </w:p>
    <w:p>
      <w:pPr>
        <w:spacing w:after="0" w:line="200" w:lineRule="exact"/>
        <w:rPr>
          <w:sz w:val="20"/>
          <w:szCs w:val="20"/>
          <w:color w:val="auto"/>
        </w:rPr>
      </w:pPr>
    </w:p>
    <w:p>
      <w:pPr>
        <w:spacing w:after="0" w:line="385"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[Kratos] Fifth Amendment</w:t>
            </w:r>
          </w:p>
        </w:tc>
        <w:tc>
          <w:tcPr>
            <w:tcW w:w="378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176"/>
        </w:trPr>
        <w:tc>
          <w:tcPr>
            <w:tcW w:w="1540" w:type="dxa"/>
            <w:vAlign w:val="bottom"/>
          </w:tcPr>
          <w:p>
            <w:pPr>
              <w:spacing w:after="0"/>
              <w:rPr>
                <w:sz w:val="20"/>
                <w:szCs w:val="20"/>
                <w:color w:val="auto"/>
              </w:rPr>
            </w:pPr>
            <w:r>
              <w:rPr>
                <w:rFonts w:ascii="Arial" w:cs="Arial" w:eastAsia="Arial" w:hAnsi="Arial"/>
                <w:sz w:val="14"/>
                <w:szCs w:val="14"/>
                <w:color w:val="auto"/>
              </w:rPr>
              <w:t>#46502663</w:t>
            </w:r>
          </w:p>
        </w:tc>
        <w:tc>
          <w:tcPr>
            <w:tcW w:w="3780" w:type="dxa"/>
            <w:vAlign w:val="bottom"/>
          </w:tcPr>
          <w:p>
            <w:pPr>
              <w:spacing w:after="0"/>
              <w:rPr>
                <w:sz w:val="15"/>
                <w:szCs w:val="15"/>
                <w:color w:val="auto"/>
              </w:rPr>
            </w:pPr>
          </w:p>
        </w:tc>
      </w:tr>
    </w:tbl>
    <w:p>
      <w:pPr>
        <w:sectPr>
          <w:pgSz w:w="11900" w:h="16838" w:orient="portrait"/>
          <w:cols w:equalWidth="0" w:num="1">
            <w:col w:w="11300"/>
          </w:cols>
          <w:pgMar w:left="360" w:top="420" w:right="239" w:bottom="1440" w:gutter="0" w:footer="0" w:header="0"/>
        </w:sectPr>
      </w:pPr>
    </w:p>
    <w:bookmarkStart w:id="122" w:name="page123"/>
    <w:bookmarkEnd w:id="122"/>
    <w:p>
      <w:pPr>
        <w:ind w:left="-380" w:right="60" w:firstLine="644"/>
        <w:spacing w:after="0" w:line="267" w:lineRule="auto"/>
        <w:tabs>
          <w:tab w:leader="none" w:pos="597"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Representations and Warranties</w:t>
      </w:r>
      <w:r>
        <w:rPr>
          <w:rFonts w:ascii="Arial" w:cs="Arial" w:eastAsia="Arial" w:hAnsi="Arial"/>
          <w:sz w:val="20"/>
          <w:szCs w:val="20"/>
          <w:color w:val="auto"/>
        </w:rPr>
        <w:t>. To induce Agent and the Required Lenders to enter into this Agreement, each Credit Party, by</w:t>
      </w:r>
      <w:r>
        <w:rPr>
          <w:rFonts w:ascii="Arial" w:cs="Arial" w:eastAsia="Arial" w:hAnsi="Arial"/>
          <w:sz w:val="20"/>
          <w:szCs w:val="20"/>
          <w:b w:val="1"/>
          <w:bCs w:val="1"/>
          <w:color w:val="auto"/>
        </w:rPr>
        <w:t xml:space="preserve"> </w:t>
      </w:r>
      <w:r>
        <w:rPr>
          <w:rFonts w:ascii="Arial" w:cs="Arial" w:eastAsia="Arial" w:hAnsi="Arial"/>
          <w:sz w:val="20"/>
          <w:szCs w:val="20"/>
          <w:color w:val="auto"/>
        </w:rPr>
        <w:t>its signature below, hereby:</w:t>
      </w:r>
    </w:p>
    <w:p>
      <w:pPr>
        <w:spacing w:after="0" w:line="183" w:lineRule="exact"/>
        <w:rPr>
          <w:rFonts w:ascii="Arial" w:cs="Arial" w:eastAsia="Arial" w:hAnsi="Arial"/>
          <w:sz w:val="20"/>
          <w:szCs w:val="20"/>
          <w:color w:val="auto"/>
        </w:rPr>
      </w:pPr>
    </w:p>
    <w:p>
      <w:pPr>
        <w:ind w:left="-380" w:firstLine="1293"/>
        <w:spacing w:after="0" w:line="287" w:lineRule="auto"/>
        <w:tabs>
          <w:tab w:leader="none" w:pos="1316" w:val="left"/>
        </w:tabs>
        <w:numPr>
          <w:ilvl w:val="1"/>
          <w:numId w:val="68"/>
        </w:numPr>
        <w:rPr>
          <w:rFonts w:ascii="Arial" w:cs="Arial" w:eastAsia="Arial" w:hAnsi="Arial"/>
          <w:sz w:val="19"/>
          <w:szCs w:val="19"/>
          <w:color w:val="010000"/>
        </w:rPr>
      </w:pPr>
      <w:r>
        <w:rPr>
          <w:rFonts w:ascii="Arial" w:cs="Arial" w:eastAsia="Arial" w:hAnsi="Arial"/>
          <w:sz w:val="19"/>
          <w:szCs w:val="19"/>
          <w:color w:val="auto"/>
        </w:rPr>
        <w:t>acknowledges and agrees that, except as expressly set forth in this Agreement, the terms, covenants and conditions of the Credit Agreement and the other Loan Documents are in full force and effect and are hereby ratified and confirmed;</w:t>
      </w:r>
    </w:p>
    <w:p>
      <w:pPr>
        <w:spacing w:after="0" w:line="152" w:lineRule="exact"/>
        <w:rPr>
          <w:rFonts w:ascii="Arial" w:cs="Arial" w:eastAsia="Arial" w:hAnsi="Arial"/>
          <w:sz w:val="19"/>
          <w:szCs w:val="19"/>
          <w:color w:val="010000"/>
        </w:rPr>
      </w:pPr>
    </w:p>
    <w:p>
      <w:pPr>
        <w:ind w:left="-380" w:right="20" w:firstLine="1293"/>
        <w:spacing w:after="0" w:line="287" w:lineRule="auto"/>
        <w:tabs>
          <w:tab w:leader="none" w:pos="1341" w:val="left"/>
        </w:tabs>
        <w:numPr>
          <w:ilvl w:val="1"/>
          <w:numId w:val="68"/>
        </w:numPr>
        <w:rPr>
          <w:rFonts w:ascii="Arial" w:cs="Arial" w:eastAsia="Arial" w:hAnsi="Arial"/>
          <w:sz w:val="19"/>
          <w:szCs w:val="19"/>
          <w:color w:val="010000"/>
        </w:rPr>
      </w:pPr>
      <w:r>
        <w:rPr>
          <w:rFonts w:ascii="Arial" w:cs="Arial" w:eastAsia="Arial" w:hAnsi="Arial"/>
          <w:sz w:val="19"/>
          <w:szCs w:val="19"/>
          <w:color w:val="auto"/>
        </w:rPr>
        <w:t>ratifies and reaffirms the notes and its obligations under the Credit Agreement and the other Loan Documents, and all of such Credit Party’s respective covenants, duties, indebtedness and liabilities owing under such documents;</w:t>
      </w:r>
    </w:p>
    <w:p>
      <w:pPr>
        <w:spacing w:after="0" w:line="152" w:lineRule="exact"/>
        <w:rPr>
          <w:rFonts w:ascii="Arial" w:cs="Arial" w:eastAsia="Arial" w:hAnsi="Arial"/>
          <w:sz w:val="19"/>
          <w:szCs w:val="19"/>
          <w:color w:val="010000"/>
        </w:rPr>
      </w:pPr>
    </w:p>
    <w:p>
      <w:pPr>
        <w:ind w:left="-380" w:firstLine="1293"/>
        <w:spacing w:after="0" w:line="260" w:lineRule="auto"/>
        <w:tabs>
          <w:tab w:leader="none" w:pos="1370" w:val="left"/>
        </w:tabs>
        <w:numPr>
          <w:ilvl w:val="1"/>
          <w:numId w:val="68"/>
        </w:numPr>
        <w:rPr>
          <w:rFonts w:ascii="Arial" w:cs="Arial" w:eastAsia="Arial" w:hAnsi="Arial"/>
          <w:sz w:val="20"/>
          <w:szCs w:val="20"/>
          <w:color w:val="010000"/>
        </w:rPr>
      </w:pPr>
      <w:r>
        <w:rPr>
          <w:rFonts w:ascii="Arial" w:cs="Arial" w:eastAsia="Arial" w:hAnsi="Arial"/>
          <w:sz w:val="20"/>
          <w:szCs w:val="20"/>
          <w:color w:val="auto"/>
        </w:rPr>
        <w:t>acknowledges and agrees that it has taken all organizational actions necessary to approve and authorize the execution, delivery and performance of this Agreement and all other documents executed in connection therewith; and</w:t>
      </w:r>
    </w:p>
    <w:p>
      <w:pPr>
        <w:spacing w:after="0" w:line="176" w:lineRule="exact"/>
        <w:rPr>
          <w:rFonts w:ascii="Arial" w:cs="Arial" w:eastAsia="Arial" w:hAnsi="Arial"/>
          <w:sz w:val="20"/>
          <w:szCs w:val="20"/>
          <w:color w:val="010000"/>
        </w:rPr>
      </w:pPr>
    </w:p>
    <w:p>
      <w:pPr>
        <w:jc w:val="both"/>
        <w:ind w:left="-380" w:firstLine="1293"/>
        <w:spacing w:after="0" w:line="263" w:lineRule="auto"/>
        <w:tabs>
          <w:tab w:leader="none" w:pos="1381" w:val="left"/>
        </w:tabs>
        <w:numPr>
          <w:ilvl w:val="1"/>
          <w:numId w:val="68"/>
        </w:numPr>
        <w:rPr>
          <w:rFonts w:ascii="Arial" w:cs="Arial" w:eastAsia="Arial" w:hAnsi="Arial"/>
          <w:sz w:val="19"/>
          <w:szCs w:val="19"/>
          <w:color w:val="010000"/>
        </w:rPr>
      </w:pPr>
      <w:r>
        <w:rPr>
          <w:rFonts w:ascii="Arial" w:cs="Arial" w:eastAsia="Arial" w:hAnsi="Arial"/>
          <w:sz w:val="19"/>
          <w:szCs w:val="19"/>
          <w:color w:val="auto"/>
        </w:rPr>
        <w:t>acknowledges and agrees that immediately prior to, and after giving effect to this Agreement, (i) no Event of Default shall have occurred or be occurring and (ii) the representations and warranties contained herein and in the Credit Agreement and the other Loan Documents, as each is amended hereby, are true and correct as of such date, as if made on such date, except for those representations and warranties specifically made as of an earlier date, which shall be true and correct as of such earlier date.</w:t>
      </w:r>
    </w:p>
    <w:p>
      <w:pPr>
        <w:spacing w:after="0" w:line="170" w:lineRule="exact"/>
        <w:rPr>
          <w:rFonts w:ascii="Arial" w:cs="Arial" w:eastAsia="Arial" w:hAnsi="Arial"/>
          <w:sz w:val="19"/>
          <w:szCs w:val="19"/>
          <w:color w:val="010000"/>
        </w:rPr>
      </w:pPr>
    </w:p>
    <w:p>
      <w:pPr>
        <w:ind w:left="1560" w:hanging="1296"/>
        <w:spacing w:after="0"/>
        <w:tabs>
          <w:tab w:leader="none" w:pos="1560" w:val="left"/>
        </w:tabs>
        <w:numPr>
          <w:ilvl w:val="0"/>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Miscellaneous</w:t>
      </w:r>
      <w:r>
        <w:rPr>
          <w:rFonts w:ascii="Arial" w:cs="Arial" w:eastAsia="Arial" w:hAnsi="Arial"/>
          <w:sz w:val="20"/>
          <w:szCs w:val="20"/>
          <w:color w:val="auto"/>
        </w:rPr>
        <w:t>.</w:t>
      </w:r>
    </w:p>
    <w:p>
      <w:pPr>
        <w:spacing w:after="0" w:line="221" w:lineRule="exact"/>
        <w:rPr>
          <w:rFonts w:ascii="Arial" w:cs="Arial" w:eastAsia="Arial" w:hAnsi="Arial"/>
          <w:sz w:val="20"/>
          <w:szCs w:val="20"/>
          <w:b w:val="1"/>
          <w:bCs w:val="1"/>
          <w:color w:val="auto"/>
        </w:rPr>
      </w:pPr>
    </w:p>
    <w:p>
      <w:pPr>
        <w:jc w:val="both"/>
        <w:ind w:left="-380" w:firstLine="1293"/>
        <w:spacing w:after="0" w:line="243" w:lineRule="auto"/>
        <w:tabs>
          <w:tab w:leader="none" w:pos="1397" w:val="left"/>
        </w:tabs>
        <w:numPr>
          <w:ilvl w:val="1"/>
          <w:numId w:val="68"/>
        </w:numPr>
        <w:rPr>
          <w:rFonts w:ascii="Arial" w:cs="Arial" w:eastAsia="Arial" w:hAnsi="Arial"/>
          <w:sz w:val="20"/>
          <w:szCs w:val="20"/>
          <w:color w:val="010000"/>
        </w:rPr>
      </w:pPr>
      <w:r>
        <w:rPr>
          <w:rFonts w:ascii="Arial" w:cs="Arial" w:eastAsia="Arial" w:hAnsi="Arial"/>
          <w:sz w:val="20"/>
          <w:szCs w:val="20"/>
          <w:color w:val="auto"/>
        </w:rPr>
        <w:t>The Credit Parties are hereby notified that irrespective of (i) any waivers previously granted by Agent regarding the Loan Documents, (ii) any previous failures or delays of Agent in exercising any right, power or privilege under the Loan Documents, or (iii) any previous failures or delays of Agent in the monitoring or in the requiring of compliance by the Credit Parties with their respective duties, obligations and agreements under the Loan Documents, hereafter the Credit Parties will be expected to comply strictly with their duties, obligations and agreements under the Loan Documents. All of the Liens of Agent in the Collateral shall continue. All of the Liens of Agent in the Collateral shall continue, and Agent’s and the Required Lender’s consent herein to the Transaction shall in no way be deemed to be a release of their Lien in any Collateral.</w:t>
      </w:r>
    </w:p>
    <w:p>
      <w:pPr>
        <w:spacing w:after="0" w:line="193" w:lineRule="exact"/>
        <w:rPr>
          <w:rFonts w:ascii="Arial" w:cs="Arial" w:eastAsia="Arial" w:hAnsi="Arial"/>
          <w:sz w:val="20"/>
          <w:szCs w:val="20"/>
          <w:color w:val="010000"/>
        </w:rPr>
      </w:pPr>
    </w:p>
    <w:p>
      <w:pPr>
        <w:jc w:val="both"/>
        <w:ind w:left="-380" w:firstLine="1293"/>
        <w:spacing w:after="0" w:line="246" w:lineRule="auto"/>
        <w:tabs>
          <w:tab w:leader="none" w:pos="1341" w:val="left"/>
        </w:tabs>
        <w:numPr>
          <w:ilvl w:val="1"/>
          <w:numId w:val="68"/>
        </w:numPr>
        <w:rPr>
          <w:rFonts w:ascii="Arial" w:cs="Arial" w:eastAsia="Arial" w:hAnsi="Arial"/>
          <w:sz w:val="20"/>
          <w:szCs w:val="20"/>
          <w:color w:val="010000"/>
        </w:rPr>
      </w:pPr>
      <w:r>
        <w:rPr>
          <w:rFonts w:ascii="Arial" w:cs="Arial" w:eastAsia="Arial" w:hAnsi="Arial"/>
          <w:sz w:val="20"/>
          <w:szCs w:val="20"/>
          <w:color w:val="auto"/>
        </w:rPr>
        <w:t>This Agreement shall be binding upon, and inure to the benefit of, the parties hereto and their respective successors and assigns. This Agreement is not intended to be, nor shall it be construed to create, a novation or accord and satisfaction, and the Credit Agreement and other Loan Documents, as modified by this Agreement, shall continue in full force and effect. This Agreement shall constitute a Loan Document for all purposes.</w:t>
      </w:r>
    </w:p>
    <w:p>
      <w:pPr>
        <w:spacing w:after="0" w:line="191" w:lineRule="exact"/>
        <w:rPr>
          <w:rFonts w:ascii="Arial" w:cs="Arial" w:eastAsia="Arial" w:hAnsi="Arial"/>
          <w:sz w:val="20"/>
          <w:szCs w:val="20"/>
          <w:color w:val="010000"/>
        </w:rPr>
      </w:pPr>
    </w:p>
    <w:p>
      <w:pPr>
        <w:jc w:val="both"/>
        <w:ind w:left="-380" w:firstLine="1293"/>
        <w:spacing w:after="0" w:line="246" w:lineRule="auto"/>
        <w:tabs>
          <w:tab w:leader="none" w:pos="1330" w:val="left"/>
        </w:tabs>
        <w:numPr>
          <w:ilvl w:val="1"/>
          <w:numId w:val="68"/>
        </w:numPr>
        <w:rPr>
          <w:rFonts w:ascii="Arial" w:cs="Arial" w:eastAsia="Arial" w:hAnsi="Arial"/>
          <w:sz w:val="20"/>
          <w:szCs w:val="20"/>
          <w:color w:val="010000"/>
        </w:rPr>
      </w:pPr>
      <w:r>
        <w:rPr>
          <w:rFonts w:ascii="Arial" w:cs="Arial" w:eastAsia="Arial" w:hAnsi="Arial"/>
          <w:sz w:val="20"/>
          <w:szCs w:val="20"/>
          <w:color w:val="auto"/>
        </w:rPr>
        <w:t>This Agreement may be executed in any number of counterparts and by each party hereto in separate counterparts, each of which when so executed and delivered shall be deemed to be an original and all of which taken together shall constitute but one and the same instrument. Delivery of a signature page of this Agreement by telecopy, pdf or other electronic means shall be effective as delivery of a manually executed counterpart of such Agreement.</w:t>
      </w:r>
    </w:p>
    <w:p>
      <w:pPr>
        <w:spacing w:after="0" w:line="191" w:lineRule="exact"/>
        <w:rPr>
          <w:rFonts w:ascii="Arial" w:cs="Arial" w:eastAsia="Arial" w:hAnsi="Arial"/>
          <w:sz w:val="20"/>
          <w:szCs w:val="20"/>
          <w:color w:val="010000"/>
        </w:rPr>
      </w:pPr>
    </w:p>
    <w:p>
      <w:pPr>
        <w:jc w:val="both"/>
        <w:ind w:left="-380" w:firstLine="1293"/>
        <w:spacing w:after="0" w:line="250" w:lineRule="auto"/>
        <w:tabs>
          <w:tab w:leader="none" w:pos="1341" w:val="left"/>
        </w:tabs>
        <w:numPr>
          <w:ilvl w:val="1"/>
          <w:numId w:val="68"/>
        </w:numPr>
        <w:rPr>
          <w:rFonts w:ascii="Arial" w:cs="Arial" w:eastAsia="Arial" w:hAnsi="Arial"/>
          <w:sz w:val="20"/>
          <w:szCs w:val="20"/>
          <w:color w:val="010000"/>
        </w:rPr>
      </w:pPr>
      <w:r>
        <w:rPr>
          <w:rFonts w:ascii="Arial" w:cs="Arial" w:eastAsia="Arial" w:hAnsi="Arial"/>
          <w:sz w:val="20"/>
          <w:szCs w:val="20"/>
          <w:color w:val="auto"/>
        </w:rPr>
        <w:t>In case any one or more of the provisions contained in this Agreement should be invalid, illegal or unenforceable in any respect, the validity, legality and enforceability of the remaining provisions contained herein shall not in any way be affected or impaired thereby.</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[Kratos] Fifth Amendment</w:t>
            </w:r>
          </w:p>
        </w:tc>
        <w:tc>
          <w:tcPr>
            <w:tcW w:w="378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176"/>
        </w:trPr>
        <w:tc>
          <w:tcPr>
            <w:tcW w:w="1540" w:type="dxa"/>
            <w:vAlign w:val="bottom"/>
          </w:tcPr>
          <w:p>
            <w:pPr>
              <w:spacing w:after="0"/>
              <w:rPr>
                <w:sz w:val="20"/>
                <w:szCs w:val="20"/>
                <w:color w:val="auto"/>
              </w:rPr>
            </w:pPr>
            <w:r>
              <w:rPr>
                <w:rFonts w:ascii="Arial" w:cs="Arial" w:eastAsia="Arial" w:hAnsi="Arial"/>
                <w:sz w:val="14"/>
                <w:szCs w:val="14"/>
                <w:color w:val="auto"/>
              </w:rPr>
              <w:t>#46502663</w:t>
            </w:r>
          </w:p>
        </w:tc>
        <w:tc>
          <w:tcPr>
            <w:tcW w:w="3780" w:type="dxa"/>
            <w:vAlign w:val="bottom"/>
          </w:tcPr>
          <w:p>
            <w:pPr>
              <w:spacing w:after="0"/>
              <w:rPr>
                <w:sz w:val="15"/>
                <w:szCs w:val="15"/>
                <w:color w:val="auto"/>
              </w:rPr>
            </w:pPr>
          </w:p>
        </w:tc>
      </w:tr>
    </w:tbl>
    <w:p>
      <w:pPr>
        <w:sectPr>
          <w:pgSz w:w="11900" w:h="16838" w:orient="portrait"/>
          <w:cols w:equalWidth="0" w:num="1">
            <w:col w:w="10920"/>
          </w:cols>
          <w:pgMar w:left="740" w:top="414" w:right="239" w:bottom="1440" w:gutter="0" w:footer="0" w:header="0"/>
        </w:sectPr>
      </w:pPr>
    </w:p>
    <w:bookmarkStart w:id="123" w:name="page124"/>
    <w:bookmarkEnd w:id="123"/>
    <w:p>
      <w:pPr>
        <w:jc w:val="both"/>
        <w:ind w:left="-380" w:firstLine="1293"/>
        <w:spacing w:after="0" w:line="250" w:lineRule="auto"/>
        <w:tabs>
          <w:tab w:leader="none" w:pos="1330" w:val="left"/>
        </w:tabs>
        <w:numPr>
          <w:ilvl w:val="0"/>
          <w:numId w:val="69"/>
        </w:numPr>
        <w:rPr>
          <w:rFonts w:ascii="Arial" w:cs="Arial" w:eastAsia="Arial" w:hAnsi="Arial"/>
          <w:sz w:val="20"/>
          <w:szCs w:val="20"/>
          <w:color w:val="010000"/>
        </w:rPr>
      </w:pPr>
      <w:r>
        <w:rPr>
          <w:rFonts w:ascii="Arial" w:cs="Arial" w:eastAsia="Arial" w:hAnsi="Arial"/>
          <w:sz w:val="20"/>
          <w:szCs w:val="20"/>
          <w:color w:val="auto"/>
        </w:rPr>
        <w:t>The provisions of this Agreement and the respective rights and duties of the parties hereunder shall be governed by, and construed in accordance with, the laws of the State of New York (without giving effect to the conflict of law principles thereof except for Sections 5-1401 and 5-1402 of the New York General Obligations Law).</w:t>
      </w:r>
    </w:p>
    <w:p>
      <w:pPr>
        <w:spacing w:after="0" w:line="199" w:lineRule="exact"/>
        <w:rPr>
          <w:rFonts w:ascii="Arial" w:cs="Arial" w:eastAsia="Arial" w:hAnsi="Arial"/>
          <w:sz w:val="20"/>
          <w:szCs w:val="20"/>
          <w:color w:val="010000"/>
        </w:rPr>
      </w:pPr>
    </w:p>
    <w:p>
      <w:pPr>
        <w:jc w:val="both"/>
        <w:ind w:left="-380" w:firstLine="1293"/>
        <w:spacing w:after="0" w:line="241" w:lineRule="auto"/>
        <w:tabs>
          <w:tab w:leader="none" w:pos="1443" w:val="left"/>
        </w:tabs>
        <w:numPr>
          <w:ilvl w:val="0"/>
          <w:numId w:val="69"/>
        </w:numPr>
        <w:rPr>
          <w:rFonts w:ascii="Arial" w:cs="Arial" w:eastAsia="Arial" w:hAnsi="Arial"/>
          <w:sz w:val="20"/>
          <w:szCs w:val="20"/>
          <w:color w:val="010000"/>
        </w:rPr>
      </w:pPr>
      <w:r>
        <w:rPr>
          <w:rFonts w:ascii="Arial" w:cs="Arial" w:eastAsia="Arial" w:hAnsi="Arial"/>
          <w:sz w:val="20"/>
          <w:szCs w:val="20"/>
          <w:color w:val="auto"/>
        </w:rPr>
        <w:t>THE CREDIT PARTIES HEREBY ACKNOWLEDGE THAT THEY HAVE NO DEFENSE, COUNTERCLAIM, OFFSET, CROSS-COMPLAINT, CLAIM OR DEMAND OF ANY KIND OR NATURE WHATSOEVER THAT CAN BE ASSERTED TO REDUCE OR ELIMINATE ALL OR ANY PART OF ITS LIABILITY TO REPAY THE LIABILITIES OR TO SEEK AFFIRMATIVE RELIEF OR DAMAGES OF ANY KIND OR NATURE FROM AGENT AND THE LENDERS. EACH CREDIT PARTY HEREBY VOLUNTARILY AND KNOWINGLY RELEASES AND FOREVER DISCHARGES AGENT, THE LENDERS, THEIR RESPECTIVE PREDECESSORS, AGENTS, EMPLOYEES, SUCCESSORS AND ASSIGNS, FROM ALL POSSIBLE CLAIMS, DEMANDS, ACTIONS, CAUSES OF ACTION, DAMAGES, COSTS, EXPENSES AND LIABILITIES WHATSOEVER, KNOWN OR UNKNOWN, ANTICIPATED OR UNANTICIPATED, SUSPECTED OR UNSUSPECTED, FIXED, CONTINGENT OR CONDITIONAL, AT LAW OR IN EQUITY, ORIGINATING IN WHOLE OR IN PART ON OR BEFORE THE DATE THIS AGREEMENT IS EXECUTED, WHICH ANY CREDIT PARTY MAY NOW OR HEREAFTER HAVE AGAINST AGENT OR ANY LENDER, THEIR RESPECTIVE PREDECESSORS, AGENTS, EMPLOYEES, SUCCESSORS AND ASSIGNS, IF ANY, AND IRRESPECTIVE OF WHETHER ANY SUCH CLAIMS ARISE OUT OF CONTRACT, TORT, VIOLATION OF LAW OR REGULATIONS, OR OTHERWISE, AND ARISING FROM ANY ADVANCE INCLUDING, WITHOUT LIMITATION, ANY CONTRACTING FOR, CHARGING, TAKING, RESERVING, COLLECTING OR RECEIVING INTEREST IN EXCESS OF THE HIGHEST LAWFUL RATE APPLICABLE, THE EXERCISE OF ANY RIGHTS AND REMEDIES UNDER THE CREDIT AGREEMENT OR OTHER AGREEMENTS AND NEGOTIATION FOR AND EXECUTION OF THIS AGREEMENT.</w:t>
      </w:r>
    </w:p>
    <w:p>
      <w:pPr>
        <w:spacing w:after="0" w:line="188" w:lineRule="exact"/>
        <w:rPr>
          <w:rFonts w:ascii="Arial" w:cs="Arial" w:eastAsia="Arial" w:hAnsi="Arial"/>
          <w:sz w:val="20"/>
          <w:szCs w:val="20"/>
          <w:color w:val="010000"/>
        </w:rPr>
      </w:pPr>
    </w:p>
    <w:p>
      <w:pPr>
        <w:jc w:val="both"/>
        <w:ind w:left="-380" w:firstLine="1293"/>
        <w:spacing w:after="0" w:line="243" w:lineRule="auto"/>
        <w:tabs>
          <w:tab w:leader="none" w:pos="1597" w:val="left"/>
        </w:tabs>
        <w:numPr>
          <w:ilvl w:val="0"/>
          <w:numId w:val="69"/>
        </w:numPr>
        <w:rPr>
          <w:rFonts w:ascii="Arial" w:cs="Arial" w:eastAsia="Arial" w:hAnsi="Arial"/>
          <w:sz w:val="20"/>
          <w:szCs w:val="20"/>
          <w:b w:val="1"/>
          <w:bCs w:val="1"/>
          <w:color w:val="010000"/>
        </w:rPr>
      </w:pPr>
      <w:r>
        <w:rPr>
          <w:rFonts w:ascii="Arial" w:cs="Arial" w:eastAsia="Arial" w:hAnsi="Arial"/>
          <w:sz w:val="20"/>
          <w:szCs w:val="20"/>
          <w:b w:val="1"/>
          <w:bCs w:val="1"/>
          <w:color w:val="auto"/>
        </w:rPr>
        <w:t>THE CREDIT AGREEMENT, AS AMENDED BY THIS AGREEMENT, AND THE OTHER LOAN DOCUMENTS TOGETHER REPRESENT THE ENTIRE EXPRESSION OF THE PARTIES WITH RESPECT TO THE SUBJECT MATTER HEREOF AND THEREOF ON THE DATE THIS AGREEMENT IS EXECUTED. THE CREDIT AGREEMENT, AS AMENDED BY THIS AGREEMENT, MAY NOT BE CONTRADICTED BY EVIDENCE OF PRIOR, CONTEMPORANEOUS OR SUBSEQUENT ORAL AGREEMENTS OF THE PARTIES. THERE ARE NO UNWRITTEN ORAL AGREEMENTS BETWEEN THE PARTIES. NO MODIFICATION, RESCISSION, WAIVER, RELEASE OR AMENDMENT OF ANY PROVISION OF THIS AGREEMENT SHALL BE MADE EXCEPT BY A WRITTEN AGREEMENT SIGNED BY THE BORROWER, AGENT AND THE REQUIRED LENDERS.</w:t>
      </w:r>
    </w:p>
    <w:p>
      <w:pPr>
        <w:spacing w:after="0" w:line="195" w:lineRule="exact"/>
        <w:rPr>
          <w:rFonts w:ascii="Arial" w:cs="Arial" w:eastAsia="Arial" w:hAnsi="Arial"/>
          <w:sz w:val="20"/>
          <w:szCs w:val="20"/>
          <w:b w:val="1"/>
          <w:bCs w:val="1"/>
          <w:color w:val="010000"/>
        </w:rPr>
      </w:pPr>
    </w:p>
    <w:p>
      <w:pPr>
        <w:ind w:left="-380" w:firstLine="1293"/>
        <w:spacing w:after="0" w:line="260" w:lineRule="auto"/>
        <w:tabs>
          <w:tab w:leader="none" w:pos="1341" w:val="left"/>
        </w:tabs>
        <w:numPr>
          <w:ilvl w:val="0"/>
          <w:numId w:val="69"/>
        </w:numPr>
        <w:rPr>
          <w:rFonts w:ascii="Arial" w:cs="Arial" w:eastAsia="Arial" w:hAnsi="Arial"/>
          <w:sz w:val="20"/>
          <w:szCs w:val="20"/>
          <w:color w:val="010000"/>
        </w:rPr>
      </w:pPr>
      <w:r>
        <w:rPr>
          <w:rFonts w:ascii="Arial" w:cs="Arial" w:eastAsia="Arial" w:hAnsi="Arial"/>
          <w:sz w:val="20"/>
          <w:szCs w:val="20"/>
          <w:color w:val="auto"/>
        </w:rPr>
        <w:t>Borrower shall promptly pay to Agent all fees and expenses (including attorneys’ fees) owed to or incurred by Agent or Lenders arising in connection with the Loan Documents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4800" w:type="dxa"/>
            <w:vAlign w:val="bottom"/>
          </w:tcPr>
          <w:p>
            <w:pPr>
              <w:jc w:val="right"/>
              <w:spacing w:after="0"/>
              <w:rPr>
                <w:sz w:val="20"/>
                <w:szCs w:val="20"/>
                <w:color w:val="auto"/>
              </w:rPr>
            </w:pPr>
            <w:r>
              <w:rPr>
                <w:rFonts w:ascii="Arial" w:cs="Arial" w:eastAsia="Arial" w:hAnsi="Arial"/>
                <w:sz w:val="18"/>
                <w:szCs w:val="18"/>
                <w:color w:val="auto"/>
              </w:rPr>
              <w:t>[Signatures on following page]</w:t>
            </w:r>
          </w:p>
        </w:tc>
      </w:tr>
      <w:tr>
        <w:trPr>
          <w:trHeight w:val="824"/>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[Kratos] Fifth Amendment</w:t>
            </w:r>
          </w:p>
        </w:tc>
        <w:tc>
          <w:tcPr>
            <w:tcW w:w="4800" w:type="dxa"/>
            <w:vAlign w:val="bottom"/>
          </w:tcPr>
          <w:p>
            <w:pPr>
              <w:jc w:val="right"/>
              <w:ind w:right="925"/>
              <w:spacing w:after="0"/>
              <w:rPr>
                <w:sz w:val="20"/>
                <w:szCs w:val="20"/>
                <w:color w:val="auto"/>
              </w:rPr>
            </w:pPr>
            <w:r>
              <w:rPr>
                <w:rFonts w:ascii="Arial" w:cs="Arial" w:eastAsia="Arial" w:hAnsi="Arial"/>
                <w:sz w:val="20"/>
                <w:szCs w:val="20"/>
                <w:color w:val="auto"/>
              </w:rPr>
              <w:t>5</w:t>
            </w:r>
          </w:p>
        </w:tc>
      </w:tr>
      <w:tr>
        <w:trPr>
          <w:trHeight w:val="176"/>
        </w:trPr>
        <w:tc>
          <w:tcPr>
            <w:tcW w:w="1540" w:type="dxa"/>
            <w:vAlign w:val="bottom"/>
          </w:tcPr>
          <w:p>
            <w:pPr>
              <w:spacing w:after="0"/>
              <w:rPr>
                <w:sz w:val="20"/>
                <w:szCs w:val="20"/>
                <w:color w:val="auto"/>
              </w:rPr>
            </w:pPr>
            <w:r>
              <w:rPr>
                <w:rFonts w:ascii="Arial" w:cs="Arial" w:eastAsia="Arial" w:hAnsi="Arial"/>
                <w:sz w:val="14"/>
                <w:szCs w:val="14"/>
                <w:color w:val="auto"/>
              </w:rPr>
              <w:t>#46502663</w:t>
            </w:r>
          </w:p>
        </w:tc>
        <w:tc>
          <w:tcPr>
            <w:tcW w:w="4800" w:type="dxa"/>
            <w:vAlign w:val="bottom"/>
          </w:tcPr>
          <w:p>
            <w:pPr>
              <w:spacing w:after="0"/>
              <w:rPr>
                <w:sz w:val="15"/>
                <w:szCs w:val="15"/>
                <w:color w:val="auto"/>
              </w:rPr>
            </w:pPr>
          </w:p>
        </w:tc>
      </w:tr>
    </w:tbl>
    <w:p>
      <w:pPr>
        <w:sectPr>
          <w:pgSz w:w="11900" w:h="16838" w:orient="portrait"/>
          <w:cols w:equalWidth="0" w:num="1">
            <w:col w:w="10920"/>
          </w:cols>
          <w:pgMar w:left="740" w:top="420" w:right="239" w:bottom="1440" w:gutter="0" w:footer="0" w:header="0"/>
        </w:sectPr>
      </w:pPr>
    </w:p>
    <w:bookmarkStart w:id="124" w:name="page125"/>
    <w:bookmarkEnd w:id="124"/>
    <w:p>
      <w:pPr>
        <w:ind w:firstLine="621"/>
        <w:spacing w:after="0" w:line="281" w:lineRule="auto"/>
        <w:rPr>
          <w:sz w:val="20"/>
          <w:szCs w:val="20"/>
          <w:color w:val="auto"/>
        </w:rPr>
      </w:pPr>
      <w:r>
        <w:rPr>
          <w:rFonts w:ascii="Arial" w:cs="Arial" w:eastAsia="Arial" w:hAnsi="Arial"/>
          <w:sz w:val="20"/>
          <w:szCs w:val="20"/>
          <w:b w:val="1"/>
          <w:bCs w:val="1"/>
          <w:color w:val="2D2A2B"/>
        </w:rPr>
        <w:t xml:space="preserve">IN WITNESS WHEREOF, </w:t>
      </w:r>
      <w:r>
        <w:rPr>
          <w:rFonts w:ascii="Arial" w:cs="Arial" w:eastAsia="Arial" w:hAnsi="Arial"/>
          <w:sz w:val="20"/>
          <w:szCs w:val="20"/>
          <w:color w:val="1A181A"/>
        </w:rPr>
        <w:t>the parties hereto have</w:t>
      </w:r>
      <w:r>
        <w:rPr>
          <w:rFonts w:ascii="Arial" w:cs="Arial" w:eastAsia="Arial" w:hAnsi="Arial"/>
          <w:sz w:val="20"/>
          <w:szCs w:val="20"/>
          <w:b w:val="1"/>
          <w:bCs w:val="1"/>
          <w:color w:val="2D2A2B"/>
        </w:rPr>
        <w:t xml:space="preserve"> </w:t>
      </w:r>
      <w:r>
        <w:rPr>
          <w:rFonts w:ascii="Arial" w:cs="Arial" w:eastAsia="Arial" w:hAnsi="Arial"/>
          <w:sz w:val="20"/>
          <w:szCs w:val="20"/>
          <w:color w:val="2D2A2B"/>
        </w:rPr>
        <w:t>caused this Agreement to</w:t>
      </w:r>
      <w:r>
        <w:rPr>
          <w:rFonts w:ascii="Arial" w:cs="Arial" w:eastAsia="Arial" w:hAnsi="Arial"/>
          <w:sz w:val="20"/>
          <w:szCs w:val="20"/>
          <w:b w:val="1"/>
          <w:bCs w:val="1"/>
          <w:color w:val="2D2A2B"/>
        </w:rPr>
        <w:t xml:space="preserve"> </w:t>
      </w:r>
      <w:r>
        <w:rPr>
          <w:rFonts w:ascii="Arial" w:cs="Arial" w:eastAsia="Arial" w:hAnsi="Arial"/>
          <w:sz w:val="20"/>
          <w:szCs w:val="20"/>
          <w:color w:val="1A181A"/>
        </w:rPr>
        <w:t>be</w:t>
      </w:r>
      <w:r>
        <w:rPr>
          <w:rFonts w:ascii="Arial" w:cs="Arial" w:eastAsia="Arial" w:hAnsi="Arial"/>
          <w:sz w:val="20"/>
          <w:szCs w:val="20"/>
          <w:b w:val="1"/>
          <w:bCs w:val="1"/>
          <w:color w:val="2D2A2B"/>
        </w:rPr>
        <w:t xml:space="preserve"> </w:t>
      </w:r>
      <w:r>
        <w:rPr>
          <w:rFonts w:ascii="Arial" w:cs="Arial" w:eastAsia="Arial" w:hAnsi="Arial"/>
          <w:sz w:val="20"/>
          <w:szCs w:val="20"/>
          <w:color w:val="2D2A2B"/>
        </w:rPr>
        <w:t>executed</w:t>
      </w:r>
      <w:r>
        <w:rPr>
          <w:rFonts w:ascii="Arial" w:cs="Arial" w:eastAsia="Arial" w:hAnsi="Arial"/>
          <w:sz w:val="20"/>
          <w:szCs w:val="20"/>
          <w:b w:val="1"/>
          <w:bCs w:val="1"/>
          <w:color w:val="2D2A2B"/>
        </w:rPr>
        <w:t xml:space="preserve"> </w:t>
      </w:r>
      <w:r>
        <w:rPr>
          <w:rFonts w:ascii="Arial" w:cs="Arial" w:eastAsia="Arial" w:hAnsi="Arial"/>
          <w:sz w:val="20"/>
          <w:szCs w:val="20"/>
          <w:color w:val="1A181A"/>
        </w:rPr>
        <w:t>by their respective officers thereunto duly</w:t>
      </w:r>
      <w:r>
        <w:rPr>
          <w:rFonts w:ascii="Arial" w:cs="Arial" w:eastAsia="Arial" w:hAnsi="Arial"/>
          <w:sz w:val="20"/>
          <w:szCs w:val="20"/>
          <w:b w:val="1"/>
          <w:bCs w:val="1"/>
          <w:color w:val="2D2A2B"/>
        </w:rPr>
        <w:t xml:space="preserve"> </w:t>
      </w:r>
      <w:r>
        <w:rPr>
          <w:rFonts w:ascii="Arial" w:cs="Arial" w:eastAsia="Arial" w:hAnsi="Arial"/>
          <w:sz w:val="20"/>
          <w:szCs w:val="20"/>
          <w:color w:val="2D2A2B"/>
        </w:rPr>
        <w:t xml:space="preserve">authorized, as of </w:t>
      </w:r>
      <w:r>
        <w:rPr>
          <w:rFonts w:ascii="Arial" w:cs="Arial" w:eastAsia="Arial" w:hAnsi="Arial"/>
          <w:sz w:val="20"/>
          <w:szCs w:val="20"/>
          <w:color w:val="1A181A"/>
        </w:rPr>
        <w:t>the date</w:t>
      </w:r>
      <w:r>
        <w:rPr>
          <w:rFonts w:ascii="Arial" w:cs="Arial" w:eastAsia="Arial" w:hAnsi="Arial"/>
          <w:sz w:val="20"/>
          <w:szCs w:val="20"/>
          <w:color w:val="2D2A2B"/>
        </w:rPr>
        <w:t xml:space="preserve"> first above written.</w:t>
      </w:r>
    </w:p>
    <w:p>
      <w:pPr>
        <w:spacing w:after="0" w:line="318"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SUNTRUST BANK,</w:t>
      </w:r>
    </w:p>
    <w:p>
      <w:pPr>
        <w:spacing w:after="0" w:line="54"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as Administrative Agent and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720" w:type="dxa"/>
        <w:tblCellMar>
          <w:top w:w="0" w:type="dxa"/>
          <w:left w:w="0" w:type="dxa"/>
          <w:bottom w:w="0" w:type="dxa"/>
          <w:right w:w="0" w:type="dxa"/>
        </w:tblCellMar>
      </w:tblPr>
      <w:tr>
        <w:trPr>
          <w:trHeight w:val="250"/>
        </w:trPr>
        <w:tc>
          <w:tcPr>
            <w:tcW w:w="720" w:type="dxa"/>
            <w:vAlign w:val="bottom"/>
          </w:tcPr>
          <w:p>
            <w:pPr>
              <w:spacing w:after="0"/>
              <w:rPr>
                <w:sz w:val="20"/>
                <w:szCs w:val="20"/>
                <w:color w:val="auto"/>
              </w:rPr>
            </w:pPr>
            <w:r>
              <w:rPr>
                <w:rFonts w:ascii="Arial" w:cs="Arial" w:eastAsia="Arial" w:hAnsi="Arial"/>
                <w:sz w:val="20"/>
                <w:szCs w:val="20"/>
                <w:color w:val="auto"/>
              </w:rPr>
              <w:t>By:</w:t>
            </w:r>
          </w:p>
        </w:tc>
        <w:tc>
          <w:tcPr>
            <w:tcW w:w="2680" w:type="dxa"/>
            <w:vAlign w:val="bottom"/>
          </w:tcPr>
          <w:p>
            <w:pPr>
              <w:ind w:left="20"/>
              <w:spacing w:after="0"/>
              <w:rPr>
                <w:sz w:val="20"/>
                <w:szCs w:val="20"/>
                <w:color w:val="auto"/>
              </w:rPr>
            </w:pPr>
            <w:r>
              <w:rPr>
                <w:rFonts w:ascii="Arial" w:cs="Arial" w:eastAsia="Arial" w:hAnsi="Arial"/>
                <w:sz w:val="20"/>
                <w:szCs w:val="20"/>
                <w:color w:val="auto"/>
              </w:rPr>
              <w:t>/s/ Brian O'Fallon</w:t>
            </w:r>
          </w:p>
        </w:tc>
      </w:tr>
      <w:tr>
        <w:trPr>
          <w:trHeight w:val="23"/>
        </w:trPr>
        <w:tc>
          <w:tcPr>
            <w:tcW w:w="7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54"/>
        </w:trPr>
        <w:tc>
          <w:tcPr>
            <w:tcW w:w="720" w:type="dxa"/>
            <w:vAlign w:val="bottom"/>
          </w:tcPr>
          <w:p>
            <w:pPr>
              <w:spacing w:after="0"/>
              <w:rPr>
                <w:sz w:val="20"/>
                <w:szCs w:val="20"/>
                <w:color w:val="auto"/>
              </w:rPr>
            </w:pPr>
            <w:r>
              <w:rPr>
                <w:rFonts w:ascii="Arial" w:cs="Arial" w:eastAsia="Arial" w:hAnsi="Arial"/>
                <w:sz w:val="20"/>
                <w:szCs w:val="20"/>
                <w:color w:val="auto"/>
              </w:rPr>
              <w:t>Name:</w:t>
            </w:r>
          </w:p>
        </w:tc>
        <w:tc>
          <w:tcPr>
            <w:tcW w:w="2680" w:type="dxa"/>
            <w:vAlign w:val="bottom"/>
          </w:tcPr>
          <w:p>
            <w:pPr>
              <w:ind w:left="20"/>
              <w:spacing w:after="0"/>
              <w:rPr>
                <w:sz w:val="20"/>
                <w:szCs w:val="20"/>
                <w:color w:val="auto"/>
              </w:rPr>
            </w:pPr>
            <w:r>
              <w:rPr>
                <w:rFonts w:ascii="Arial" w:cs="Arial" w:eastAsia="Arial" w:hAnsi="Arial"/>
                <w:sz w:val="20"/>
                <w:szCs w:val="20"/>
                <w:color w:val="auto"/>
              </w:rPr>
              <w:t>Brian O'Fallon</w:t>
            </w:r>
          </w:p>
        </w:tc>
      </w:tr>
      <w:tr>
        <w:trPr>
          <w:trHeight w:val="284"/>
        </w:trPr>
        <w:tc>
          <w:tcPr>
            <w:tcW w:w="720" w:type="dxa"/>
            <w:vAlign w:val="bottom"/>
          </w:tcPr>
          <w:p>
            <w:pPr>
              <w:spacing w:after="0"/>
              <w:rPr>
                <w:sz w:val="20"/>
                <w:szCs w:val="20"/>
                <w:color w:val="auto"/>
              </w:rPr>
            </w:pPr>
            <w:r>
              <w:rPr>
                <w:rFonts w:ascii="Arial" w:cs="Arial" w:eastAsia="Arial" w:hAnsi="Arial"/>
                <w:sz w:val="20"/>
                <w:szCs w:val="20"/>
                <w:color w:val="auto"/>
              </w:rPr>
              <w:t>Title:</w:t>
            </w:r>
          </w:p>
        </w:tc>
        <w:tc>
          <w:tcPr>
            <w:tcW w:w="268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387" w:lineRule="exact"/>
        <w:rPr>
          <w:sz w:val="20"/>
          <w:szCs w:val="20"/>
          <w:color w:val="auto"/>
        </w:rPr>
      </w:pPr>
    </w:p>
    <w:p>
      <w:pPr>
        <w:ind w:left="2040"/>
        <w:spacing w:after="0"/>
        <w:rPr>
          <w:sz w:val="20"/>
          <w:szCs w:val="20"/>
          <w:color w:val="auto"/>
        </w:rPr>
      </w:pPr>
      <w:r>
        <w:rPr>
          <w:rFonts w:ascii="Arial" w:cs="Arial" w:eastAsia="Arial" w:hAnsi="Arial"/>
          <w:sz w:val="20"/>
          <w:szCs w:val="20"/>
          <w:color w:val="1A181A"/>
        </w:rPr>
        <w:t xml:space="preserve">[Signature </w:t>
      </w:r>
      <w:r>
        <w:rPr>
          <w:rFonts w:ascii="Arial" w:cs="Arial" w:eastAsia="Arial" w:hAnsi="Arial"/>
          <w:sz w:val="20"/>
          <w:szCs w:val="20"/>
          <w:color w:val="2D2A2B"/>
        </w:rPr>
        <w:t>Page to Limited Con</w:t>
      </w:r>
      <w:r>
        <w:rPr>
          <w:rFonts w:ascii="Arial" w:cs="Arial" w:eastAsia="Arial" w:hAnsi="Arial"/>
          <w:sz w:val="20"/>
          <w:szCs w:val="20"/>
          <w:color w:val="4D4D4D"/>
        </w:rPr>
        <w:t>s</w:t>
      </w:r>
      <w:r>
        <w:rPr>
          <w:rFonts w:ascii="Arial" w:cs="Arial" w:eastAsia="Arial" w:hAnsi="Arial"/>
          <w:sz w:val="20"/>
          <w:szCs w:val="20"/>
          <w:color w:val="2D2A2B"/>
        </w:rPr>
        <w:t>ent and Fifth Amendment]</w:t>
      </w:r>
    </w:p>
    <w:p>
      <w:pPr>
        <w:sectPr>
          <w:pgSz w:w="11900" w:h="16838" w:orient="portrait"/>
          <w:cols w:equalWidth="0" w:num="1">
            <w:col w:w="11140"/>
          </w:cols>
          <w:pgMar w:left="360" w:top="913" w:right="399" w:bottom="1440" w:gutter="0" w:footer="0" w:header="0"/>
        </w:sectPr>
      </w:pPr>
    </w:p>
    <w:bookmarkStart w:id="125" w:name="page126"/>
    <w:bookmarkEnd w:id="125"/>
    <w:p>
      <w:pPr>
        <w:ind w:firstLine="648"/>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parties hereto have caused this Agreement to be executed by their respective officers thereunto duly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as of the date first above written.</w:t>
      </w:r>
    </w:p>
    <w:p>
      <w:pPr>
        <w:spacing w:after="0" w:line="332"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PNC BANK, NATIONAL ASSOCIATION,</w:t>
      </w:r>
    </w:p>
    <w:p>
      <w:pPr>
        <w:spacing w:after="0" w:line="54"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a Lender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520" w:type="dxa"/>
        <w:tblCellMar>
          <w:top w:w="0" w:type="dxa"/>
          <w:left w:w="0" w:type="dxa"/>
          <w:bottom w:w="0" w:type="dxa"/>
          <w:right w:w="0" w:type="dxa"/>
        </w:tblCellMar>
      </w:tblPr>
      <w:tr>
        <w:trPr>
          <w:trHeight w:val="250"/>
        </w:trPr>
        <w:tc>
          <w:tcPr>
            <w:tcW w:w="720" w:type="dxa"/>
            <w:vAlign w:val="bottom"/>
          </w:tcPr>
          <w:p>
            <w:pPr>
              <w:spacing w:after="0"/>
              <w:rPr>
                <w:sz w:val="20"/>
                <w:szCs w:val="20"/>
                <w:color w:val="auto"/>
              </w:rPr>
            </w:pPr>
            <w:r>
              <w:rPr>
                <w:rFonts w:ascii="Arial" w:cs="Arial" w:eastAsia="Arial" w:hAnsi="Arial"/>
                <w:sz w:val="20"/>
                <w:szCs w:val="20"/>
                <w:color w:val="auto"/>
              </w:rPr>
              <w:t>By:</w:t>
            </w:r>
          </w:p>
        </w:tc>
        <w:tc>
          <w:tcPr>
            <w:tcW w:w="2920" w:type="dxa"/>
            <w:vAlign w:val="bottom"/>
          </w:tcPr>
          <w:p>
            <w:pPr>
              <w:ind w:left="20"/>
              <w:spacing w:after="0"/>
              <w:rPr>
                <w:sz w:val="20"/>
                <w:szCs w:val="20"/>
                <w:color w:val="auto"/>
              </w:rPr>
            </w:pPr>
            <w:r>
              <w:rPr>
                <w:rFonts w:ascii="Arial" w:cs="Arial" w:eastAsia="Arial" w:hAnsi="Arial"/>
                <w:sz w:val="20"/>
                <w:szCs w:val="20"/>
                <w:color w:val="auto"/>
              </w:rPr>
              <w:t>/s/ Daniela Jurado</w:t>
            </w:r>
          </w:p>
        </w:tc>
      </w:tr>
      <w:tr>
        <w:trPr>
          <w:trHeight w:val="23"/>
        </w:trPr>
        <w:tc>
          <w:tcPr>
            <w:tcW w:w="7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54"/>
        </w:trPr>
        <w:tc>
          <w:tcPr>
            <w:tcW w:w="720" w:type="dxa"/>
            <w:vAlign w:val="bottom"/>
          </w:tcPr>
          <w:p>
            <w:pPr>
              <w:spacing w:after="0"/>
              <w:rPr>
                <w:sz w:val="20"/>
                <w:szCs w:val="20"/>
                <w:color w:val="auto"/>
              </w:rPr>
            </w:pPr>
            <w:r>
              <w:rPr>
                <w:rFonts w:ascii="Arial" w:cs="Arial" w:eastAsia="Arial" w:hAnsi="Arial"/>
                <w:sz w:val="20"/>
                <w:szCs w:val="20"/>
                <w:color w:val="auto"/>
              </w:rPr>
              <w:t>Name:</w:t>
            </w:r>
          </w:p>
        </w:tc>
        <w:tc>
          <w:tcPr>
            <w:tcW w:w="2920" w:type="dxa"/>
            <w:vAlign w:val="bottom"/>
          </w:tcPr>
          <w:p>
            <w:pPr>
              <w:ind w:left="20"/>
              <w:spacing w:after="0"/>
              <w:rPr>
                <w:sz w:val="20"/>
                <w:szCs w:val="20"/>
                <w:color w:val="auto"/>
              </w:rPr>
            </w:pPr>
            <w:r>
              <w:rPr>
                <w:rFonts w:ascii="Arial" w:cs="Arial" w:eastAsia="Arial" w:hAnsi="Arial"/>
                <w:sz w:val="20"/>
                <w:szCs w:val="20"/>
                <w:color w:val="auto"/>
              </w:rPr>
              <w:t>Daniela Jurado</w:t>
            </w:r>
          </w:p>
        </w:tc>
      </w:tr>
      <w:tr>
        <w:trPr>
          <w:trHeight w:val="284"/>
        </w:trPr>
        <w:tc>
          <w:tcPr>
            <w:tcW w:w="720" w:type="dxa"/>
            <w:vAlign w:val="bottom"/>
          </w:tcPr>
          <w:p>
            <w:pPr>
              <w:spacing w:after="0"/>
              <w:rPr>
                <w:sz w:val="20"/>
                <w:szCs w:val="20"/>
                <w:color w:val="auto"/>
              </w:rPr>
            </w:pPr>
            <w:r>
              <w:rPr>
                <w:rFonts w:ascii="Arial" w:cs="Arial" w:eastAsia="Arial" w:hAnsi="Arial"/>
                <w:sz w:val="20"/>
                <w:szCs w:val="20"/>
                <w:color w:val="auto"/>
              </w:rPr>
              <w:t>Title:</w:t>
            </w:r>
          </w:p>
        </w:tc>
        <w:tc>
          <w:tcPr>
            <w:tcW w:w="2920" w:type="dxa"/>
            <w:vAlign w:val="bottom"/>
          </w:tcPr>
          <w:p>
            <w:pPr>
              <w:ind w:left="20"/>
              <w:spacing w:after="0"/>
              <w:rPr>
                <w:sz w:val="20"/>
                <w:szCs w:val="20"/>
                <w:color w:val="auto"/>
              </w:rPr>
            </w:pPr>
            <w:r>
              <w:rPr>
                <w:rFonts w:ascii="Arial" w:cs="Arial" w:eastAsia="Arial" w:hAnsi="Arial"/>
                <w:sz w:val="20"/>
                <w:szCs w:val="20"/>
                <w:color w:val="auto"/>
              </w:rPr>
              <w:t>Officer</w:t>
            </w:r>
          </w:p>
        </w:tc>
      </w:tr>
    </w:tbl>
    <w:p>
      <w:pPr>
        <w:spacing w:after="0" w:line="200" w:lineRule="exact"/>
        <w:rPr>
          <w:sz w:val="20"/>
          <w:szCs w:val="20"/>
          <w:color w:val="auto"/>
        </w:rPr>
      </w:pPr>
    </w:p>
    <w:p>
      <w:pPr>
        <w:spacing w:after="0" w:line="252"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[Signature Page to Limited Consent and Fifth Amendment]</w:t>
      </w:r>
    </w:p>
    <w:p>
      <w:pPr>
        <w:sectPr>
          <w:pgSz w:w="11900" w:h="16838" w:orient="portrait"/>
          <w:cols w:equalWidth="0" w:num="1">
            <w:col w:w="11180"/>
          </w:cols>
          <w:pgMar w:left="440" w:top="630" w:right="279" w:bottom="1440" w:gutter="0" w:footer="0" w:header="0"/>
        </w:sectPr>
      </w:pPr>
    </w:p>
    <w:bookmarkStart w:id="126" w:name="page127"/>
    <w:bookmarkEnd w:id="126"/>
    <w:p>
      <w:pPr>
        <w:ind w:firstLine="648"/>
        <w:spacing w:after="0" w:line="281" w:lineRule="auto"/>
        <w:rPr>
          <w:sz w:val="20"/>
          <w:szCs w:val="20"/>
          <w:color w:val="auto"/>
        </w:rPr>
      </w:pPr>
      <w:r>
        <w:rPr>
          <w:rFonts w:ascii="Arial" w:cs="Arial" w:eastAsia="Arial" w:hAnsi="Arial"/>
          <w:sz w:val="20"/>
          <w:szCs w:val="20"/>
          <w:b w:val="1"/>
          <w:bCs w:val="1"/>
          <w:color w:val="363636"/>
        </w:rPr>
        <w:t xml:space="preserve">IN WITNESS WHEREOF, </w:t>
      </w:r>
      <w:r>
        <w:rPr>
          <w:rFonts w:ascii="Arial" w:cs="Arial" w:eastAsia="Arial" w:hAnsi="Arial"/>
          <w:sz w:val="20"/>
          <w:szCs w:val="20"/>
          <w:color w:val="363636"/>
        </w:rPr>
        <w:t>the parties hereto have caused th is Agreement to be executed by their respective officers thereunto duly</w:t>
      </w:r>
      <w:r>
        <w:rPr>
          <w:rFonts w:ascii="Arial" w:cs="Arial" w:eastAsia="Arial" w:hAnsi="Arial"/>
          <w:sz w:val="20"/>
          <w:szCs w:val="20"/>
          <w:b w:val="1"/>
          <w:bCs w:val="1"/>
          <w:color w:val="363636"/>
        </w:rPr>
        <w:t xml:space="preserve"> </w:t>
      </w:r>
      <w:r>
        <w:rPr>
          <w:rFonts w:ascii="Arial" w:cs="Arial" w:eastAsia="Arial" w:hAnsi="Arial"/>
          <w:sz w:val="20"/>
          <w:szCs w:val="20"/>
          <w:color w:val="363636"/>
        </w:rPr>
        <w:t>authorized, as of the date first above written.</w:t>
      </w:r>
    </w:p>
    <w:p>
      <w:pPr>
        <w:spacing w:after="0" w:line="318"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CATHAY BANK,</w:t>
      </w:r>
    </w:p>
    <w:p>
      <w:pPr>
        <w:spacing w:after="0" w:line="54" w:lineRule="exact"/>
        <w:rPr>
          <w:sz w:val="20"/>
          <w:szCs w:val="20"/>
          <w:color w:val="auto"/>
        </w:rPr>
      </w:pPr>
    </w:p>
    <w:p>
      <w:pPr>
        <w:ind w:left="4600"/>
        <w:spacing w:after="0"/>
        <w:rPr>
          <w:sz w:val="20"/>
          <w:szCs w:val="20"/>
          <w:color w:val="auto"/>
        </w:rPr>
      </w:pPr>
      <w:r>
        <w:rPr>
          <w:rFonts w:ascii="Arial" w:cs="Arial" w:eastAsia="Arial" w:hAnsi="Arial"/>
          <w:sz w:val="20"/>
          <w:szCs w:val="20"/>
          <w:color w:val="auto"/>
        </w:rPr>
        <w:t>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0"/>
        <w:spacing w:after="0"/>
        <w:tabs>
          <w:tab w:leader="none" w:pos="56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Humberto Campos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3599180</wp:posOffset>
            </wp:positionH>
            <wp:positionV relativeFrom="paragraph">
              <wp:posOffset>27305</wp:posOffset>
            </wp:positionV>
            <wp:extent cx="16897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9">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41" w:lineRule="exact"/>
        <w:rPr>
          <w:sz w:val="20"/>
          <w:szCs w:val="20"/>
          <w:color w:val="auto"/>
        </w:rPr>
      </w:pPr>
    </w:p>
    <w:p>
      <w:pPr>
        <w:ind w:left="4600"/>
        <w:spacing w:after="0"/>
        <w:tabs>
          <w:tab w:leader="none" w:pos="59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20"/>
          <w:szCs w:val="20"/>
          <w:b w:val="1"/>
          <w:bCs w:val="1"/>
          <w:color w:val="auto"/>
        </w:rPr>
        <w:t>HUMBERTO CAMPOS</w:t>
      </w:r>
    </w:p>
    <w:p>
      <w:pPr>
        <w:spacing w:after="0" w:line="54" w:lineRule="exact"/>
        <w:rPr>
          <w:sz w:val="20"/>
          <w:szCs w:val="20"/>
          <w:color w:val="auto"/>
        </w:rPr>
      </w:pPr>
    </w:p>
    <w:p>
      <w:pPr>
        <w:ind w:left="4600"/>
        <w:spacing w:after="0"/>
        <w:tabs>
          <w:tab w:leader="none" w:pos="61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b w:val="1"/>
          <w:bCs w:val="1"/>
          <w:color w:val="auto"/>
        </w:rPr>
        <w:t>VICE PRESIDENT</w:t>
      </w:r>
    </w:p>
    <w:p>
      <w:pPr>
        <w:spacing w:after="0" w:line="200" w:lineRule="exact"/>
        <w:rPr>
          <w:sz w:val="20"/>
          <w:szCs w:val="20"/>
          <w:color w:val="auto"/>
        </w:rPr>
      </w:pPr>
    </w:p>
    <w:p>
      <w:pPr>
        <w:spacing w:after="0" w:line="265" w:lineRule="exact"/>
        <w:rPr>
          <w:sz w:val="20"/>
          <w:szCs w:val="20"/>
          <w:color w:val="auto"/>
        </w:rPr>
      </w:pPr>
    </w:p>
    <w:p>
      <w:pPr>
        <w:ind w:left="2380"/>
        <w:spacing w:after="0"/>
        <w:rPr>
          <w:sz w:val="20"/>
          <w:szCs w:val="20"/>
          <w:color w:val="auto"/>
        </w:rPr>
      </w:pPr>
      <w:r>
        <w:rPr>
          <w:rFonts w:ascii="Arial" w:cs="Arial" w:eastAsia="Arial" w:hAnsi="Arial"/>
          <w:sz w:val="16"/>
          <w:szCs w:val="16"/>
          <w:color w:val="auto"/>
        </w:rPr>
        <w:t>[</w:t>
      </w:r>
      <w:r>
        <w:rPr>
          <w:rFonts w:ascii="Arial" w:cs="Arial" w:eastAsia="Arial" w:hAnsi="Arial"/>
          <w:sz w:val="19"/>
          <w:szCs w:val="19"/>
          <w:color w:val="auto"/>
        </w:rPr>
        <w:t>Signature Page to Limited Consent and Fifth Amendment]</w:t>
      </w:r>
    </w:p>
    <w:p>
      <w:pPr>
        <w:sectPr>
          <w:pgSz w:w="11900" w:h="16838" w:orient="portrait"/>
          <w:cols w:equalWidth="0" w:num="1">
            <w:col w:w="11240"/>
          </w:cols>
          <w:pgMar w:left="320" w:top="697" w:right="339" w:bottom="1440" w:gutter="0" w:footer="0" w:header="0"/>
        </w:sectPr>
      </w:pPr>
    </w:p>
    <w:bookmarkStart w:id="127" w:name="page128"/>
    <w:bookmarkEnd w:id="127"/>
    <w:p>
      <w:pPr>
        <w:ind w:left="440"/>
        <w:spacing w:after="0"/>
        <w:tabs>
          <w:tab w:leader="none" w:pos="2700" w:val="left"/>
        </w:tabs>
        <w:rPr>
          <w:sz w:val="20"/>
          <w:szCs w:val="20"/>
          <w:color w:val="auto"/>
        </w:rPr>
      </w:pPr>
      <w:r>
        <w:rPr>
          <w:rFonts w:ascii="Arial" w:cs="Arial" w:eastAsia="Arial" w:hAnsi="Arial"/>
          <w:sz w:val="20"/>
          <w:szCs w:val="20"/>
          <w:b w:val="1"/>
          <w:bCs w:val="1"/>
          <w:u w:val="single" w:color="auto"/>
          <w:color w:val="auto"/>
        </w:rPr>
        <w:t>Agreed to and Accepted:</w:t>
      </w:r>
      <w:r>
        <w:rPr>
          <w:sz w:val="20"/>
          <w:szCs w:val="20"/>
          <w:color w:val="auto"/>
        </w:rPr>
        <w:tab/>
      </w:r>
      <w:r>
        <w:rPr>
          <w:rFonts w:ascii="Arial" w:cs="Arial" w:eastAsia="Arial" w:hAnsi="Arial"/>
          <w:sz w:val="18"/>
          <w:szCs w:val="18"/>
          <w:color w:val="auto"/>
        </w:rPr>
        <w:t>BORROWER:</w:t>
      </w:r>
    </w:p>
    <w:p>
      <w:pPr>
        <w:spacing w:after="0" w:line="249"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KRATOS DEFENSE &amp; SECURITY SOLUTIONS, INC.</w:t>
      </w: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Maria Cervantes de Burgreen</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Name: Maria Cervantes de Burgreen</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Title: Vice President &amp; Corporate Controller</w:t>
      </w: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OTHER CREDIT PARTIES:</w:t>
      </w:r>
    </w:p>
    <w:p>
      <w:pPr>
        <w:spacing w:after="0" w:line="243"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AVTEC SYSTEMS,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BSC PARTNERS, LLC CARLSBAD ISI,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COMPOSITE ENGINEERING,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DEFENSE SYSTEMS, INCORPORATED</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HAVERSTICK CONSULTING,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HGS HOLDINGS,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DTI ASSOCIATES,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HAVERSTICK GOVERNMENT SOLUTIONS,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ROCKET SUPPORT SERVICES, LLC JMA ASSOCIATES, INC.</w:t>
      </w:r>
    </w:p>
    <w:p>
      <w:pPr>
        <w:spacing w:after="0" w:line="77"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MADISON RESEARCH CORPORATlON</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GICHNER SYSTEMS GROUP,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GICHNER SYSTEMS INTERNATIONAL,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CHARLESTON MARINE CONTAINERS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DALLASTOWN REA LTY I, LLC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DALLASTOWN REA LTY II, LLC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DEI SERVICES CORPORATlON</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SCT ACQUISITION, LLC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SCT REAL ESTATE, LLC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KPSS GOVERNMENT SOLUTIONS,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KRATOS INTEGRAL HOLDINGS, LLC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KRATOS INTEGRAL SYSTEMS</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INTERNATIONAL,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KRATOS NETWORKS,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KRATOS SYSTEMS AND SOLUTIONS,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KRATOS DEFENSE &amp; ROCKET SUPPORT SERVICES, INC.</w:t>
      </w:r>
    </w:p>
    <w:p>
      <w:pPr>
        <w:spacing w:after="0" w:line="65"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KRATOS PUBLIC SAFETY &amp; SECURITY SOLUTIONS, INC.</w:t>
      </w:r>
    </w:p>
    <w:p>
      <w:pPr>
        <w:spacing w:after="0" w:line="65"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KRATOS SOUTHEAST,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KRATOS TEXAS,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WFI NMC CORP.</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KRATOS TECHNOLOGY &amp; TRAINING SOLUTIONS,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KRATOS UNMANNED SYSTEMS SOLUTIONS,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DFI REALTY, LLC</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[Signature Page to Limited Consent and Fifth Amendment]</w:t>
      </w:r>
    </w:p>
    <w:p>
      <w:pPr>
        <w:sectPr>
          <w:pgSz w:w="11900" w:h="16838" w:orient="portrait"/>
          <w:cols w:equalWidth="0" w:num="1">
            <w:col w:w="9019"/>
          </w:cols>
          <w:pgMar w:left="1440" w:top="751" w:right="1440" w:bottom="1440" w:gutter="0" w:footer="0" w:header="0"/>
        </w:sectPr>
      </w:pPr>
    </w:p>
    <w:bookmarkStart w:id="128" w:name="page129"/>
    <w:bookmarkEnd w:id="128"/>
    <w:p>
      <w:pPr>
        <w:ind w:left="272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/s/ Maria Cervantes de Burgreen</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Maria Cervantes de Burgreen</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Corporate Controller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REALITY BASED IT SERVICES, LTD.</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SHADOW I,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SHADOW II,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DIG ITAL FUSION,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DIGITAL FUSION SOLUTIONS,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SUMMIT RESEARCH CORPORATION</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HENRY BROS. ELECTRONICS, INC.,</w:t>
      </w:r>
    </w:p>
    <w:p>
      <w:pPr>
        <w:spacing w:after="0" w:line="54"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a Delaware corporation</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HENRY BROS. ELECTRONICS, INC.,</w:t>
      </w:r>
    </w:p>
    <w:p>
      <w:pPr>
        <w:spacing w:after="0" w:line="54"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a Colorado corporation</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HENRY BROS. ELECTRONICS, INC.,</w:t>
      </w:r>
    </w:p>
    <w:p>
      <w:pPr>
        <w:spacing w:after="0" w:line="54"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a New Jersey corporation</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HENRY BROS. ELECTRONICS, INC.,</w:t>
      </w:r>
    </w:p>
    <w:p>
      <w:pPr>
        <w:spacing w:after="0" w:line="54"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a California corporation</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DIVERSIFIED SECURITY SOLUTIONS,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HENRY BROS. ELECTRONICS, L.L.C.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NATIONAL SAFE OF CALIFORNIA</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LVDM,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AIRORLITE COMMUNICATIONS,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GENERAL MICROWAVE CORPORATION</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GENERAL MICROWAVE ISRAEL CORPORATION</w:t>
      </w:r>
    </w:p>
    <w:p>
      <w:pPr>
        <w:spacing w:after="0" w:line="77"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MSI ACQUISITION CORP.</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MICRO SYSTEMS,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KRATOS-RSS,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REAL TIME LOGIC,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SAT CORPORATION</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SECUREINFO CORPORATION</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Al METRIX, INC.</w:t>
      </w:r>
    </w:p>
    <w:p>
      <w:pPr>
        <w:spacing w:after="0" w:line="54"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POLEXIS, INC.</w:t>
      </w:r>
    </w:p>
    <w:p>
      <w:pPr>
        <w:spacing w:after="0" w:line="297"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/s/ Maria Cervantes de Burgreen</w:t>
      </w:r>
    </w:p>
    <w:p>
      <w:pPr>
        <w:spacing w:after="0" w:line="54" w:lineRule="exact"/>
        <w:rPr>
          <w:sz w:val="20"/>
          <w:szCs w:val="20"/>
          <w:color w:val="auto"/>
        </w:rPr>
      </w:pPr>
    </w:p>
    <w:p>
      <w:pPr>
        <w:ind w:left="2960"/>
        <w:spacing w:after="0"/>
        <w:rPr>
          <w:sz w:val="20"/>
          <w:szCs w:val="20"/>
          <w:color w:val="auto"/>
        </w:rPr>
      </w:pPr>
      <w:r>
        <w:rPr>
          <w:rFonts w:ascii="Arial" w:cs="Arial" w:eastAsia="Arial" w:hAnsi="Arial"/>
          <w:sz w:val="20"/>
          <w:szCs w:val="20"/>
          <w:color w:val="auto"/>
        </w:rPr>
        <w:t>Maria Cervantes de Burgreen</w:t>
      </w:r>
    </w:p>
    <w:p>
      <w:pPr>
        <w:spacing w:after="0" w:line="54" w:lineRule="exact"/>
        <w:rPr>
          <w:sz w:val="20"/>
          <w:szCs w:val="20"/>
          <w:color w:val="auto"/>
        </w:rPr>
      </w:pPr>
    </w:p>
    <w:p>
      <w:pPr>
        <w:ind w:left="2960"/>
        <w:spacing w:after="0"/>
        <w:rPr>
          <w:sz w:val="20"/>
          <w:szCs w:val="20"/>
          <w:color w:val="auto"/>
        </w:rPr>
      </w:pPr>
      <w:r>
        <w:rPr>
          <w:rFonts w:ascii="Arial" w:cs="Arial" w:eastAsia="Arial" w:hAnsi="Arial"/>
          <w:sz w:val="20"/>
          <w:szCs w:val="20"/>
          <w:color w:val="auto"/>
        </w:rPr>
        <w:t>Corporate Controller</w:t>
      </w:r>
    </w:p>
    <w:p>
      <w:pPr>
        <w:spacing w:after="0" w:line="200" w:lineRule="exact"/>
        <w:rPr>
          <w:sz w:val="20"/>
          <w:szCs w:val="20"/>
          <w:color w:val="auto"/>
        </w:rPr>
      </w:pPr>
    </w:p>
    <w:p>
      <w:pPr>
        <w:spacing w:after="0" w:line="286"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KRATOS SOUTHWEST L.P.,</w:t>
      </w:r>
    </w:p>
    <w:p>
      <w:pPr>
        <w:spacing w:after="0" w:line="54" w:lineRule="exact"/>
        <w:rPr>
          <w:sz w:val="20"/>
          <w:szCs w:val="20"/>
          <w:color w:val="auto"/>
        </w:rPr>
      </w:pPr>
    </w:p>
    <w:p>
      <w:pPr>
        <w:ind w:left="2820"/>
        <w:spacing w:after="0"/>
        <w:rPr>
          <w:sz w:val="20"/>
          <w:szCs w:val="20"/>
          <w:color w:val="auto"/>
        </w:rPr>
      </w:pPr>
      <w:r>
        <w:rPr>
          <w:rFonts w:ascii="Arial" w:cs="Arial" w:eastAsia="Arial" w:hAnsi="Arial"/>
          <w:sz w:val="20"/>
          <w:szCs w:val="20"/>
          <w:color w:val="auto"/>
        </w:rPr>
        <w:t>by Kratos Texas, Inc., its General Partner</w:t>
      </w:r>
    </w:p>
    <w:p>
      <w:pPr>
        <w:spacing w:after="0" w:line="297"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/s/ Maria Cervantes de Burgreen</w:t>
      </w:r>
    </w:p>
    <w:p>
      <w:pPr>
        <w:spacing w:after="0" w:line="54" w:lineRule="exact"/>
        <w:rPr>
          <w:sz w:val="20"/>
          <w:szCs w:val="20"/>
          <w:color w:val="auto"/>
        </w:rPr>
      </w:pPr>
    </w:p>
    <w:p>
      <w:pPr>
        <w:ind w:left="2960"/>
        <w:spacing w:after="0"/>
        <w:rPr>
          <w:sz w:val="20"/>
          <w:szCs w:val="20"/>
          <w:color w:val="auto"/>
        </w:rPr>
      </w:pPr>
      <w:r>
        <w:rPr>
          <w:rFonts w:ascii="Arial" w:cs="Arial" w:eastAsia="Arial" w:hAnsi="Arial"/>
          <w:sz w:val="20"/>
          <w:szCs w:val="20"/>
          <w:color w:val="auto"/>
        </w:rPr>
        <w:t>Maria Cervantes de Burgreen</w:t>
      </w:r>
    </w:p>
    <w:p>
      <w:pPr>
        <w:spacing w:after="0" w:line="54" w:lineRule="exact"/>
        <w:rPr>
          <w:sz w:val="20"/>
          <w:szCs w:val="20"/>
          <w:color w:val="auto"/>
        </w:rPr>
      </w:pPr>
    </w:p>
    <w:p>
      <w:pPr>
        <w:ind w:left="2960"/>
        <w:spacing w:after="0"/>
        <w:rPr>
          <w:sz w:val="20"/>
          <w:szCs w:val="20"/>
          <w:color w:val="auto"/>
        </w:rPr>
      </w:pPr>
      <w:r>
        <w:rPr>
          <w:rFonts w:ascii="Arial" w:cs="Arial" w:eastAsia="Arial" w:hAnsi="Arial"/>
          <w:sz w:val="20"/>
          <w:szCs w:val="20"/>
          <w:color w:val="auto"/>
        </w:rPr>
        <w:t>Corporate Controller</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Limited Consent and Fifth Amendment]</w:t>
      </w:r>
    </w:p>
    <w:p>
      <w:pPr>
        <w:sectPr>
          <w:pgSz w:w="11900" w:h="16838" w:orient="portrait"/>
          <w:cols w:equalWidth="0" w:num="1">
            <w:col w:w="9019"/>
          </w:cols>
          <w:pgMar w:left="1440" w:top="973" w:right="1440" w:bottom="1440" w:gutter="0" w:footer="0" w:header="0"/>
        </w:sectPr>
      </w:pPr>
    </w:p>
    <w:bookmarkStart w:id="129" w:name="page130"/>
    <w:bookmarkEnd w:id="129"/>
    <w:p>
      <w:pPr>
        <w:jc w:val="center"/>
        <w:ind w:right="-859"/>
        <w:spacing w:after="0"/>
        <w:rPr>
          <w:sz w:val="20"/>
          <w:szCs w:val="20"/>
          <w:color w:val="auto"/>
        </w:rPr>
      </w:pPr>
      <w:r>
        <w:rPr>
          <w:rFonts w:ascii="Arial" w:cs="Arial" w:eastAsia="Arial" w:hAnsi="Arial"/>
          <w:sz w:val="20"/>
          <w:szCs w:val="20"/>
          <w:u w:val="single" w:color="auto"/>
          <w:color w:val="auto"/>
        </w:rPr>
        <w:t>Annex I</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Raytheon Purchase Orders</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r>
              <w:rPr>
                <w:rFonts w:ascii="Arial" w:cs="Arial" w:eastAsia="Arial" w:hAnsi="Arial"/>
                <w:sz w:val="20"/>
                <w:szCs w:val="20"/>
                <w:color w:val="auto"/>
                <w:w w:val="87"/>
              </w:rPr>
              <w:t>Purchase Order No.</w:t>
            </w:r>
          </w:p>
        </w:tc>
        <w:tc>
          <w:tcPr>
            <w:tcW w:w="360" w:type="dxa"/>
            <w:vAlign w:val="bottom"/>
          </w:tcPr>
          <w:p>
            <w:pPr>
              <w:spacing w:after="0"/>
              <w:rPr>
                <w:sz w:val="19"/>
                <w:szCs w:val="19"/>
                <w:color w:val="auto"/>
              </w:rPr>
            </w:pPr>
          </w:p>
        </w:tc>
        <w:tc>
          <w:tcPr>
            <w:tcW w:w="4760" w:type="dxa"/>
            <w:vAlign w:val="bottom"/>
            <w:gridSpan w:val="3"/>
          </w:tcPr>
          <w:p>
            <w:pPr>
              <w:ind w:left="360"/>
              <w:spacing w:after="0"/>
              <w:rPr>
                <w:sz w:val="20"/>
                <w:szCs w:val="20"/>
                <w:color w:val="auto"/>
              </w:rPr>
            </w:pPr>
            <w:r>
              <w:rPr>
                <w:rFonts w:ascii="Arial" w:cs="Arial" w:eastAsia="Arial" w:hAnsi="Arial"/>
                <w:sz w:val="20"/>
                <w:szCs w:val="20"/>
                <w:color w:val="auto"/>
              </w:rPr>
              <w:t>Program Name</w:t>
            </w:r>
          </w:p>
        </w:tc>
        <w:tc>
          <w:tcPr>
            <w:tcW w:w="2460" w:type="dxa"/>
            <w:vAlign w:val="bottom"/>
            <w:gridSpan w:val="2"/>
          </w:tcPr>
          <w:p>
            <w:pPr>
              <w:spacing w:after="0"/>
              <w:rPr>
                <w:sz w:val="20"/>
                <w:szCs w:val="20"/>
                <w:color w:val="auto"/>
              </w:rPr>
            </w:pPr>
            <w:r>
              <w:rPr>
                <w:rFonts w:ascii="Arial" w:cs="Arial" w:eastAsia="Arial" w:hAnsi="Arial"/>
                <w:sz w:val="20"/>
                <w:szCs w:val="20"/>
                <w:color w:val="auto"/>
              </w:rPr>
              <w:t>Payment Type</w:t>
            </w:r>
          </w:p>
        </w:tc>
        <w:tc>
          <w:tcPr>
            <w:tcW w:w="1120" w:type="dxa"/>
            <w:vAlign w:val="bottom"/>
          </w:tcPr>
          <w:p>
            <w:pPr>
              <w:spacing w:after="0"/>
              <w:rPr>
                <w:sz w:val="20"/>
                <w:szCs w:val="20"/>
                <w:color w:val="auto"/>
              </w:rPr>
            </w:pPr>
            <w:r>
              <w:rPr>
                <w:rFonts w:ascii="Arial" w:cs="Arial" w:eastAsia="Arial" w:hAnsi="Arial"/>
                <w:sz w:val="20"/>
                <w:szCs w:val="20"/>
                <w:color w:val="auto"/>
                <w:w w:val="89"/>
              </w:rPr>
              <w:t>Business Unit</w:t>
            </w:r>
          </w:p>
        </w:tc>
      </w:tr>
      <w:tr>
        <w:trPr>
          <w:trHeight w:val="20"/>
        </w:trPr>
        <w:tc>
          <w:tcPr>
            <w:tcW w:w="1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308"/>
        </w:trPr>
        <w:tc>
          <w:tcPr>
            <w:tcW w:w="1580" w:type="dxa"/>
            <w:vAlign w:val="bottom"/>
          </w:tcPr>
          <w:p>
            <w:pPr>
              <w:spacing w:after="0"/>
              <w:rPr>
                <w:sz w:val="20"/>
                <w:szCs w:val="20"/>
                <w:color w:val="auto"/>
              </w:rPr>
            </w:pPr>
            <w:r>
              <w:rPr>
                <w:rFonts w:ascii="Arial" w:cs="Arial" w:eastAsia="Arial" w:hAnsi="Arial"/>
                <w:sz w:val="20"/>
                <w:szCs w:val="20"/>
                <w:color w:val="auto"/>
              </w:rPr>
              <w:t>4200762386</w:t>
            </w:r>
          </w:p>
        </w:tc>
        <w:tc>
          <w:tcPr>
            <w:tcW w:w="360" w:type="dxa"/>
            <w:vAlign w:val="bottom"/>
          </w:tcPr>
          <w:p>
            <w:pPr>
              <w:spacing w:after="0"/>
              <w:rPr>
                <w:sz w:val="24"/>
                <w:szCs w:val="24"/>
                <w:color w:val="auto"/>
              </w:rPr>
            </w:pPr>
          </w:p>
        </w:tc>
        <w:tc>
          <w:tcPr>
            <w:tcW w:w="4760" w:type="dxa"/>
            <w:vAlign w:val="bottom"/>
            <w:gridSpan w:val="3"/>
          </w:tcPr>
          <w:p>
            <w:pPr>
              <w:ind w:left="360"/>
              <w:spacing w:after="0"/>
              <w:rPr>
                <w:sz w:val="20"/>
                <w:szCs w:val="20"/>
                <w:color w:val="auto"/>
              </w:rPr>
            </w:pPr>
            <w:r>
              <w:rPr>
                <w:rFonts w:ascii="Arial" w:cs="Arial" w:eastAsia="Arial" w:hAnsi="Arial"/>
                <w:sz w:val="20"/>
                <w:szCs w:val="20"/>
                <w:color w:val="auto"/>
              </w:rPr>
              <w:t>Zumwalt EME</w:t>
            </w:r>
          </w:p>
        </w:tc>
        <w:tc>
          <w:tcPr>
            <w:tcW w:w="2460" w:type="dxa"/>
            <w:vAlign w:val="bottom"/>
            <w:gridSpan w:val="2"/>
          </w:tcPr>
          <w:p>
            <w:pPr>
              <w:spacing w:after="0"/>
              <w:rPr>
                <w:sz w:val="20"/>
                <w:szCs w:val="20"/>
                <w:color w:val="auto"/>
              </w:rPr>
            </w:pPr>
            <w:r>
              <w:rPr>
                <w:rFonts w:ascii="Arial" w:cs="Arial" w:eastAsia="Arial" w:hAnsi="Arial"/>
                <w:sz w:val="20"/>
                <w:szCs w:val="20"/>
                <w:color w:val="auto"/>
              </w:rPr>
              <w:t>Progress</w:t>
            </w:r>
          </w:p>
        </w:tc>
        <w:tc>
          <w:tcPr>
            <w:tcW w:w="1120" w:type="dxa"/>
            <w:vAlign w:val="bottom"/>
          </w:tcPr>
          <w:p>
            <w:pPr>
              <w:spacing w:after="0"/>
              <w:rPr>
                <w:sz w:val="20"/>
                <w:szCs w:val="20"/>
                <w:color w:val="auto"/>
              </w:rPr>
            </w:pPr>
            <w:r>
              <w:rPr>
                <w:rFonts w:ascii="Arial" w:cs="Arial" w:eastAsia="Arial" w:hAnsi="Arial"/>
                <w:sz w:val="20"/>
                <w:szCs w:val="20"/>
                <w:color w:val="auto"/>
              </w:rPr>
              <w:t>IDS</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4200889192</w:t>
            </w:r>
          </w:p>
        </w:tc>
        <w:tc>
          <w:tcPr>
            <w:tcW w:w="360" w:type="dxa"/>
            <w:vAlign w:val="bottom"/>
          </w:tcPr>
          <w:p>
            <w:pPr>
              <w:spacing w:after="0"/>
              <w:rPr>
                <w:sz w:val="24"/>
                <w:szCs w:val="24"/>
                <w:color w:val="auto"/>
              </w:rPr>
            </w:pPr>
          </w:p>
        </w:tc>
        <w:tc>
          <w:tcPr>
            <w:tcW w:w="4760" w:type="dxa"/>
            <w:vAlign w:val="bottom"/>
            <w:gridSpan w:val="3"/>
          </w:tcPr>
          <w:p>
            <w:pPr>
              <w:ind w:left="360"/>
              <w:spacing w:after="0"/>
              <w:rPr>
                <w:sz w:val="20"/>
                <w:szCs w:val="20"/>
                <w:color w:val="auto"/>
              </w:rPr>
            </w:pPr>
            <w:r>
              <w:rPr>
                <w:rFonts w:ascii="Arial" w:cs="Arial" w:eastAsia="Arial" w:hAnsi="Arial"/>
                <w:sz w:val="20"/>
                <w:szCs w:val="20"/>
                <w:color w:val="auto"/>
              </w:rPr>
              <w:t>Patriot – Saudi (SNAP)</w:t>
            </w:r>
          </w:p>
        </w:tc>
        <w:tc>
          <w:tcPr>
            <w:tcW w:w="2460" w:type="dxa"/>
            <w:vAlign w:val="bottom"/>
            <w:gridSpan w:val="2"/>
          </w:tcPr>
          <w:p>
            <w:pPr>
              <w:spacing w:after="0"/>
              <w:rPr>
                <w:sz w:val="20"/>
                <w:szCs w:val="20"/>
                <w:color w:val="auto"/>
              </w:rPr>
            </w:pPr>
            <w:r>
              <w:rPr>
                <w:rFonts w:ascii="Arial" w:cs="Arial" w:eastAsia="Arial" w:hAnsi="Arial"/>
                <w:sz w:val="20"/>
                <w:szCs w:val="20"/>
                <w:color w:val="auto"/>
              </w:rPr>
              <w:t>Progress</w:t>
            </w:r>
          </w:p>
        </w:tc>
        <w:tc>
          <w:tcPr>
            <w:tcW w:w="1120" w:type="dxa"/>
            <w:vAlign w:val="bottom"/>
          </w:tcPr>
          <w:p>
            <w:pPr>
              <w:spacing w:after="0"/>
              <w:rPr>
                <w:sz w:val="20"/>
                <w:szCs w:val="20"/>
                <w:color w:val="auto"/>
              </w:rPr>
            </w:pPr>
            <w:r>
              <w:rPr>
                <w:rFonts w:ascii="Arial" w:cs="Arial" w:eastAsia="Arial" w:hAnsi="Arial"/>
                <w:sz w:val="20"/>
                <w:szCs w:val="20"/>
                <w:color w:val="auto"/>
              </w:rPr>
              <w:t>IDS</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4200854810</w:t>
            </w:r>
          </w:p>
        </w:tc>
        <w:tc>
          <w:tcPr>
            <w:tcW w:w="360" w:type="dxa"/>
            <w:vAlign w:val="bottom"/>
          </w:tcPr>
          <w:p>
            <w:pPr>
              <w:spacing w:after="0"/>
              <w:rPr>
                <w:sz w:val="24"/>
                <w:szCs w:val="24"/>
                <w:color w:val="auto"/>
              </w:rPr>
            </w:pPr>
          </w:p>
        </w:tc>
        <w:tc>
          <w:tcPr>
            <w:tcW w:w="4760" w:type="dxa"/>
            <w:vAlign w:val="bottom"/>
            <w:gridSpan w:val="3"/>
          </w:tcPr>
          <w:p>
            <w:pPr>
              <w:ind w:left="360"/>
              <w:spacing w:after="0"/>
              <w:rPr>
                <w:sz w:val="20"/>
                <w:szCs w:val="20"/>
                <w:color w:val="auto"/>
              </w:rPr>
            </w:pPr>
            <w:r>
              <w:rPr>
                <w:rFonts w:ascii="Arial" w:cs="Arial" w:eastAsia="Arial" w:hAnsi="Arial"/>
                <w:sz w:val="20"/>
                <w:szCs w:val="20"/>
                <w:color w:val="auto"/>
              </w:rPr>
              <w:t>Patriot – Qatar</w:t>
            </w:r>
          </w:p>
        </w:tc>
        <w:tc>
          <w:tcPr>
            <w:tcW w:w="2460" w:type="dxa"/>
            <w:vAlign w:val="bottom"/>
            <w:gridSpan w:val="2"/>
          </w:tcPr>
          <w:p>
            <w:pPr>
              <w:spacing w:after="0"/>
              <w:rPr>
                <w:sz w:val="20"/>
                <w:szCs w:val="20"/>
                <w:color w:val="auto"/>
              </w:rPr>
            </w:pPr>
            <w:r>
              <w:rPr>
                <w:rFonts w:ascii="Arial" w:cs="Arial" w:eastAsia="Arial" w:hAnsi="Arial"/>
                <w:sz w:val="20"/>
                <w:szCs w:val="20"/>
                <w:color w:val="auto"/>
              </w:rPr>
              <w:t>Progress</w:t>
            </w:r>
          </w:p>
        </w:tc>
        <w:tc>
          <w:tcPr>
            <w:tcW w:w="1120" w:type="dxa"/>
            <w:vAlign w:val="bottom"/>
          </w:tcPr>
          <w:p>
            <w:pPr>
              <w:spacing w:after="0"/>
              <w:rPr>
                <w:sz w:val="20"/>
                <w:szCs w:val="20"/>
                <w:color w:val="auto"/>
              </w:rPr>
            </w:pPr>
            <w:r>
              <w:rPr>
                <w:rFonts w:ascii="Arial" w:cs="Arial" w:eastAsia="Arial" w:hAnsi="Arial"/>
                <w:sz w:val="20"/>
                <w:szCs w:val="20"/>
                <w:color w:val="auto"/>
              </w:rPr>
              <w:t>IDS</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4200616362-001</w:t>
            </w:r>
          </w:p>
        </w:tc>
        <w:tc>
          <w:tcPr>
            <w:tcW w:w="360" w:type="dxa"/>
            <w:vAlign w:val="bottom"/>
          </w:tcPr>
          <w:p>
            <w:pPr>
              <w:spacing w:after="0"/>
              <w:rPr>
                <w:sz w:val="24"/>
                <w:szCs w:val="24"/>
                <w:color w:val="auto"/>
              </w:rPr>
            </w:pPr>
          </w:p>
        </w:tc>
        <w:tc>
          <w:tcPr>
            <w:tcW w:w="4760" w:type="dxa"/>
            <w:vAlign w:val="bottom"/>
            <w:gridSpan w:val="3"/>
          </w:tcPr>
          <w:p>
            <w:pPr>
              <w:ind w:left="360"/>
              <w:spacing w:after="0"/>
              <w:rPr>
                <w:sz w:val="20"/>
                <w:szCs w:val="20"/>
                <w:color w:val="auto"/>
              </w:rPr>
            </w:pPr>
            <w:r>
              <w:rPr>
                <w:rFonts w:ascii="Arial" w:cs="Arial" w:eastAsia="Arial" w:hAnsi="Arial"/>
                <w:sz w:val="20"/>
                <w:szCs w:val="20"/>
                <w:color w:val="auto"/>
              </w:rPr>
              <w:t>TPY-2/EEU Float 2 (FY 2014 Float)</w:t>
            </w:r>
          </w:p>
        </w:tc>
        <w:tc>
          <w:tcPr>
            <w:tcW w:w="2460" w:type="dxa"/>
            <w:vAlign w:val="bottom"/>
            <w:gridSpan w:val="2"/>
          </w:tcPr>
          <w:p>
            <w:pPr>
              <w:spacing w:after="0"/>
              <w:rPr>
                <w:sz w:val="20"/>
                <w:szCs w:val="20"/>
                <w:color w:val="auto"/>
              </w:rPr>
            </w:pPr>
            <w:r>
              <w:rPr>
                <w:rFonts w:ascii="Arial" w:cs="Arial" w:eastAsia="Arial" w:hAnsi="Arial"/>
                <w:sz w:val="20"/>
                <w:szCs w:val="20"/>
                <w:color w:val="auto"/>
              </w:rPr>
              <w:t>Performance-based</w:t>
            </w:r>
          </w:p>
        </w:tc>
        <w:tc>
          <w:tcPr>
            <w:tcW w:w="1120" w:type="dxa"/>
            <w:vAlign w:val="bottom"/>
          </w:tcPr>
          <w:p>
            <w:pPr>
              <w:spacing w:after="0"/>
              <w:rPr>
                <w:sz w:val="20"/>
                <w:szCs w:val="20"/>
                <w:color w:val="auto"/>
              </w:rPr>
            </w:pPr>
            <w:r>
              <w:rPr>
                <w:rFonts w:ascii="Arial" w:cs="Arial" w:eastAsia="Arial" w:hAnsi="Arial"/>
                <w:sz w:val="20"/>
                <w:szCs w:val="20"/>
                <w:color w:val="auto"/>
              </w:rPr>
              <w:t>IDS</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4201259789</w:t>
            </w:r>
          </w:p>
        </w:tc>
        <w:tc>
          <w:tcPr>
            <w:tcW w:w="360" w:type="dxa"/>
            <w:vAlign w:val="bottom"/>
          </w:tcPr>
          <w:p>
            <w:pPr>
              <w:spacing w:after="0"/>
              <w:rPr>
                <w:sz w:val="24"/>
                <w:szCs w:val="24"/>
                <w:color w:val="auto"/>
              </w:rPr>
            </w:pPr>
          </w:p>
        </w:tc>
        <w:tc>
          <w:tcPr>
            <w:tcW w:w="4760" w:type="dxa"/>
            <w:vAlign w:val="bottom"/>
            <w:gridSpan w:val="3"/>
          </w:tcPr>
          <w:p>
            <w:pPr>
              <w:ind w:left="360"/>
              <w:spacing w:after="0"/>
              <w:rPr>
                <w:sz w:val="20"/>
                <w:szCs w:val="20"/>
                <w:color w:val="auto"/>
              </w:rPr>
            </w:pPr>
            <w:r>
              <w:rPr>
                <w:rFonts w:ascii="Arial" w:cs="Arial" w:eastAsia="Arial" w:hAnsi="Arial"/>
                <w:sz w:val="20"/>
                <w:szCs w:val="20"/>
                <w:color w:val="auto"/>
              </w:rPr>
              <w:t>Patriot</w:t>
            </w:r>
          </w:p>
        </w:tc>
        <w:tc>
          <w:tcPr>
            <w:tcW w:w="2460" w:type="dxa"/>
            <w:vAlign w:val="bottom"/>
            <w:gridSpan w:val="2"/>
          </w:tcPr>
          <w:p>
            <w:pPr>
              <w:spacing w:after="0"/>
              <w:rPr>
                <w:sz w:val="20"/>
                <w:szCs w:val="20"/>
                <w:color w:val="auto"/>
              </w:rPr>
            </w:pPr>
            <w:r>
              <w:rPr>
                <w:rFonts w:ascii="Arial" w:cs="Arial" w:eastAsia="Arial" w:hAnsi="Arial"/>
                <w:sz w:val="20"/>
                <w:szCs w:val="20"/>
                <w:color w:val="auto"/>
              </w:rPr>
              <w:t>Progress</w:t>
            </w:r>
          </w:p>
        </w:tc>
        <w:tc>
          <w:tcPr>
            <w:tcW w:w="1120" w:type="dxa"/>
            <w:vAlign w:val="bottom"/>
          </w:tcPr>
          <w:p>
            <w:pPr>
              <w:spacing w:after="0"/>
              <w:rPr>
                <w:sz w:val="20"/>
                <w:szCs w:val="20"/>
                <w:color w:val="auto"/>
              </w:rPr>
            </w:pPr>
            <w:r>
              <w:rPr>
                <w:rFonts w:ascii="Arial" w:cs="Arial" w:eastAsia="Arial" w:hAnsi="Arial"/>
                <w:sz w:val="20"/>
                <w:szCs w:val="20"/>
                <w:color w:val="auto"/>
              </w:rPr>
              <w:t>IDS</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4201293084</w:t>
            </w:r>
          </w:p>
        </w:tc>
        <w:tc>
          <w:tcPr>
            <w:tcW w:w="360" w:type="dxa"/>
            <w:vAlign w:val="bottom"/>
          </w:tcPr>
          <w:p>
            <w:pPr>
              <w:spacing w:after="0"/>
              <w:rPr>
                <w:sz w:val="24"/>
                <w:szCs w:val="24"/>
                <w:color w:val="auto"/>
              </w:rPr>
            </w:pPr>
          </w:p>
        </w:tc>
        <w:tc>
          <w:tcPr>
            <w:tcW w:w="4760" w:type="dxa"/>
            <w:vAlign w:val="bottom"/>
            <w:gridSpan w:val="3"/>
          </w:tcPr>
          <w:p>
            <w:pPr>
              <w:ind w:left="360"/>
              <w:spacing w:after="0"/>
              <w:rPr>
                <w:sz w:val="20"/>
                <w:szCs w:val="20"/>
                <w:color w:val="auto"/>
              </w:rPr>
            </w:pPr>
            <w:r>
              <w:rPr>
                <w:rFonts w:ascii="Arial" w:cs="Arial" w:eastAsia="Arial" w:hAnsi="Arial"/>
                <w:sz w:val="20"/>
                <w:szCs w:val="20"/>
                <w:color w:val="auto"/>
              </w:rPr>
              <w:t>Jaguar</w:t>
            </w:r>
          </w:p>
        </w:tc>
        <w:tc>
          <w:tcPr>
            <w:tcW w:w="2460" w:type="dxa"/>
            <w:vAlign w:val="bottom"/>
            <w:gridSpan w:val="2"/>
          </w:tcPr>
          <w:p>
            <w:pPr>
              <w:spacing w:after="0"/>
              <w:rPr>
                <w:sz w:val="20"/>
                <w:szCs w:val="20"/>
                <w:color w:val="auto"/>
              </w:rPr>
            </w:pPr>
            <w:r>
              <w:rPr>
                <w:rFonts w:ascii="Arial" w:cs="Arial" w:eastAsia="Arial" w:hAnsi="Arial"/>
                <w:sz w:val="20"/>
                <w:szCs w:val="20"/>
                <w:color w:val="auto"/>
              </w:rPr>
              <w:t>Milestone</w:t>
            </w:r>
          </w:p>
        </w:tc>
        <w:tc>
          <w:tcPr>
            <w:tcW w:w="1120" w:type="dxa"/>
            <w:vAlign w:val="bottom"/>
          </w:tcPr>
          <w:p>
            <w:pPr>
              <w:spacing w:after="0"/>
              <w:rPr>
                <w:sz w:val="20"/>
                <w:szCs w:val="20"/>
                <w:color w:val="auto"/>
              </w:rPr>
            </w:pPr>
            <w:r>
              <w:rPr>
                <w:rFonts w:ascii="Arial" w:cs="Arial" w:eastAsia="Arial" w:hAnsi="Arial"/>
                <w:sz w:val="20"/>
                <w:szCs w:val="20"/>
                <w:color w:val="auto"/>
              </w:rPr>
              <w:t>SAS</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4201319806</w:t>
            </w:r>
          </w:p>
        </w:tc>
        <w:tc>
          <w:tcPr>
            <w:tcW w:w="360" w:type="dxa"/>
            <w:vAlign w:val="bottom"/>
          </w:tcPr>
          <w:p>
            <w:pPr>
              <w:spacing w:after="0"/>
              <w:rPr>
                <w:sz w:val="24"/>
                <w:szCs w:val="24"/>
                <w:color w:val="auto"/>
              </w:rPr>
            </w:pPr>
          </w:p>
        </w:tc>
        <w:tc>
          <w:tcPr>
            <w:tcW w:w="4760" w:type="dxa"/>
            <w:vAlign w:val="bottom"/>
            <w:gridSpan w:val="3"/>
          </w:tcPr>
          <w:p>
            <w:pPr>
              <w:ind w:left="360"/>
              <w:spacing w:after="0"/>
              <w:rPr>
                <w:sz w:val="20"/>
                <w:szCs w:val="20"/>
                <w:color w:val="auto"/>
              </w:rPr>
            </w:pPr>
            <w:r>
              <w:rPr>
                <w:rFonts w:ascii="Arial" w:cs="Arial" w:eastAsia="Arial" w:hAnsi="Arial"/>
                <w:sz w:val="20"/>
                <w:szCs w:val="20"/>
                <w:color w:val="auto"/>
              </w:rPr>
              <w:t>SIC FT</w:t>
            </w:r>
          </w:p>
        </w:tc>
        <w:tc>
          <w:tcPr>
            <w:tcW w:w="2460" w:type="dxa"/>
            <w:vAlign w:val="bottom"/>
            <w:gridSpan w:val="2"/>
          </w:tcPr>
          <w:p>
            <w:pPr>
              <w:spacing w:after="0"/>
              <w:rPr>
                <w:sz w:val="20"/>
                <w:szCs w:val="20"/>
                <w:color w:val="auto"/>
              </w:rPr>
            </w:pPr>
            <w:r>
              <w:rPr>
                <w:rFonts w:ascii="Arial" w:cs="Arial" w:eastAsia="Arial" w:hAnsi="Arial"/>
                <w:sz w:val="20"/>
                <w:szCs w:val="20"/>
                <w:color w:val="auto"/>
              </w:rPr>
              <w:t>Progress</w:t>
            </w:r>
          </w:p>
        </w:tc>
        <w:tc>
          <w:tcPr>
            <w:tcW w:w="1120" w:type="dxa"/>
            <w:vAlign w:val="bottom"/>
          </w:tcPr>
          <w:p>
            <w:pPr>
              <w:spacing w:after="0"/>
              <w:rPr>
                <w:sz w:val="20"/>
                <w:szCs w:val="20"/>
                <w:color w:val="auto"/>
              </w:rPr>
            </w:pPr>
            <w:r>
              <w:rPr>
                <w:rFonts w:ascii="Arial" w:cs="Arial" w:eastAsia="Arial" w:hAnsi="Arial"/>
                <w:sz w:val="20"/>
                <w:szCs w:val="20"/>
                <w:color w:val="auto"/>
              </w:rPr>
              <w:t>IDS</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[Kratos] Fifth Amendment</w:t>
      </w:r>
    </w:p>
    <w:p>
      <w:pPr>
        <w:ind w:left="660"/>
        <w:spacing w:after="0"/>
        <w:rPr>
          <w:sz w:val="20"/>
          <w:szCs w:val="20"/>
          <w:color w:val="auto"/>
        </w:rPr>
      </w:pPr>
      <w:r>
        <w:rPr>
          <w:rFonts w:ascii="Arial" w:cs="Arial" w:eastAsia="Arial" w:hAnsi="Arial"/>
          <w:sz w:val="14"/>
          <w:szCs w:val="14"/>
          <w:color w:val="auto"/>
        </w:rPr>
        <w:t>#46502663</w:t>
      </w:r>
    </w:p>
    <w:p>
      <w:pPr>
        <w:sectPr>
          <w:pgSz w:w="11900" w:h="16838" w:orient="portrait"/>
          <w:cols w:equalWidth="0" w:num="1">
            <w:col w:w="10280"/>
          </w:cols>
          <w:pgMar w:left="380" w:top="420" w:right="1239" w:bottom="1440" w:gutter="0" w:footer="0" w:header="0"/>
        </w:sectPr>
      </w:pPr>
    </w:p>
    <w:bookmarkStart w:id="130" w:name="page131"/>
    <w:bookmarkEnd w:id="130"/>
    <w:p>
      <w:pPr>
        <w:jc w:val="center"/>
        <w:ind w:right="-420"/>
        <w:spacing w:after="0"/>
        <w:rPr>
          <w:sz w:val="20"/>
          <w:szCs w:val="20"/>
          <w:color w:val="auto"/>
        </w:rPr>
      </w:pPr>
      <w:r>
        <w:rPr>
          <w:rFonts w:ascii="Arial" w:cs="Arial" w:eastAsia="Arial" w:hAnsi="Arial"/>
          <w:sz w:val="20"/>
          <w:szCs w:val="20"/>
          <w:u w:val="single" w:color="auto"/>
          <w:color w:val="auto"/>
        </w:rPr>
        <w:t>Exhibit A</w:t>
      </w:r>
    </w:p>
    <w:p>
      <w:pPr>
        <w:spacing w:after="0" w:line="351" w:lineRule="exact"/>
        <w:rPr>
          <w:sz w:val="20"/>
          <w:szCs w:val="20"/>
          <w:color w:val="auto"/>
        </w:rPr>
      </w:pPr>
    </w:p>
    <w:p>
      <w:pPr>
        <w:jc w:val="right"/>
        <w:ind w:right="3299"/>
        <w:spacing w:after="0"/>
        <w:rPr>
          <w:sz w:val="20"/>
          <w:szCs w:val="20"/>
          <w:color w:val="auto"/>
        </w:rPr>
      </w:pPr>
      <w:r>
        <w:rPr>
          <w:rFonts w:ascii="Arial" w:cs="Arial" w:eastAsia="Arial" w:hAnsi="Arial"/>
          <w:sz w:val="20"/>
          <w:szCs w:val="20"/>
          <w:color w:val="auto"/>
        </w:rPr>
        <w:t>Raytheon Security Agreement</w:t>
      </w:r>
    </w:p>
    <w:p>
      <w:pPr>
        <w:spacing w:after="0" w:line="310" w:lineRule="exact"/>
        <w:rPr>
          <w:sz w:val="20"/>
          <w:szCs w:val="20"/>
          <w:color w:val="auto"/>
        </w:rPr>
      </w:pPr>
    </w:p>
    <w:p>
      <w:pPr>
        <w:jc w:val="center"/>
        <w:ind w:right="-42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auto"/>
        </w:rPr>
        <w:t>[Kratos] Fifth Amendment</w:t>
      </w:r>
    </w:p>
    <w:p>
      <w:pPr>
        <w:spacing w:after="0"/>
        <w:rPr>
          <w:sz w:val="20"/>
          <w:szCs w:val="20"/>
          <w:color w:val="auto"/>
        </w:rPr>
      </w:pPr>
      <w:r>
        <w:rPr>
          <w:rFonts w:ascii="Arial" w:cs="Arial" w:eastAsia="Arial" w:hAnsi="Arial"/>
          <w:sz w:val="14"/>
          <w:szCs w:val="14"/>
          <w:color w:val="auto"/>
        </w:rPr>
        <w:t>#46502663</w:t>
      </w:r>
    </w:p>
    <w:p>
      <w:pPr>
        <w:sectPr>
          <w:pgSz w:w="11900" w:h="16838" w:orient="portrait"/>
          <w:cols w:equalWidth="0" w:num="1">
            <w:col w:w="9419"/>
          </w:cols>
          <w:pgMar w:left="1040" w:top="420" w:right="1440" w:bottom="1440" w:gutter="0" w:footer="0" w:header="0"/>
        </w:sectPr>
      </w:pPr>
    </w:p>
    <w:bookmarkStart w:id="131" w:name="page132"/>
    <w:bookmarkEnd w:id="131"/>
    <w:p>
      <w:pPr>
        <w:jc w:val="right"/>
        <w:spacing w:after="0"/>
        <w:rPr>
          <w:sz w:val="20"/>
          <w:szCs w:val="20"/>
          <w:color w:val="auto"/>
        </w:rPr>
      </w:pPr>
      <w:r>
        <w:rPr>
          <w:rFonts w:ascii="Arial" w:cs="Arial" w:eastAsia="Arial" w:hAnsi="Arial"/>
          <w:sz w:val="20"/>
          <w:szCs w:val="20"/>
          <w:color w:val="auto"/>
        </w:rPr>
        <w:t>EXECUTION</w:t>
      </w:r>
    </w:p>
    <w:p>
      <w:pPr>
        <w:spacing w:after="0" w:line="39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SECOND AMENDMENT TO THE SECURITY AGREEMENT</w:t>
      </w:r>
    </w:p>
    <w:p>
      <w:pPr>
        <w:spacing w:after="0" w:line="297" w:lineRule="exact"/>
        <w:rPr>
          <w:sz w:val="20"/>
          <w:szCs w:val="20"/>
          <w:color w:val="auto"/>
        </w:rPr>
      </w:pPr>
    </w:p>
    <w:p>
      <w:pPr>
        <w:ind w:right="20" w:firstLine="608"/>
        <w:spacing w:after="0" w:line="420" w:lineRule="auto"/>
        <w:rPr>
          <w:sz w:val="20"/>
          <w:szCs w:val="20"/>
          <w:color w:val="auto"/>
        </w:rPr>
      </w:pPr>
      <w:r>
        <w:rPr>
          <w:rFonts w:ascii="Arial" w:cs="Arial" w:eastAsia="Arial" w:hAnsi="Arial"/>
          <w:sz w:val="19"/>
          <w:szCs w:val="19"/>
          <w:color w:val="auto"/>
        </w:rPr>
        <w:t>This SECOND AMENDMENT (this “Second Amendment”) is made and entered into as of July 19, 2016 by and between Gichner Systems Group, Inc. (“Debtor”), and Raytheon Company (“Secured Party”) and collectively referred to herein as, “Parties”.</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RECITALS:</w:t>
      </w:r>
    </w:p>
    <w:p>
      <w:pPr>
        <w:spacing w:after="0" w:line="297" w:lineRule="exact"/>
        <w:rPr>
          <w:sz w:val="20"/>
          <w:szCs w:val="20"/>
          <w:color w:val="auto"/>
        </w:rPr>
      </w:pPr>
    </w:p>
    <w:p>
      <w:pPr>
        <w:jc w:val="both"/>
        <w:ind w:left="880" w:hanging="276"/>
        <w:spacing w:after="0" w:line="380" w:lineRule="auto"/>
        <w:tabs>
          <w:tab w:leader="none" w:pos="8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Debtor and Secured Party entered into that certain Security Agreement, dated June 25, 2014, as amended by the First Amendment (the “First Amendment”) on November 10, 2014 (as so amended, and as the same may be further amended from time to time, the “</w:t>
      </w:r>
      <w:r>
        <w:rPr>
          <w:rFonts w:ascii="Arial" w:cs="Arial" w:eastAsia="Arial" w:hAnsi="Arial"/>
          <w:sz w:val="20"/>
          <w:szCs w:val="20"/>
          <w:u w:val="single" w:color="auto"/>
          <w:color w:val="auto"/>
        </w:rPr>
        <w:t>Security Agreement</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jc w:val="both"/>
        <w:ind w:left="880" w:hanging="276"/>
        <w:spacing w:after="0" w:line="409" w:lineRule="auto"/>
        <w:tabs>
          <w:tab w:leader="none" w:pos="8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Debtor and Secured Party now desire to amend the Security Agreement to (a) expand the definition of Progress Payments (b) clarify the name and change address of the Secured Party to as follows: Raytheon Company, 870 Winter Street, Waltham, MA 02451, operating through two of its business units, Integrated Defense Systems (IDS), 350 Lowell Street, Andover, MA 01810, and Space and Airborne Systems (SAS), 410I East Plano Parkway, Plano, TX 75074 and (c) replace Attachment A with Attachment A attached hereto, all on the terms and conditions set forth herein.</w:t>
      </w:r>
    </w:p>
    <w:p>
      <w:pPr>
        <w:spacing w:after="0" w:line="29"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AGREEMENT:</w:t>
      </w:r>
    </w:p>
    <w:p>
      <w:pPr>
        <w:spacing w:after="0" w:line="297" w:lineRule="exact"/>
        <w:rPr>
          <w:sz w:val="20"/>
          <w:szCs w:val="20"/>
          <w:color w:val="auto"/>
        </w:rPr>
      </w:pPr>
    </w:p>
    <w:p>
      <w:pPr>
        <w:ind w:firstLine="594"/>
        <w:spacing w:after="0" w:line="435" w:lineRule="auto"/>
        <w:rPr>
          <w:sz w:val="20"/>
          <w:szCs w:val="20"/>
          <w:color w:val="auto"/>
        </w:rPr>
      </w:pPr>
      <w:r>
        <w:rPr>
          <w:rFonts w:ascii="Arial" w:cs="Arial" w:eastAsia="Arial" w:hAnsi="Arial"/>
          <w:sz w:val="19"/>
          <w:szCs w:val="19"/>
          <w:color w:val="auto"/>
        </w:rPr>
        <w:t>NOW, THEREFORE, in consideration of the foregoing recitals and the mutual covenants contained herein, and for other good and valuable consideration, the receipt and sufficiency of which are hereby acknowledged, the Parties hereto agree as follows:</w:t>
      </w:r>
    </w:p>
    <w:p>
      <w:pPr>
        <w:spacing w:after="0" w:line="5" w:lineRule="exact"/>
        <w:rPr>
          <w:sz w:val="20"/>
          <w:szCs w:val="20"/>
          <w:color w:val="auto"/>
        </w:rPr>
      </w:pPr>
    </w:p>
    <w:p>
      <w:pPr>
        <w:ind w:left="880" w:hanging="263"/>
        <w:spacing w:after="0"/>
        <w:tabs>
          <w:tab w:leader="none" w:pos="880"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1480" w:hanging="295"/>
        <w:spacing w:after="0" w:line="385" w:lineRule="auto"/>
        <w:tabs>
          <w:tab w:leader="none" w:pos="1480"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first sentence of Section 2 of the Security Agreement is hereby amended in its entirety to read as follows: “This Agreement evidences certain agreements relating to progress, milestone, advance or performance based payments (collectively, ‘Progress Payments’) made or to be made by the Secured Party to the Debtor in order to assist the Debtor to perform the purchase orders referenced in Attachment A in accordance with the terms and conditions contained therein or appended thereto (collectively, the ‘Purchase Orders’).”</w:t>
      </w:r>
    </w:p>
    <w:p>
      <w:pPr>
        <w:spacing w:after="0" w:line="200" w:lineRule="exact"/>
        <w:rPr>
          <w:sz w:val="20"/>
          <w:szCs w:val="20"/>
          <w:color w:val="auto"/>
        </w:rPr>
      </w:pPr>
    </w:p>
    <w:p>
      <w:pPr>
        <w:spacing w:after="0" w:line="332" w:lineRule="exact"/>
        <w:rPr>
          <w:sz w:val="20"/>
          <w:szCs w:val="20"/>
          <w:color w:val="auto"/>
        </w:rPr>
      </w:pPr>
    </w:p>
    <w:p>
      <w:pPr>
        <w:ind w:left="580"/>
        <w:spacing w:after="0"/>
        <w:tabs>
          <w:tab w:leader="none" w:pos="5180" w:val="left"/>
        </w:tabs>
        <w:rPr>
          <w:sz w:val="20"/>
          <w:szCs w:val="20"/>
          <w:color w:val="auto"/>
        </w:rPr>
      </w:pPr>
      <w:r>
        <w:rPr>
          <w:rFonts w:ascii="Arial" w:cs="Arial" w:eastAsia="Arial" w:hAnsi="Arial"/>
          <w:sz w:val="20"/>
          <w:szCs w:val="20"/>
          <w:color w:val="auto"/>
        </w:rPr>
        <w:t>SECOND AMENDMENT</w:t>
      </w:r>
      <w:r>
        <w:rPr>
          <w:sz w:val="20"/>
          <w:szCs w:val="20"/>
          <w:color w:val="auto"/>
        </w:rPr>
        <w:tab/>
      </w:r>
      <w:r>
        <w:rPr>
          <w:rFonts w:ascii="Arial" w:cs="Arial" w:eastAsia="Arial" w:hAnsi="Arial"/>
          <w:sz w:val="16"/>
          <w:szCs w:val="16"/>
          <w:color w:val="auto"/>
        </w:rPr>
        <w:t>Page 1 of 4</w:t>
      </w:r>
    </w:p>
    <w:p>
      <w:pPr>
        <w:sectPr>
          <w:pgSz w:w="11900" w:h="16838" w:orient="portrait"/>
          <w:cols w:equalWidth="0" w:num="1">
            <w:col w:w="11300"/>
          </w:cols>
          <w:pgMar w:left="360" w:top="393"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0"/>
          <w:szCs w:val="20"/>
          <w:color w:val="auto"/>
        </w:rPr>
        <w:t>EXECUTION</w:t>
      </w:r>
    </w:p>
    <w:p>
      <w:pPr>
        <w:spacing w:after="0" w:line="200" w:lineRule="exact"/>
        <w:rPr>
          <w:sz w:val="20"/>
          <w:szCs w:val="20"/>
          <w:color w:val="auto"/>
        </w:rPr>
      </w:pPr>
    </w:p>
    <w:p>
      <w:pPr>
        <w:spacing w:after="0" w:line="218" w:lineRule="exact"/>
        <w:rPr>
          <w:sz w:val="20"/>
          <w:szCs w:val="20"/>
          <w:color w:val="auto"/>
        </w:rPr>
      </w:pPr>
    </w:p>
    <w:p>
      <w:pPr>
        <w:jc w:val="both"/>
        <w:ind w:left="1060" w:hanging="280"/>
        <w:spacing w:after="0" w:line="359" w:lineRule="auto"/>
        <w:tabs>
          <w:tab w:leader="none" w:pos="1060" w:val="left"/>
        </w:tabs>
        <w:numPr>
          <w:ilvl w:val="4"/>
          <w:numId w:val="72"/>
        </w:numPr>
        <w:rPr>
          <w:rFonts w:ascii="Arial" w:cs="Arial" w:eastAsia="Arial" w:hAnsi="Arial"/>
          <w:sz w:val="20"/>
          <w:szCs w:val="20"/>
          <w:color w:val="auto"/>
        </w:rPr>
      </w:pPr>
      <w:r>
        <w:rPr>
          <w:rFonts w:ascii="Arial" w:cs="Arial" w:eastAsia="Arial" w:hAnsi="Arial"/>
          <w:sz w:val="20"/>
          <w:szCs w:val="20"/>
          <w:color w:val="auto"/>
        </w:rPr>
        <w:t>Section 3 of the Security Agreement is hereby amended by replacing the name and address of the Secured Party as follows: Raytheon Company, 870 Winter Street, Waltham, MA 02451, operating through its Integrated Defense Systems (IDS), 350 Lowell Street, Andover, MA 01810, and Space and Airborne Systems (SAS), 4101 East Plano Parkway, Plano, TX 75074, business units.</w:t>
      </w:r>
    </w:p>
    <w:p>
      <w:pPr>
        <w:spacing w:after="0" w:line="325" w:lineRule="exact"/>
        <w:rPr>
          <w:rFonts w:ascii="Arial" w:cs="Arial" w:eastAsia="Arial" w:hAnsi="Arial"/>
          <w:sz w:val="20"/>
          <w:szCs w:val="20"/>
          <w:color w:val="auto"/>
        </w:rPr>
      </w:pPr>
    </w:p>
    <w:p>
      <w:pPr>
        <w:ind w:left="1060" w:hanging="293"/>
        <w:spacing w:after="0" w:line="405" w:lineRule="auto"/>
        <w:tabs>
          <w:tab w:leader="none" w:pos="1060" w:val="left"/>
        </w:tabs>
        <w:numPr>
          <w:ilvl w:val="3"/>
          <w:numId w:val="73"/>
        </w:numPr>
        <w:rPr>
          <w:rFonts w:ascii="Arial" w:cs="Arial" w:eastAsia="Arial" w:hAnsi="Arial"/>
          <w:sz w:val="19"/>
          <w:szCs w:val="19"/>
          <w:color w:val="auto"/>
        </w:rPr>
      </w:pPr>
      <w:r>
        <w:rPr>
          <w:rFonts w:ascii="Arial" w:cs="Arial" w:eastAsia="Arial" w:hAnsi="Arial"/>
          <w:sz w:val="19"/>
          <w:szCs w:val="19"/>
          <w:color w:val="auto"/>
        </w:rPr>
        <w:t>Attachment A of the Security Agreement is hereby amended and restated in its entirety with the Attachment A attached hereto which describes the Collateral and which is incorporated into this Agreement and attached hereto.</w:t>
      </w:r>
    </w:p>
    <w:p>
      <w:pPr>
        <w:spacing w:after="0" w:line="289" w:lineRule="exact"/>
        <w:rPr>
          <w:rFonts w:ascii="Arial" w:cs="Arial" w:eastAsia="Arial" w:hAnsi="Arial"/>
          <w:sz w:val="19"/>
          <w:szCs w:val="19"/>
          <w:color w:val="auto"/>
        </w:rPr>
      </w:pPr>
    </w:p>
    <w:p>
      <w:pPr>
        <w:ind w:left="480" w:hanging="308"/>
        <w:spacing w:after="0" w:line="373" w:lineRule="auto"/>
        <w:tabs>
          <w:tab w:leader="none" w:pos="462" w:val="left"/>
        </w:tabs>
        <w:numPr>
          <w:ilvl w:val="2"/>
          <w:numId w:val="74"/>
        </w:numPr>
        <w:rPr>
          <w:rFonts w:ascii="Arial" w:cs="Arial" w:eastAsia="Arial" w:hAnsi="Arial"/>
          <w:sz w:val="20"/>
          <w:szCs w:val="20"/>
          <w:color w:val="auto"/>
        </w:rPr>
      </w:pPr>
      <w:r>
        <w:rPr>
          <w:rFonts w:ascii="Arial" w:cs="Arial" w:eastAsia="Arial" w:hAnsi="Arial"/>
          <w:sz w:val="20"/>
          <w:szCs w:val="20"/>
          <w:u w:val="single" w:color="auto"/>
          <w:color w:val="auto"/>
        </w:rPr>
        <w:t>Reaffirmation</w:t>
      </w:r>
      <w:r>
        <w:rPr>
          <w:rFonts w:ascii="Arial" w:cs="Arial" w:eastAsia="Arial" w:hAnsi="Arial"/>
          <w:sz w:val="20"/>
          <w:szCs w:val="20"/>
          <w:color w:val="auto"/>
        </w:rPr>
        <w:t>. Debtor ratifies and reaffirms its prior grant to Secured Party of a first lien security interest in the Col lateral described in the Security Agreement.</w:t>
      </w:r>
    </w:p>
    <w:p>
      <w:pPr>
        <w:spacing w:after="0" w:line="298" w:lineRule="exact"/>
        <w:rPr>
          <w:rFonts w:ascii="Arial" w:cs="Arial" w:eastAsia="Arial" w:hAnsi="Arial"/>
          <w:sz w:val="20"/>
          <w:szCs w:val="20"/>
          <w:color w:val="auto"/>
        </w:rPr>
      </w:pPr>
    </w:p>
    <w:p>
      <w:pPr>
        <w:ind w:left="460" w:hanging="315"/>
        <w:spacing w:after="0" w:line="373" w:lineRule="auto"/>
        <w:tabs>
          <w:tab w:leader="none" w:pos="442"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No Other Modifications</w:t>
      </w:r>
      <w:r>
        <w:rPr>
          <w:rFonts w:ascii="Arial" w:cs="Arial" w:eastAsia="Arial" w:hAnsi="Arial"/>
          <w:sz w:val="20"/>
          <w:szCs w:val="20"/>
          <w:color w:val="auto"/>
        </w:rPr>
        <w:t>. Except as otherwise provided herein, all terms and provisions of the Security Agreement shall remain in full force and effect, unmodified by this Second Amendment.</w:t>
      </w:r>
    </w:p>
    <w:p>
      <w:pPr>
        <w:spacing w:after="0" w:line="190" w:lineRule="exact"/>
        <w:rPr>
          <w:rFonts w:ascii="Arial" w:cs="Arial" w:eastAsia="Arial" w:hAnsi="Arial"/>
          <w:sz w:val="20"/>
          <w:szCs w:val="20"/>
          <w:color w:val="auto"/>
        </w:rPr>
      </w:pPr>
    </w:p>
    <w:p>
      <w:pPr>
        <w:ind w:left="460" w:hanging="315"/>
        <w:spacing w:after="0"/>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Each of the parties hereto represents and warrants to the other that it has the authority to sign this Second Amendment.</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460" w:hanging="301"/>
        <w:spacing w:after="0" w:line="363" w:lineRule="auto"/>
        <w:tabs>
          <w:tab w:leader="none" w:pos="361" w:val="left"/>
        </w:tabs>
        <w:numPr>
          <w:ilvl w:val="1"/>
          <w:numId w:val="75"/>
        </w:numPr>
        <w:rPr>
          <w:rFonts w:ascii="Arial" w:cs="Arial" w:eastAsia="Arial" w:hAnsi="Arial"/>
          <w:sz w:val="20"/>
          <w:szCs w:val="20"/>
          <w:i w:val="1"/>
          <w:iCs w:val="1"/>
          <w:color w:val="auto"/>
        </w:rPr>
      </w:pPr>
      <w:r>
        <w:rPr>
          <w:rFonts w:ascii="Arial" w:cs="Arial" w:eastAsia="Arial" w:hAnsi="Arial"/>
          <w:sz w:val="20"/>
          <w:szCs w:val="20"/>
          <w:u w:val="single" w:color="auto"/>
          <w:color w:val="auto"/>
        </w:rPr>
        <w:t>Financing Statement</w:t>
      </w:r>
      <w:r>
        <w:rPr>
          <w:rFonts w:ascii="Arial" w:cs="Arial" w:eastAsia="Arial" w:hAnsi="Arial"/>
          <w:sz w:val="20"/>
          <w:szCs w:val="20"/>
          <w:color w:val="auto"/>
        </w:rPr>
        <w:t>. Debtor agrees Secured Party may file a financing statement (or financing statement amendment) describing the Collateral, and Secured Party shall have the rights of a secured creditor with respect to the Collateral under the Uniform Commercial Code.</w:t>
      </w:r>
    </w:p>
    <w:p>
      <w:pPr>
        <w:spacing w:after="0" w:line="145" w:lineRule="exact"/>
        <w:rPr>
          <w:sz w:val="20"/>
          <w:szCs w:val="20"/>
          <w:color w:val="auto"/>
        </w:rPr>
      </w:pPr>
    </w:p>
    <w:p>
      <w:pPr>
        <w:ind w:left="4000"/>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4600" w:val="left"/>
        </w:tabs>
        <w:rPr>
          <w:sz w:val="20"/>
          <w:szCs w:val="20"/>
          <w:color w:val="auto"/>
        </w:rPr>
      </w:pPr>
      <w:r>
        <w:rPr>
          <w:rFonts w:ascii="Arial" w:cs="Arial" w:eastAsia="Arial" w:hAnsi="Arial"/>
          <w:sz w:val="20"/>
          <w:szCs w:val="20"/>
          <w:color w:val="auto"/>
        </w:rPr>
        <w:t>SECOND AMENDMENT</w:t>
      </w:r>
      <w:r>
        <w:rPr>
          <w:sz w:val="20"/>
          <w:szCs w:val="20"/>
          <w:color w:val="auto"/>
        </w:rPr>
        <w:tab/>
      </w:r>
      <w:r>
        <w:rPr>
          <w:rFonts w:ascii="Arial" w:cs="Arial" w:eastAsia="Arial" w:hAnsi="Arial"/>
          <w:sz w:val="16"/>
          <w:szCs w:val="16"/>
          <w:color w:val="auto"/>
        </w:rPr>
        <w:t>Page 2 of 4</w:t>
      </w:r>
    </w:p>
    <w:p>
      <w:pPr>
        <w:sectPr>
          <w:pgSz w:w="11900" w:h="16838" w:orient="portrait"/>
          <w:cols w:equalWidth="0" w:num="1">
            <w:col w:w="10720"/>
          </w:cols>
          <w:pgMar w:left="940" w:top="393"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color w:val="auto"/>
        </w:rPr>
        <w:t>EXECUTION</w:t>
      </w:r>
    </w:p>
    <w:p>
      <w:pPr>
        <w:spacing w:after="0" w:line="200" w:lineRule="exact"/>
        <w:rPr>
          <w:sz w:val="20"/>
          <w:szCs w:val="20"/>
          <w:color w:val="auto"/>
        </w:rPr>
      </w:pPr>
    </w:p>
    <w:p>
      <w:pPr>
        <w:spacing w:after="0" w:line="286" w:lineRule="exact"/>
        <w:rPr>
          <w:sz w:val="20"/>
          <w:szCs w:val="20"/>
          <w:color w:val="auto"/>
        </w:rPr>
      </w:pPr>
    </w:p>
    <w:p>
      <w:pPr>
        <w:ind w:left="320"/>
        <w:spacing w:after="0"/>
        <w:rPr>
          <w:sz w:val="20"/>
          <w:szCs w:val="20"/>
          <w:color w:val="auto"/>
        </w:rPr>
      </w:pPr>
      <w:r>
        <w:rPr>
          <w:rFonts w:ascii="Arial" w:cs="Arial" w:eastAsia="Arial" w:hAnsi="Arial"/>
          <w:sz w:val="20"/>
          <w:szCs w:val="20"/>
          <w:color w:val="auto"/>
        </w:rPr>
        <w:t>IN WITNESS WHEREOF, the Parties have entered into this Second Amendment as of the date first set forth above.</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0" w:type="dxa"/>
            <w:vAlign w:val="bottom"/>
          </w:tcPr>
          <w:p>
            <w:pPr>
              <w:spacing w:after="0"/>
              <w:rPr>
                <w:sz w:val="22"/>
                <w:szCs w:val="22"/>
                <w:color w:val="auto"/>
              </w:rPr>
            </w:pPr>
          </w:p>
        </w:tc>
        <w:tc>
          <w:tcPr>
            <w:tcW w:w="4380" w:type="dxa"/>
            <w:vAlign w:val="bottom"/>
            <w:gridSpan w:val="7"/>
          </w:tcPr>
          <w:p>
            <w:pPr>
              <w:spacing w:after="0"/>
              <w:rPr>
                <w:sz w:val="20"/>
                <w:szCs w:val="20"/>
                <w:color w:val="auto"/>
              </w:rPr>
            </w:pPr>
            <w:r>
              <w:rPr>
                <w:rFonts w:ascii="Arial" w:cs="Arial" w:eastAsia="Arial" w:hAnsi="Arial"/>
                <w:sz w:val="20"/>
                <w:szCs w:val="20"/>
                <w:b w:val="1"/>
                <w:bCs w:val="1"/>
                <w:color w:val="auto"/>
              </w:rPr>
              <w:t>Raytheon Company</w:t>
            </w:r>
          </w:p>
        </w:tc>
        <w:tc>
          <w:tcPr>
            <w:tcW w:w="4140" w:type="dxa"/>
            <w:vAlign w:val="bottom"/>
            <w:gridSpan w:val="8"/>
          </w:tcPr>
          <w:p>
            <w:pPr>
              <w:ind w:left="1700"/>
              <w:spacing w:after="0"/>
              <w:rPr>
                <w:sz w:val="20"/>
                <w:szCs w:val="20"/>
                <w:color w:val="auto"/>
              </w:rPr>
            </w:pPr>
            <w:r>
              <w:rPr>
                <w:rFonts w:ascii="Arial" w:cs="Arial" w:eastAsia="Arial" w:hAnsi="Arial"/>
                <w:sz w:val="20"/>
                <w:szCs w:val="20"/>
                <w:b w:val="1"/>
                <w:bCs w:val="1"/>
                <w:color w:val="auto"/>
                <w:w w:val="88"/>
              </w:rPr>
              <w:t>Gichner Systems Group, Inc.</w:t>
            </w:r>
          </w:p>
        </w:tc>
      </w:tr>
      <w:tr>
        <w:trPr>
          <w:trHeight w:val="887"/>
        </w:trPr>
        <w:tc>
          <w:tcPr>
            <w:tcW w:w="80" w:type="dxa"/>
            <w:vAlign w:val="bottom"/>
          </w:tcPr>
          <w:p>
            <w:pPr>
              <w:spacing w:after="0"/>
              <w:rPr>
                <w:sz w:val="24"/>
                <w:szCs w:val="24"/>
                <w:color w:val="auto"/>
              </w:rPr>
            </w:pPr>
          </w:p>
        </w:tc>
        <w:tc>
          <w:tcPr>
            <w:tcW w:w="4380" w:type="dxa"/>
            <w:vAlign w:val="bottom"/>
            <w:gridSpan w:val="7"/>
          </w:tcPr>
          <w:p>
            <w:pPr>
              <w:spacing w:after="0"/>
              <w:rPr>
                <w:sz w:val="20"/>
                <w:szCs w:val="20"/>
                <w:color w:val="auto"/>
              </w:rPr>
            </w:pPr>
            <w:r>
              <w:rPr>
                <w:rFonts w:ascii="Arial" w:cs="Arial" w:eastAsia="Arial" w:hAnsi="Arial"/>
                <w:sz w:val="20"/>
                <w:szCs w:val="20"/>
                <w:color w:val="auto"/>
              </w:rPr>
              <w:t>/s/ Janet Groebe</w:t>
            </w:r>
          </w:p>
        </w:tc>
        <w:tc>
          <w:tcPr>
            <w:tcW w:w="4140" w:type="dxa"/>
            <w:vAlign w:val="bottom"/>
            <w:gridSpan w:val="8"/>
          </w:tcPr>
          <w:p>
            <w:pPr>
              <w:ind w:left="1700"/>
              <w:spacing w:after="0"/>
              <w:rPr>
                <w:sz w:val="20"/>
                <w:szCs w:val="20"/>
                <w:color w:val="auto"/>
              </w:rPr>
            </w:pPr>
            <w:r>
              <w:rPr>
                <w:rFonts w:ascii="Arial" w:cs="Arial" w:eastAsia="Arial" w:hAnsi="Arial"/>
                <w:sz w:val="20"/>
                <w:szCs w:val="20"/>
                <w:color w:val="auto"/>
              </w:rPr>
              <w:t>/s/ Marie Mendoza</w:t>
            </w:r>
          </w:p>
        </w:tc>
      </w:tr>
      <w:tr>
        <w:trPr>
          <w:trHeight w:val="20"/>
        </w:trPr>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4380" w:type="dxa"/>
            <w:vAlign w:val="bottom"/>
            <w:gridSpan w:val="7"/>
          </w:tcPr>
          <w:p>
            <w:pPr>
              <w:spacing w:after="0"/>
              <w:rPr>
                <w:sz w:val="20"/>
                <w:szCs w:val="20"/>
                <w:color w:val="auto"/>
              </w:rPr>
            </w:pPr>
            <w:r>
              <w:rPr>
                <w:rFonts w:ascii="Arial" w:cs="Arial" w:eastAsia="Arial" w:hAnsi="Arial"/>
                <w:sz w:val="20"/>
                <w:szCs w:val="20"/>
                <w:color w:val="auto"/>
              </w:rPr>
              <w:t>Name: Janet Groebe</w:t>
            </w:r>
          </w:p>
        </w:tc>
        <w:tc>
          <w:tcPr>
            <w:tcW w:w="4140" w:type="dxa"/>
            <w:vAlign w:val="bottom"/>
            <w:gridSpan w:val="8"/>
          </w:tcPr>
          <w:p>
            <w:pPr>
              <w:ind w:left="1700"/>
              <w:spacing w:after="0"/>
              <w:rPr>
                <w:sz w:val="20"/>
                <w:szCs w:val="20"/>
                <w:color w:val="auto"/>
              </w:rPr>
            </w:pPr>
            <w:r>
              <w:rPr>
                <w:rFonts w:ascii="Arial" w:cs="Arial" w:eastAsia="Arial" w:hAnsi="Arial"/>
                <w:sz w:val="20"/>
                <w:szCs w:val="20"/>
                <w:color w:val="auto"/>
              </w:rPr>
              <w:t>Name: Marie Mendoza</w:t>
            </w:r>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48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4380" w:type="dxa"/>
            <w:vAlign w:val="bottom"/>
            <w:gridSpan w:val="7"/>
          </w:tcPr>
          <w:p>
            <w:pPr>
              <w:spacing w:after="0"/>
              <w:rPr>
                <w:sz w:val="20"/>
                <w:szCs w:val="20"/>
                <w:color w:val="auto"/>
              </w:rPr>
            </w:pPr>
            <w:r>
              <w:rPr>
                <w:rFonts w:ascii="Arial" w:cs="Arial" w:eastAsia="Arial" w:hAnsi="Arial"/>
                <w:sz w:val="20"/>
                <w:szCs w:val="20"/>
                <w:color w:val="auto"/>
                <w:w w:val="98"/>
              </w:rPr>
              <w:t>Title: SR. Director, Procurement and Subcontracts</w:t>
            </w:r>
          </w:p>
        </w:tc>
        <w:tc>
          <w:tcPr>
            <w:tcW w:w="4140" w:type="dxa"/>
            <w:vAlign w:val="bottom"/>
            <w:gridSpan w:val="8"/>
          </w:tcPr>
          <w:p>
            <w:pPr>
              <w:ind w:left="1700"/>
              <w:spacing w:after="0"/>
              <w:rPr>
                <w:sz w:val="20"/>
                <w:szCs w:val="20"/>
                <w:color w:val="auto"/>
              </w:rPr>
            </w:pPr>
            <w:r>
              <w:rPr>
                <w:rFonts w:ascii="Arial" w:cs="Arial" w:eastAsia="Arial" w:hAnsi="Arial"/>
                <w:sz w:val="20"/>
                <w:szCs w:val="20"/>
                <w:color w:val="auto"/>
              </w:rPr>
              <w:t>Title: Secretary</w:t>
            </w:r>
          </w:p>
        </w:tc>
      </w:tr>
      <w:tr>
        <w:trPr>
          <w:trHeight w:val="20"/>
        </w:trPr>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24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Borders>
              <w:right w:val="single" w:sz="8" w:color="auto"/>
            </w:tcBorders>
            <w:gridSpan w:val="2"/>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64"/>
        </w:trPr>
        <w:tc>
          <w:tcPr>
            <w:tcW w:w="80" w:type="dxa"/>
            <w:vAlign w:val="bottom"/>
          </w:tcPr>
          <w:p>
            <w:pPr>
              <w:spacing w:after="0"/>
              <w:rPr>
                <w:sz w:val="22"/>
                <w:szCs w:val="22"/>
                <w:color w:val="auto"/>
              </w:rPr>
            </w:pPr>
          </w:p>
        </w:tc>
        <w:tc>
          <w:tcPr>
            <w:tcW w:w="4380" w:type="dxa"/>
            <w:vAlign w:val="bottom"/>
            <w:gridSpan w:val="7"/>
          </w:tcPr>
          <w:p>
            <w:pPr>
              <w:spacing w:after="0"/>
              <w:rPr>
                <w:sz w:val="20"/>
                <w:szCs w:val="20"/>
                <w:color w:val="auto"/>
              </w:rPr>
            </w:pPr>
            <w:r>
              <w:rPr>
                <w:rFonts w:ascii="Arial" w:cs="Arial" w:eastAsia="Arial" w:hAnsi="Arial"/>
                <w:sz w:val="20"/>
                <w:szCs w:val="20"/>
                <w:color w:val="auto"/>
              </w:rPr>
              <w:t>Date: July 21, 2016</w:t>
            </w:r>
          </w:p>
        </w:tc>
        <w:tc>
          <w:tcPr>
            <w:tcW w:w="4140" w:type="dxa"/>
            <w:vAlign w:val="bottom"/>
            <w:gridSpan w:val="8"/>
          </w:tcPr>
          <w:p>
            <w:pPr>
              <w:ind w:left="1700"/>
              <w:spacing w:after="0"/>
              <w:rPr>
                <w:sz w:val="20"/>
                <w:szCs w:val="20"/>
                <w:color w:val="auto"/>
              </w:rPr>
            </w:pPr>
            <w:r>
              <w:rPr>
                <w:rFonts w:ascii="Arial" w:cs="Arial" w:eastAsia="Arial" w:hAnsi="Arial"/>
                <w:sz w:val="20"/>
                <w:szCs w:val="20"/>
                <w:color w:val="auto"/>
              </w:rPr>
              <w:t>Date: July 20, 2016</w:t>
            </w:r>
          </w:p>
        </w:tc>
      </w:tr>
      <w:tr>
        <w:trPr>
          <w:trHeight w:val="20"/>
        </w:trPr>
        <w:tc>
          <w:tcPr>
            <w:tcW w:w="560" w:type="dxa"/>
            <w:vAlign w:val="bottom"/>
            <w:gridSpan w:val="2"/>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060" w:type="dxa"/>
            <w:vAlign w:val="bottom"/>
            <w:gridSpan w:val="4"/>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862"/>
        </w:trPr>
        <w:tc>
          <w:tcPr>
            <w:tcW w:w="4460" w:type="dxa"/>
            <w:vAlign w:val="bottom"/>
            <w:gridSpan w:val="8"/>
          </w:tcPr>
          <w:p>
            <w:pPr>
              <w:spacing w:after="0"/>
              <w:rPr>
                <w:sz w:val="20"/>
                <w:szCs w:val="20"/>
                <w:color w:val="auto"/>
              </w:rPr>
            </w:pPr>
            <w:r>
              <w:rPr>
                <w:rFonts w:ascii="Arial" w:cs="Arial" w:eastAsia="Arial" w:hAnsi="Arial"/>
                <w:sz w:val="20"/>
                <w:szCs w:val="20"/>
                <w:color w:val="auto"/>
              </w:rPr>
              <w:t>SECOND AMENDMENT</w:t>
            </w:r>
          </w:p>
        </w:tc>
        <w:tc>
          <w:tcPr>
            <w:tcW w:w="4140" w:type="dxa"/>
            <w:vAlign w:val="bottom"/>
            <w:gridSpan w:val="8"/>
          </w:tcPr>
          <w:p>
            <w:pPr>
              <w:ind w:left="340"/>
              <w:spacing w:after="0"/>
              <w:rPr>
                <w:sz w:val="20"/>
                <w:szCs w:val="20"/>
                <w:color w:val="auto"/>
              </w:rPr>
            </w:pPr>
            <w:r>
              <w:rPr>
                <w:rFonts w:ascii="Arial" w:cs="Arial" w:eastAsia="Arial" w:hAnsi="Arial"/>
                <w:sz w:val="20"/>
                <w:szCs w:val="20"/>
                <w:color w:val="auto"/>
              </w:rPr>
              <w:t>Page 3 of 4</w:t>
            </w:r>
          </w:p>
        </w:tc>
      </w:tr>
    </w:tbl>
    <w:p>
      <w:pPr>
        <w:sectPr>
          <w:pgSz w:w="11900" w:h="16838" w:orient="portrait"/>
          <w:cols w:equalWidth="0" w:num="1">
            <w:col w:w="10900"/>
          </w:cols>
          <w:pgMar w:left="760" w:top="420"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0"/>
          <w:szCs w:val="20"/>
          <w:color w:val="auto"/>
        </w:rPr>
        <w:t>EXECUTION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ATTACHMENT “A”</w:t>
      </w:r>
    </w:p>
    <w:p>
      <w:pPr>
        <w:spacing w:after="0" w:line="200" w:lineRule="exact"/>
        <w:rPr>
          <w:sz w:val="20"/>
          <w:szCs w:val="20"/>
          <w:color w:val="auto"/>
        </w:rPr>
      </w:pPr>
    </w:p>
    <w:p>
      <w:pPr>
        <w:spacing w:after="0" w:line="353" w:lineRule="exact"/>
        <w:rPr>
          <w:sz w:val="20"/>
          <w:szCs w:val="20"/>
          <w:color w:val="auto"/>
        </w:rPr>
      </w:pPr>
    </w:p>
    <w:p>
      <w:pPr>
        <w:ind w:right="20" w:firstLine="14"/>
        <w:spacing w:after="0" w:line="244" w:lineRule="exact"/>
        <w:rPr>
          <w:sz w:val="20"/>
          <w:szCs w:val="20"/>
          <w:color w:val="auto"/>
        </w:rPr>
      </w:pPr>
      <w:r>
        <w:rPr>
          <w:rFonts w:ascii="Arial" w:cs="Arial" w:eastAsia="Arial" w:hAnsi="Arial"/>
          <w:sz w:val="20"/>
          <w:szCs w:val="20"/>
          <w:color w:val="auto"/>
        </w:rPr>
        <w:t>Debtor acknowledges that it has granted or is granting Secured Party a first priority security interest in all goods purchased with Progress Payments made by Secured Party pursuant to the Purchase Orders listed below, including but not limited to raw materials, inventory, work-in</w:t>
      </w:r>
      <w:r>
        <w:rPr>
          <w:rFonts w:ascii="MS PGothic" w:cs="MS PGothic" w:eastAsia="MS PGothic" w:hAnsi="MS PGothic"/>
          <w:sz w:val="20"/>
          <w:szCs w:val="20"/>
          <w:color w:val="auto"/>
        </w:rPr>
        <w:t>‐</w:t>
      </w:r>
      <w:r>
        <w:rPr>
          <w:rFonts w:ascii="Arial" w:cs="Arial" w:eastAsia="Arial" w:hAnsi="Arial"/>
          <w:sz w:val="20"/>
          <w:szCs w:val="20"/>
          <w:color w:val="auto"/>
        </w:rPr>
        <w:t xml:space="preserve"> process, parts,. components, assemblies, and subassemblies for the deliverables, and completed or partially completed deliverables, to secure up to the aggregate amount of the Progress Payments actually received by Debtor from Secured Party that have not been liquidated pursuant to the applicable Purchase Order, Debtor’s obligation to purchase goods and perform labor on such goods as required by such Purchase Orders.</w:t>
      </w:r>
    </w:p>
    <w:p>
      <w:pPr>
        <w:spacing w:after="0" w:line="200" w:lineRule="exact"/>
        <w:rPr>
          <w:sz w:val="20"/>
          <w:szCs w:val="20"/>
          <w:color w:val="auto"/>
        </w:rPr>
      </w:pP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560" w:type="dxa"/>
            <w:vAlign w:val="bottom"/>
          </w:tcPr>
          <w:p>
            <w:pPr>
              <w:spacing w:after="0"/>
              <w:rPr>
                <w:sz w:val="20"/>
                <w:szCs w:val="20"/>
                <w:color w:val="auto"/>
              </w:rPr>
            </w:pPr>
            <w:r>
              <w:rPr>
                <w:rFonts w:ascii="Arial" w:cs="Arial" w:eastAsia="Arial" w:hAnsi="Arial"/>
                <w:sz w:val="20"/>
                <w:szCs w:val="20"/>
                <w:color w:val="auto"/>
                <w:w w:val="86"/>
              </w:rPr>
              <w:t>Purchase Order No.</w:t>
            </w:r>
          </w:p>
        </w:tc>
        <w:tc>
          <w:tcPr>
            <w:tcW w:w="1000" w:type="dxa"/>
            <w:vAlign w:val="bottom"/>
          </w:tcPr>
          <w:p>
            <w:pPr>
              <w:spacing w:after="0"/>
              <w:rPr>
                <w:sz w:val="19"/>
                <w:szCs w:val="19"/>
                <w:color w:val="auto"/>
              </w:rPr>
            </w:pPr>
          </w:p>
        </w:tc>
        <w:tc>
          <w:tcPr>
            <w:tcW w:w="3900" w:type="dxa"/>
            <w:vAlign w:val="bottom"/>
            <w:gridSpan w:val="3"/>
          </w:tcPr>
          <w:p>
            <w:pPr>
              <w:ind w:left="100"/>
              <w:spacing w:after="0"/>
              <w:rPr>
                <w:sz w:val="20"/>
                <w:szCs w:val="20"/>
                <w:color w:val="auto"/>
              </w:rPr>
            </w:pPr>
            <w:r>
              <w:rPr>
                <w:rFonts w:ascii="Arial" w:cs="Arial" w:eastAsia="Arial" w:hAnsi="Arial"/>
                <w:sz w:val="20"/>
                <w:szCs w:val="20"/>
                <w:color w:val="auto"/>
              </w:rPr>
              <w:t>Program Name</w:t>
            </w:r>
          </w:p>
        </w:tc>
        <w:tc>
          <w:tcPr>
            <w:tcW w:w="2720" w:type="dxa"/>
            <w:vAlign w:val="bottom"/>
            <w:gridSpan w:val="3"/>
          </w:tcPr>
          <w:p>
            <w:pPr>
              <w:ind w:left="400"/>
              <w:spacing w:after="0"/>
              <w:rPr>
                <w:sz w:val="20"/>
                <w:szCs w:val="20"/>
                <w:color w:val="auto"/>
              </w:rPr>
            </w:pPr>
            <w:r>
              <w:rPr>
                <w:rFonts w:ascii="Arial" w:cs="Arial" w:eastAsia="Arial" w:hAnsi="Arial"/>
                <w:sz w:val="20"/>
                <w:szCs w:val="20"/>
                <w:color w:val="auto"/>
              </w:rPr>
              <w:t>Payment Type</w:t>
            </w:r>
          </w:p>
        </w:tc>
        <w:tc>
          <w:tcPr>
            <w:tcW w:w="1120" w:type="dxa"/>
            <w:vAlign w:val="bottom"/>
          </w:tcPr>
          <w:p>
            <w:pPr>
              <w:spacing w:after="0"/>
              <w:rPr>
                <w:sz w:val="20"/>
                <w:szCs w:val="20"/>
                <w:color w:val="auto"/>
              </w:rPr>
            </w:pPr>
            <w:r>
              <w:rPr>
                <w:rFonts w:ascii="Arial" w:cs="Arial" w:eastAsia="Arial" w:hAnsi="Arial"/>
                <w:sz w:val="20"/>
                <w:szCs w:val="20"/>
                <w:color w:val="auto"/>
                <w:w w:val="89"/>
              </w:rPr>
              <w:t>Business Unit</w:t>
            </w:r>
          </w:p>
        </w:tc>
      </w:tr>
      <w:tr>
        <w:trPr>
          <w:trHeight w:val="20"/>
        </w:trPr>
        <w:tc>
          <w:tcPr>
            <w:tcW w:w="15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308"/>
        </w:trPr>
        <w:tc>
          <w:tcPr>
            <w:tcW w:w="1560" w:type="dxa"/>
            <w:vAlign w:val="bottom"/>
          </w:tcPr>
          <w:p>
            <w:pPr>
              <w:spacing w:after="0"/>
              <w:rPr>
                <w:sz w:val="20"/>
                <w:szCs w:val="20"/>
                <w:color w:val="auto"/>
              </w:rPr>
            </w:pPr>
            <w:r>
              <w:rPr>
                <w:rFonts w:ascii="Arial" w:cs="Arial" w:eastAsia="Arial" w:hAnsi="Arial"/>
                <w:sz w:val="20"/>
                <w:szCs w:val="20"/>
                <w:color w:val="auto"/>
              </w:rPr>
              <w:t>4200762386</w:t>
            </w:r>
          </w:p>
        </w:tc>
        <w:tc>
          <w:tcPr>
            <w:tcW w:w="1000" w:type="dxa"/>
            <w:vAlign w:val="bottom"/>
          </w:tcPr>
          <w:p>
            <w:pPr>
              <w:spacing w:after="0"/>
              <w:rPr>
                <w:sz w:val="24"/>
                <w:szCs w:val="24"/>
                <w:color w:val="auto"/>
              </w:rPr>
            </w:pPr>
          </w:p>
        </w:tc>
        <w:tc>
          <w:tcPr>
            <w:tcW w:w="3900" w:type="dxa"/>
            <w:vAlign w:val="bottom"/>
            <w:gridSpan w:val="3"/>
          </w:tcPr>
          <w:p>
            <w:pPr>
              <w:ind w:left="100"/>
              <w:spacing w:after="0"/>
              <w:rPr>
                <w:sz w:val="20"/>
                <w:szCs w:val="20"/>
                <w:color w:val="auto"/>
              </w:rPr>
            </w:pPr>
            <w:r>
              <w:rPr>
                <w:rFonts w:ascii="Arial" w:cs="Arial" w:eastAsia="Arial" w:hAnsi="Arial"/>
                <w:sz w:val="20"/>
                <w:szCs w:val="20"/>
                <w:color w:val="auto"/>
              </w:rPr>
              <w:t>Zumwalt EME</w:t>
            </w:r>
          </w:p>
        </w:tc>
        <w:tc>
          <w:tcPr>
            <w:tcW w:w="2720" w:type="dxa"/>
            <w:vAlign w:val="bottom"/>
            <w:gridSpan w:val="3"/>
          </w:tcPr>
          <w:p>
            <w:pPr>
              <w:ind w:left="400"/>
              <w:spacing w:after="0"/>
              <w:rPr>
                <w:sz w:val="20"/>
                <w:szCs w:val="20"/>
                <w:color w:val="auto"/>
              </w:rPr>
            </w:pPr>
            <w:r>
              <w:rPr>
                <w:rFonts w:ascii="Arial" w:cs="Arial" w:eastAsia="Arial" w:hAnsi="Arial"/>
                <w:sz w:val="20"/>
                <w:szCs w:val="20"/>
                <w:color w:val="auto"/>
              </w:rPr>
              <w:t>Progress</w:t>
            </w:r>
          </w:p>
        </w:tc>
        <w:tc>
          <w:tcPr>
            <w:tcW w:w="1120" w:type="dxa"/>
            <w:vAlign w:val="bottom"/>
          </w:tcPr>
          <w:p>
            <w:pPr>
              <w:spacing w:after="0"/>
              <w:rPr>
                <w:sz w:val="20"/>
                <w:szCs w:val="20"/>
                <w:color w:val="auto"/>
              </w:rPr>
            </w:pPr>
            <w:r>
              <w:rPr>
                <w:rFonts w:ascii="Arial" w:cs="Arial" w:eastAsia="Arial" w:hAnsi="Arial"/>
                <w:sz w:val="20"/>
                <w:szCs w:val="20"/>
                <w:color w:val="auto"/>
              </w:rPr>
              <w:t>IDS</w:t>
            </w:r>
          </w:p>
        </w:tc>
      </w:tr>
      <w:tr>
        <w:trPr>
          <w:trHeight w:val="284"/>
        </w:trPr>
        <w:tc>
          <w:tcPr>
            <w:tcW w:w="1560" w:type="dxa"/>
            <w:vAlign w:val="bottom"/>
          </w:tcPr>
          <w:p>
            <w:pPr>
              <w:spacing w:after="0"/>
              <w:rPr>
                <w:sz w:val="20"/>
                <w:szCs w:val="20"/>
                <w:color w:val="auto"/>
              </w:rPr>
            </w:pPr>
            <w:r>
              <w:rPr>
                <w:rFonts w:ascii="Arial" w:cs="Arial" w:eastAsia="Arial" w:hAnsi="Arial"/>
                <w:sz w:val="20"/>
                <w:szCs w:val="20"/>
                <w:color w:val="auto"/>
              </w:rPr>
              <w:t>4200889192</w:t>
            </w:r>
          </w:p>
        </w:tc>
        <w:tc>
          <w:tcPr>
            <w:tcW w:w="1000" w:type="dxa"/>
            <w:vAlign w:val="bottom"/>
          </w:tcPr>
          <w:p>
            <w:pPr>
              <w:spacing w:after="0"/>
              <w:rPr>
                <w:sz w:val="24"/>
                <w:szCs w:val="24"/>
                <w:color w:val="auto"/>
              </w:rPr>
            </w:pPr>
          </w:p>
        </w:tc>
        <w:tc>
          <w:tcPr>
            <w:tcW w:w="3900" w:type="dxa"/>
            <w:vAlign w:val="bottom"/>
            <w:gridSpan w:val="3"/>
          </w:tcPr>
          <w:p>
            <w:pPr>
              <w:ind w:left="100"/>
              <w:spacing w:after="0"/>
              <w:rPr>
                <w:sz w:val="20"/>
                <w:szCs w:val="20"/>
                <w:color w:val="auto"/>
              </w:rPr>
            </w:pPr>
            <w:r>
              <w:rPr>
                <w:rFonts w:ascii="Arial" w:cs="Arial" w:eastAsia="Arial" w:hAnsi="Arial"/>
                <w:sz w:val="20"/>
                <w:szCs w:val="20"/>
                <w:color w:val="auto"/>
              </w:rPr>
              <w:t>Patriot - Saudi (SNAP)</w:t>
            </w:r>
          </w:p>
        </w:tc>
        <w:tc>
          <w:tcPr>
            <w:tcW w:w="2720" w:type="dxa"/>
            <w:vAlign w:val="bottom"/>
            <w:gridSpan w:val="3"/>
          </w:tcPr>
          <w:p>
            <w:pPr>
              <w:ind w:left="400"/>
              <w:spacing w:after="0"/>
              <w:rPr>
                <w:sz w:val="20"/>
                <w:szCs w:val="20"/>
                <w:color w:val="auto"/>
              </w:rPr>
            </w:pPr>
            <w:r>
              <w:rPr>
                <w:rFonts w:ascii="Arial" w:cs="Arial" w:eastAsia="Arial" w:hAnsi="Arial"/>
                <w:sz w:val="20"/>
                <w:szCs w:val="20"/>
                <w:color w:val="auto"/>
              </w:rPr>
              <w:t>Progress</w:t>
            </w:r>
          </w:p>
        </w:tc>
        <w:tc>
          <w:tcPr>
            <w:tcW w:w="1120" w:type="dxa"/>
            <w:vAlign w:val="bottom"/>
          </w:tcPr>
          <w:p>
            <w:pPr>
              <w:spacing w:after="0"/>
              <w:rPr>
                <w:sz w:val="20"/>
                <w:szCs w:val="20"/>
                <w:color w:val="auto"/>
              </w:rPr>
            </w:pPr>
            <w:r>
              <w:rPr>
                <w:rFonts w:ascii="Arial" w:cs="Arial" w:eastAsia="Arial" w:hAnsi="Arial"/>
                <w:sz w:val="20"/>
                <w:szCs w:val="20"/>
                <w:color w:val="auto"/>
              </w:rPr>
              <w:t>IDS</w:t>
            </w:r>
          </w:p>
        </w:tc>
      </w:tr>
      <w:tr>
        <w:trPr>
          <w:trHeight w:val="284"/>
        </w:trPr>
        <w:tc>
          <w:tcPr>
            <w:tcW w:w="1560" w:type="dxa"/>
            <w:vAlign w:val="bottom"/>
          </w:tcPr>
          <w:p>
            <w:pPr>
              <w:spacing w:after="0"/>
              <w:rPr>
                <w:sz w:val="20"/>
                <w:szCs w:val="20"/>
                <w:color w:val="auto"/>
              </w:rPr>
            </w:pPr>
            <w:r>
              <w:rPr>
                <w:rFonts w:ascii="Arial" w:cs="Arial" w:eastAsia="Arial" w:hAnsi="Arial"/>
                <w:sz w:val="20"/>
                <w:szCs w:val="20"/>
                <w:color w:val="auto"/>
              </w:rPr>
              <w:t>4200854810</w:t>
            </w:r>
          </w:p>
        </w:tc>
        <w:tc>
          <w:tcPr>
            <w:tcW w:w="1000" w:type="dxa"/>
            <w:vAlign w:val="bottom"/>
          </w:tcPr>
          <w:p>
            <w:pPr>
              <w:spacing w:after="0"/>
              <w:rPr>
                <w:sz w:val="24"/>
                <w:szCs w:val="24"/>
                <w:color w:val="auto"/>
              </w:rPr>
            </w:pPr>
          </w:p>
        </w:tc>
        <w:tc>
          <w:tcPr>
            <w:tcW w:w="3900" w:type="dxa"/>
            <w:vAlign w:val="bottom"/>
            <w:gridSpan w:val="3"/>
          </w:tcPr>
          <w:p>
            <w:pPr>
              <w:ind w:left="100"/>
              <w:spacing w:after="0"/>
              <w:rPr>
                <w:sz w:val="20"/>
                <w:szCs w:val="20"/>
                <w:color w:val="auto"/>
              </w:rPr>
            </w:pPr>
            <w:r>
              <w:rPr>
                <w:rFonts w:ascii="Arial" w:cs="Arial" w:eastAsia="Arial" w:hAnsi="Arial"/>
                <w:sz w:val="20"/>
                <w:szCs w:val="20"/>
                <w:color w:val="auto"/>
              </w:rPr>
              <w:t>Patriot - Qatar</w:t>
            </w:r>
          </w:p>
        </w:tc>
        <w:tc>
          <w:tcPr>
            <w:tcW w:w="2720" w:type="dxa"/>
            <w:vAlign w:val="bottom"/>
            <w:gridSpan w:val="3"/>
          </w:tcPr>
          <w:p>
            <w:pPr>
              <w:ind w:left="400"/>
              <w:spacing w:after="0"/>
              <w:rPr>
                <w:sz w:val="20"/>
                <w:szCs w:val="20"/>
                <w:color w:val="auto"/>
              </w:rPr>
            </w:pPr>
            <w:r>
              <w:rPr>
                <w:rFonts w:ascii="Arial" w:cs="Arial" w:eastAsia="Arial" w:hAnsi="Arial"/>
                <w:sz w:val="20"/>
                <w:szCs w:val="20"/>
                <w:color w:val="auto"/>
              </w:rPr>
              <w:t>Progress</w:t>
            </w:r>
          </w:p>
        </w:tc>
        <w:tc>
          <w:tcPr>
            <w:tcW w:w="1120" w:type="dxa"/>
            <w:vAlign w:val="bottom"/>
          </w:tcPr>
          <w:p>
            <w:pPr>
              <w:spacing w:after="0"/>
              <w:rPr>
                <w:sz w:val="20"/>
                <w:szCs w:val="20"/>
                <w:color w:val="auto"/>
              </w:rPr>
            </w:pPr>
            <w:r>
              <w:rPr>
                <w:rFonts w:ascii="Arial" w:cs="Arial" w:eastAsia="Arial" w:hAnsi="Arial"/>
                <w:sz w:val="20"/>
                <w:szCs w:val="20"/>
                <w:color w:val="auto"/>
              </w:rPr>
              <w:t>IDS</w:t>
            </w:r>
          </w:p>
        </w:tc>
      </w:tr>
      <w:tr>
        <w:trPr>
          <w:trHeight w:val="284"/>
        </w:trPr>
        <w:tc>
          <w:tcPr>
            <w:tcW w:w="1560" w:type="dxa"/>
            <w:vAlign w:val="bottom"/>
          </w:tcPr>
          <w:p>
            <w:pPr>
              <w:spacing w:after="0"/>
              <w:rPr>
                <w:sz w:val="20"/>
                <w:szCs w:val="20"/>
                <w:color w:val="auto"/>
              </w:rPr>
            </w:pPr>
            <w:r>
              <w:rPr>
                <w:rFonts w:ascii="Arial" w:cs="Arial" w:eastAsia="Arial" w:hAnsi="Arial"/>
                <w:sz w:val="20"/>
                <w:szCs w:val="20"/>
                <w:color w:val="auto"/>
              </w:rPr>
              <w:t>4200616362-001</w:t>
            </w:r>
          </w:p>
        </w:tc>
        <w:tc>
          <w:tcPr>
            <w:tcW w:w="1000" w:type="dxa"/>
            <w:vAlign w:val="bottom"/>
          </w:tcPr>
          <w:p>
            <w:pPr>
              <w:spacing w:after="0"/>
              <w:rPr>
                <w:sz w:val="24"/>
                <w:szCs w:val="24"/>
                <w:color w:val="auto"/>
              </w:rPr>
            </w:pPr>
          </w:p>
        </w:tc>
        <w:tc>
          <w:tcPr>
            <w:tcW w:w="3900" w:type="dxa"/>
            <w:vAlign w:val="bottom"/>
            <w:gridSpan w:val="3"/>
          </w:tcPr>
          <w:p>
            <w:pPr>
              <w:ind w:left="100"/>
              <w:spacing w:after="0"/>
              <w:rPr>
                <w:sz w:val="20"/>
                <w:szCs w:val="20"/>
                <w:color w:val="auto"/>
              </w:rPr>
            </w:pPr>
            <w:r>
              <w:rPr>
                <w:rFonts w:ascii="Arial" w:cs="Arial" w:eastAsia="Arial" w:hAnsi="Arial"/>
                <w:sz w:val="20"/>
                <w:szCs w:val="20"/>
                <w:color w:val="auto"/>
              </w:rPr>
              <w:t>TPY-2/EEU Float 2 (FY 2014 Float)</w:t>
            </w:r>
          </w:p>
        </w:tc>
        <w:tc>
          <w:tcPr>
            <w:tcW w:w="2720" w:type="dxa"/>
            <w:vAlign w:val="bottom"/>
            <w:gridSpan w:val="3"/>
          </w:tcPr>
          <w:p>
            <w:pPr>
              <w:ind w:left="400"/>
              <w:spacing w:after="0"/>
              <w:rPr>
                <w:sz w:val="20"/>
                <w:szCs w:val="20"/>
                <w:color w:val="auto"/>
              </w:rPr>
            </w:pPr>
            <w:r>
              <w:rPr>
                <w:rFonts w:ascii="Arial" w:cs="Arial" w:eastAsia="Arial" w:hAnsi="Arial"/>
                <w:sz w:val="20"/>
                <w:szCs w:val="20"/>
                <w:color w:val="auto"/>
              </w:rPr>
              <w:t>Performance-based</w:t>
            </w:r>
          </w:p>
        </w:tc>
        <w:tc>
          <w:tcPr>
            <w:tcW w:w="1120" w:type="dxa"/>
            <w:vAlign w:val="bottom"/>
          </w:tcPr>
          <w:p>
            <w:pPr>
              <w:spacing w:after="0"/>
              <w:rPr>
                <w:sz w:val="20"/>
                <w:szCs w:val="20"/>
                <w:color w:val="auto"/>
              </w:rPr>
            </w:pPr>
            <w:r>
              <w:rPr>
                <w:rFonts w:ascii="Arial" w:cs="Arial" w:eastAsia="Arial" w:hAnsi="Arial"/>
                <w:sz w:val="20"/>
                <w:szCs w:val="20"/>
                <w:color w:val="auto"/>
              </w:rPr>
              <w:t>IDS</w:t>
            </w:r>
          </w:p>
        </w:tc>
      </w:tr>
      <w:tr>
        <w:trPr>
          <w:trHeight w:val="284"/>
        </w:trPr>
        <w:tc>
          <w:tcPr>
            <w:tcW w:w="1560" w:type="dxa"/>
            <w:vAlign w:val="bottom"/>
          </w:tcPr>
          <w:p>
            <w:pPr>
              <w:spacing w:after="0"/>
              <w:rPr>
                <w:sz w:val="20"/>
                <w:szCs w:val="20"/>
                <w:color w:val="auto"/>
              </w:rPr>
            </w:pPr>
            <w:r>
              <w:rPr>
                <w:rFonts w:ascii="Arial" w:cs="Arial" w:eastAsia="Arial" w:hAnsi="Arial"/>
                <w:sz w:val="20"/>
                <w:szCs w:val="20"/>
                <w:color w:val="auto"/>
              </w:rPr>
              <w:t>4201259789</w:t>
            </w:r>
          </w:p>
        </w:tc>
        <w:tc>
          <w:tcPr>
            <w:tcW w:w="1000" w:type="dxa"/>
            <w:vAlign w:val="bottom"/>
          </w:tcPr>
          <w:p>
            <w:pPr>
              <w:spacing w:after="0"/>
              <w:rPr>
                <w:sz w:val="24"/>
                <w:szCs w:val="24"/>
                <w:color w:val="auto"/>
              </w:rPr>
            </w:pPr>
          </w:p>
        </w:tc>
        <w:tc>
          <w:tcPr>
            <w:tcW w:w="3900" w:type="dxa"/>
            <w:vAlign w:val="bottom"/>
            <w:gridSpan w:val="3"/>
          </w:tcPr>
          <w:p>
            <w:pPr>
              <w:ind w:left="100"/>
              <w:spacing w:after="0"/>
              <w:rPr>
                <w:sz w:val="20"/>
                <w:szCs w:val="20"/>
                <w:color w:val="auto"/>
              </w:rPr>
            </w:pPr>
            <w:r>
              <w:rPr>
                <w:rFonts w:ascii="Arial" w:cs="Arial" w:eastAsia="Arial" w:hAnsi="Arial"/>
                <w:sz w:val="20"/>
                <w:szCs w:val="20"/>
                <w:color w:val="auto"/>
              </w:rPr>
              <w:t>Patriot</w:t>
            </w:r>
          </w:p>
        </w:tc>
        <w:tc>
          <w:tcPr>
            <w:tcW w:w="2720" w:type="dxa"/>
            <w:vAlign w:val="bottom"/>
            <w:gridSpan w:val="3"/>
          </w:tcPr>
          <w:p>
            <w:pPr>
              <w:ind w:left="400"/>
              <w:spacing w:after="0"/>
              <w:rPr>
                <w:sz w:val="20"/>
                <w:szCs w:val="20"/>
                <w:color w:val="auto"/>
              </w:rPr>
            </w:pPr>
            <w:r>
              <w:rPr>
                <w:rFonts w:ascii="Arial" w:cs="Arial" w:eastAsia="Arial" w:hAnsi="Arial"/>
                <w:sz w:val="20"/>
                <w:szCs w:val="20"/>
                <w:color w:val="auto"/>
              </w:rPr>
              <w:t>Progress</w:t>
            </w:r>
          </w:p>
        </w:tc>
        <w:tc>
          <w:tcPr>
            <w:tcW w:w="1120" w:type="dxa"/>
            <w:vAlign w:val="bottom"/>
          </w:tcPr>
          <w:p>
            <w:pPr>
              <w:spacing w:after="0"/>
              <w:rPr>
                <w:sz w:val="20"/>
                <w:szCs w:val="20"/>
                <w:color w:val="auto"/>
              </w:rPr>
            </w:pPr>
            <w:r>
              <w:rPr>
                <w:rFonts w:ascii="Arial" w:cs="Arial" w:eastAsia="Arial" w:hAnsi="Arial"/>
                <w:sz w:val="20"/>
                <w:szCs w:val="20"/>
                <w:color w:val="auto"/>
              </w:rPr>
              <w:t>IDS</w:t>
            </w:r>
          </w:p>
        </w:tc>
      </w:tr>
      <w:tr>
        <w:trPr>
          <w:trHeight w:val="284"/>
        </w:trPr>
        <w:tc>
          <w:tcPr>
            <w:tcW w:w="1560" w:type="dxa"/>
            <w:vAlign w:val="bottom"/>
          </w:tcPr>
          <w:p>
            <w:pPr>
              <w:spacing w:after="0"/>
              <w:rPr>
                <w:sz w:val="20"/>
                <w:szCs w:val="20"/>
                <w:color w:val="auto"/>
              </w:rPr>
            </w:pPr>
            <w:r>
              <w:rPr>
                <w:rFonts w:ascii="Arial" w:cs="Arial" w:eastAsia="Arial" w:hAnsi="Arial"/>
                <w:sz w:val="20"/>
                <w:szCs w:val="20"/>
                <w:color w:val="auto"/>
              </w:rPr>
              <w:t>4201293084</w:t>
            </w:r>
          </w:p>
        </w:tc>
        <w:tc>
          <w:tcPr>
            <w:tcW w:w="1000" w:type="dxa"/>
            <w:vAlign w:val="bottom"/>
          </w:tcPr>
          <w:p>
            <w:pPr>
              <w:spacing w:after="0"/>
              <w:rPr>
                <w:sz w:val="24"/>
                <w:szCs w:val="24"/>
                <w:color w:val="auto"/>
              </w:rPr>
            </w:pPr>
          </w:p>
        </w:tc>
        <w:tc>
          <w:tcPr>
            <w:tcW w:w="3900" w:type="dxa"/>
            <w:vAlign w:val="bottom"/>
            <w:gridSpan w:val="3"/>
          </w:tcPr>
          <w:p>
            <w:pPr>
              <w:ind w:left="100"/>
              <w:spacing w:after="0"/>
              <w:rPr>
                <w:sz w:val="20"/>
                <w:szCs w:val="20"/>
                <w:color w:val="auto"/>
              </w:rPr>
            </w:pPr>
            <w:r>
              <w:rPr>
                <w:rFonts w:ascii="Arial" w:cs="Arial" w:eastAsia="Arial" w:hAnsi="Arial"/>
                <w:sz w:val="20"/>
                <w:szCs w:val="20"/>
                <w:color w:val="auto"/>
              </w:rPr>
              <w:t>Jaguar</w:t>
            </w:r>
          </w:p>
        </w:tc>
        <w:tc>
          <w:tcPr>
            <w:tcW w:w="2720" w:type="dxa"/>
            <w:vAlign w:val="bottom"/>
            <w:gridSpan w:val="3"/>
          </w:tcPr>
          <w:p>
            <w:pPr>
              <w:ind w:left="400"/>
              <w:spacing w:after="0"/>
              <w:rPr>
                <w:sz w:val="20"/>
                <w:szCs w:val="20"/>
                <w:color w:val="auto"/>
              </w:rPr>
            </w:pPr>
            <w:r>
              <w:rPr>
                <w:rFonts w:ascii="Arial" w:cs="Arial" w:eastAsia="Arial" w:hAnsi="Arial"/>
                <w:sz w:val="20"/>
                <w:szCs w:val="20"/>
                <w:color w:val="auto"/>
              </w:rPr>
              <w:t>Milestone</w:t>
            </w:r>
          </w:p>
        </w:tc>
        <w:tc>
          <w:tcPr>
            <w:tcW w:w="1120" w:type="dxa"/>
            <w:vAlign w:val="bottom"/>
          </w:tcPr>
          <w:p>
            <w:pPr>
              <w:spacing w:after="0"/>
              <w:rPr>
                <w:sz w:val="20"/>
                <w:szCs w:val="20"/>
                <w:color w:val="auto"/>
              </w:rPr>
            </w:pPr>
            <w:r>
              <w:rPr>
                <w:rFonts w:ascii="Arial" w:cs="Arial" w:eastAsia="Arial" w:hAnsi="Arial"/>
                <w:sz w:val="20"/>
                <w:szCs w:val="20"/>
                <w:color w:val="auto"/>
              </w:rPr>
              <w:t>SAS</w:t>
            </w:r>
          </w:p>
        </w:tc>
      </w:tr>
      <w:tr>
        <w:trPr>
          <w:trHeight w:val="284"/>
        </w:trPr>
        <w:tc>
          <w:tcPr>
            <w:tcW w:w="1560" w:type="dxa"/>
            <w:vAlign w:val="bottom"/>
          </w:tcPr>
          <w:p>
            <w:pPr>
              <w:spacing w:after="0"/>
              <w:rPr>
                <w:sz w:val="20"/>
                <w:szCs w:val="20"/>
                <w:color w:val="auto"/>
              </w:rPr>
            </w:pPr>
            <w:r>
              <w:rPr>
                <w:rFonts w:ascii="Arial" w:cs="Arial" w:eastAsia="Arial" w:hAnsi="Arial"/>
                <w:sz w:val="20"/>
                <w:szCs w:val="20"/>
                <w:color w:val="auto"/>
              </w:rPr>
              <w:t>4201319806</w:t>
            </w:r>
          </w:p>
        </w:tc>
        <w:tc>
          <w:tcPr>
            <w:tcW w:w="1000" w:type="dxa"/>
            <w:vAlign w:val="bottom"/>
          </w:tcPr>
          <w:p>
            <w:pPr>
              <w:spacing w:after="0"/>
              <w:rPr>
                <w:sz w:val="24"/>
                <w:szCs w:val="24"/>
                <w:color w:val="auto"/>
              </w:rPr>
            </w:pPr>
          </w:p>
        </w:tc>
        <w:tc>
          <w:tcPr>
            <w:tcW w:w="3900" w:type="dxa"/>
            <w:vAlign w:val="bottom"/>
            <w:gridSpan w:val="3"/>
          </w:tcPr>
          <w:p>
            <w:pPr>
              <w:ind w:left="100"/>
              <w:spacing w:after="0"/>
              <w:rPr>
                <w:sz w:val="20"/>
                <w:szCs w:val="20"/>
                <w:color w:val="auto"/>
              </w:rPr>
            </w:pPr>
            <w:r>
              <w:rPr>
                <w:rFonts w:ascii="Arial" w:cs="Arial" w:eastAsia="Arial" w:hAnsi="Arial"/>
                <w:sz w:val="20"/>
                <w:szCs w:val="20"/>
                <w:color w:val="auto"/>
              </w:rPr>
              <w:t>SIC FT</w:t>
            </w:r>
          </w:p>
        </w:tc>
        <w:tc>
          <w:tcPr>
            <w:tcW w:w="2720" w:type="dxa"/>
            <w:vAlign w:val="bottom"/>
            <w:gridSpan w:val="3"/>
          </w:tcPr>
          <w:p>
            <w:pPr>
              <w:ind w:left="400"/>
              <w:spacing w:after="0"/>
              <w:rPr>
                <w:sz w:val="20"/>
                <w:szCs w:val="20"/>
                <w:color w:val="auto"/>
              </w:rPr>
            </w:pPr>
            <w:r>
              <w:rPr>
                <w:rFonts w:ascii="Arial" w:cs="Arial" w:eastAsia="Arial" w:hAnsi="Arial"/>
                <w:sz w:val="20"/>
                <w:szCs w:val="20"/>
                <w:color w:val="auto"/>
              </w:rPr>
              <w:t>Progress</w:t>
            </w:r>
          </w:p>
        </w:tc>
        <w:tc>
          <w:tcPr>
            <w:tcW w:w="1120" w:type="dxa"/>
            <w:vAlign w:val="bottom"/>
          </w:tcPr>
          <w:p>
            <w:pPr>
              <w:spacing w:after="0"/>
              <w:rPr>
                <w:sz w:val="20"/>
                <w:szCs w:val="20"/>
                <w:color w:val="auto"/>
              </w:rPr>
            </w:pPr>
            <w:r>
              <w:rPr>
                <w:rFonts w:ascii="Arial" w:cs="Arial" w:eastAsia="Arial" w:hAnsi="Arial"/>
                <w:sz w:val="20"/>
                <w:szCs w:val="20"/>
                <w:color w:val="auto"/>
              </w:rPr>
              <w:t>IDS</w:t>
            </w:r>
          </w:p>
        </w:tc>
      </w:tr>
      <w:tr>
        <w:trPr>
          <w:trHeight w:val="891"/>
        </w:trPr>
        <w:tc>
          <w:tcPr>
            <w:tcW w:w="2560" w:type="dxa"/>
            <w:vAlign w:val="bottom"/>
            <w:gridSpan w:val="2"/>
          </w:tcPr>
          <w:p>
            <w:pPr>
              <w:ind w:left="340"/>
              <w:spacing w:after="0"/>
              <w:rPr>
                <w:sz w:val="20"/>
                <w:szCs w:val="20"/>
                <w:color w:val="auto"/>
              </w:rPr>
            </w:pPr>
            <w:r>
              <w:rPr>
                <w:rFonts w:ascii="Arial" w:cs="Arial" w:eastAsia="Arial" w:hAnsi="Arial"/>
                <w:sz w:val="20"/>
                <w:szCs w:val="20"/>
                <w:color w:val="auto"/>
                <w:w w:val="99"/>
              </w:rPr>
              <w:t>SECOND AMENDMENT</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0" w:type="dxa"/>
            <w:vAlign w:val="bottom"/>
          </w:tcPr>
          <w:p>
            <w:pPr>
              <w:ind w:left="1280"/>
              <w:spacing w:after="0"/>
              <w:rPr>
                <w:sz w:val="20"/>
                <w:szCs w:val="20"/>
                <w:color w:val="auto"/>
              </w:rPr>
            </w:pPr>
            <w:r>
              <w:rPr>
                <w:rFonts w:ascii="Arial" w:cs="Arial" w:eastAsia="Arial" w:hAnsi="Arial"/>
                <w:sz w:val="20"/>
                <w:szCs w:val="20"/>
                <w:color w:val="auto"/>
              </w:rPr>
              <w:t>Page 4 of 4</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80"/>
          </w:cols>
          <w:pgMar w:left="380" w:top="393" w:right="239" w:bottom="1440" w:gutter="0" w:footer="0" w:header="0"/>
        </w:sectPr>
      </w:pPr>
    </w:p>
    <w:bookmarkStart w:id="135" w:name="page136"/>
    <w:bookmarkEnd w:id="135"/>
    <w:p>
      <w:pPr>
        <w:jc w:val="center"/>
        <w:ind w:right="-400"/>
        <w:spacing w:after="0"/>
        <w:rPr>
          <w:sz w:val="20"/>
          <w:szCs w:val="20"/>
          <w:color w:val="auto"/>
        </w:rPr>
      </w:pPr>
      <w:r>
        <w:rPr>
          <w:rFonts w:ascii="Arial" w:cs="Arial" w:eastAsia="Arial" w:hAnsi="Arial"/>
          <w:sz w:val="20"/>
          <w:szCs w:val="20"/>
          <w:u w:val="single" w:color="auto"/>
          <w:color w:val="auto"/>
        </w:rPr>
        <w:t>Exhibit B</w:t>
      </w:r>
    </w:p>
    <w:p>
      <w:pPr>
        <w:spacing w:after="0" w:line="200" w:lineRule="exact"/>
        <w:rPr>
          <w:sz w:val="20"/>
          <w:szCs w:val="20"/>
          <w:color w:val="auto"/>
        </w:rPr>
      </w:pPr>
    </w:p>
    <w:p>
      <w:pPr>
        <w:spacing w:after="0" w:line="218" w:lineRule="exact"/>
        <w:rPr>
          <w:sz w:val="20"/>
          <w:szCs w:val="20"/>
          <w:color w:val="auto"/>
        </w:rPr>
      </w:pPr>
    </w:p>
    <w:p>
      <w:pPr>
        <w:jc w:val="right"/>
        <w:ind w:right="3079"/>
        <w:spacing w:after="0"/>
        <w:rPr>
          <w:sz w:val="20"/>
          <w:szCs w:val="20"/>
          <w:color w:val="auto"/>
        </w:rPr>
      </w:pPr>
      <w:r>
        <w:rPr>
          <w:rFonts w:ascii="Arial" w:cs="Arial" w:eastAsia="Arial" w:hAnsi="Arial"/>
          <w:sz w:val="20"/>
          <w:szCs w:val="20"/>
          <w:color w:val="auto"/>
        </w:rPr>
        <w:t>Raytheon Subordination Agreement</w:t>
      </w:r>
    </w:p>
    <w:p>
      <w:pPr>
        <w:spacing w:after="0" w:line="310" w:lineRule="exact"/>
        <w:rPr>
          <w:sz w:val="20"/>
          <w:szCs w:val="20"/>
          <w:color w:val="auto"/>
        </w:rPr>
      </w:pPr>
    </w:p>
    <w:p>
      <w:pPr>
        <w:jc w:val="center"/>
        <w:ind w:right="-400"/>
        <w:spacing w:after="0"/>
        <w:rPr>
          <w:sz w:val="20"/>
          <w:szCs w:val="20"/>
          <w:color w:val="auto"/>
        </w:rPr>
      </w:pPr>
      <w:r>
        <w:rPr>
          <w:rFonts w:ascii="Arial" w:cs="Arial" w:eastAsia="Arial" w:hAnsi="Arial"/>
          <w:sz w:val="20"/>
          <w:szCs w:val="20"/>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[Kratos] Fifth Amendment</w:t>
      </w:r>
    </w:p>
    <w:p>
      <w:pPr>
        <w:spacing w:after="0"/>
        <w:rPr>
          <w:sz w:val="20"/>
          <w:szCs w:val="20"/>
          <w:color w:val="auto"/>
        </w:rPr>
      </w:pPr>
      <w:r>
        <w:rPr>
          <w:rFonts w:ascii="Arial" w:cs="Arial" w:eastAsia="Arial" w:hAnsi="Arial"/>
          <w:sz w:val="14"/>
          <w:szCs w:val="14"/>
          <w:color w:val="auto"/>
        </w:rPr>
        <w:t>#46502663</w:t>
      </w:r>
    </w:p>
    <w:p>
      <w:pPr>
        <w:sectPr>
          <w:pgSz w:w="11900" w:h="16838" w:orient="portrait"/>
          <w:cols w:equalWidth="0" w:num="1">
            <w:col w:w="9419"/>
          </w:cols>
          <w:pgMar w:left="1040" w:top="420"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color w:val="auto"/>
        </w:rPr>
        <w:t>EXECUTION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7"/>
          <w:szCs w:val="27"/>
          <w:b w:val="1"/>
          <w:bCs w:val="1"/>
          <w:u w:val="single" w:color="auto"/>
          <w:color w:val="auto"/>
        </w:rPr>
        <w:t xml:space="preserve">AMENDED </w:t>
      </w:r>
      <w:r>
        <w:rPr>
          <w:rFonts w:ascii="Arial" w:cs="Arial" w:eastAsia="Arial" w:hAnsi="Arial"/>
          <w:sz w:val="30"/>
          <w:szCs w:val="30"/>
          <w:b w:val="1"/>
          <w:bCs w:val="1"/>
          <w:u w:val="single" w:color="auto"/>
          <w:color w:val="auto"/>
        </w:rPr>
        <w:t>AND</w:t>
      </w:r>
      <w:r>
        <w:rPr>
          <w:rFonts w:ascii="Arial" w:cs="Arial" w:eastAsia="Arial" w:hAnsi="Arial"/>
          <w:sz w:val="27"/>
          <w:szCs w:val="27"/>
          <w:b w:val="1"/>
          <w:bCs w:val="1"/>
          <w:u w:val="single" w:color="auto"/>
          <w:color w:val="auto"/>
        </w:rPr>
        <w:t xml:space="preserve"> RESTATED SUBORDINATION AGREEMENT</w:t>
      </w:r>
    </w:p>
    <w:p>
      <w:pPr>
        <w:spacing w:after="0" w:line="282" w:lineRule="exact"/>
        <w:rPr>
          <w:sz w:val="20"/>
          <w:szCs w:val="20"/>
          <w:color w:val="auto"/>
        </w:rPr>
      </w:pPr>
    </w:p>
    <w:p>
      <w:pPr>
        <w:jc w:val="both"/>
        <w:ind w:left="20" w:firstLine="13"/>
        <w:spacing w:after="0" w:line="273" w:lineRule="auto"/>
        <w:rPr>
          <w:sz w:val="20"/>
          <w:szCs w:val="20"/>
          <w:color w:val="auto"/>
        </w:rPr>
      </w:pPr>
      <w:r>
        <w:rPr>
          <w:rFonts w:ascii="Arial" w:cs="Arial" w:eastAsia="Arial" w:hAnsi="Arial"/>
          <w:sz w:val="20"/>
          <w:szCs w:val="20"/>
          <w:color w:val="auto"/>
        </w:rPr>
        <w:t>This Amended and Restated Subordination Agreement (this “Agreement”) is made this 19th day of July 2016 between Raytheon Company, a Delaware corporation, 870 Winter Street, Waltham, MA 0245 l, operating through two of its business units, Integrated Defense Systems (IDS), 3SO Lowell Street, Andover, MA 018 l 0, and Space and Airborne Systems (SAS), 4101 East Plano Parkway, Plano, TX 75074 (hereinafter “Raytheon”) and SunTrust Bank, a Georgia banking corporation, as agent for itself and certain other lenders (in such capacity, the “Secured Party”).</w:t>
      </w:r>
    </w:p>
    <w:p>
      <w:pPr>
        <w:spacing w:after="0" w:line="68" w:lineRule="exact"/>
        <w:rPr>
          <w:sz w:val="20"/>
          <w:szCs w:val="20"/>
          <w:color w:val="auto"/>
        </w:rPr>
      </w:pPr>
    </w:p>
    <w:p>
      <w:pPr>
        <w:ind w:left="320" w:hanging="249"/>
        <w:spacing w:after="0"/>
        <w:tabs>
          <w:tab w:leader="none" w:pos="320" w:val="left"/>
        </w:tabs>
        <w:numPr>
          <w:ilvl w:val="1"/>
          <w:numId w:val="76"/>
        </w:numPr>
        <w:rPr>
          <w:rFonts w:ascii="Arial" w:cs="Arial" w:eastAsia="Arial" w:hAnsi="Arial"/>
          <w:sz w:val="23"/>
          <w:szCs w:val="23"/>
          <w:b w:val="1"/>
          <w:bCs w:val="1"/>
          <w:color w:val="auto"/>
        </w:rPr>
      </w:pPr>
      <w:r>
        <w:rPr>
          <w:rFonts w:ascii="Arial" w:cs="Arial" w:eastAsia="Arial" w:hAnsi="Arial"/>
          <w:sz w:val="23"/>
          <w:szCs w:val="23"/>
          <w:b w:val="1"/>
          <w:bCs w:val="1"/>
          <w:color w:val="auto"/>
        </w:rPr>
        <w:t>STIPULATIONS OF THE PARTIES</w:t>
      </w:r>
    </w:p>
    <w:p>
      <w:pPr>
        <w:spacing w:after="0" w:line="290" w:lineRule="exact"/>
        <w:rPr>
          <w:rFonts w:ascii="Arial" w:cs="Arial" w:eastAsia="Arial" w:hAnsi="Arial"/>
          <w:sz w:val="23"/>
          <w:szCs w:val="23"/>
          <w:b w:val="1"/>
          <w:bCs w:val="1"/>
          <w:color w:val="auto"/>
        </w:rPr>
      </w:pPr>
    </w:p>
    <w:p>
      <w:pPr>
        <w:jc w:val="both"/>
        <w:ind w:left="940" w:hanging="302"/>
        <w:spacing w:after="0" w:line="378" w:lineRule="auto"/>
        <w:tabs>
          <w:tab w:leader="none" w:pos="922" w:val="left"/>
        </w:tabs>
        <w:numPr>
          <w:ilvl w:val="3"/>
          <w:numId w:val="76"/>
        </w:numPr>
        <w:rPr>
          <w:rFonts w:ascii="Arial" w:cs="Arial" w:eastAsia="Arial" w:hAnsi="Arial"/>
          <w:sz w:val="16"/>
          <w:szCs w:val="16"/>
          <w:color w:val="auto"/>
        </w:rPr>
      </w:pPr>
      <w:r>
        <w:rPr>
          <w:rFonts w:ascii="Arial" w:cs="Arial" w:eastAsia="Arial" w:hAnsi="Arial"/>
          <w:sz w:val="16"/>
          <w:szCs w:val="16"/>
          <w:color w:val="auto"/>
        </w:rPr>
        <w:t>Gichner Systems Group Inc., (d/b/a Gichner Shelter Systems) (hereinafter “Debtor”) is a debtor of the Secured Party. The Secured Party has one or more security agreements with Debtor and one or more UCC-1 Financing Statements on file with the Secretary of State in Dover, Delaware. Those security agreements prohibit or may prohibit Debtor from financing the acquisition of goods.</w:t>
      </w:r>
    </w:p>
    <w:p>
      <w:pPr>
        <w:spacing w:after="0" w:line="130" w:lineRule="exact"/>
        <w:rPr>
          <w:rFonts w:ascii="Arial" w:cs="Arial" w:eastAsia="Arial" w:hAnsi="Arial"/>
          <w:sz w:val="16"/>
          <w:szCs w:val="16"/>
          <w:color w:val="auto"/>
        </w:rPr>
      </w:pPr>
    </w:p>
    <w:p>
      <w:pPr>
        <w:jc w:val="both"/>
        <w:ind w:left="940" w:hanging="302"/>
        <w:spacing w:after="0" w:line="257" w:lineRule="auto"/>
        <w:tabs>
          <w:tab w:leader="none" w:pos="940" w:val="left"/>
        </w:tabs>
        <w:numPr>
          <w:ilvl w:val="3"/>
          <w:numId w:val="76"/>
        </w:numPr>
        <w:rPr>
          <w:rFonts w:ascii="Arial" w:cs="Arial" w:eastAsia="Arial" w:hAnsi="Arial"/>
          <w:sz w:val="20"/>
          <w:szCs w:val="20"/>
          <w:color w:val="auto"/>
        </w:rPr>
      </w:pPr>
      <w:r>
        <w:rPr>
          <w:rFonts w:ascii="Arial" w:cs="Arial" w:eastAsia="Arial" w:hAnsi="Arial"/>
          <w:sz w:val="20"/>
          <w:szCs w:val="20"/>
          <w:color w:val="auto"/>
        </w:rPr>
        <w:t>Debtor now desires that Raytheon make progress, milestone, advance, and/or performance based payments to Debtor (collectively, “Progress Payments”), pursuant to the purchase orders between Debtor and Raytheon listed in Attachment A (as such attachment may be amended and/or replaced from time to time by written agreement between Raytheon and Secured Party, the “Purchase Orders”) and the terms and conditions contained therein or appended thereto. The Progress Payments will enable Debtor to acquire specific parts and materials and perform labor on such parts and materials, as required to perform the Purchase Orders.</w:t>
      </w:r>
    </w:p>
    <w:p>
      <w:pPr>
        <w:spacing w:after="0" w:line="197" w:lineRule="exact"/>
        <w:rPr>
          <w:rFonts w:ascii="Arial" w:cs="Arial" w:eastAsia="Arial" w:hAnsi="Arial"/>
          <w:sz w:val="20"/>
          <w:szCs w:val="20"/>
          <w:color w:val="auto"/>
        </w:rPr>
      </w:pPr>
    </w:p>
    <w:p>
      <w:pPr>
        <w:jc w:val="both"/>
        <w:ind w:left="920" w:right="20" w:hanging="282"/>
        <w:spacing w:after="0" w:line="269" w:lineRule="auto"/>
        <w:tabs>
          <w:tab w:leader="none" w:pos="920" w:val="left"/>
        </w:tabs>
        <w:numPr>
          <w:ilvl w:val="3"/>
          <w:numId w:val="76"/>
        </w:numPr>
        <w:rPr>
          <w:rFonts w:ascii="Arial" w:cs="Arial" w:eastAsia="Arial" w:hAnsi="Arial"/>
          <w:sz w:val="19"/>
          <w:szCs w:val="19"/>
          <w:color w:val="auto"/>
        </w:rPr>
      </w:pPr>
      <w:r>
        <w:rPr>
          <w:rFonts w:ascii="Arial" w:cs="Arial" w:eastAsia="Arial" w:hAnsi="Arial"/>
          <w:sz w:val="19"/>
          <w:szCs w:val="19"/>
          <w:color w:val="auto"/>
        </w:rPr>
        <w:t>Raytheon requires that Debtor grant it a first priority security interest in the property acquired with the Progress Payments, as described in Attachment A hereto (as such attachment may be amended and/or replaced from time to time by written agreement between Raytheon and Secured Party, the “Raytheon Collateral”), and Secured Party consents to the same.</w:t>
      </w:r>
    </w:p>
    <w:p>
      <w:pPr>
        <w:spacing w:after="0" w:line="197" w:lineRule="exact"/>
        <w:rPr>
          <w:rFonts w:ascii="Arial" w:cs="Arial" w:eastAsia="Arial" w:hAnsi="Arial"/>
          <w:sz w:val="19"/>
          <w:szCs w:val="19"/>
          <w:color w:val="auto"/>
        </w:rPr>
      </w:pPr>
    </w:p>
    <w:p>
      <w:pPr>
        <w:jc w:val="both"/>
        <w:ind w:left="900" w:hanging="289"/>
        <w:spacing w:after="0" w:line="250" w:lineRule="auto"/>
        <w:tabs>
          <w:tab w:leader="none" w:pos="900" w:val="left"/>
        </w:tabs>
        <w:numPr>
          <w:ilvl w:val="2"/>
          <w:numId w:val="76"/>
        </w:numPr>
        <w:rPr>
          <w:rFonts w:ascii="Arial" w:cs="Arial" w:eastAsia="Arial" w:hAnsi="Arial"/>
          <w:sz w:val="20"/>
          <w:szCs w:val="20"/>
          <w:color w:val="auto"/>
        </w:rPr>
      </w:pPr>
      <w:r>
        <w:rPr>
          <w:rFonts w:ascii="Arial" w:cs="Arial" w:eastAsia="Arial" w:hAnsi="Arial"/>
          <w:sz w:val="20"/>
          <w:szCs w:val="20"/>
          <w:color w:val="auto"/>
        </w:rPr>
        <w:t>The parties hereto previously entered into that certain Subordination Agreement, dated June 24, 2014 {as amended prior to the date hereof, the “Existing Subordination Agreement”), and the parties desire to amend and restate the Existing Subordination Agreement as hereinafter set forth.</w:t>
      </w:r>
    </w:p>
    <w:p>
      <w:pPr>
        <w:spacing w:after="0" w:line="130" w:lineRule="exact"/>
        <w:rPr>
          <w:rFonts w:ascii="Arial" w:cs="Arial" w:eastAsia="Arial" w:hAnsi="Arial"/>
          <w:sz w:val="20"/>
          <w:szCs w:val="20"/>
          <w:color w:val="auto"/>
        </w:rPr>
      </w:pPr>
    </w:p>
    <w:p>
      <w:pPr>
        <w:ind w:left="320" w:hanging="303"/>
        <w:spacing w:after="0"/>
        <w:tabs>
          <w:tab w:leader="none" w:pos="320" w:val="left"/>
        </w:tabs>
        <w:numPr>
          <w:ilvl w:val="0"/>
          <w:numId w:val="77"/>
        </w:numPr>
        <w:rPr>
          <w:rFonts w:ascii="Arial" w:cs="Arial" w:eastAsia="Arial" w:hAnsi="Arial"/>
          <w:sz w:val="23"/>
          <w:szCs w:val="23"/>
          <w:b w:val="1"/>
          <w:bCs w:val="1"/>
          <w:color w:val="auto"/>
        </w:rPr>
      </w:pPr>
      <w:r>
        <w:rPr>
          <w:rFonts w:ascii="Arial" w:cs="Arial" w:eastAsia="Arial" w:hAnsi="Arial"/>
          <w:sz w:val="23"/>
          <w:szCs w:val="23"/>
          <w:b w:val="1"/>
          <w:bCs w:val="1"/>
          <w:color w:val="auto"/>
        </w:rPr>
        <w:t>AGREEMENT OF THE PARTIES</w:t>
      </w:r>
    </w:p>
    <w:p>
      <w:pPr>
        <w:spacing w:after="0" w:line="169" w:lineRule="exact"/>
        <w:rPr>
          <w:sz w:val="20"/>
          <w:szCs w:val="20"/>
          <w:color w:val="auto"/>
        </w:rPr>
      </w:pPr>
    </w:p>
    <w:p>
      <w:pPr>
        <w:jc w:val="both"/>
        <w:ind w:left="20" w:firstLine="13"/>
        <w:spacing w:after="0" w:line="274" w:lineRule="auto"/>
        <w:rPr>
          <w:sz w:val="20"/>
          <w:szCs w:val="20"/>
          <w:color w:val="auto"/>
        </w:rPr>
      </w:pPr>
      <w:r>
        <w:rPr>
          <w:rFonts w:ascii="Arial" w:cs="Arial" w:eastAsia="Arial" w:hAnsi="Arial"/>
          <w:sz w:val="20"/>
          <w:szCs w:val="20"/>
          <w:color w:val="auto"/>
        </w:rPr>
        <w:t>For valuable consideration the sufficiency of which is acknowledged, Secured Party hereby agrees to subordinate all present and future liens, claims and security interests of Secured Party in and to the Raytheon Collateral to the security interest of Raytheon in and to the Raytheon Collateral pledged as security for the obligation of Debtor to purchase parts and materials and perform labor on such parts and materials as required by the Purchase Orders, up to the aggregate amount of the</w:t>
      </w:r>
    </w:p>
    <w:p>
      <w:pPr>
        <w:spacing w:after="0" w:line="200" w:lineRule="exact"/>
        <w:rPr>
          <w:sz w:val="20"/>
          <w:szCs w:val="20"/>
          <w:color w:val="auto"/>
        </w:rPr>
      </w:pPr>
    </w:p>
    <w:p>
      <w:pPr>
        <w:spacing w:after="0" w:line="26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420" w:top="429" w:right="239" w:bottom="1440" w:gutter="0" w:footer="0" w:header="0"/>
        </w:sectPr>
      </w:pPr>
    </w:p>
    <w:bookmarkStart w:id="137" w:name="page138"/>
    <w:bookmarkEnd w:id="137"/>
    <w:p>
      <w:pPr>
        <w:ind w:left="10140"/>
        <w:spacing w:after="0"/>
        <w:rPr>
          <w:sz w:val="20"/>
          <w:szCs w:val="20"/>
          <w:color w:val="auto"/>
        </w:rPr>
      </w:pPr>
      <w:r>
        <w:rPr>
          <w:rFonts w:ascii="Arial" w:cs="Arial" w:eastAsia="Arial" w:hAnsi="Arial"/>
          <w:sz w:val="21"/>
          <w:szCs w:val="21"/>
          <w:color w:val="auto"/>
        </w:rPr>
        <w:t>EXECUTION</w:t>
      </w:r>
    </w:p>
    <w:p>
      <w:pPr>
        <w:spacing w:after="0" w:line="3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Progress Payments actually received by Debtor from Raytheon that have not been liquidated pursuant to the applicable Purchase Order.</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Secured Party specifically agrees as follows:</w:t>
      </w:r>
    </w:p>
    <w:p>
      <w:pPr>
        <w:spacing w:after="0" w:line="222" w:lineRule="exact"/>
        <w:rPr>
          <w:sz w:val="20"/>
          <w:szCs w:val="20"/>
          <w:color w:val="auto"/>
        </w:rPr>
      </w:pPr>
    </w:p>
    <w:p>
      <w:pPr>
        <w:jc w:val="both"/>
        <w:ind w:left="1080" w:hanging="302"/>
        <w:spacing w:after="0" w:line="246" w:lineRule="auto"/>
        <w:tabs>
          <w:tab w:leader="none" w:pos="1080" w:val="left"/>
        </w:tabs>
        <w:numPr>
          <w:ilvl w:val="2"/>
          <w:numId w:val="78"/>
        </w:numPr>
        <w:rPr>
          <w:rFonts w:ascii="Arial" w:cs="Arial" w:eastAsia="Arial" w:hAnsi="Arial"/>
          <w:sz w:val="20"/>
          <w:szCs w:val="20"/>
          <w:color w:val="auto"/>
        </w:rPr>
      </w:pPr>
      <w:r>
        <w:rPr>
          <w:rFonts w:ascii="Arial" w:cs="Arial" w:eastAsia="Arial" w:hAnsi="Arial"/>
          <w:sz w:val="20"/>
          <w:szCs w:val="20"/>
          <w:color w:val="auto"/>
        </w:rPr>
        <w:t>Debtor may grant Raytheon a first lien security interest in the Raytheon Collateral to secure Debtor’s obligations under the Purchase Orders to purchase parts and materials and perform labor on such parts and materials as required by the Purchase Orders, up to the aggregate amount of the Progress Payments actually received by Debtor from Raytheon that have not been liquidated pursuant to the applicable Purchase Order.</w:t>
      </w:r>
    </w:p>
    <w:p>
      <w:pPr>
        <w:spacing w:after="0" w:line="205" w:lineRule="exact"/>
        <w:rPr>
          <w:rFonts w:ascii="Arial" w:cs="Arial" w:eastAsia="Arial" w:hAnsi="Arial"/>
          <w:sz w:val="20"/>
          <w:szCs w:val="20"/>
          <w:color w:val="auto"/>
        </w:rPr>
      </w:pPr>
    </w:p>
    <w:p>
      <w:pPr>
        <w:jc w:val="both"/>
        <w:ind w:left="1080" w:hanging="302"/>
        <w:spacing w:after="0" w:line="250" w:lineRule="auto"/>
        <w:tabs>
          <w:tab w:leader="none" w:pos="1080" w:val="left"/>
        </w:tabs>
        <w:numPr>
          <w:ilvl w:val="2"/>
          <w:numId w:val="78"/>
        </w:numPr>
        <w:rPr>
          <w:rFonts w:ascii="Arial" w:cs="Arial" w:eastAsia="Arial" w:hAnsi="Arial"/>
          <w:sz w:val="20"/>
          <w:szCs w:val="20"/>
          <w:color w:val="auto"/>
        </w:rPr>
      </w:pPr>
      <w:r>
        <w:rPr>
          <w:rFonts w:ascii="Arial" w:cs="Arial" w:eastAsia="Arial" w:hAnsi="Arial"/>
          <w:sz w:val="20"/>
          <w:szCs w:val="20"/>
          <w:color w:val="auto"/>
        </w:rPr>
        <w:t>Secured Party’s interest in the Raytheon Collateral as authorized herein is subordinate to the security interest therein of Raytheon to the extent of the Progress Payments that have not been liquidated pursuant to the applicable Purchase Order unless and until Debtor has fully performed the Purchase Orders.</w:t>
      </w:r>
    </w:p>
    <w:p>
      <w:pPr>
        <w:spacing w:after="0" w:line="213" w:lineRule="exact"/>
        <w:rPr>
          <w:rFonts w:ascii="Arial" w:cs="Arial" w:eastAsia="Arial" w:hAnsi="Arial"/>
          <w:sz w:val="20"/>
          <w:szCs w:val="20"/>
          <w:color w:val="auto"/>
        </w:rPr>
      </w:pPr>
    </w:p>
    <w:p>
      <w:pPr>
        <w:jc w:val="both"/>
        <w:ind w:left="1060" w:hanging="309"/>
        <w:spacing w:after="0" w:line="259" w:lineRule="auto"/>
        <w:tabs>
          <w:tab w:leader="none" w:pos="1060" w:val="left"/>
        </w:tabs>
        <w:numPr>
          <w:ilvl w:val="1"/>
          <w:numId w:val="79"/>
        </w:numPr>
        <w:rPr>
          <w:rFonts w:ascii="Arial" w:cs="Arial" w:eastAsia="Arial" w:hAnsi="Arial"/>
          <w:sz w:val="19"/>
          <w:szCs w:val="19"/>
          <w:color w:val="auto"/>
        </w:rPr>
      </w:pPr>
      <w:r>
        <w:rPr>
          <w:rFonts w:ascii="Arial" w:cs="Arial" w:eastAsia="Arial" w:hAnsi="Arial"/>
          <w:sz w:val="19"/>
          <w:szCs w:val="19"/>
          <w:color w:val="auto"/>
        </w:rPr>
        <w:t>Raytheon will not enforce any rights against the Raytheon Collateral as long as Debtor has fully performed its obligations under the Purchase Orders. Raytheon agrees to deliver to Secured Party written notice of any default of Debtor under the Purchase Orders. Until Debtor has fully performed the Purchase Orders, but nonetheless only to the extent the Progress Payments have not been liquidated pursuant to the relevant Purchase Order, Secured Party shall segregate and, upon Raytheon’ s written demand, tum over to Raytheon for application to Debtor’s obligations under the Purchase Orders, any proceeds of the Raytheon Collateral that Secured Party may receive from time to time.</w:t>
      </w:r>
    </w:p>
    <w:p>
      <w:pPr>
        <w:spacing w:after="0" w:line="192" w:lineRule="exact"/>
        <w:rPr>
          <w:rFonts w:ascii="Arial" w:cs="Arial" w:eastAsia="Arial" w:hAnsi="Arial"/>
          <w:sz w:val="19"/>
          <w:szCs w:val="19"/>
          <w:color w:val="auto"/>
        </w:rPr>
      </w:pPr>
    </w:p>
    <w:p>
      <w:pPr>
        <w:ind w:left="1060" w:hanging="309"/>
        <w:spacing w:after="0" w:line="260" w:lineRule="auto"/>
        <w:tabs>
          <w:tab w:leader="none" w:pos="1060" w:val="left"/>
        </w:tabs>
        <w:numPr>
          <w:ilvl w:val="1"/>
          <w:numId w:val="79"/>
        </w:numPr>
        <w:rPr>
          <w:rFonts w:ascii="Arial" w:cs="Arial" w:eastAsia="Arial" w:hAnsi="Arial"/>
          <w:sz w:val="20"/>
          <w:szCs w:val="20"/>
          <w:color w:val="auto"/>
        </w:rPr>
      </w:pPr>
      <w:r>
        <w:rPr>
          <w:rFonts w:ascii="Arial" w:cs="Arial" w:eastAsia="Arial" w:hAnsi="Arial"/>
          <w:sz w:val="20"/>
          <w:szCs w:val="20"/>
          <w:color w:val="auto"/>
        </w:rPr>
        <w:t>In the event any proceeding is instituted affecting Debtor under .any bankruptcy or insolvency laws, Secured Party agrees the terms of this Agreement shall remain in effect.</w:t>
      </w:r>
    </w:p>
    <w:p>
      <w:pPr>
        <w:spacing w:after="0" w:line="203" w:lineRule="exact"/>
        <w:rPr>
          <w:rFonts w:ascii="Arial" w:cs="Arial" w:eastAsia="Arial" w:hAnsi="Arial"/>
          <w:sz w:val="20"/>
          <w:szCs w:val="20"/>
          <w:color w:val="auto"/>
        </w:rPr>
      </w:pPr>
    </w:p>
    <w:p>
      <w:pPr>
        <w:jc w:val="both"/>
        <w:ind w:left="1060" w:hanging="309"/>
        <w:spacing w:after="0" w:line="250" w:lineRule="auto"/>
        <w:tabs>
          <w:tab w:leader="none" w:pos="1060" w:val="left"/>
        </w:tabs>
        <w:numPr>
          <w:ilvl w:val="1"/>
          <w:numId w:val="79"/>
        </w:numPr>
        <w:rPr>
          <w:rFonts w:ascii="Arial" w:cs="Arial" w:eastAsia="Arial" w:hAnsi="Arial"/>
          <w:sz w:val="20"/>
          <w:szCs w:val="20"/>
          <w:color w:val="auto"/>
        </w:rPr>
      </w:pPr>
      <w:r>
        <w:rPr>
          <w:rFonts w:ascii="Arial" w:cs="Arial" w:eastAsia="Arial" w:hAnsi="Arial"/>
          <w:sz w:val="20"/>
          <w:szCs w:val="20"/>
          <w:color w:val="auto"/>
        </w:rPr>
        <w:t>Secured Party agrees Raytheon may file a financing statement (or financing statement amendment) describing the Raytheon Collateral, and Raytheon shall have the rights of a secured creditor with respect to the Raytheon Collateral under the Uniform Commercial Code.</w:t>
      </w:r>
    </w:p>
    <w:p>
      <w:pPr>
        <w:spacing w:after="0" w:line="180" w:lineRule="exact"/>
        <w:rPr>
          <w:rFonts w:ascii="Arial" w:cs="Arial" w:eastAsia="Arial" w:hAnsi="Arial"/>
          <w:sz w:val="20"/>
          <w:szCs w:val="20"/>
          <w:color w:val="auto"/>
        </w:rPr>
      </w:pPr>
    </w:p>
    <w:p>
      <w:pPr>
        <w:ind w:left="1040" w:hanging="302"/>
        <w:spacing w:after="0"/>
        <w:tabs>
          <w:tab w:leader="none" w:pos="10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follows: SunTrust Bank, 3333 Peachtree Road,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Atlanta, GA 30326, Attention:  Asset Manager - Kratos, Telecopy:</w:t>
      </w:r>
    </w:p>
    <w:p>
      <w:pPr>
        <w:ind w:left="1060"/>
        <w:spacing w:after="0"/>
        <w:rPr>
          <w:rFonts w:ascii="Arial" w:cs="Arial" w:eastAsia="Arial" w:hAnsi="Arial"/>
          <w:sz w:val="18"/>
          <w:szCs w:val="18"/>
          <w:color w:val="auto"/>
        </w:rPr>
      </w:pPr>
      <w:r>
        <w:rPr>
          <w:rFonts w:ascii="Arial" w:cs="Arial" w:eastAsia="Arial" w:hAnsi="Arial"/>
          <w:sz w:val="20"/>
          <w:szCs w:val="20"/>
          <w:color w:val="auto"/>
        </w:rPr>
        <w:t>404-926-5646The persons signing below Telecopy: 404-926-5646.</w:t>
      </w:r>
    </w:p>
    <w:p>
      <w:pPr>
        <w:spacing w:after="0" w:line="213" w:lineRule="exact"/>
        <w:rPr>
          <w:rFonts w:ascii="Arial" w:cs="Arial" w:eastAsia="Arial" w:hAnsi="Arial"/>
          <w:sz w:val="18"/>
          <w:szCs w:val="18"/>
          <w:color w:val="auto"/>
        </w:rPr>
      </w:pPr>
    </w:p>
    <w:p>
      <w:pPr>
        <w:ind w:left="1040" w:hanging="302"/>
        <w:spacing w:after="0" w:line="260" w:lineRule="auto"/>
        <w:tabs>
          <w:tab w:leader="none" w:pos="104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persons signing below have authority to bind the parties. Executed in duplicate originals by their duly authorized representatives and effective upon execution by both parties.</w:t>
      </w:r>
    </w:p>
    <w:p>
      <w:pPr>
        <w:spacing w:after="0" w:line="190" w:lineRule="exact"/>
        <w:rPr>
          <w:rFonts w:ascii="Arial" w:cs="Arial" w:eastAsia="Arial" w:hAnsi="Arial"/>
          <w:sz w:val="20"/>
          <w:szCs w:val="20"/>
          <w:color w:val="auto"/>
        </w:rPr>
      </w:pPr>
    </w:p>
    <w:p>
      <w:pPr>
        <w:jc w:val="both"/>
        <w:ind w:left="1040" w:hanging="289"/>
        <w:spacing w:after="0" w:line="237" w:lineRule="auto"/>
        <w:tabs>
          <w:tab w:leader="none" w:pos="1040" w:val="left"/>
        </w:tabs>
        <w:numPr>
          <w:ilvl w:val="1"/>
          <w:numId w:val="80"/>
        </w:numPr>
        <w:rPr>
          <w:rFonts w:ascii="Arial" w:cs="Arial" w:eastAsia="Arial" w:hAnsi="Arial"/>
          <w:sz w:val="20"/>
          <w:szCs w:val="20"/>
          <w:color w:val="auto"/>
        </w:rPr>
      </w:pPr>
      <w:r>
        <w:rPr>
          <w:rFonts w:ascii="Arial" w:cs="Arial" w:eastAsia="Arial" w:hAnsi="Arial"/>
          <w:sz w:val="20"/>
          <w:szCs w:val="20"/>
          <w:color w:val="auto"/>
        </w:rPr>
        <w:t>Raytheon acknowledges and agrees that the following purchase orders between Raytheon (or one of its Affiliates) have been satisfied in full and all liens and security interests held by Raytheon and such purchase orders are hereby terminated, released and forever discharged: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Purchase Order No.</w:t>
            </w:r>
          </w:p>
        </w:tc>
        <w:tc>
          <w:tcPr>
            <w:tcW w:w="280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Program Name</w:t>
            </w:r>
          </w:p>
        </w:tc>
        <w:tc>
          <w:tcPr>
            <w:tcW w:w="1300" w:type="dxa"/>
            <w:vAlign w:val="bottom"/>
          </w:tcPr>
          <w:p>
            <w:pPr>
              <w:spacing w:after="0"/>
              <w:rPr>
                <w:sz w:val="18"/>
                <w:szCs w:val="18"/>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Payment Type</w:t>
            </w:r>
          </w:p>
        </w:tc>
        <w:tc>
          <w:tcPr>
            <w:tcW w:w="1360" w:type="dxa"/>
            <w:vAlign w:val="bottom"/>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Business Unit</w:t>
            </w:r>
          </w:p>
        </w:tc>
      </w:tr>
      <w:tr>
        <w:trPr>
          <w:trHeight w:val="291"/>
        </w:trPr>
        <w:tc>
          <w:tcPr>
            <w:tcW w:w="1420" w:type="dxa"/>
            <w:vAlign w:val="bottom"/>
          </w:tcPr>
          <w:p>
            <w:pPr>
              <w:spacing w:after="0"/>
              <w:rPr>
                <w:sz w:val="20"/>
                <w:szCs w:val="20"/>
                <w:color w:val="auto"/>
              </w:rPr>
            </w:pPr>
            <w:r>
              <w:rPr>
                <w:rFonts w:ascii="Arial" w:cs="Arial" w:eastAsia="Arial" w:hAnsi="Arial"/>
                <w:sz w:val="18"/>
                <w:szCs w:val="18"/>
                <w:color w:val="auto"/>
              </w:rPr>
              <w:t>4400449313</w:t>
            </w:r>
          </w:p>
        </w:tc>
        <w:tc>
          <w:tcPr>
            <w:tcW w:w="280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Patriot - Taiwan</w:t>
            </w:r>
          </w:p>
        </w:tc>
        <w:tc>
          <w:tcPr>
            <w:tcW w:w="2400" w:type="dxa"/>
            <w:vAlign w:val="bottom"/>
            <w:gridSpan w:val="2"/>
          </w:tcPr>
          <w:p>
            <w:pPr>
              <w:spacing w:after="0"/>
              <w:rPr>
                <w:sz w:val="20"/>
                <w:szCs w:val="20"/>
                <w:color w:val="auto"/>
              </w:rPr>
            </w:pPr>
            <w:r>
              <w:rPr>
                <w:rFonts w:ascii="Arial" w:cs="Arial" w:eastAsia="Arial" w:hAnsi="Arial"/>
                <w:sz w:val="18"/>
                <w:szCs w:val="18"/>
                <w:color w:val="auto"/>
              </w:rPr>
              <w:t>Performance-based</w:t>
            </w:r>
          </w:p>
        </w:tc>
        <w:tc>
          <w:tcPr>
            <w:tcW w:w="1000" w:type="dxa"/>
            <w:vAlign w:val="bottom"/>
          </w:tcPr>
          <w:p>
            <w:pPr>
              <w:spacing w:after="0"/>
              <w:rPr>
                <w:sz w:val="20"/>
                <w:szCs w:val="20"/>
                <w:color w:val="auto"/>
              </w:rPr>
            </w:pPr>
            <w:r>
              <w:rPr>
                <w:rFonts w:ascii="Arial" w:cs="Arial" w:eastAsia="Arial" w:hAnsi="Arial"/>
                <w:sz w:val="18"/>
                <w:szCs w:val="18"/>
                <w:color w:val="auto"/>
              </w:rPr>
              <w:t>IDS</w:t>
            </w:r>
          </w:p>
        </w:tc>
      </w:tr>
      <w:tr>
        <w:trPr>
          <w:trHeight w:val="270"/>
        </w:trPr>
        <w:tc>
          <w:tcPr>
            <w:tcW w:w="4220" w:type="dxa"/>
            <w:vAlign w:val="bottom"/>
            <w:gridSpan w:val="2"/>
          </w:tcPr>
          <w:p>
            <w:pPr>
              <w:spacing w:after="0"/>
              <w:rPr>
                <w:sz w:val="20"/>
                <w:szCs w:val="20"/>
                <w:color w:val="auto"/>
              </w:rPr>
            </w:pPr>
            <w:r>
              <w:rPr>
                <w:rFonts w:ascii="Arial" w:cs="Arial" w:eastAsia="Arial" w:hAnsi="Arial"/>
                <w:sz w:val="18"/>
                <w:szCs w:val="18"/>
                <w:color w:val="auto"/>
              </w:rPr>
              <w:t>LARYFA4210</w:t>
            </w:r>
          </w:p>
        </w:tc>
        <w:tc>
          <w:tcPr>
            <w:tcW w:w="2400" w:type="dxa"/>
            <w:vAlign w:val="bottom"/>
            <w:gridSpan w:val="2"/>
          </w:tcPr>
          <w:p>
            <w:pPr>
              <w:spacing w:after="0"/>
              <w:rPr>
                <w:sz w:val="20"/>
                <w:szCs w:val="20"/>
                <w:color w:val="auto"/>
              </w:rPr>
            </w:pPr>
            <w:r>
              <w:rPr>
                <w:rFonts w:ascii="Arial" w:cs="Arial" w:eastAsia="Arial" w:hAnsi="Arial"/>
                <w:sz w:val="18"/>
                <w:szCs w:val="18"/>
                <w:color w:val="auto"/>
              </w:rPr>
              <w:t>Patriot - Taiwan</w:t>
            </w:r>
          </w:p>
        </w:tc>
        <w:tc>
          <w:tcPr>
            <w:tcW w:w="2400" w:type="dxa"/>
            <w:vAlign w:val="bottom"/>
            <w:gridSpan w:val="2"/>
          </w:tcPr>
          <w:p>
            <w:pPr>
              <w:spacing w:after="0"/>
              <w:rPr>
                <w:sz w:val="20"/>
                <w:szCs w:val="20"/>
                <w:color w:val="auto"/>
              </w:rPr>
            </w:pPr>
            <w:r>
              <w:rPr>
                <w:rFonts w:ascii="Arial" w:cs="Arial" w:eastAsia="Arial" w:hAnsi="Arial"/>
                <w:sz w:val="18"/>
                <w:szCs w:val="18"/>
                <w:color w:val="auto"/>
              </w:rPr>
              <w:t>Performance-based</w:t>
            </w:r>
          </w:p>
        </w:tc>
        <w:tc>
          <w:tcPr>
            <w:tcW w:w="1000" w:type="dxa"/>
            <w:vAlign w:val="bottom"/>
          </w:tcPr>
          <w:p>
            <w:pPr>
              <w:spacing w:after="0"/>
              <w:rPr>
                <w:sz w:val="20"/>
                <w:szCs w:val="20"/>
                <w:color w:val="auto"/>
              </w:rPr>
            </w:pPr>
            <w:r>
              <w:rPr>
                <w:rFonts w:ascii="Arial" w:cs="Arial" w:eastAsia="Arial" w:hAnsi="Arial"/>
                <w:sz w:val="18"/>
                <w:szCs w:val="18"/>
                <w:color w:val="auto"/>
              </w:rPr>
              <w:t>IDS</w:t>
            </w:r>
          </w:p>
        </w:tc>
      </w:tr>
    </w:tbl>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80"/>
          </w:cols>
          <w:pgMar w:left="280" w:top="429"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color w:val="auto"/>
        </w:rPr>
        <w:t>EXECUTION</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jc w:val="right"/>
              <w:ind w:right="1570"/>
              <w:spacing w:after="0"/>
              <w:rPr>
                <w:sz w:val="20"/>
                <w:szCs w:val="20"/>
                <w:color w:val="auto"/>
              </w:rPr>
            </w:pPr>
            <w:r>
              <w:rPr>
                <w:rFonts w:ascii="Arial" w:cs="Arial" w:eastAsia="Arial" w:hAnsi="Arial"/>
                <w:sz w:val="18"/>
                <w:szCs w:val="18"/>
                <w:color w:val="auto"/>
                <w:w w:val="87"/>
              </w:rPr>
              <w:t>4200570030</w:t>
            </w:r>
          </w:p>
        </w:tc>
        <w:tc>
          <w:tcPr>
            <w:tcW w:w="3640" w:type="dxa"/>
            <w:vAlign w:val="bottom"/>
          </w:tcPr>
          <w:p>
            <w:pPr>
              <w:ind w:left="1660"/>
              <w:spacing w:after="0"/>
              <w:rPr>
                <w:sz w:val="20"/>
                <w:szCs w:val="20"/>
                <w:color w:val="auto"/>
              </w:rPr>
            </w:pPr>
            <w:r>
              <w:rPr>
                <w:rFonts w:ascii="Arial" w:cs="Arial" w:eastAsia="Arial" w:hAnsi="Arial"/>
                <w:sz w:val="18"/>
                <w:szCs w:val="18"/>
                <w:color w:val="auto"/>
              </w:rPr>
              <w:t>Patriot - Kuwait</w:t>
            </w:r>
          </w:p>
        </w:tc>
        <w:tc>
          <w:tcPr>
            <w:tcW w:w="2320" w:type="dxa"/>
            <w:vAlign w:val="bottom"/>
          </w:tcPr>
          <w:p>
            <w:pPr>
              <w:ind w:left="420"/>
              <w:spacing w:after="0"/>
              <w:rPr>
                <w:sz w:val="20"/>
                <w:szCs w:val="20"/>
                <w:color w:val="auto"/>
              </w:rPr>
            </w:pPr>
            <w:r>
              <w:rPr>
                <w:rFonts w:ascii="Arial" w:cs="Arial" w:eastAsia="Arial" w:hAnsi="Arial"/>
                <w:sz w:val="18"/>
                <w:szCs w:val="18"/>
                <w:color w:val="auto"/>
              </w:rPr>
              <w:t>Performance-based</w:t>
            </w:r>
          </w:p>
        </w:tc>
        <w:tc>
          <w:tcPr>
            <w:tcW w:w="780" w:type="dxa"/>
            <w:vAlign w:val="bottom"/>
          </w:tcPr>
          <w:p>
            <w:pPr>
              <w:ind w:left="500"/>
              <w:spacing w:after="0"/>
              <w:rPr>
                <w:sz w:val="20"/>
                <w:szCs w:val="20"/>
                <w:color w:val="auto"/>
              </w:rPr>
            </w:pPr>
            <w:r>
              <w:rPr>
                <w:rFonts w:ascii="Arial" w:cs="Arial" w:eastAsia="Arial" w:hAnsi="Arial"/>
                <w:sz w:val="18"/>
                <w:szCs w:val="18"/>
                <w:color w:val="auto"/>
                <w:w w:val="86"/>
              </w:rPr>
              <w:t>IDS</w:t>
            </w:r>
          </w:p>
        </w:tc>
      </w:tr>
      <w:tr>
        <w:trPr>
          <w:trHeight w:val="270"/>
        </w:trPr>
        <w:tc>
          <w:tcPr>
            <w:tcW w:w="2560" w:type="dxa"/>
            <w:vAlign w:val="bottom"/>
          </w:tcPr>
          <w:p>
            <w:pPr>
              <w:jc w:val="right"/>
              <w:ind w:right="1570"/>
              <w:spacing w:after="0"/>
              <w:rPr>
                <w:sz w:val="20"/>
                <w:szCs w:val="20"/>
                <w:color w:val="auto"/>
              </w:rPr>
            </w:pPr>
            <w:r>
              <w:rPr>
                <w:rFonts w:ascii="Arial" w:cs="Arial" w:eastAsia="Arial" w:hAnsi="Arial"/>
                <w:sz w:val="18"/>
                <w:szCs w:val="18"/>
                <w:color w:val="auto"/>
                <w:w w:val="87"/>
              </w:rPr>
              <w:t>4200616362</w:t>
            </w:r>
          </w:p>
        </w:tc>
        <w:tc>
          <w:tcPr>
            <w:tcW w:w="3640" w:type="dxa"/>
            <w:vAlign w:val="bottom"/>
          </w:tcPr>
          <w:p>
            <w:pPr>
              <w:ind w:left="1660"/>
              <w:spacing w:after="0"/>
              <w:rPr>
                <w:sz w:val="20"/>
                <w:szCs w:val="20"/>
                <w:color w:val="auto"/>
              </w:rPr>
            </w:pPr>
            <w:r>
              <w:rPr>
                <w:rFonts w:ascii="Arial" w:cs="Arial" w:eastAsia="Arial" w:hAnsi="Arial"/>
                <w:sz w:val="18"/>
                <w:szCs w:val="18"/>
                <w:color w:val="auto"/>
              </w:rPr>
              <w:t>TPY-2/EEU Option</w:t>
            </w:r>
          </w:p>
        </w:tc>
        <w:tc>
          <w:tcPr>
            <w:tcW w:w="2320" w:type="dxa"/>
            <w:vAlign w:val="bottom"/>
          </w:tcPr>
          <w:p>
            <w:pPr>
              <w:ind w:left="420"/>
              <w:spacing w:after="0"/>
              <w:rPr>
                <w:sz w:val="20"/>
                <w:szCs w:val="20"/>
                <w:color w:val="auto"/>
              </w:rPr>
            </w:pPr>
            <w:r>
              <w:rPr>
                <w:rFonts w:ascii="Arial" w:cs="Arial" w:eastAsia="Arial" w:hAnsi="Arial"/>
                <w:sz w:val="18"/>
                <w:szCs w:val="18"/>
                <w:color w:val="auto"/>
              </w:rPr>
              <w:t>Performance-based</w:t>
            </w:r>
          </w:p>
        </w:tc>
        <w:tc>
          <w:tcPr>
            <w:tcW w:w="780" w:type="dxa"/>
            <w:vAlign w:val="bottom"/>
          </w:tcPr>
          <w:p>
            <w:pPr>
              <w:ind w:left="500"/>
              <w:spacing w:after="0"/>
              <w:rPr>
                <w:sz w:val="20"/>
                <w:szCs w:val="20"/>
                <w:color w:val="auto"/>
              </w:rPr>
            </w:pPr>
            <w:r>
              <w:rPr>
                <w:rFonts w:ascii="Arial" w:cs="Arial" w:eastAsia="Arial" w:hAnsi="Arial"/>
                <w:sz w:val="18"/>
                <w:szCs w:val="18"/>
                <w:color w:val="auto"/>
                <w:w w:val="86"/>
              </w:rPr>
              <w:t>IDS</w:t>
            </w:r>
          </w:p>
        </w:tc>
      </w:tr>
      <w:tr>
        <w:trPr>
          <w:trHeight w:val="270"/>
        </w:trPr>
        <w:tc>
          <w:tcPr>
            <w:tcW w:w="2560" w:type="dxa"/>
            <w:vAlign w:val="bottom"/>
          </w:tcPr>
          <w:p>
            <w:pPr>
              <w:jc w:val="right"/>
              <w:ind w:right="1570"/>
              <w:spacing w:after="0"/>
              <w:rPr>
                <w:sz w:val="20"/>
                <w:szCs w:val="20"/>
                <w:color w:val="auto"/>
              </w:rPr>
            </w:pPr>
            <w:r>
              <w:rPr>
                <w:rFonts w:ascii="Arial" w:cs="Arial" w:eastAsia="Arial" w:hAnsi="Arial"/>
                <w:sz w:val="18"/>
                <w:szCs w:val="18"/>
                <w:color w:val="auto"/>
                <w:w w:val="87"/>
              </w:rPr>
              <w:t>4200616401</w:t>
            </w:r>
          </w:p>
        </w:tc>
        <w:tc>
          <w:tcPr>
            <w:tcW w:w="3640" w:type="dxa"/>
            <w:vAlign w:val="bottom"/>
          </w:tcPr>
          <w:p>
            <w:pPr>
              <w:ind w:left="1660"/>
              <w:spacing w:after="0"/>
              <w:rPr>
                <w:sz w:val="20"/>
                <w:szCs w:val="20"/>
                <w:color w:val="auto"/>
              </w:rPr>
            </w:pPr>
            <w:r>
              <w:rPr>
                <w:rFonts w:ascii="Arial" w:cs="Arial" w:eastAsia="Arial" w:hAnsi="Arial"/>
                <w:sz w:val="18"/>
                <w:szCs w:val="18"/>
                <w:color w:val="auto"/>
              </w:rPr>
              <w:t>TPY-2/EEU Radar 11</w:t>
            </w:r>
          </w:p>
        </w:tc>
        <w:tc>
          <w:tcPr>
            <w:tcW w:w="2320" w:type="dxa"/>
            <w:vAlign w:val="bottom"/>
          </w:tcPr>
          <w:p>
            <w:pPr>
              <w:ind w:left="420"/>
              <w:spacing w:after="0"/>
              <w:rPr>
                <w:sz w:val="20"/>
                <w:szCs w:val="20"/>
                <w:color w:val="auto"/>
              </w:rPr>
            </w:pPr>
            <w:r>
              <w:rPr>
                <w:rFonts w:ascii="Arial" w:cs="Arial" w:eastAsia="Arial" w:hAnsi="Arial"/>
                <w:sz w:val="18"/>
                <w:szCs w:val="18"/>
                <w:color w:val="auto"/>
              </w:rPr>
              <w:t>Performance-based</w:t>
            </w:r>
          </w:p>
        </w:tc>
        <w:tc>
          <w:tcPr>
            <w:tcW w:w="780" w:type="dxa"/>
            <w:vAlign w:val="bottom"/>
          </w:tcPr>
          <w:p>
            <w:pPr>
              <w:ind w:left="500"/>
              <w:spacing w:after="0"/>
              <w:rPr>
                <w:sz w:val="20"/>
                <w:szCs w:val="20"/>
                <w:color w:val="auto"/>
              </w:rPr>
            </w:pPr>
            <w:r>
              <w:rPr>
                <w:rFonts w:ascii="Arial" w:cs="Arial" w:eastAsia="Arial" w:hAnsi="Arial"/>
                <w:sz w:val="18"/>
                <w:szCs w:val="18"/>
                <w:color w:val="auto"/>
                <w:w w:val="86"/>
              </w:rPr>
              <w:t>IDS</w:t>
            </w:r>
          </w:p>
        </w:tc>
      </w:tr>
    </w:tbl>
    <w:p>
      <w:pPr>
        <w:spacing w:after="0" w:line="334" w:lineRule="exact"/>
        <w:rPr>
          <w:sz w:val="20"/>
          <w:szCs w:val="20"/>
          <w:color w:val="auto"/>
        </w:rPr>
      </w:pPr>
    </w:p>
    <w:p>
      <w:pPr>
        <w:ind w:left="1100" w:hanging="296"/>
        <w:spacing w:after="0" w:line="260" w:lineRule="auto"/>
        <w:rPr>
          <w:sz w:val="20"/>
          <w:szCs w:val="20"/>
          <w:color w:val="auto"/>
        </w:rPr>
      </w:pPr>
      <w:r>
        <w:rPr>
          <w:rFonts w:ascii="Arial" w:cs="Arial" w:eastAsia="Arial" w:hAnsi="Arial"/>
          <w:sz w:val="20"/>
          <w:szCs w:val="20"/>
          <w:color w:val="auto"/>
        </w:rPr>
        <w:t>I. Each of the parties hereto agree that this Agreement is given in amendment, restatement, renewal and extension (but not in novation or cancellation) of the Existing Subordination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380"/>
          </w:cols>
          <w:pgMar w:left="280" w:top="402" w:right="239" w:bottom="1440" w:gutter="0" w:footer="0" w:header="0"/>
        </w:sectPr>
      </w:pPr>
    </w:p>
    <w:bookmarkStart w:id="139" w:name="page140"/>
    <w:bookmarkEnd w:id="139"/>
    <w:p>
      <w:pPr>
        <w:ind w:left="4200"/>
        <w:spacing w:after="0"/>
        <w:rPr>
          <w:sz w:val="20"/>
          <w:szCs w:val="20"/>
          <w:color w:val="auto"/>
        </w:rPr>
      </w:pPr>
      <w:r>
        <w:rPr>
          <w:rFonts w:ascii="Arial" w:cs="Arial" w:eastAsia="Arial" w:hAnsi="Arial"/>
          <w:sz w:val="22"/>
          <w:szCs w:val="22"/>
          <w:color w:val="auto"/>
        </w:rPr>
        <w:t>EXECUTION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5"/>
          </w:tcPr>
          <w:p>
            <w:pPr>
              <w:ind w:left="240"/>
              <w:spacing w:after="0"/>
              <w:rPr>
                <w:sz w:val="20"/>
                <w:szCs w:val="20"/>
                <w:color w:val="auto"/>
              </w:rPr>
            </w:pPr>
            <w:r>
              <w:rPr>
                <w:rFonts w:ascii="Arial" w:cs="Arial" w:eastAsia="Arial" w:hAnsi="Arial"/>
                <w:sz w:val="20"/>
                <w:szCs w:val="20"/>
                <w:b w:val="1"/>
                <w:bCs w:val="1"/>
                <w:color w:val="auto"/>
              </w:rPr>
              <w:t>SunTrust Bank, as</w:t>
            </w:r>
          </w:p>
        </w:tc>
      </w:tr>
      <w:tr>
        <w:trPr>
          <w:trHeight w:val="256"/>
        </w:trPr>
        <w:tc>
          <w:tcPr>
            <w:tcW w:w="3160" w:type="dxa"/>
            <w:vAlign w:val="bottom"/>
            <w:gridSpan w:val="11"/>
          </w:tcPr>
          <w:p>
            <w:pPr>
              <w:spacing w:after="0"/>
              <w:rPr>
                <w:sz w:val="20"/>
                <w:szCs w:val="20"/>
                <w:color w:val="auto"/>
              </w:rPr>
            </w:pPr>
            <w:r>
              <w:rPr>
                <w:rFonts w:ascii="Arial" w:cs="Arial" w:eastAsia="Arial" w:hAnsi="Arial"/>
                <w:sz w:val="20"/>
                <w:szCs w:val="20"/>
                <w:b w:val="1"/>
                <w:bCs w:val="1"/>
                <w:color w:val="auto"/>
                <w:w w:val="96"/>
              </w:rPr>
              <w:t>Raytheon Company (as successor</w:t>
            </w:r>
          </w:p>
        </w:tc>
        <w:tc>
          <w:tcPr>
            <w:tcW w:w="2020" w:type="dxa"/>
            <w:vAlign w:val="bottom"/>
            <w:gridSpan w:val="5"/>
          </w:tcPr>
          <w:p>
            <w:pPr>
              <w:ind w:left="240"/>
              <w:spacing w:after="0"/>
              <w:rPr>
                <w:sz w:val="20"/>
                <w:szCs w:val="20"/>
                <w:color w:val="auto"/>
              </w:rPr>
            </w:pPr>
            <w:r>
              <w:rPr>
                <w:rFonts w:ascii="Arial" w:cs="Arial" w:eastAsia="Arial" w:hAnsi="Arial"/>
                <w:sz w:val="20"/>
                <w:szCs w:val="20"/>
                <w:b w:val="1"/>
                <w:bCs w:val="1"/>
                <w:color w:val="auto"/>
              </w:rPr>
              <w:t>Agent</w:t>
            </w:r>
          </w:p>
        </w:tc>
      </w:tr>
      <w:tr>
        <w:trPr>
          <w:trHeight w:val="257"/>
        </w:trPr>
        <w:tc>
          <w:tcPr>
            <w:tcW w:w="3160" w:type="dxa"/>
            <w:vAlign w:val="bottom"/>
            <w:gridSpan w:val="11"/>
          </w:tcPr>
          <w:p>
            <w:pPr>
              <w:spacing w:after="0"/>
              <w:rPr>
                <w:sz w:val="20"/>
                <w:szCs w:val="20"/>
                <w:color w:val="auto"/>
              </w:rPr>
            </w:pPr>
            <w:r>
              <w:rPr>
                <w:rFonts w:ascii="Arial" w:cs="Arial" w:eastAsia="Arial" w:hAnsi="Arial"/>
                <w:sz w:val="20"/>
                <w:szCs w:val="20"/>
                <w:b w:val="1"/>
                <w:bCs w:val="1"/>
                <w:color w:val="auto"/>
              </w:rPr>
              <w:t>in interest to Raytheon Defense</w:t>
            </w: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6"/>
        </w:trPr>
        <w:tc>
          <w:tcPr>
            <w:tcW w:w="3160" w:type="dxa"/>
            <w:vAlign w:val="bottom"/>
            <w:gridSpan w:val="11"/>
          </w:tcPr>
          <w:p>
            <w:pPr>
              <w:spacing w:after="0"/>
              <w:rPr>
                <w:sz w:val="20"/>
                <w:szCs w:val="20"/>
                <w:color w:val="auto"/>
              </w:rPr>
            </w:pPr>
            <w:r>
              <w:rPr>
                <w:rFonts w:ascii="Arial" w:cs="Arial" w:eastAsia="Arial" w:hAnsi="Arial"/>
                <w:sz w:val="20"/>
                <w:szCs w:val="20"/>
                <w:b w:val="1"/>
                <w:bCs w:val="1"/>
                <w:color w:val="auto"/>
              </w:rPr>
              <w:t>Systems</w:t>
            </w: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84"/>
        </w:trPr>
        <w:tc>
          <w:tcPr>
            <w:tcW w:w="3160" w:type="dxa"/>
            <w:vAlign w:val="bottom"/>
            <w:gridSpan w:val="11"/>
          </w:tcPr>
          <w:p>
            <w:pPr>
              <w:spacing w:after="0"/>
              <w:rPr>
                <w:sz w:val="20"/>
                <w:szCs w:val="20"/>
                <w:color w:val="auto"/>
              </w:rPr>
            </w:pPr>
            <w:r>
              <w:rPr>
                <w:rFonts w:ascii="Arial" w:cs="Arial" w:eastAsia="Arial" w:hAnsi="Arial"/>
                <w:sz w:val="20"/>
                <w:szCs w:val="20"/>
                <w:b w:val="1"/>
                <w:bCs w:val="1"/>
                <w:color w:val="auto"/>
              </w:rPr>
              <w:t>Company)</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63"/>
        </w:trPr>
        <w:tc>
          <w:tcPr>
            <w:tcW w:w="3160" w:type="dxa"/>
            <w:vAlign w:val="bottom"/>
            <w:gridSpan w:val="11"/>
          </w:tcPr>
          <w:p>
            <w:pPr>
              <w:spacing w:after="0"/>
              <w:rPr>
                <w:sz w:val="20"/>
                <w:szCs w:val="20"/>
                <w:color w:val="auto"/>
              </w:rPr>
            </w:pPr>
            <w:r>
              <w:rPr>
                <w:rFonts w:ascii="Arial" w:cs="Arial" w:eastAsia="Arial" w:hAnsi="Arial"/>
                <w:sz w:val="20"/>
                <w:szCs w:val="20"/>
                <w:color w:val="auto"/>
              </w:rPr>
              <w:t>By: /s/ Janet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40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160" w:type="dxa"/>
            <w:vAlign w:val="bottom"/>
            <w:gridSpan w:val="11"/>
          </w:tcPr>
          <w:p>
            <w:pPr>
              <w:spacing w:after="0" w:line="209" w:lineRule="exact"/>
              <w:rPr>
                <w:sz w:val="20"/>
                <w:szCs w:val="20"/>
                <w:color w:val="auto"/>
              </w:rPr>
            </w:pPr>
            <w:r>
              <w:rPr>
                <w:rFonts w:ascii="Arial" w:cs="Arial" w:eastAsia="Arial" w:hAnsi="Arial"/>
                <w:sz w:val="20"/>
                <w:szCs w:val="20"/>
                <w:color w:val="auto"/>
              </w:rPr>
              <w:t>Groebe</w:t>
            </w:r>
          </w:p>
        </w:tc>
        <w:tc>
          <w:tcPr>
            <w:tcW w:w="2020" w:type="dxa"/>
            <w:vAlign w:val="bottom"/>
            <w:gridSpan w:val="5"/>
          </w:tcPr>
          <w:p>
            <w:pPr>
              <w:ind w:left="240"/>
              <w:spacing w:after="0" w:line="209" w:lineRule="exact"/>
              <w:rPr>
                <w:sz w:val="20"/>
                <w:szCs w:val="20"/>
                <w:color w:val="auto"/>
              </w:rPr>
            </w:pPr>
            <w:r>
              <w:rPr>
                <w:rFonts w:ascii="Arial" w:cs="Arial" w:eastAsia="Arial" w:hAnsi="Arial"/>
                <w:sz w:val="20"/>
                <w:szCs w:val="20"/>
                <w:color w:val="auto"/>
                <w:w w:val="93"/>
              </w:rPr>
              <w:t>By: /s/ Brian O’Fallon</w:t>
            </w:r>
          </w:p>
        </w:tc>
      </w:tr>
      <w:tr>
        <w:trPr>
          <w:trHeight w:val="20"/>
        </w:trPr>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588"/>
        </w:trPr>
        <w:tc>
          <w:tcPr>
            <w:tcW w:w="3160" w:type="dxa"/>
            <w:vAlign w:val="bottom"/>
            <w:gridSpan w:val="11"/>
          </w:tcPr>
          <w:p>
            <w:pPr>
              <w:spacing w:after="0"/>
              <w:rPr>
                <w:sz w:val="20"/>
                <w:szCs w:val="20"/>
                <w:color w:val="auto"/>
              </w:rPr>
            </w:pPr>
            <w:r>
              <w:rPr>
                <w:rFonts w:ascii="Arial" w:cs="Arial" w:eastAsia="Arial" w:hAnsi="Arial"/>
                <w:sz w:val="20"/>
                <w:szCs w:val="20"/>
                <w:color w:val="auto"/>
                <w:w w:val="97"/>
              </w:rPr>
              <w:t>Title: SR. Director, Procurement and</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160" w:type="dxa"/>
            <w:vAlign w:val="bottom"/>
            <w:gridSpan w:val="11"/>
          </w:tcPr>
          <w:p>
            <w:pPr>
              <w:spacing w:after="0" w:line="209" w:lineRule="exact"/>
              <w:rPr>
                <w:sz w:val="20"/>
                <w:szCs w:val="20"/>
                <w:color w:val="auto"/>
              </w:rPr>
            </w:pPr>
            <w:r>
              <w:rPr>
                <w:rFonts w:ascii="Arial" w:cs="Arial" w:eastAsia="Arial" w:hAnsi="Arial"/>
                <w:sz w:val="20"/>
                <w:szCs w:val="20"/>
                <w:color w:val="auto"/>
              </w:rPr>
              <w:t>Subcontracts</w:t>
            </w:r>
          </w:p>
        </w:tc>
        <w:tc>
          <w:tcPr>
            <w:tcW w:w="2020" w:type="dxa"/>
            <w:vAlign w:val="bottom"/>
            <w:gridSpan w:val="5"/>
          </w:tcPr>
          <w:p>
            <w:pPr>
              <w:ind w:left="240"/>
              <w:spacing w:after="0" w:line="209" w:lineRule="exact"/>
              <w:rPr>
                <w:sz w:val="20"/>
                <w:szCs w:val="20"/>
                <w:color w:val="auto"/>
              </w:rPr>
            </w:pPr>
            <w:r>
              <w:rPr>
                <w:rFonts w:ascii="Arial" w:cs="Arial" w:eastAsia="Arial" w:hAnsi="Arial"/>
                <w:sz w:val="20"/>
                <w:szCs w:val="20"/>
                <w:color w:val="auto"/>
              </w:rPr>
              <w:t>Title: Director</w:t>
            </w:r>
          </w:p>
        </w:tc>
      </w:tr>
      <w:tr>
        <w:trPr>
          <w:trHeight w:val="20"/>
        </w:trPr>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88"/>
        </w:trPr>
        <w:tc>
          <w:tcPr>
            <w:tcW w:w="3160" w:type="dxa"/>
            <w:vAlign w:val="bottom"/>
            <w:gridSpan w:val="11"/>
          </w:tcPr>
          <w:p>
            <w:pPr>
              <w:spacing w:after="0"/>
              <w:rPr>
                <w:sz w:val="20"/>
                <w:szCs w:val="20"/>
                <w:color w:val="auto"/>
              </w:rPr>
            </w:pPr>
            <w:r>
              <w:rPr>
                <w:rFonts w:ascii="Arial" w:cs="Arial" w:eastAsia="Arial" w:hAnsi="Arial"/>
                <w:sz w:val="20"/>
                <w:szCs w:val="20"/>
                <w:color w:val="auto"/>
              </w:rPr>
              <w:t>Date: July 21,</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400" w:type="dxa"/>
            <w:vAlign w:val="bottom"/>
          </w:tcPr>
          <w:p>
            <w:pPr>
              <w:spacing w:after="0" w:line="209" w:lineRule="exact"/>
              <w:rPr>
                <w:sz w:val="20"/>
                <w:szCs w:val="20"/>
                <w:color w:val="auto"/>
              </w:rPr>
            </w:pPr>
            <w:r>
              <w:rPr>
                <w:rFonts w:ascii="Arial" w:cs="Arial" w:eastAsia="Arial" w:hAnsi="Arial"/>
                <w:sz w:val="20"/>
                <w:szCs w:val="20"/>
                <w:color w:val="auto"/>
                <w:w w:val="80"/>
              </w:rPr>
              <w:t>2016</w:t>
            </w: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5"/>
          </w:tcPr>
          <w:p>
            <w:pPr>
              <w:ind w:left="240"/>
              <w:spacing w:after="0" w:line="209" w:lineRule="exact"/>
              <w:rPr>
                <w:sz w:val="20"/>
                <w:szCs w:val="20"/>
                <w:color w:val="auto"/>
              </w:rPr>
            </w:pPr>
            <w:r>
              <w:rPr>
                <w:rFonts w:ascii="Arial" w:cs="Arial" w:eastAsia="Arial" w:hAnsi="Arial"/>
                <w:sz w:val="20"/>
                <w:szCs w:val="20"/>
                <w:color w:val="auto"/>
              </w:rPr>
              <w:t>Date: July 19, 2016</w:t>
            </w:r>
          </w:p>
        </w:tc>
      </w:tr>
      <w:tr>
        <w:trPr>
          <w:trHeight w:val="20"/>
        </w:trPr>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58"/>
        </w:trPr>
        <w:tc>
          <w:tcPr>
            <w:tcW w:w="3160" w:type="dxa"/>
            <w:vAlign w:val="bottom"/>
            <w:gridSpan w:val="11"/>
          </w:tcPr>
          <w:p>
            <w:pPr>
              <w:spacing w:after="0"/>
              <w:rPr>
                <w:sz w:val="20"/>
                <w:szCs w:val="20"/>
                <w:color w:val="auto"/>
              </w:rPr>
            </w:pPr>
            <w:r>
              <w:rPr>
                <w:rFonts w:ascii="Arial" w:cs="Arial" w:eastAsia="Arial" w:hAnsi="Arial"/>
                <w:sz w:val="20"/>
                <w:szCs w:val="20"/>
                <w:color w:val="auto"/>
              </w:rPr>
              <w:t>Reviewed and Approved by:</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05"/>
        </w:trPr>
        <w:tc>
          <w:tcPr>
            <w:tcW w:w="3160" w:type="dxa"/>
            <w:vAlign w:val="bottom"/>
            <w:gridSpan w:val="11"/>
          </w:tcPr>
          <w:p>
            <w:pPr>
              <w:spacing w:after="0"/>
              <w:rPr>
                <w:sz w:val="20"/>
                <w:szCs w:val="20"/>
                <w:color w:val="auto"/>
              </w:rPr>
            </w:pPr>
            <w:r>
              <w:rPr>
                <w:rFonts w:ascii="Arial" w:cs="Arial" w:eastAsia="Arial" w:hAnsi="Arial"/>
                <w:sz w:val="20"/>
                <w:szCs w:val="20"/>
                <w:b w:val="1"/>
                <w:bCs w:val="1"/>
                <w:color w:val="auto"/>
              </w:rPr>
              <w:t>Gichner Systems Group Inc.</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833"/>
        </w:trPr>
        <w:tc>
          <w:tcPr>
            <w:tcW w:w="3160" w:type="dxa"/>
            <w:vAlign w:val="bottom"/>
            <w:gridSpan w:val="11"/>
          </w:tcPr>
          <w:p>
            <w:pPr>
              <w:spacing w:after="0"/>
              <w:rPr>
                <w:sz w:val="20"/>
                <w:szCs w:val="20"/>
                <w:color w:val="auto"/>
              </w:rPr>
            </w:pPr>
            <w:r>
              <w:rPr>
                <w:rFonts w:ascii="Arial" w:cs="Arial" w:eastAsia="Arial" w:hAnsi="Arial"/>
                <w:sz w:val="20"/>
                <w:szCs w:val="20"/>
                <w:color w:val="auto"/>
              </w:rPr>
              <w:t>By: /s/ Marie Mendoza</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400" w:type="dxa"/>
            <w:vAlign w:val="bottom"/>
            <w:tcBorders>
              <w:right w:val="single" w:sz="8" w:color="auto"/>
            </w:tcBorders>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88"/>
        </w:trPr>
        <w:tc>
          <w:tcPr>
            <w:tcW w:w="3160" w:type="dxa"/>
            <w:vAlign w:val="bottom"/>
            <w:gridSpan w:val="11"/>
          </w:tcPr>
          <w:p>
            <w:pPr>
              <w:spacing w:after="0"/>
              <w:rPr>
                <w:sz w:val="20"/>
                <w:szCs w:val="20"/>
                <w:color w:val="auto"/>
              </w:rPr>
            </w:pPr>
            <w:r>
              <w:rPr>
                <w:rFonts w:ascii="Arial" w:cs="Arial" w:eastAsia="Arial" w:hAnsi="Arial"/>
                <w:sz w:val="20"/>
                <w:szCs w:val="20"/>
                <w:color w:val="auto"/>
              </w:rPr>
              <w:t>Title: Secretary</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580" w:type="dxa"/>
            <w:vAlign w:val="bottom"/>
            <w:tcBorders>
              <w:right w:val="single" w:sz="8" w:color="auto"/>
            </w:tcBorders>
            <w:gridSpan w:val="2"/>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588"/>
        </w:trPr>
        <w:tc>
          <w:tcPr>
            <w:tcW w:w="3160" w:type="dxa"/>
            <w:vAlign w:val="bottom"/>
            <w:gridSpan w:val="11"/>
          </w:tcPr>
          <w:p>
            <w:pPr>
              <w:spacing w:after="0"/>
              <w:rPr>
                <w:sz w:val="20"/>
                <w:szCs w:val="20"/>
                <w:color w:val="auto"/>
              </w:rPr>
            </w:pPr>
            <w:r>
              <w:rPr>
                <w:rFonts w:ascii="Arial" w:cs="Arial" w:eastAsia="Arial" w:hAnsi="Arial"/>
                <w:sz w:val="20"/>
                <w:szCs w:val="20"/>
                <w:color w:val="auto"/>
              </w:rPr>
              <w:t>Date: July 20, 2016</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179"/>
          </w:cols>
          <w:pgMar w:left="280" w:top="402" w:right="1440"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color w:val="auto"/>
        </w:rPr>
        <w:t>EXECUTION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ATTACHMENT “A”</w:t>
      </w:r>
    </w:p>
    <w:p>
      <w:pPr>
        <w:spacing w:after="0" w:line="200" w:lineRule="exact"/>
        <w:rPr>
          <w:sz w:val="20"/>
          <w:szCs w:val="20"/>
          <w:color w:val="auto"/>
        </w:rPr>
      </w:pPr>
    </w:p>
    <w:p>
      <w:pPr>
        <w:spacing w:after="0" w:line="218" w:lineRule="exact"/>
        <w:rPr>
          <w:sz w:val="20"/>
          <w:szCs w:val="20"/>
          <w:color w:val="auto"/>
        </w:rPr>
      </w:pPr>
    </w:p>
    <w:p>
      <w:pPr>
        <w:jc w:val="both"/>
        <w:ind w:firstLine="608"/>
        <w:spacing w:after="0" w:line="303" w:lineRule="auto"/>
        <w:rPr>
          <w:sz w:val="20"/>
          <w:szCs w:val="20"/>
          <w:color w:val="auto"/>
        </w:rPr>
      </w:pPr>
      <w:r>
        <w:rPr>
          <w:rFonts w:ascii="Arial" w:cs="Arial" w:eastAsia="Arial" w:hAnsi="Arial"/>
          <w:sz w:val="16"/>
          <w:szCs w:val="16"/>
          <w:color w:val="auto"/>
        </w:rPr>
        <w:t>Secured Party acknowledges that Debtor is granting Raytheon a first priority security interest in all goods purchased with Progress Payments made by Raytheon pursuant to the Purchase Orders listed below, including but not limited to raw materials, inventory, work-in-process, parts, components, assemblies, and subassemblies for the deliverables, and completed or partially completed deliverables, to secure up to the aggregate amount of the Progress Payments actually received by Debtor from Raytheon that have not been liquidated pursuant to the applicable Purchase Order, Debtor’s obligation to purchase goods and perform labor on such goods as required by such Purchase Orders.</w:t>
      </w:r>
    </w:p>
    <w:p>
      <w:pPr>
        <w:spacing w:after="0" w:line="200" w:lineRule="exact"/>
        <w:rPr>
          <w:sz w:val="20"/>
          <w:szCs w:val="20"/>
          <w:color w:val="auto"/>
        </w:rPr>
      </w:pPr>
    </w:p>
    <w:p>
      <w:pPr>
        <w:spacing w:after="0" w:line="35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680" w:type="dxa"/>
            <w:vAlign w:val="bottom"/>
            <w:gridSpan w:val="2"/>
          </w:tcPr>
          <w:p>
            <w:pPr>
              <w:spacing w:after="0"/>
              <w:rPr>
                <w:sz w:val="20"/>
                <w:szCs w:val="20"/>
                <w:color w:val="auto"/>
              </w:rPr>
            </w:pPr>
            <w:r>
              <w:rPr>
                <w:rFonts w:ascii="Arial" w:cs="Arial" w:eastAsia="Arial" w:hAnsi="Arial"/>
                <w:sz w:val="20"/>
                <w:szCs w:val="20"/>
                <w:color w:val="auto"/>
              </w:rPr>
              <w:t>Purchase Order No.</w:t>
            </w:r>
          </w:p>
        </w:tc>
        <w:tc>
          <w:tcPr>
            <w:tcW w:w="4020" w:type="dxa"/>
            <w:vAlign w:val="bottom"/>
            <w:gridSpan w:val="2"/>
          </w:tcPr>
          <w:p>
            <w:pPr>
              <w:spacing w:after="0"/>
              <w:rPr>
                <w:sz w:val="20"/>
                <w:szCs w:val="20"/>
                <w:color w:val="auto"/>
              </w:rPr>
            </w:pPr>
            <w:r>
              <w:rPr>
                <w:rFonts w:ascii="Arial" w:cs="Arial" w:eastAsia="Arial" w:hAnsi="Arial"/>
                <w:sz w:val="20"/>
                <w:szCs w:val="20"/>
                <w:color w:val="auto"/>
              </w:rPr>
              <w:t>Program Name</w:t>
            </w:r>
          </w:p>
        </w:tc>
        <w:tc>
          <w:tcPr>
            <w:tcW w:w="2220" w:type="dxa"/>
            <w:vAlign w:val="bottom"/>
            <w:gridSpan w:val="2"/>
          </w:tcPr>
          <w:p>
            <w:pPr>
              <w:spacing w:after="0"/>
              <w:rPr>
                <w:sz w:val="20"/>
                <w:szCs w:val="20"/>
                <w:color w:val="auto"/>
              </w:rPr>
            </w:pPr>
            <w:r>
              <w:rPr>
                <w:rFonts w:ascii="Arial" w:cs="Arial" w:eastAsia="Arial" w:hAnsi="Arial"/>
                <w:sz w:val="20"/>
                <w:szCs w:val="20"/>
                <w:color w:val="auto"/>
              </w:rPr>
              <w:t>Payment Type</w:t>
            </w:r>
          </w:p>
        </w:tc>
        <w:tc>
          <w:tcPr>
            <w:tcW w:w="1100" w:type="dxa"/>
            <w:vAlign w:val="bottom"/>
          </w:tcPr>
          <w:p>
            <w:pPr>
              <w:spacing w:after="0"/>
              <w:rPr>
                <w:sz w:val="20"/>
                <w:szCs w:val="20"/>
                <w:color w:val="auto"/>
              </w:rPr>
            </w:pPr>
            <w:r>
              <w:rPr>
                <w:rFonts w:ascii="Arial" w:cs="Arial" w:eastAsia="Arial" w:hAnsi="Arial"/>
                <w:sz w:val="20"/>
                <w:szCs w:val="20"/>
                <w:color w:val="auto"/>
                <w:w w:val="88"/>
              </w:rPr>
              <w:t>Business Unit</w:t>
            </w:r>
          </w:p>
        </w:tc>
      </w:tr>
      <w:tr>
        <w:trPr>
          <w:trHeight w:val="308"/>
        </w:trPr>
        <w:tc>
          <w:tcPr>
            <w:tcW w:w="15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4200762386</w:t>
            </w:r>
          </w:p>
        </w:tc>
        <w:tc>
          <w:tcPr>
            <w:tcW w:w="1120" w:type="dxa"/>
            <w:vAlign w:val="bottom"/>
          </w:tcPr>
          <w:p>
            <w:pPr>
              <w:spacing w:after="0"/>
              <w:rPr>
                <w:sz w:val="24"/>
                <w:szCs w:val="24"/>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94"/>
              </w:rPr>
              <w:t>Zumwalt EME</w:t>
            </w:r>
          </w:p>
        </w:tc>
        <w:tc>
          <w:tcPr>
            <w:tcW w:w="2820" w:type="dxa"/>
            <w:vAlign w:val="bottom"/>
          </w:tcPr>
          <w:p>
            <w:pPr>
              <w:spacing w:after="0"/>
              <w:rPr>
                <w:sz w:val="24"/>
                <w:szCs w:val="2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Progress</w:t>
            </w:r>
          </w:p>
        </w:tc>
        <w:tc>
          <w:tcPr>
            <w:tcW w:w="1080" w:type="dxa"/>
            <w:vAlign w:val="bottom"/>
          </w:tcPr>
          <w:p>
            <w:pPr>
              <w:spacing w:after="0"/>
              <w:rPr>
                <w:sz w:val="24"/>
                <w:szCs w:val="24"/>
                <w:color w:val="auto"/>
              </w:rPr>
            </w:pPr>
          </w:p>
        </w:tc>
        <w:tc>
          <w:tcPr>
            <w:tcW w:w="11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IDS</w:t>
            </w:r>
          </w:p>
        </w:tc>
      </w:tr>
      <w:tr>
        <w:trPr>
          <w:trHeight w:val="284"/>
        </w:trPr>
        <w:tc>
          <w:tcPr>
            <w:tcW w:w="1560" w:type="dxa"/>
            <w:vAlign w:val="bottom"/>
          </w:tcPr>
          <w:p>
            <w:pPr>
              <w:spacing w:after="0"/>
              <w:rPr>
                <w:sz w:val="20"/>
                <w:szCs w:val="20"/>
                <w:color w:val="auto"/>
              </w:rPr>
            </w:pPr>
            <w:r>
              <w:rPr>
                <w:rFonts w:ascii="Arial" w:cs="Arial" w:eastAsia="Arial" w:hAnsi="Arial"/>
                <w:sz w:val="20"/>
                <w:szCs w:val="20"/>
                <w:color w:val="auto"/>
              </w:rPr>
              <w:t>4200889192</w:t>
            </w:r>
          </w:p>
        </w:tc>
        <w:tc>
          <w:tcPr>
            <w:tcW w:w="112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20"/>
                <w:szCs w:val="20"/>
                <w:color w:val="auto"/>
              </w:rPr>
              <w:t>Patriot - Saudi (SNAP)</w:t>
            </w:r>
          </w:p>
        </w:tc>
        <w:tc>
          <w:tcPr>
            <w:tcW w:w="2220" w:type="dxa"/>
            <w:vAlign w:val="bottom"/>
            <w:gridSpan w:val="2"/>
          </w:tcPr>
          <w:p>
            <w:pPr>
              <w:spacing w:after="0"/>
              <w:rPr>
                <w:sz w:val="20"/>
                <w:szCs w:val="20"/>
                <w:color w:val="auto"/>
              </w:rPr>
            </w:pPr>
            <w:r>
              <w:rPr>
                <w:rFonts w:ascii="Arial" w:cs="Arial" w:eastAsia="Arial" w:hAnsi="Arial"/>
                <w:sz w:val="20"/>
                <w:szCs w:val="20"/>
                <w:color w:val="auto"/>
              </w:rPr>
              <w:t>Progress</w:t>
            </w:r>
          </w:p>
        </w:tc>
        <w:tc>
          <w:tcPr>
            <w:tcW w:w="1100" w:type="dxa"/>
            <w:vAlign w:val="bottom"/>
          </w:tcPr>
          <w:p>
            <w:pPr>
              <w:spacing w:after="0"/>
              <w:rPr>
                <w:sz w:val="20"/>
                <w:szCs w:val="20"/>
                <w:color w:val="auto"/>
              </w:rPr>
            </w:pPr>
            <w:r>
              <w:rPr>
                <w:rFonts w:ascii="Arial" w:cs="Arial" w:eastAsia="Arial" w:hAnsi="Arial"/>
                <w:sz w:val="20"/>
                <w:szCs w:val="20"/>
                <w:color w:val="auto"/>
              </w:rPr>
              <w:t>IDS</w:t>
            </w:r>
          </w:p>
        </w:tc>
      </w:tr>
      <w:tr>
        <w:trPr>
          <w:trHeight w:val="284"/>
        </w:trPr>
        <w:tc>
          <w:tcPr>
            <w:tcW w:w="1560" w:type="dxa"/>
            <w:vAlign w:val="bottom"/>
          </w:tcPr>
          <w:p>
            <w:pPr>
              <w:spacing w:after="0"/>
              <w:rPr>
                <w:sz w:val="20"/>
                <w:szCs w:val="20"/>
                <w:color w:val="auto"/>
              </w:rPr>
            </w:pPr>
            <w:r>
              <w:rPr>
                <w:rFonts w:ascii="Arial" w:cs="Arial" w:eastAsia="Arial" w:hAnsi="Arial"/>
                <w:sz w:val="20"/>
                <w:szCs w:val="20"/>
                <w:color w:val="auto"/>
              </w:rPr>
              <w:t>4200854810</w:t>
            </w:r>
          </w:p>
        </w:tc>
        <w:tc>
          <w:tcPr>
            <w:tcW w:w="112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20"/>
                <w:szCs w:val="20"/>
                <w:color w:val="auto"/>
              </w:rPr>
              <w:t>Patriot - Qatar</w:t>
            </w:r>
          </w:p>
        </w:tc>
        <w:tc>
          <w:tcPr>
            <w:tcW w:w="2220" w:type="dxa"/>
            <w:vAlign w:val="bottom"/>
            <w:gridSpan w:val="2"/>
          </w:tcPr>
          <w:p>
            <w:pPr>
              <w:spacing w:after="0"/>
              <w:rPr>
                <w:sz w:val="20"/>
                <w:szCs w:val="20"/>
                <w:color w:val="auto"/>
              </w:rPr>
            </w:pPr>
            <w:r>
              <w:rPr>
                <w:rFonts w:ascii="Arial" w:cs="Arial" w:eastAsia="Arial" w:hAnsi="Arial"/>
                <w:sz w:val="20"/>
                <w:szCs w:val="20"/>
                <w:color w:val="auto"/>
              </w:rPr>
              <w:t>Progress</w:t>
            </w:r>
          </w:p>
        </w:tc>
        <w:tc>
          <w:tcPr>
            <w:tcW w:w="1100" w:type="dxa"/>
            <w:vAlign w:val="bottom"/>
          </w:tcPr>
          <w:p>
            <w:pPr>
              <w:spacing w:after="0"/>
              <w:rPr>
                <w:sz w:val="20"/>
                <w:szCs w:val="20"/>
                <w:color w:val="auto"/>
              </w:rPr>
            </w:pPr>
            <w:r>
              <w:rPr>
                <w:rFonts w:ascii="Arial" w:cs="Arial" w:eastAsia="Arial" w:hAnsi="Arial"/>
                <w:sz w:val="20"/>
                <w:szCs w:val="20"/>
                <w:color w:val="auto"/>
              </w:rPr>
              <w:t>IDS</w:t>
            </w:r>
          </w:p>
        </w:tc>
      </w:tr>
      <w:tr>
        <w:trPr>
          <w:trHeight w:val="284"/>
        </w:trPr>
        <w:tc>
          <w:tcPr>
            <w:tcW w:w="1560" w:type="dxa"/>
            <w:vAlign w:val="bottom"/>
          </w:tcPr>
          <w:p>
            <w:pPr>
              <w:spacing w:after="0"/>
              <w:rPr>
                <w:sz w:val="20"/>
                <w:szCs w:val="20"/>
                <w:color w:val="auto"/>
              </w:rPr>
            </w:pPr>
            <w:r>
              <w:rPr>
                <w:rFonts w:ascii="Arial" w:cs="Arial" w:eastAsia="Arial" w:hAnsi="Arial"/>
                <w:sz w:val="20"/>
                <w:szCs w:val="20"/>
                <w:color w:val="auto"/>
              </w:rPr>
              <w:t>4200616362-001</w:t>
            </w:r>
          </w:p>
        </w:tc>
        <w:tc>
          <w:tcPr>
            <w:tcW w:w="112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20"/>
                <w:szCs w:val="20"/>
                <w:color w:val="auto"/>
              </w:rPr>
              <w:t>TPY-2/EEU Float 2 (FY 2014 Float)</w:t>
            </w:r>
          </w:p>
        </w:tc>
        <w:tc>
          <w:tcPr>
            <w:tcW w:w="2220" w:type="dxa"/>
            <w:vAlign w:val="bottom"/>
            <w:gridSpan w:val="2"/>
          </w:tcPr>
          <w:p>
            <w:pPr>
              <w:spacing w:after="0"/>
              <w:rPr>
                <w:sz w:val="20"/>
                <w:szCs w:val="20"/>
                <w:color w:val="auto"/>
              </w:rPr>
            </w:pPr>
            <w:r>
              <w:rPr>
                <w:rFonts w:ascii="Arial" w:cs="Arial" w:eastAsia="Arial" w:hAnsi="Arial"/>
                <w:sz w:val="20"/>
                <w:szCs w:val="20"/>
                <w:color w:val="auto"/>
              </w:rPr>
              <w:t>Performance-based</w:t>
            </w:r>
          </w:p>
        </w:tc>
        <w:tc>
          <w:tcPr>
            <w:tcW w:w="1100" w:type="dxa"/>
            <w:vAlign w:val="bottom"/>
          </w:tcPr>
          <w:p>
            <w:pPr>
              <w:spacing w:after="0"/>
              <w:rPr>
                <w:sz w:val="20"/>
                <w:szCs w:val="20"/>
                <w:color w:val="auto"/>
              </w:rPr>
            </w:pPr>
            <w:r>
              <w:rPr>
                <w:rFonts w:ascii="Arial" w:cs="Arial" w:eastAsia="Arial" w:hAnsi="Arial"/>
                <w:sz w:val="20"/>
                <w:szCs w:val="20"/>
                <w:color w:val="auto"/>
              </w:rPr>
              <w:t>IDS</w:t>
            </w:r>
          </w:p>
        </w:tc>
      </w:tr>
      <w:tr>
        <w:trPr>
          <w:trHeight w:val="284"/>
        </w:trPr>
        <w:tc>
          <w:tcPr>
            <w:tcW w:w="1560" w:type="dxa"/>
            <w:vAlign w:val="bottom"/>
          </w:tcPr>
          <w:p>
            <w:pPr>
              <w:spacing w:after="0"/>
              <w:rPr>
                <w:sz w:val="20"/>
                <w:szCs w:val="20"/>
                <w:color w:val="auto"/>
              </w:rPr>
            </w:pPr>
            <w:r>
              <w:rPr>
                <w:rFonts w:ascii="Arial" w:cs="Arial" w:eastAsia="Arial" w:hAnsi="Arial"/>
                <w:sz w:val="20"/>
                <w:szCs w:val="20"/>
                <w:color w:val="auto"/>
              </w:rPr>
              <w:t>4201259789</w:t>
            </w:r>
          </w:p>
        </w:tc>
        <w:tc>
          <w:tcPr>
            <w:tcW w:w="112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20"/>
                <w:szCs w:val="20"/>
                <w:color w:val="auto"/>
              </w:rPr>
              <w:t>Patriot</w:t>
            </w:r>
          </w:p>
        </w:tc>
        <w:tc>
          <w:tcPr>
            <w:tcW w:w="2220" w:type="dxa"/>
            <w:vAlign w:val="bottom"/>
            <w:gridSpan w:val="2"/>
          </w:tcPr>
          <w:p>
            <w:pPr>
              <w:spacing w:after="0"/>
              <w:rPr>
                <w:sz w:val="20"/>
                <w:szCs w:val="20"/>
                <w:color w:val="auto"/>
              </w:rPr>
            </w:pPr>
            <w:r>
              <w:rPr>
                <w:rFonts w:ascii="Arial" w:cs="Arial" w:eastAsia="Arial" w:hAnsi="Arial"/>
                <w:sz w:val="20"/>
                <w:szCs w:val="20"/>
                <w:color w:val="auto"/>
              </w:rPr>
              <w:t>Progress</w:t>
            </w:r>
          </w:p>
        </w:tc>
        <w:tc>
          <w:tcPr>
            <w:tcW w:w="1100" w:type="dxa"/>
            <w:vAlign w:val="bottom"/>
          </w:tcPr>
          <w:p>
            <w:pPr>
              <w:spacing w:after="0"/>
              <w:rPr>
                <w:sz w:val="20"/>
                <w:szCs w:val="20"/>
                <w:color w:val="auto"/>
              </w:rPr>
            </w:pPr>
            <w:r>
              <w:rPr>
                <w:rFonts w:ascii="Arial" w:cs="Arial" w:eastAsia="Arial" w:hAnsi="Arial"/>
                <w:sz w:val="20"/>
                <w:szCs w:val="20"/>
                <w:color w:val="auto"/>
              </w:rPr>
              <w:t>IDS</w:t>
            </w:r>
          </w:p>
        </w:tc>
      </w:tr>
      <w:tr>
        <w:trPr>
          <w:trHeight w:val="284"/>
        </w:trPr>
        <w:tc>
          <w:tcPr>
            <w:tcW w:w="1560" w:type="dxa"/>
            <w:vAlign w:val="bottom"/>
          </w:tcPr>
          <w:p>
            <w:pPr>
              <w:spacing w:after="0"/>
              <w:rPr>
                <w:sz w:val="20"/>
                <w:szCs w:val="20"/>
                <w:color w:val="auto"/>
              </w:rPr>
            </w:pPr>
            <w:r>
              <w:rPr>
                <w:rFonts w:ascii="Arial" w:cs="Arial" w:eastAsia="Arial" w:hAnsi="Arial"/>
                <w:sz w:val="20"/>
                <w:szCs w:val="20"/>
                <w:color w:val="auto"/>
              </w:rPr>
              <w:t>4201293084</w:t>
            </w:r>
          </w:p>
        </w:tc>
        <w:tc>
          <w:tcPr>
            <w:tcW w:w="112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20"/>
                <w:szCs w:val="20"/>
                <w:color w:val="auto"/>
              </w:rPr>
              <w:t>Jaguar</w:t>
            </w:r>
          </w:p>
        </w:tc>
        <w:tc>
          <w:tcPr>
            <w:tcW w:w="2220" w:type="dxa"/>
            <w:vAlign w:val="bottom"/>
            <w:gridSpan w:val="2"/>
          </w:tcPr>
          <w:p>
            <w:pPr>
              <w:spacing w:after="0"/>
              <w:rPr>
                <w:sz w:val="20"/>
                <w:szCs w:val="20"/>
                <w:color w:val="auto"/>
              </w:rPr>
            </w:pPr>
            <w:r>
              <w:rPr>
                <w:rFonts w:ascii="Arial" w:cs="Arial" w:eastAsia="Arial" w:hAnsi="Arial"/>
                <w:sz w:val="20"/>
                <w:szCs w:val="20"/>
                <w:color w:val="auto"/>
              </w:rPr>
              <w:t>Milestone</w:t>
            </w:r>
          </w:p>
        </w:tc>
        <w:tc>
          <w:tcPr>
            <w:tcW w:w="1100" w:type="dxa"/>
            <w:vAlign w:val="bottom"/>
          </w:tcPr>
          <w:p>
            <w:pPr>
              <w:spacing w:after="0"/>
              <w:rPr>
                <w:sz w:val="20"/>
                <w:szCs w:val="20"/>
                <w:color w:val="auto"/>
              </w:rPr>
            </w:pPr>
            <w:r>
              <w:rPr>
                <w:rFonts w:ascii="Arial" w:cs="Arial" w:eastAsia="Arial" w:hAnsi="Arial"/>
                <w:sz w:val="20"/>
                <w:szCs w:val="20"/>
                <w:color w:val="auto"/>
              </w:rPr>
              <w:t>SAS</w:t>
            </w:r>
          </w:p>
        </w:tc>
      </w:tr>
      <w:tr>
        <w:trPr>
          <w:trHeight w:val="284"/>
        </w:trPr>
        <w:tc>
          <w:tcPr>
            <w:tcW w:w="1560" w:type="dxa"/>
            <w:vAlign w:val="bottom"/>
          </w:tcPr>
          <w:p>
            <w:pPr>
              <w:spacing w:after="0"/>
              <w:rPr>
                <w:sz w:val="20"/>
                <w:szCs w:val="20"/>
                <w:color w:val="auto"/>
              </w:rPr>
            </w:pPr>
            <w:r>
              <w:rPr>
                <w:rFonts w:ascii="Arial" w:cs="Arial" w:eastAsia="Arial" w:hAnsi="Arial"/>
                <w:sz w:val="20"/>
                <w:szCs w:val="20"/>
                <w:color w:val="auto"/>
              </w:rPr>
              <w:t>4201319806</w:t>
            </w:r>
          </w:p>
        </w:tc>
        <w:tc>
          <w:tcPr>
            <w:tcW w:w="112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Arial" w:cs="Arial" w:eastAsia="Arial" w:hAnsi="Arial"/>
                <w:sz w:val="20"/>
                <w:szCs w:val="20"/>
                <w:color w:val="auto"/>
              </w:rPr>
              <w:t>SIC FT</w:t>
            </w:r>
          </w:p>
        </w:tc>
        <w:tc>
          <w:tcPr>
            <w:tcW w:w="2220" w:type="dxa"/>
            <w:vAlign w:val="bottom"/>
            <w:gridSpan w:val="2"/>
          </w:tcPr>
          <w:p>
            <w:pPr>
              <w:spacing w:after="0"/>
              <w:rPr>
                <w:sz w:val="20"/>
                <w:szCs w:val="20"/>
                <w:color w:val="auto"/>
              </w:rPr>
            </w:pPr>
            <w:r>
              <w:rPr>
                <w:rFonts w:ascii="Arial" w:cs="Arial" w:eastAsia="Arial" w:hAnsi="Arial"/>
                <w:sz w:val="20"/>
                <w:szCs w:val="20"/>
                <w:color w:val="auto"/>
              </w:rPr>
              <w:t>Progress</w:t>
            </w:r>
          </w:p>
        </w:tc>
        <w:tc>
          <w:tcPr>
            <w:tcW w:w="1100" w:type="dxa"/>
            <w:vAlign w:val="bottom"/>
          </w:tcPr>
          <w:p>
            <w:pPr>
              <w:spacing w:after="0"/>
              <w:rPr>
                <w:sz w:val="20"/>
                <w:szCs w:val="20"/>
                <w:color w:val="auto"/>
              </w:rPr>
            </w:pPr>
            <w:r>
              <w:rPr>
                <w:rFonts w:ascii="Arial" w:cs="Arial" w:eastAsia="Arial" w:hAnsi="Arial"/>
                <w:sz w:val="20"/>
                <w:szCs w:val="20"/>
                <w:color w:val="auto"/>
              </w:rPr>
              <w:t>IDS</w:t>
            </w:r>
          </w:p>
        </w:tc>
      </w:tr>
      <w:tr>
        <w:trPr>
          <w:trHeight w:val="797"/>
        </w:trPr>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20" w:type="dxa"/>
            <w:vAlign w:val="bottom"/>
            <w:gridSpan w:val="2"/>
          </w:tcPr>
          <w:p>
            <w:pPr>
              <w:ind w:left="2760"/>
              <w:spacing w:after="0"/>
              <w:rPr>
                <w:sz w:val="20"/>
                <w:szCs w:val="20"/>
                <w:color w:val="auto"/>
              </w:rPr>
            </w:pPr>
            <w:r>
              <w:rPr>
                <w:rFonts w:ascii="Arial" w:cs="Arial" w:eastAsia="Arial" w:hAnsi="Arial"/>
                <w:sz w:val="20"/>
                <w:szCs w:val="20"/>
                <w:color w:val="auto"/>
              </w:rPr>
              <w:t>5</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300"/>
          </w:cols>
          <w:pgMar w:left="360" w:top="402"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5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Ai Metrix, Inc.</w:t>
            </w: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Airorlite Communications,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Jersey</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Avtec Systems,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BSC Partners, LLC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Charleston Marine Containers,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Kratos Unmanned Aerial Systems,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Systems and Solutions,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Dallastown Realty I, LLC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Dallastown Realty II, LLC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Defense Systems, Incorporated</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DEI Services Corporation</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DFI Realty, LLC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Digital Fusion Solutions,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Digital Fusion,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Diversified Security Solutions,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DTI Associates,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Virginia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General Microwave Israel (1987) Ltd.</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Israel</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General Microwave Israel Corporation</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General Microwave Corporation</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York</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Gichner Europe Limited</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Gichner Systems Group,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Gichner Systems International,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Haverstick Consulting,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Indiana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Haverstick Government Solutions,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Ohio</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Henry Bros. Electronics,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Henry Bros. Electronics,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Jersey</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Henry Bros. Electronics, LLC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Arizona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GMI Eyal Ltd.</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Israel</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HGS Holdings,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Indiana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Holdings UK Ltd.</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Communications Ltd.</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Integral Systems Europe S.A.S.</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France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JMA Associates,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KPSS Government Solutions,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Defense (Australia) Pty Limited</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Defense &amp; Rocket Support Services,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Integral Holdings, LLC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Maryland</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Integral Systems International,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00"/>
          </w:cols>
          <w:pgMar w:left="460" w:top="135" w:right="239" w:bottom="1440" w:gutter="0" w:footer="0" w:header="0"/>
        </w:sectPr>
      </w:pPr>
    </w:p>
    <w:bookmarkStart w:id="142" w:name="page143"/>
    <w:bookmarkEnd w:id="1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5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Communications, Inc.</w:t>
            </w:r>
          </w:p>
        </w:tc>
        <w:tc>
          <w:tcPr>
            <w:tcW w:w="55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Norway AS</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Norway</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Public Safety &amp; Security Solutions,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Saudi Arabia, Ltd.</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Saudi Arabia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Southeast,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Georgia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Southwest L.P.</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Technology &amp; Training Solutions,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Texas,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Texas</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Unmanned Systems Solutions,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Kratos Space &amp; Missile Defense Systems,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Carlsbad ISI,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Maryland</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LVDM,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Nevada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Madison Research Corporation</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Alabama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Micro Systems,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Florida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MSI Acquisition Corp.</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National Safe of California,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Polexis,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Reality Based IT Services Ltd.</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Maryland</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RealTime Logic,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Colorado</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Rocket Support Services, LLC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Indiana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SAT Corporation</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Satguard AS</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Norway</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SCT Acquisition, LLC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SCT Real Estate, LLC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SecureInfo Corporation</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Shadow I,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Shadow II, Inc.</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California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Summit Research Corporation</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Alabama</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r>
        <w:trPr>
          <w:trHeight w:val="254"/>
        </w:trPr>
        <w:tc>
          <w:tcPr>
            <w:tcW w:w="5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WFI NMC Corp.</w:t>
            </w:r>
          </w:p>
        </w:tc>
        <w:tc>
          <w:tcPr>
            <w:tcW w:w="55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55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20"/>
          </w:cols>
          <w:pgMar w:left="460" w:top="498" w:right="4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747678"/>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4"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We consent to the incorporation by reference in Registration Statement Nos. 333-53014, 333-71618, 333-74108, and 333-198266 on Form S-3, Registration Statement Nos. 333-150165, 333-155604, 333-167840, 333-174745, 333-174760, 333-177493, and 333-198265 on Form S-4, and Registration Statement Nos. 333-54818, 333-71702, 333-90455, 333-91852, 333-116903, 333-124957, 333-127060, 333-155317, 333-157826, 333-167839, 333-171257, 333-173383, 333-177494, 333-179977, 333-182910, 333-191156, 333-198268, 333-206620 and 333-219595 on Form S-8 of our report dated February 28, 2018, relating to the consolidated financial statements of Kratos Defense &amp; Security Solutions, Inc. (the “Company”), and the effectiveness of the Company's internal control over financial reporting, appearing in this Annual Report on Form 10-K of the Company for the fiscal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12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8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28, 2018</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82"/>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28, 2018</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1">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420"/>
          </w:cols>
          <w:pgMar w:left="240" w:top="58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In connection with the accompanying Annual Report of Kratos Defense &amp; Security Solutions, Inc. (the “Company”) on Form 10-K for the year ended December 31, 2017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28, 2018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2">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80" w:firstLine="648"/>
        <w:spacing w:after="0" w:line="261" w:lineRule="auto"/>
        <w:rPr>
          <w:sz w:val="20"/>
          <w:szCs w:val="20"/>
          <w:color w:val="auto"/>
        </w:rPr>
      </w:pPr>
      <w:r>
        <w:rPr>
          <w:rFonts w:ascii="Arial" w:cs="Arial" w:eastAsia="Arial" w:hAnsi="Arial"/>
          <w:sz w:val="16"/>
          <w:szCs w:val="16"/>
          <w:color w:val="auto"/>
        </w:rPr>
        <w:t>In connection with the accompanying Annual Report of Kratos Defense &amp; Security Solutions, Inc. (the “Company”) on Form 10-K for the year ended December 31, 2017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28, 2018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1)"/>
      <w:numFmt w:val="lowerLetter"/>
      <w:start w:val="8"/>
    </w:lvl>
  </w:abstractNum>
  <w:abstractNum w:abstractNumId="21">
    <w:nsid w:val="70C6A529"/>
    <w:multiLevelType w:val="hybridMultilevel"/>
    <w:lvl w:ilvl="0">
      <w:lvlJc w:val="left"/>
      <w:lvlText w:val="(%1)"/>
      <w:numFmt w:val="lowerLetter"/>
      <w:start w:val="2"/>
    </w:lvl>
  </w:abstractNum>
  <w:abstractNum w:abstractNumId="22">
    <w:nsid w:val="520EEDD1"/>
    <w:multiLevelType w:val="hybridMultilevel"/>
    <w:lvl w:ilvl="0">
      <w:lvlJc w:val="left"/>
      <w:lvlText w:val="(%1)"/>
      <w:numFmt w:val="decimal"/>
      <w:start w:val="1"/>
    </w:lvl>
  </w:abstractNum>
  <w:abstractNum w:abstractNumId="23">
    <w:nsid w:val="374A3FE6"/>
    <w:multiLevelType w:val="hybridMultilevel"/>
    <w:lvl w:ilvl="0">
      <w:lvlJc w:val="left"/>
      <w:lvlText w:val="(%1)"/>
      <w:numFmt w:val="decimal"/>
      <w:start w:val="1"/>
    </w:lvl>
  </w:abstractNum>
  <w:abstractNum w:abstractNumId="24">
    <w:nsid w:val="4F4EF005"/>
    <w:multiLevelType w:val="hybridMultilevel"/>
    <w:lvl w:ilvl="0">
      <w:lvlJc w:val="left"/>
      <w:lvlText w:val="(%1)"/>
      <w:numFmt w:val="decimal"/>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1"/>
      <w:numFmt w:val="decimal"/>
      <w:start w:val="10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1)"/>
      <w:numFmt w:val="lowerLetter"/>
      <w:start w:val="3"/>
    </w:lvl>
  </w:abstractNum>
  <w:abstractNum w:abstractNumId="32">
    <w:nsid w:val="47398C89"/>
    <w:multiLevelType w:val="hybridMultilevel"/>
    <w:lvl w:ilvl="0">
      <w:lvlJc w:val="left"/>
      <w:lvlText w:val="(%1)"/>
      <w:numFmt w:val="lowerLetter"/>
      <w:start w:val="1"/>
    </w:lvl>
  </w:abstractNum>
  <w:abstractNum w:abstractNumId="33">
    <w:nsid w:val="354FE9F9"/>
    <w:multiLevelType w:val="hybridMultilevel"/>
    <w:lvl w:ilvl="0">
      <w:lvlJc w:val="left"/>
      <w:lvlText w:val="(%1)"/>
      <w:numFmt w:val="lowerLetter"/>
      <w:start w:val="2"/>
    </w:lvl>
  </w:abstractNum>
  <w:abstractNum w:abstractNumId="34">
    <w:nsid w:val="15B5AF5C"/>
    <w:multiLevelType w:val="hybridMultilevel"/>
    <w:lvl w:ilvl="0">
      <w:lvlJc w:val="left"/>
      <w:lvlText w:val="(%1)"/>
      <w:numFmt w:val="lowerLetter"/>
      <w:start w:val="4"/>
    </w:lvl>
  </w:abstractNum>
  <w:abstractNum w:abstractNumId="35">
    <w:nsid w:val="741226BB"/>
    <w:multiLevelType w:val="hybridMultilevel"/>
    <w:lvl w:ilvl="0">
      <w:lvlJc w:val="left"/>
      <w:lvlText w:val="(%1)"/>
      <w:numFmt w:val="lowerLetter"/>
      <w:start w:val="5"/>
    </w:lvl>
  </w:abstractNum>
  <w:abstractNum w:abstractNumId="36">
    <w:nsid w:val="D34B6A8"/>
    <w:multiLevelType w:val="hybridMultilevel"/>
    <w:lvl w:ilvl="0">
      <w:lvlJc w:val="left"/>
      <w:lvlText w:val="(%1)"/>
      <w:numFmt w:val="decimal"/>
      <w:start w:val="2"/>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lowerLetter"/>
      <w:start w:val="6"/>
    </w:lvl>
  </w:abstractNum>
  <w:abstractNum w:abstractNumId="39">
    <w:nsid w:val="61574095"/>
    <w:multiLevelType w:val="hybridMultilevel"/>
    <w:lvl w:ilvl="0">
      <w:lvlJc w:val="left"/>
      <w:lvlText w:val="(%1)"/>
      <w:numFmt w:val="lowerLetter"/>
      <w:start w:val="8"/>
    </w:lvl>
  </w:abstractNum>
  <w:abstractNum w:abstractNumId="40">
    <w:nsid w:val="7E0C57B1"/>
    <w:multiLevelType w:val="hybridMultilevel"/>
    <w:lvl w:ilvl="0">
      <w:lvlJc w:val="left"/>
      <w:lvlText w:val="(%1)"/>
      <w:numFmt w:val="lowerRoman"/>
      <w:start w:val="1"/>
    </w:lvl>
  </w:abstractNum>
  <w:abstractNum w:abstractNumId="41">
    <w:nsid w:val="77AE35EB"/>
    <w:multiLevelType w:val="hybridMultilevel"/>
    <w:lvl w:ilvl="0">
      <w:lvlJc w:val="left"/>
      <w:lvlText w:val="(%1)"/>
      <w:numFmt w:val="lowerLetter"/>
      <w:start w:val="11"/>
    </w:lvl>
  </w:abstractNum>
  <w:abstractNum w:abstractNumId="42">
    <w:nsid w:val="579BE4F1"/>
    <w:multiLevelType w:val="hybridMultilevel"/>
    <w:lvl w:ilvl="0">
      <w:lvlJc w:val="left"/>
      <w:lvlText w:val="(%1)"/>
      <w:numFmt w:val="lowerLetter"/>
      <w:start w:val="12"/>
    </w:lvl>
  </w:abstractNum>
  <w:abstractNum w:abstractNumId="43">
    <w:nsid w:val="310C50B3"/>
    <w:multiLevelType w:val="hybridMultilevel"/>
    <w:lvl w:ilvl="0">
      <w:lvlJc w:val="left"/>
      <w:lvlText w:val="(%1)"/>
      <w:numFmt w:val="lowerLetter"/>
      <w:start w:val="13"/>
    </w:lvl>
  </w:abstractNum>
  <w:abstractNum w:abstractNumId="44">
    <w:nsid w:val="5FF87E05"/>
    <w:multiLevelType w:val="hybridMultilevel"/>
    <w:lvl w:ilvl="0">
      <w:lvlJc w:val="left"/>
      <w:lvlText w:val="(%1)"/>
      <w:numFmt w:val="lowerLetter"/>
      <w:start w:val="14"/>
    </w:lvl>
  </w:abstractNum>
  <w:abstractNum w:abstractNumId="45">
    <w:nsid w:val="2F305DEF"/>
    <w:multiLevelType w:val="hybridMultilevel"/>
    <w:lvl w:ilvl="0">
      <w:lvlJc w:val="left"/>
      <w:lvlText w:val="(%1)"/>
      <w:numFmt w:val="lowerLetter"/>
      <w:start w:val="16"/>
    </w:lvl>
  </w:abstractNum>
  <w:abstractNum w:abstractNumId="46">
    <w:nsid w:val="25A70BF7"/>
    <w:multiLevelType w:val="hybridMultilevel"/>
    <w:lvl w:ilvl="0">
      <w:lvlJc w:val="left"/>
      <w:lvlText w:val="(%1)"/>
      <w:numFmt w:val="lowerLetter"/>
      <w:start w:val="17"/>
    </w:lvl>
  </w:abstractNum>
  <w:abstractNum w:abstractNumId="47">
    <w:nsid w:val="1DBABF00"/>
    <w:multiLevelType w:val="hybridMultilevel"/>
    <w:lvl w:ilvl="0">
      <w:lvlJc w:val="left"/>
      <w:lvlText w:val="(%1)"/>
      <w:numFmt w:val="lowerLetter"/>
      <w:start w:val="19"/>
    </w:lvl>
  </w:abstractNum>
  <w:abstractNum w:abstractNumId="48">
    <w:nsid w:val="4AD084E9"/>
    <w:multiLevelType w:val="hybridMultilevel"/>
    <w:lvl w:ilvl="0">
      <w:lvlJc w:val="left"/>
      <w:lvlText w:val="%1."/>
      <w:numFmt w:val="decimal"/>
      <w:start w:val="9"/>
    </w:lvl>
  </w:abstractNum>
  <w:abstractNum w:abstractNumId="49">
    <w:nsid w:val="1F48EAA1"/>
    <w:multiLevelType w:val="hybridMultilevel"/>
    <w:lvl w:ilvl="0">
      <w:lvlJc w:val="left"/>
      <w:lvlText w:val="(%1)"/>
      <w:numFmt w:val="lowerLetter"/>
      <w:start w:val="1"/>
    </w:lvl>
  </w:abstractNum>
  <w:abstractNum w:abstractNumId="50">
    <w:nsid w:val="1381823A"/>
    <w:multiLevelType w:val="hybridMultilevel"/>
    <w:lvl w:ilvl="0">
      <w:lvlJc w:val="left"/>
      <w:lvlText w:val="(%1)"/>
      <w:numFmt w:val="lowerLetter"/>
      <w:start w:val="2"/>
    </w:lvl>
  </w:abstractNum>
  <w:abstractNum w:abstractNumId="51">
    <w:nsid w:val="5DB70AE5"/>
    <w:multiLevelType w:val="hybridMultilevel"/>
    <w:lvl w:ilvl="0">
      <w:lvlJc w:val="left"/>
      <w:lvlText w:val="(%1)"/>
      <w:numFmt w:val="lowerLetter"/>
      <w:start w:val="3"/>
    </w:lvl>
  </w:abstractNum>
  <w:abstractNum w:abstractNumId="52">
    <w:nsid w:val="100F8FCA"/>
    <w:multiLevelType w:val="hybridMultilevel"/>
    <w:lvl w:ilvl="0">
      <w:lvlJc w:val="left"/>
      <w:lvlText w:val="(%1)"/>
      <w:numFmt w:val="lowerLetter"/>
      <w:start w:val="10"/>
    </w:lvl>
  </w:abstractNum>
  <w:abstractNum w:abstractNumId="53">
    <w:nsid w:val="6590700B"/>
    <w:multiLevelType w:val="hybridMultilevel"/>
    <w:lvl w:ilvl="0">
      <w:lvlJc w:val="left"/>
      <w:lvlText w:val="(%1)"/>
      <w:numFmt w:val="lowerLetter"/>
      <w:start w:val="2"/>
    </w:lvl>
  </w:abstractNum>
  <w:abstractNum w:abstractNumId="54">
    <w:nsid w:val="15014ACB"/>
    <w:multiLevelType w:val="hybridMultilevel"/>
    <w:lvl w:ilvl="0">
      <w:lvlJc w:val="left"/>
      <w:lvlText w:val="(%1)"/>
      <w:numFmt w:val="lowerRoman"/>
      <w:start w:val="3"/>
    </w:lvl>
  </w:abstractNum>
  <w:abstractNum w:abstractNumId="55">
    <w:nsid w:val="5F5E7FD0"/>
    <w:multiLevelType w:val="hybridMultilevel"/>
    <w:lvl w:ilvl="0">
      <w:lvlJc w:val="left"/>
      <w:lvlText w:val="(%1)"/>
      <w:numFmt w:val="decimal"/>
      <w:start w:val="1"/>
    </w:lvl>
  </w:abstractNum>
  <w:abstractNum w:abstractNumId="56">
    <w:nsid w:val="98A3148"/>
    <w:multiLevelType w:val="hybridMultilevel"/>
    <w:lvl w:ilvl="0">
      <w:lvlJc w:val="left"/>
      <w:lvlText w:val="(%1)"/>
      <w:numFmt w:val="lowerLetter"/>
      <w:start w:val="3"/>
    </w:lvl>
  </w:abstractNum>
  <w:abstractNum w:abstractNumId="57">
    <w:nsid w:val="799D0247"/>
    <w:multiLevelType w:val="hybridMultilevel"/>
    <w:lvl w:ilvl="0">
      <w:lvlJc w:val="left"/>
      <w:lvlText w:val="(%1)"/>
      <w:numFmt w:val="decimal"/>
      <w:start w:val="3"/>
    </w:lvl>
  </w:abstractNum>
  <w:abstractNum w:abstractNumId="58">
    <w:nsid w:val="6B94764"/>
    <w:multiLevelType w:val="hybridMultilevel"/>
    <w:lvl w:ilvl="0">
      <w:lvlJc w:val="left"/>
      <w:lvlText w:val="%1."/>
      <w:numFmt w:val="decimal"/>
      <w:start w:val="1"/>
    </w:lvl>
  </w:abstractNum>
  <w:abstractNum w:abstractNumId="59">
    <w:nsid w:val="42C296BD"/>
    <w:multiLevelType w:val="hybridMultilevel"/>
    <w:lvl w:ilvl="0">
      <w:lvlJc w:val="left"/>
      <w:lvlText w:val="%1."/>
      <w:numFmt w:val="decimal"/>
      <w:start w:val="4"/>
    </w:lvl>
  </w:abstractNum>
  <w:abstractNum w:abstractNumId="60">
    <w:nsid w:val="168E121F"/>
    <w:multiLevelType w:val="hybridMultilevel"/>
    <w:lvl w:ilvl="0">
      <w:lvlJc w:val="left"/>
      <w:lvlText w:val="%1."/>
      <w:numFmt w:val="decimal"/>
      <w:start w:val="5"/>
    </w:lvl>
  </w:abstractNum>
  <w:abstractNum w:abstractNumId="61">
    <w:nsid w:val="1EBA5D23"/>
    <w:multiLevelType w:val="hybridMultilevel"/>
    <w:lvl w:ilvl="0">
      <w:lvlJc w:val="left"/>
      <w:lvlText w:val="%1."/>
      <w:numFmt w:val="upperLetter"/>
      <w:start w:val="1"/>
    </w:lvl>
  </w:abstractNum>
  <w:abstractNum w:abstractNumId="62">
    <w:nsid w:val="661E3F1E"/>
    <w:multiLevelType w:val="hybridMultilevel"/>
    <w:lvl w:ilvl="0">
      <w:lvlJc w:val="left"/>
      <w:lvlText w:val="%1."/>
      <w:numFmt w:val="upperLetter"/>
      <w:start w:val="4"/>
    </w:lvl>
  </w:abstractNum>
  <w:abstractNum w:abstractNumId="63">
    <w:nsid w:val="5DC79EA8"/>
    <w:multiLevelType w:val="hybridMultilevel"/>
    <w:lvl w:ilvl="0">
      <w:lvlJc w:val="left"/>
      <w:lvlText w:val="%1."/>
      <w:numFmt w:val="decimal"/>
      <w:start w:val="1"/>
    </w:lvl>
    <w:lvl w:ilvl="1">
      <w:lvlJc w:val="left"/>
      <w:lvlText w:val="(%2)"/>
      <w:numFmt w:val="lowerLetter"/>
      <w:start w:val="1"/>
    </w:lvl>
  </w:abstractNum>
  <w:abstractNum w:abstractNumId="64">
    <w:nsid w:val="540A471C"/>
    <w:multiLevelType w:val="hybridMultilevel"/>
    <w:lvl w:ilvl="0">
      <w:lvlJc w:val="left"/>
      <w:lvlText w:val="(%1)"/>
      <w:numFmt w:val="lowerLetter"/>
      <w:start w:val="2"/>
    </w:lvl>
  </w:abstractNum>
  <w:abstractNum w:abstractNumId="65">
    <w:nsid w:val="7BD3EE7B"/>
    <w:multiLevelType w:val="hybridMultilevel"/>
    <w:lvl w:ilvl="0">
      <w:lvlJc w:val="left"/>
      <w:lvlText w:val="%1."/>
      <w:numFmt w:val="decimal"/>
      <w:start w:val="3"/>
    </w:lvl>
    <w:lvl w:ilvl="1">
      <w:lvlJc w:val="left"/>
      <w:lvlText w:val="%2."/>
      <w:numFmt w:val="lowerLetter"/>
      <w:start w:val="1"/>
    </w:lvl>
  </w:abstractNum>
  <w:abstractNum w:abstractNumId="66">
    <w:nsid w:val="51D9C564"/>
    <w:multiLevelType w:val="hybridMultilevel"/>
    <w:lvl w:ilvl="0">
      <w:lvlJc w:val="left"/>
      <w:lvlText w:val="(%1)"/>
      <w:numFmt w:val="lowerLetter"/>
      <w:start w:val="1"/>
    </w:lvl>
  </w:abstractNum>
  <w:abstractNum w:abstractNumId="67">
    <w:nsid w:val="613EFDC5"/>
    <w:multiLevelType w:val="hybridMultilevel"/>
    <w:lvl w:ilvl="0">
      <w:lvlJc w:val="left"/>
      <w:lvlText w:val="%1."/>
      <w:numFmt w:val="decimal"/>
      <w:start w:val="5"/>
    </w:lvl>
    <w:lvl w:ilvl="1">
      <w:lvlJc w:val="left"/>
      <w:lvlText w:val="(%2)"/>
      <w:numFmt w:val="lowerLetter"/>
      <w:start w:val="1"/>
    </w:lvl>
  </w:abstractNum>
  <w:abstractNum w:abstractNumId="68">
    <w:nsid w:val="BF72B14"/>
    <w:multiLevelType w:val="hybridMultilevel"/>
    <w:lvl w:ilvl="0">
      <w:lvlJc w:val="left"/>
      <w:lvlText w:val="(%1)"/>
      <w:numFmt w:val="lowerLetter"/>
      <w:start w:val="5"/>
    </w:lvl>
  </w:abstractNum>
  <w:abstractNum w:abstractNumId="69">
    <w:nsid w:val="11447B73"/>
    <w:multiLevelType w:val="hybridMultilevel"/>
    <w:lvl w:ilvl="0">
      <w:lvlJc w:val="left"/>
      <w:lvlText w:val="%1."/>
      <w:numFmt w:val="upperLetter"/>
      <w:start w:val="1"/>
    </w:lvl>
  </w:abstractNum>
  <w:abstractNum w:abstractNumId="70">
    <w:nsid w:val="42963E5A"/>
    <w:multiLevelType w:val="hybridMultilevel"/>
    <w:lvl w:ilvl="0">
      <w:lvlJc w:val="left"/>
      <w:lvlText w:val="%1."/>
      <w:numFmt w:val="upperLetter"/>
      <w:start w:val="9"/>
    </w:lvl>
    <w:lvl w:ilvl="1">
      <w:lvlJc w:val="left"/>
      <w:lvlText w:val="%2."/>
      <w:numFmt w:val="lowerLetter"/>
      <w:start w:val="1"/>
    </w:lvl>
  </w:abstractNum>
  <w:abstractNum w:abstractNumId="71">
    <w:nsid w:val="A0382C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2"/>
    </w:lvl>
  </w:abstractNum>
  <w:abstractNum w:abstractNumId="72">
    <w:nsid w:val="8F2B15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3"/>
    </w:lvl>
    <w:lvl w:ilvl="4">
      <w:lvlJc w:val="left"/>
      <w:lvlText w:val="%5"/>
      <w:numFmt w:val="lowerLetter"/>
      <w:start w:val="1"/>
    </w:lvl>
  </w:abstractNum>
  <w:abstractNum w:abstractNumId="73">
    <w:nsid w:val="1A32234B"/>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lowerLetter"/>
      <w:start w:val="1"/>
    </w:lvl>
    <w:lvl w:ilvl="4">
      <w:lvlJc w:val="left"/>
      <w:lvlText w:val="%5"/>
      <w:numFmt w:val="lowerLetter"/>
      <w:start w:val="1"/>
    </w:lvl>
  </w:abstractNum>
  <w:abstractNum w:abstractNumId="74">
    <w:nsid w:val="3B0FD379"/>
    <w:multiLevelType w:val="hybridMultilevel"/>
    <w:lvl w:ilvl="0">
      <w:lvlJc w:val="left"/>
      <w:lvlText w:val="%1."/>
      <w:numFmt w:val="decimal"/>
      <w:start w:val="3"/>
    </w:lvl>
    <w:lvl w:ilvl="1">
      <w:lvlJc w:val="left"/>
      <w:lvlText w:val="%2."/>
      <w:numFmt w:val="decimal"/>
      <w:start w:val="5"/>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75">
    <w:nsid w:val="68EB2F63"/>
    <w:multiLevelType w:val="hybridMultilevel"/>
    <w:lvl w:ilvl="0">
      <w:lvlJc w:val="left"/>
      <w:lvlText w:val="%1"/>
      <w:numFmt w:val="decimal"/>
      <w:start w:val="1"/>
    </w:lvl>
    <w:lvl w:ilvl="1">
      <w:lvlJc w:val="left"/>
      <w:lvlText w:val="%2."/>
      <w:numFmt w:val="decimal"/>
      <w:start w:val="1"/>
    </w:lvl>
    <w:lvl w:ilvl="2">
      <w:lvlJc w:val="left"/>
      <w:lvlText w:val="%3."/>
      <w:numFmt w:val="upperLetter"/>
      <w:start w:val="3"/>
    </w:lvl>
    <w:lvl w:ilvl="3">
      <w:lvlJc w:val="left"/>
      <w:lvlText w:val="%4."/>
      <w:numFmt w:val="upperLetter"/>
      <w:start w:val="1"/>
    </w:lvl>
  </w:abstractNum>
  <w:abstractNum w:abstractNumId="76">
    <w:nsid w:val="4962813B"/>
    <w:multiLevelType w:val="hybridMultilevel"/>
    <w:lvl w:ilvl="0">
      <w:lvlJc w:val="left"/>
      <w:lvlText w:val="%1."/>
      <w:numFmt w:val="decimal"/>
      <w:start w:val="2"/>
    </w:lvl>
    <w:lvl w:ilvl="1">
      <w:lvlJc w:val="left"/>
      <w:lvlText w:val="%2"/>
      <w:numFmt w:val="decimal"/>
      <w:start w:val="1"/>
    </w:lvl>
    <w:lvl w:ilvl="2">
      <w:lvlJc w:val="left"/>
      <w:lvlText w:val="%3"/>
      <w:numFmt w:val="upperLetter"/>
      <w:start w:val="1"/>
    </w:lvl>
    <w:lvl w:ilvl="3">
      <w:lvlJc w:val="left"/>
      <w:lvlText w:val="%4"/>
      <w:numFmt w:val="upperLetter"/>
      <w:start w:val="1"/>
    </w:lvl>
  </w:abstractNum>
  <w:abstractNum w:abstractNumId="77">
    <w:nsid w:val="60B6DF70"/>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78">
    <w:nsid w:val="6A5EE64"/>
    <w:multiLevelType w:val="hybridMultilevel"/>
    <w:lvl w:ilvl="0">
      <w:lvlJc w:val="left"/>
      <w:lvlText w:val="%1"/>
      <w:numFmt w:val="upperLetter"/>
      <w:start w:val="1"/>
    </w:lvl>
    <w:lvl w:ilvl="1">
      <w:lvlJc w:val="left"/>
      <w:lvlText w:val="%2."/>
      <w:numFmt w:val="upperLetter"/>
      <w:start w:val="3"/>
    </w:lvl>
    <w:lvl w:ilvl="2">
      <w:lvlJc w:val="left"/>
      <w:lvlText w:val="%3"/>
      <w:numFmt w:val="upperLetter"/>
      <w:start w:val="1"/>
    </w:lvl>
  </w:abstractNum>
  <w:abstractNum w:abstractNumId="79">
    <w:nsid w:val="14330624"/>
    <w:multiLevelType w:val="hybridMultilevel"/>
    <w:lvl w:ilvl="0">
      <w:lvlJc w:val="left"/>
      <w:lvlText w:val="%1."/>
      <w:numFmt w:val="upperLetter"/>
      <w:start w:val="6"/>
    </w:lvl>
    <w:lvl w:ilvl="1">
      <w:lvlJc w:val="left"/>
      <w:lvlText w:val="%2."/>
      <w:numFmt w:val="upperLetter"/>
      <w:start w:val="8"/>
    </w:lvl>
    <w:lvl w:ilvl="2">
      <w:lvlJc w:val="left"/>
      <w:lvlText w:val="%3"/>
      <w:numFmt w:val="upperLetter"/>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53" Type="http://schemas.openxmlformats.org/officeDocument/2006/relationships/image" Target="media/image8.png"/><Relationship Id="rId54" Type="http://schemas.openxmlformats.org/officeDocument/2006/relationships/image" Target="media/image9.png"/><Relationship Id="rId55" Type="http://schemas.openxmlformats.org/officeDocument/2006/relationships/image" Target="media/image10.png"/><Relationship Id="rId56" Type="http://schemas.openxmlformats.org/officeDocument/2006/relationships/image" Target="media/image11.png"/><Relationship Id="rId57" Type="http://schemas.openxmlformats.org/officeDocument/2006/relationships/image" Target="media/image12.png"/><Relationship Id="rId58" Type="http://schemas.openxmlformats.org/officeDocument/2006/relationships/image" Target="media/image13.png"/><Relationship Id="rId59" Type="http://schemas.openxmlformats.org/officeDocument/2006/relationships/image" Target="media/image14.png"/><Relationship Id="rId60" Type="http://schemas.openxmlformats.org/officeDocument/2006/relationships/image" Target="media/image15.png"/><Relationship Id="rId61" Type="http://schemas.openxmlformats.org/officeDocument/2006/relationships/image" Target="media/image16.png"/><Relationship Id="rId62" Type="http://schemas.openxmlformats.org/officeDocument/2006/relationships/image" Target="media/image17.png"/><Relationship Id="rId63" Type="http://schemas.openxmlformats.org/officeDocument/2006/relationships/image" Target="media/image18.png"/><Relationship Id="rId64" Type="http://schemas.openxmlformats.org/officeDocument/2006/relationships/image" Target="media/image19.png"/><Relationship Id="rId65" Type="http://schemas.openxmlformats.org/officeDocument/2006/relationships/image" Target="media/image20.png"/><Relationship Id="rId66" Type="http://schemas.openxmlformats.org/officeDocument/2006/relationships/image" Target="media/image21.png"/><Relationship Id="rId67" Type="http://schemas.openxmlformats.org/officeDocument/2006/relationships/image" Target="media/image22.png"/><Relationship Id="rId68" Type="http://schemas.openxmlformats.org/officeDocument/2006/relationships/image" Target="media/image23.png"/><Relationship Id="rId69" Type="http://schemas.openxmlformats.org/officeDocument/2006/relationships/image" Target="media/image24.png"/><Relationship Id="rId70" Type="http://schemas.openxmlformats.org/officeDocument/2006/relationships/image" Target="media/image25.png"/><Relationship Id="rId71" Type="http://schemas.openxmlformats.org/officeDocument/2006/relationships/image" Target="media/image26.png"/><Relationship Id="rId72" Type="http://schemas.openxmlformats.org/officeDocument/2006/relationships/image" Target="media/image27.png"/><Relationship Id="rId73" Type="http://schemas.openxmlformats.org/officeDocument/2006/relationships/image" Target="media/image28.png"/><Relationship Id="rId74" Type="http://schemas.openxmlformats.org/officeDocument/2006/relationships/image" Target="media/image29.png"/><Relationship Id="rId75" Type="http://schemas.openxmlformats.org/officeDocument/2006/relationships/image" Target="media/image30.png"/><Relationship Id="rId76" Type="http://schemas.openxmlformats.org/officeDocument/2006/relationships/image" Target="media/image31.png"/><Relationship Id="rId77" Type="http://schemas.openxmlformats.org/officeDocument/2006/relationships/image" Target="media/image32.png"/><Relationship Id="rId78" Type="http://schemas.openxmlformats.org/officeDocument/2006/relationships/image" Target="media/image33.png"/><Relationship Id="rId79" Type="http://schemas.openxmlformats.org/officeDocument/2006/relationships/image" Target="media/image34.png"/><Relationship Id="rId80" Type="http://schemas.openxmlformats.org/officeDocument/2006/relationships/image" Target="media/image35.png"/><Relationship Id="rId81" Type="http://schemas.openxmlformats.org/officeDocument/2006/relationships/image" Target="media/image36.png"/><Relationship Id="rId82" Type="http://schemas.openxmlformats.org/officeDocument/2006/relationships/image" Target="media/image37.png"/><Relationship Id="rId83" Type="http://schemas.openxmlformats.org/officeDocument/2006/relationships/image" Target="media/image38.png"/><Relationship Id="rId84" Type="http://schemas.openxmlformats.org/officeDocument/2006/relationships/image" Target="media/image39.png"/><Relationship Id="rId85" Type="http://schemas.openxmlformats.org/officeDocument/2006/relationships/image" Target="media/image40.png"/><Relationship Id="rId86" Type="http://schemas.openxmlformats.org/officeDocument/2006/relationships/image" Target="media/image41.png"/><Relationship Id="rId87" Type="http://schemas.openxmlformats.org/officeDocument/2006/relationships/image" Target="media/image42.png"/><Relationship Id="rId88" Type="http://schemas.openxmlformats.org/officeDocument/2006/relationships/image" Target="media/image43.png"/><Relationship Id="rId89" Type="http://schemas.openxmlformats.org/officeDocument/2006/relationships/image" Target="media/image44.png"/><Relationship Id="rId90" Type="http://schemas.openxmlformats.org/officeDocument/2006/relationships/image" Target="media/image45.png"/><Relationship Id="rId91" Type="http://schemas.openxmlformats.org/officeDocument/2006/relationships/image" Target="media/image46.png"/><Relationship Id="rId92" Type="http://schemas.openxmlformats.org/officeDocument/2006/relationships/image" Target="media/image47.png"/><Relationship Id="rId93" Type="http://schemas.openxmlformats.org/officeDocument/2006/relationships/image" Target="media/image48.png"/><Relationship Id="rId94" Type="http://schemas.openxmlformats.org/officeDocument/2006/relationships/image" Target="media/image49.png"/><Relationship Id="rId95" Type="http://schemas.openxmlformats.org/officeDocument/2006/relationships/image" Target="media/image50.png"/><Relationship Id="rId96" Type="http://schemas.openxmlformats.org/officeDocument/2006/relationships/image" Target="media/image51.png"/><Relationship Id="rId97" Type="http://schemas.openxmlformats.org/officeDocument/2006/relationships/image" Target="media/image52.png"/><Relationship Id="rId98" Type="http://schemas.openxmlformats.org/officeDocument/2006/relationships/image" Target="media/image53.png"/><Relationship Id="rId99" Type="http://schemas.openxmlformats.org/officeDocument/2006/relationships/image" Target="media/image54.png"/><Relationship Id="rId100" Type="http://schemas.openxmlformats.org/officeDocument/2006/relationships/image" Target="media/image55.png"/><Relationship Id="rId101" Type="http://schemas.openxmlformats.org/officeDocument/2006/relationships/image" Target="media/image56.png"/><Relationship Id="rId102" Type="http://schemas.openxmlformats.org/officeDocument/2006/relationships/image" Target="media/image57.png"/><Relationship Id="rId103" Type="http://schemas.openxmlformats.org/officeDocument/2006/relationships/image" Target="media/image58.png"/><Relationship Id="rId104" Type="http://schemas.openxmlformats.org/officeDocument/2006/relationships/image" Target="media/image59.png"/><Relationship Id="rId105" Type="http://schemas.openxmlformats.org/officeDocument/2006/relationships/image" Target="media/image60.png"/><Relationship Id="rId106" Type="http://schemas.openxmlformats.org/officeDocument/2006/relationships/image" Target="media/image61.png"/><Relationship Id="rId107" Type="http://schemas.openxmlformats.org/officeDocument/2006/relationships/image" Target="media/image62.png"/><Relationship Id="rId108" Type="http://schemas.openxmlformats.org/officeDocument/2006/relationships/image" Target="media/image63.png"/><Relationship Id="rId109" Type="http://schemas.openxmlformats.org/officeDocument/2006/relationships/image" Target="media/image64.png"/><Relationship Id="rId110" Type="http://schemas.openxmlformats.org/officeDocument/2006/relationships/image" Target="media/image65.png"/><Relationship Id="rId111" Type="http://schemas.openxmlformats.org/officeDocument/2006/relationships/image" Target="media/image66.png"/><Relationship Id="rId112" Type="http://schemas.openxmlformats.org/officeDocument/2006/relationships/image" Target="media/image67.png"/><Relationship Id="rId113" Type="http://schemas.openxmlformats.org/officeDocument/2006/relationships/image" Target="media/image68.png"/><Relationship Id="rId114" Type="http://schemas.openxmlformats.org/officeDocument/2006/relationships/image" Target="media/image69.png"/><Relationship Id="rId115" Type="http://schemas.openxmlformats.org/officeDocument/2006/relationships/image" Target="media/image70.png"/><Relationship Id="rId116" Type="http://schemas.openxmlformats.org/officeDocument/2006/relationships/image" Target="media/image71.png"/><Relationship Id="rId117" Type="http://schemas.openxmlformats.org/officeDocument/2006/relationships/image" Target="media/image72.png"/><Relationship Id="rId118" Type="http://schemas.openxmlformats.org/officeDocument/2006/relationships/image" Target="media/image73.png"/><Relationship Id="rId119" Type="http://schemas.openxmlformats.org/officeDocument/2006/relationships/image" Target="media/image74.png"/><Relationship Id="rId120" Type="http://schemas.openxmlformats.org/officeDocument/2006/relationships/image" Target="media/image75.png"/><Relationship Id="rId121" Type="http://schemas.openxmlformats.org/officeDocument/2006/relationships/image" Target="media/image76.png"/><Relationship Id="rId122" Type="http://schemas.openxmlformats.org/officeDocument/2006/relationships/image" Target="media/image77.png"/><Relationship Id="rId123" Type="http://schemas.openxmlformats.org/officeDocument/2006/relationships/image" Target="media/image78.png"/><Relationship Id="rId124" Type="http://schemas.openxmlformats.org/officeDocument/2006/relationships/image" Target="media/image79.png"/><Relationship Id="rId125" Type="http://schemas.openxmlformats.org/officeDocument/2006/relationships/image" Target="media/image80.png"/><Relationship Id="rId126" Type="http://schemas.openxmlformats.org/officeDocument/2006/relationships/image" Target="media/image81.png"/><Relationship Id="rId127" Type="http://schemas.openxmlformats.org/officeDocument/2006/relationships/image" Target="media/image82.png"/><Relationship Id="rId128" Type="http://schemas.openxmlformats.org/officeDocument/2006/relationships/image" Target="media/image83.png"/><Relationship Id="rId129" Type="http://schemas.openxmlformats.org/officeDocument/2006/relationships/image" Target="media/image84.png"/><Relationship Id="rId130" Type="http://schemas.openxmlformats.org/officeDocument/2006/relationships/image" Target="media/image85.png"/><Relationship Id="rId131" Type="http://schemas.openxmlformats.org/officeDocument/2006/relationships/image" Target="media/image86.png"/><Relationship Id="rId132" Type="http://schemas.openxmlformats.org/officeDocument/2006/relationships/image" Target="media/image87.png"/><Relationship Id="rId133" Type="http://schemas.openxmlformats.org/officeDocument/2006/relationships/image" Target="media/image88.png"/><Relationship Id="rId15" Type="http://schemas.openxmlformats.org/officeDocument/2006/relationships/hyperlink" Target="http://www.sec.gov/Archives/edgar/data/1069258/000106925815000029/ktos20150628ex-24.htm" TargetMode="External"/><Relationship Id="rId16" Type="http://schemas.openxmlformats.org/officeDocument/2006/relationships/hyperlink" Target="http://www.sec.gov/Archives/edgar/data/1069258/000106925817000009/ktos20161225ex-31.htm" TargetMode="External"/><Relationship Id="rId17" Type="http://schemas.openxmlformats.org/officeDocument/2006/relationships/hyperlink" Target="http://www.sec.gov/Archives/edgar/data/1069258/000106925817000009/ktos20161225ex-32.htm" TargetMode="External"/><Relationship Id="rId18" Type="http://schemas.openxmlformats.org/officeDocument/2006/relationships/hyperlink" Target="http://www.sec.gov/Archives/edgar/data/1069258/000106925817000009/kratoscommonformofcertif.htm" TargetMode="External"/><Relationship Id="rId19" Type="http://schemas.openxmlformats.org/officeDocument/2006/relationships/hyperlink" Target="http://www.sec.gov/Archives/edgar/data/1069258/000106925814000023/seniornotesregistration.htm" TargetMode="External"/><Relationship Id="rId20" Type="http://schemas.openxmlformats.org/officeDocument/2006/relationships/hyperlink" Target="http://www.sec.gov/Archives/edgar/data/1069258/000110465917069690/a17-27375_1ex4d1.htm" TargetMode="External"/><Relationship Id="rId21" Type="http://schemas.openxmlformats.org/officeDocument/2006/relationships/hyperlink" Target="http://www.sec.gov/Archives/edgar/data/1069258/000110465911043760/a11-14022_1ex10d8.htm" TargetMode="External"/><Relationship Id="rId22" Type="http://schemas.openxmlformats.org/officeDocument/2006/relationships/hyperlink" Target="http://www.sec.gov/Archives/edgar/data/1069258/000106925817000033/exhibit9911999espp.htm" TargetMode="External"/><Relationship Id="rId23" Type="http://schemas.openxmlformats.org/officeDocument/2006/relationships/hyperlink" Target="http://www.sec.gov/Archives/edgar/data/1069258/000089843000003415/0000898430-00-003415-0003.txt" TargetMode="External"/><Relationship Id="rId24" Type="http://schemas.openxmlformats.org/officeDocument/2006/relationships/hyperlink" Target="http://www.sec.gov/Archives/edgar/data/1069258/000089843000003415/0000898430-00-003415-0004.txt" TargetMode="External"/><Relationship Id="rId25" Type="http://schemas.openxmlformats.org/officeDocument/2006/relationships/hyperlink" Target="http://www.sec.gov/Archives/edgar/data/1069258/000110465905035184/a05-12199_1ex99d2.htm" TargetMode="External"/><Relationship Id="rId26" Type="http://schemas.openxmlformats.org/officeDocument/2006/relationships/hyperlink" Target="http://www.sec.gov/Archives/edgar/data/1069258/000110465905035184/a05-12199_1ex99d1.htm" TargetMode="External"/><Relationship Id="rId27" Type="http://schemas.openxmlformats.org/officeDocument/2006/relationships/hyperlink" Target="http://www.sec.gov/Archives/edgar/data/1069258/000110465907002926/a07-2027_1ex99d3.htm" TargetMode="External"/><Relationship Id="rId28" Type="http://schemas.openxmlformats.org/officeDocument/2006/relationships/hyperlink" Target="http://www.sec.gov/Archives/edgar/data/1069258/000110465911019265/a11-9736_1ex4d11.htm" TargetMode="External"/><Relationship Id="rId29" Type="http://schemas.openxmlformats.org/officeDocument/2006/relationships/hyperlink" Target="http://www.sec.gov/Archives/edgar/data/1069258/000110465911019265/a11-9736_1ex4d13.htm" TargetMode="External"/><Relationship Id="rId30" Type="http://schemas.openxmlformats.org/officeDocument/2006/relationships/hyperlink" Target="http://www.sec.gov/Archives/edgar/data/1069258/000110465911019265/a11-9736_1ex4d14.htm" TargetMode="External"/><Relationship Id="rId31" Type="http://schemas.openxmlformats.org/officeDocument/2006/relationships/hyperlink" Target="http://www.sec.gov/Archives/edgar/data/1069258/000110465911019265/a11-9736_1ex4d15.htm" TargetMode="External"/><Relationship Id="rId32" Type="http://schemas.openxmlformats.org/officeDocument/2006/relationships/hyperlink" Target="http://www.sec.gov/Archives/edgar/data/1069258/000104746911003699/a2203337zdef14a.htm" TargetMode="External"/><Relationship Id="rId33" Type="http://schemas.openxmlformats.org/officeDocument/2006/relationships/hyperlink" Target="http://www.sec.gov/Archives/edgar/data/1069258/000106925811000053/form8k1stamendto726credagrmt.htm" TargetMode="External"/><Relationship Id="rId34" Type="http://schemas.openxmlformats.org/officeDocument/2006/relationships/hyperlink" Target="http://www.sec.gov/Archives/edgar/data/1069258/000104746914003722/a2219439zdef14a.htm" TargetMode="External"/><Relationship Id="rId35" Type="http://schemas.openxmlformats.org/officeDocument/2006/relationships/hyperlink" Target="http://www.sec.gov/Archives/edgar/data/1069258/000106925814000038/ktos20140928ex-101.htm" TargetMode="External"/><Relationship Id="rId36" Type="http://schemas.openxmlformats.org/officeDocument/2006/relationships/hyperlink" Target="http://www.sec.gov/Archives/edgar/data/1069258/000110465911043760/a11-14022_1ex10d3.htm" TargetMode="External"/><Relationship Id="rId37" Type="http://schemas.openxmlformats.org/officeDocument/2006/relationships/hyperlink" Target="http://www.sec.gov/Archives/edgar/data/1069258/000110465911043760/a11-14022_1ex10d4.htm" TargetMode="External"/><Relationship Id="rId38" Type="http://schemas.openxmlformats.org/officeDocument/2006/relationships/hyperlink" Target="http://www.sec.gov/Archives/edgar/data/1069258/000104746910002038/a2197108zex-10_26.htm" TargetMode="External"/><Relationship Id="rId39" Type="http://schemas.openxmlformats.org/officeDocument/2006/relationships/hyperlink" Target="http://www.sec.gov/Archives/edgar/data/1069258/000110465912016313/a12-6623_1ex4d10.htm" TargetMode="External"/><Relationship Id="rId40" Type="http://schemas.openxmlformats.org/officeDocument/2006/relationships/hyperlink" Target="http://www.sec.gov/Archives/edgar/data/1069258/000110465912016313/a12-6623_1ex4d11.htm" TargetMode="External"/><Relationship Id="rId41" Type="http://schemas.openxmlformats.org/officeDocument/2006/relationships/hyperlink" Target="http://www.sec.gov/Archives/edgar/data/1069258/000110465912037298/a12-11460_5ex10d1.htm" TargetMode="External"/><Relationship Id="rId42" Type="http://schemas.openxmlformats.org/officeDocument/2006/relationships/hyperlink" Target="http://www.sec.gov/Archives/edgar/data/1069258/000106925812000020/ceiforms8.htm" TargetMode="External"/><Relationship Id="rId43" Type="http://schemas.openxmlformats.org/officeDocument/2006/relationships/hyperlink" Target="http://www.sec.gov/Archives/edgar/data/1069258/000106925815000005/q414earningsrelease.htm" TargetMode="External"/><Relationship Id="rId44" Type="http://schemas.openxmlformats.org/officeDocument/2006/relationships/hyperlink" Target="http://www.sec.gov/Archives/edgar/data/1069258/000106925815000023/poirierbonusagreement.htm" TargetMode="External"/><Relationship Id="rId45" Type="http://schemas.openxmlformats.org/officeDocument/2006/relationships/hyperlink" Target="http://www.sec.gov/Archives/edgar/data/1069258/000106925816000088/beaman8k.htm" TargetMode="External"/><Relationship Id="rId46" Type="http://schemas.openxmlformats.org/officeDocument/2006/relationships/hyperlink" Target="http://www.sec.gov/Archives/edgar/data/1069258/000106925816000097/carrai8k.htm" TargetMode="External"/><Relationship Id="rId47" Type="http://schemas.openxmlformats.org/officeDocument/2006/relationships/hyperlink" Target="http://www.sec.gov/Archives/edgar/data/1069258/000106925815000029/ktos20150628ex-101.htm" TargetMode="External"/><Relationship Id="rId48" Type="http://schemas.openxmlformats.org/officeDocument/2006/relationships/hyperlink" Target="http://www.sec.gov/Archives/edgar/data/1069258/000106925815000034/ktos201508248kexhibit101.htm" TargetMode="External"/><Relationship Id="rId49" Type="http://schemas.openxmlformats.org/officeDocument/2006/relationships/hyperlink" Target="http://www.sec.gov/Archives/edgar/data/1069258/000110465917069690/a17-27375_1ex10d1.htm" TargetMode="External"/><Relationship Id="rId50" Type="http://schemas.openxmlformats.org/officeDocument/2006/relationships/hyperlink" Target="http://www.sec.gov/Archives/edgar/data/1069258/000106925817000015/ktos20170326ex-102.htm" TargetMode="External"/><Relationship Id="rId51" Type="http://schemas.openxmlformats.org/officeDocument/2006/relationships/hyperlink" Target="http://www.sec.gov/Archives/edgar/data/1069258/000106925817000030/ktos20170625ex-102.htm" TargetMode="External"/><Relationship Id="rId52" Type="http://schemas.openxmlformats.org/officeDocument/2006/relationships/hyperlink" Target="http://www.sec.gov/Archives/edgar/data/1069258/000106925817000030/ktos20170625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2019-12-29T01:13:44Z</dcterms:created>
  <dcterms:modified xsi:type="dcterms:W3CDTF">2019-12-29T01:13:44Z</dcterms:modified>
</cp:coreProperties>
</file>