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8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30" w:lineRule="exact"/>
        <w:rPr>
          <w:sz w:val="24"/>
          <w:szCs w:val="24"/>
          <w:color w:val="auto"/>
        </w:rPr>
      </w:pPr>
    </w:p>
    <w:p>
      <w:pPr>
        <w:ind w:right="320" w:firstLine="8"/>
        <w:spacing w:after="0" w:line="320" w:lineRule="auto"/>
        <w:tabs>
          <w:tab w:leader="none" w:pos="338"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59"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4820 Eastgate Mall, Suite 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2, 2012, 56,604,000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Borders>
              <w:bottom w:val="single" w:sz="8" w:color="0000FF"/>
            </w:tcBorders>
            <w:gridSpan w:val="6"/>
          </w:tcPr>
          <w:p>
            <w:pPr>
              <w:jc w:val="center"/>
              <w:ind w:right="20"/>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90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at December 25, 2011 and September 30, 2012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Operations and Comprehensive Income for the Three and Nine Months Ended September 25,</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2011 and September 30, 2012 (unaudited)</w:t>
              </w:r>
            </w:hyperlink>
          </w:p>
        </w:tc>
        <w:tc>
          <w:tcPr>
            <w:tcW w:w="6560" w:type="dxa"/>
            <w:vAlign w:val="bottom"/>
            <w:tcBorders>
              <w:top w:val="single" w:sz="8" w:color="0000FF"/>
            </w:tcBorders>
            <w:gridSpan w:val="10"/>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Cash Flows for the Nine Months Ended September 25, 2011 and September 30, 2012</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(unaudited)</w:t>
              </w:r>
            </w:hyperlink>
          </w:p>
        </w:tc>
        <w:tc>
          <w:tcPr>
            <w:tcW w:w="900" w:type="dxa"/>
            <w:vAlign w:val="bottom"/>
            <w:gridSpan w:val="2"/>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990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990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990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52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1.</w:t>
              </w:r>
            </w:hyperlink>
          </w:p>
        </w:tc>
        <w:tc>
          <w:tcPr>
            <w:tcW w:w="990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3.</w:t>
              </w:r>
            </w:hyperlink>
          </w:p>
        </w:tc>
        <w:tc>
          <w:tcPr>
            <w:tcW w:w="990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4.</w:t>
              </w:r>
            </w:hyperlink>
          </w:p>
        </w:tc>
        <w:tc>
          <w:tcPr>
            <w:tcW w:w="9900" w:type="dxa"/>
            <w:vAlign w:val="bottom"/>
            <w:gridSpan w:val="19"/>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520"/>
        </w:trPr>
        <w:tc>
          <w:tcPr>
            <w:tcW w:w="920" w:type="dxa"/>
            <w:vAlign w:val="bottom"/>
            <w:tcBorders>
              <w:top w:val="single" w:sz="8" w:color="0000FF"/>
            </w:tcBorders>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8140" w:type="dxa"/>
            <w:vAlign w:val="bottom"/>
            <w:gridSpan w:val="1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6.</w:t>
              </w:r>
            </w:hyperlink>
          </w:p>
        </w:tc>
        <w:tc>
          <w:tcPr>
            <w:tcW w:w="990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6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240" w:type="dxa"/>
            <w:vAlign w:val="bottom"/>
            <w:gridSpan w:val="2"/>
          </w:tcPr>
          <w:p>
            <w:pPr>
              <w:jc w:val="right"/>
              <w:ind w:right="879"/>
              <w:spacing w:after="0"/>
              <w:rPr>
                <w:sz w:val="20"/>
                <w:szCs w:val="20"/>
                <w:color w:val="auto"/>
              </w:rPr>
            </w:pPr>
            <w:r>
              <w:rPr>
                <w:rFonts w:ascii="Arial" w:cs="Arial" w:eastAsia="Arial" w:hAnsi="Arial"/>
                <w:sz w:val="14"/>
                <w:szCs w:val="14"/>
                <w:b w:val="1"/>
                <w:bCs w:val="1"/>
                <w:color w:val="auto"/>
              </w:rPr>
              <w:t>(Unaudited)</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98"/>
        </w:trPr>
        <w:tc>
          <w:tcPr>
            <w:tcW w:w="3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25, 2011</w:t>
            </w:r>
          </w:p>
        </w:tc>
        <w:tc>
          <w:tcPr>
            <w:tcW w:w="280" w:type="dxa"/>
            <w:vAlign w:val="bottom"/>
          </w:tcPr>
          <w:p>
            <w:pPr>
              <w:spacing w:after="0"/>
              <w:rPr>
                <w:sz w:val="24"/>
                <w:szCs w:val="24"/>
                <w:color w:val="auto"/>
              </w:rPr>
            </w:pPr>
          </w:p>
        </w:tc>
        <w:tc>
          <w:tcPr>
            <w:tcW w:w="198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September 30, 2012</w:t>
            </w:r>
          </w:p>
        </w:tc>
      </w:tr>
      <w:tr>
        <w:trPr>
          <w:trHeight w:val="33"/>
        </w:trPr>
        <w:tc>
          <w:tcPr>
            <w:tcW w:w="38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24"/>
        </w:trPr>
        <w:tc>
          <w:tcPr>
            <w:tcW w:w="38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7"/>
        </w:trPr>
        <w:tc>
          <w:tcPr>
            <w:tcW w:w="38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2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r>
      <w:tr>
        <w:trPr>
          <w:trHeight w:val="237"/>
        </w:trPr>
        <w:tc>
          <w:tcPr>
            <w:tcW w:w="382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38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r>
      <w:tr>
        <w:trPr>
          <w:trHeight w:val="237"/>
        </w:trPr>
        <w:tc>
          <w:tcPr>
            <w:tcW w:w="382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99.9</w:t>
            </w:r>
          </w:p>
        </w:tc>
      </w:tr>
      <w:tr>
        <w:trPr>
          <w:trHeight w:val="33"/>
        </w:trPr>
        <w:tc>
          <w:tcPr>
            <w:tcW w:w="38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382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38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456.6</w:t>
            </w: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84.6</w:t>
            </w:r>
          </w:p>
        </w:tc>
      </w:tr>
      <w:tr>
        <w:trPr>
          <w:trHeight w:val="33"/>
        </w:trPr>
        <w:tc>
          <w:tcPr>
            <w:tcW w:w="38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678.5</w:t>
            </w: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33"/>
        </w:trPr>
        <w:tc>
          <w:tcPr>
            <w:tcW w:w="38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17"/>
        </w:trPr>
        <w:tc>
          <w:tcPr>
            <w:tcW w:w="382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9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1,216.0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676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principal,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premium</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80" w:right="1320"/>
        <w:spacing w:after="0" w:line="293" w:lineRule="auto"/>
        <w:rPr>
          <w:sz w:val="20"/>
          <w:szCs w:val="20"/>
          <w:color w:val="auto"/>
        </w:rPr>
      </w:pPr>
      <w:r>
        <w:rPr>
          <w:rFonts w:ascii="Arial" w:cs="Arial" w:eastAsia="Arial" w:hAnsi="Arial"/>
          <w:sz w:val="16"/>
          <w:szCs w:val="16"/>
          <w:color w:val="auto"/>
        </w:rPr>
        <w:t>Preferred stock, $0.001 par value, 5,000,000 shares authorized, 0 shares outstanding at December 25, 2011 and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180" w:right="1120"/>
        <w:spacing w:after="0" w:line="319" w:lineRule="auto"/>
        <w:rPr>
          <w:sz w:val="20"/>
          <w:szCs w:val="20"/>
          <w:color w:val="auto"/>
        </w:rPr>
      </w:pPr>
      <w:r>
        <w:rPr>
          <w:rFonts w:ascii="Arial" w:cs="Arial" w:eastAsia="Arial" w:hAnsi="Arial"/>
          <w:sz w:val="15"/>
          <w:szCs w:val="15"/>
          <w:color w:val="auto"/>
        </w:rPr>
        <w:t>Common stock, $0.001 par value, 195,000,000 shares authorized; 32,421,135 and 56,554,000 shares issued and outstanding at December 25, 2011 and September 30, 2012, respectively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06"/>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48.8</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81.0</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50.7</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51.7</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41.9</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5.1</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36.2</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33.2</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33.8</w:t>
            </w:r>
          </w:p>
        </w:tc>
      </w:tr>
      <w:tr>
        <w:trPr>
          <w:trHeight w:val="33"/>
        </w:trPr>
        <w:tc>
          <w:tcPr>
            <w:tcW w:w="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213.8</w:t>
            </w:r>
          </w:p>
        </w:tc>
        <w:tc>
          <w:tcPr>
            <w:tcW w:w="9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274.1</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630.8</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630.0</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22.8</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36.0</w:t>
            </w:r>
          </w:p>
        </w:tc>
        <w:tc>
          <w:tcPr>
            <w:tcW w:w="9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36.5</w:t>
            </w:r>
          </w:p>
        </w:tc>
      </w:tr>
      <w:tr>
        <w:trPr>
          <w:trHeight w:val="33"/>
        </w:trPr>
        <w:tc>
          <w:tcPr>
            <w:tcW w:w="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903.4</w:t>
            </w:r>
          </w:p>
        </w:tc>
        <w:tc>
          <w:tcPr>
            <w:tcW w:w="9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960.3</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9"/>
        </w:trPr>
        <w:tc>
          <w:tcPr>
            <w:tcW w:w="14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420" w:type="dxa"/>
            <w:vAlign w:val="bottom"/>
          </w:tcPr>
          <w:p>
            <w:pPr>
              <w:jc w:val="right"/>
              <w:ind w:right="919"/>
              <w:spacing w:after="0"/>
              <w:rPr>
                <w:sz w:val="20"/>
                <w:szCs w:val="20"/>
                <w:color w:val="auto"/>
              </w:rPr>
            </w:pPr>
            <w:r>
              <w:rPr>
                <w:rFonts w:ascii="Arial" w:cs="Arial" w:eastAsia="Arial" w:hAnsi="Arial"/>
                <w:sz w:val="16"/>
                <w:szCs w:val="16"/>
                <w:color w:val="auto"/>
                <w:w w:val="99"/>
              </w:rPr>
              <w:t>720.6</w:t>
            </w:r>
          </w:p>
        </w:tc>
        <w:tc>
          <w:tcPr>
            <w:tcW w:w="1420" w:type="dxa"/>
            <w:vAlign w:val="bottom"/>
          </w:tcPr>
          <w:p>
            <w:pPr>
              <w:jc w:val="right"/>
              <w:spacing w:after="0"/>
              <w:rPr>
                <w:sz w:val="20"/>
                <w:szCs w:val="20"/>
                <w:color w:val="auto"/>
              </w:rPr>
            </w:pPr>
            <w:r>
              <w:rPr>
                <w:rFonts w:ascii="Arial" w:cs="Arial" w:eastAsia="Arial" w:hAnsi="Arial"/>
                <w:sz w:val="16"/>
                <w:szCs w:val="16"/>
                <w:color w:val="auto"/>
              </w:rPr>
              <w:t>845.4</w:t>
            </w:r>
          </w:p>
        </w:tc>
      </w:tr>
      <w:tr>
        <w:trPr>
          <w:trHeight w:val="270"/>
        </w:trPr>
        <w:tc>
          <w:tcPr>
            <w:tcW w:w="1420" w:type="dxa"/>
            <w:vAlign w:val="bottom"/>
          </w:tcPr>
          <w:p>
            <w:pPr>
              <w:jc w:val="right"/>
              <w:ind w:right="879"/>
              <w:spacing w:after="0"/>
              <w:rPr>
                <w:sz w:val="20"/>
                <w:szCs w:val="20"/>
                <w:color w:val="auto"/>
              </w:rPr>
            </w:pPr>
            <w:r>
              <w:rPr>
                <w:rFonts w:ascii="Arial" w:cs="Arial" w:eastAsia="Arial" w:hAnsi="Arial"/>
                <w:sz w:val="16"/>
                <w:szCs w:val="16"/>
                <w:color w:val="auto"/>
              </w:rPr>
              <w:t>(0.2)</w:t>
            </w:r>
          </w:p>
        </w:tc>
        <w:tc>
          <w:tcPr>
            <w:tcW w:w="14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70"/>
        </w:trPr>
        <w:tc>
          <w:tcPr>
            <w:tcW w:w="1420" w:type="dxa"/>
            <w:vAlign w:val="bottom"/>
          </w:tcPr>
          <w:p>
            <w:pPr>
              <w:jc w:val="right"/>
              <w:ind w:right="879"/>
              <w:spacing w:after="0"/>
              <w:rPr>
                <w:sz w:val="20"/>
                <w:szCs w:val="20"/>
                <w:color w:val="auto"/>
              </w:rPr>
            </w:pPr>
            <w:r>
              <w:rPr>
                <w:rFonts w:ascii="Arial" w:cs="Arial" w:eastAsia="Arial" w:hAnsi="Arial"/>
                <w:sz w:val="16"/>
                <w:szCs w:val="16"/>
                <w:color w:val="auto"/>
                <w:w w:val="86"/>
              </w:rPr>
              <w:t>(407.8)</w:t>
            </w:r>
          </w:p>
        </w:tc>
        <w:tc>
          <w:tcPr>
            <w:tcW w:w="1420" w:type="dxa"/>
            <w:vAlign w:val="bottom"/>
          </w:tcPr>
          <w:p>
            <w:pPr>
              <w:jc w:val="right"/>
              <w:spacing w:after="0"/>
              <w:rPr>
                <w:sz w:val="20"/>
                <w:szCs w:val="20"/>
                <w:color w:val="auto"/>
              </w:rPr>
            </w:pPr>
            <w:r>
              <w:rPr>
                <w:rFonts w:ascii="Arial" w:cs="Arial" w:eastAsia="Arial" w:hAnsi="Arial"/>
                <w:sz w:val="16"/>
                <w:szCs w:val="16"/>
                <w:color w:val="auto"/>
              </w:rPr>
              <w:t>(432.2)</w:t>
            </w:r>
          </w:p>
        </w:tc>
      </w:tr>
    </w:tbl>
    <w:p>
      <w:pPr>
        <w:spacing w:after="0" w:line="13" w:lineRule="exact"/>
        <w:rPr>
          <w:sz w:val="20"/>
          <w:szCs w:val="20"/>
          <w:color w:val="auto"/>
        </w:rPr>
      </w:pPr>
    </w:p>
    <w:p>
      <w:pPr>
        <w:sectPr>
          <w:pgSz w:w="11900" w:h="16838" w:orient="portrait"/>
          <w:cols w:equalWidth="0" w:num="2">
            <w:col w:w="7800" w:space="720"/>
            <w:col w:w="29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7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spacing w:after="0"/>
              <w:rPr>
                <w:sz w:val="23"/>
                <w:szCs w:val="23"/>
                <w:color w:val="auto"/>
              </w:rPr>
            </w:pPr>
          </w:p>
        </w:tc>
        <w:tc>
          <w:tcPr>
            <w:tcW w:w="13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412.6</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1,216.0</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1,372.9</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spacing w:after="0" w:line="25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INCOME (in millions, except per share amounts)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25,</w:t>
            </w:r>
          </w:p>
        </w:tc>
        <w:tc>
          <w:tcPr>
            <w:tcW w:w="260" w:type="dxa"/>
            <w:vAlign w:val="bottom"/>
          </w:tcPr>
          <w:p>
            <w:pPr>
              <w:spacing w:after="0"/>
              <w:rPr>
                <w:sz w:val="13"/>
                <w:szCs w:val="13"/>
                <w:color w:val="auto"/>
              </w:rPr>
            </w:pPr>
          </w:p>
        </w:tc>
        <w:tc>
          <w:tcPr>
            <w:tcW w:w="16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25,</w:t>
            </w:r>
          </w:p>
        </w:tc>
        <w:tc>
          <w:tcPr>
            <w:tcW w:w="240" w:type="dxa"/>
            <w:vAlign w:val="bottom"/>
          </w:tcPr>
          <w:p>
            <w:pPr>
              <w:spacing w:after="0"/>
              <w:rPr>
                <w:sz w:val="13"/>
                <w:szCs w:val="13"/>
                <w:color w:val="auto"/>
              </w:rPr>
            </w:pPr>
          </w:p>
        </w:tc>
        <w:tc>
          <w:tcPr>
            <w:tcW w:w="144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4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2012</w:t>
            </w:r>
          </w:p>
        </w:tc>
      </w:tr>
      <w:tr>
        <w:trPr>
          <w:trHeight w:val="23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252.2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365.8</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705.6</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264.8</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516.4</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140.9</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12.9</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30.6</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Net loss per common share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(0.56)</w:t>
            </w:r>
          </w:p>
        </w:tc>
      </w:tr>
      <w:tr>
        <w:trPr>
          <w:trHeight w:val="73"/>
        </w:trPr>
        <w:tc>
          <w:tcPr>
            <w:tcW w:w="42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income (loss) per common share:</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Net loss per common share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(0.56)</w:t>
            </w:r>
          </w:p>
        </w:tc>
      </w:tr>
      <w:tr>
        <w:trPr>
          <w:trHeight w:val="73"/>
        </w:trPr>
        <w:tc>
          <w:tcPr>
            <w:tcW w:w="42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43.8</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70"/>
        </w:trPr>
        <w:tc>
          <w:tcPr>
            <w:tcW w:w="4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 in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6" w:lineRule="exact"/>
        <w:rPr>
          <w:sz w:val="20"/>
          <w:szCs w:val="20"/>
          <w:color w:val="auto"/>
        </w:rPr>
      </w:pPr>
    </w:p>
    <w:p>
      <w:pPr>
        <w:jc w:val="right"/>
        <w:ind w:right="320"/>
        <w:spacing w:after="0"/>
        <w:tabs>
          <w:tab w:leader="none" w:pos="1380" w:val="left"/>
        </w:tabs>
        <w:rPr>
          <w:sz w:val="20"/>
          <w:szCs w:val="20"/>
          <w:color w:val="auto"/>
        </w:rPr>
      </w:pPr>
      <w:r>
        <w:rPr>
          <w:rFonts w:ascii="Arial" w:cs="Arial" w:eastAsia="Arial" w:hAnsi="Arial"/>
          <w:sz w:val="16"/>
          <w:szCs w:val="16"/>
          <w:b w:val="1"/>
          <w:bCs w:val="1"/>
          <w:color w:val="auto"/>
        </w:rPr>
        <w:t>Nine Months Ended</w:t>
      </w:r>
      <w:r>
        <w:rPr>
          <w:sz w:val="20"/>
          <w:szCs w:val="20"/>
          <w:color w:val="auto"/>
        </w:rPr>
        <w:tab/>
      </w:r>
      <w:r>
        <w:rPr>
          <w:rFonts w:ascii="Arial" w:cs="Arial" w:eastAsia="Arial" w:hAnsi="Arial"/>
          <w:sz w:val="14"/>
          <w:szCs w:val="14"/>
          <w:b w:val="1"/>
          <w:bCs w:val="1"/>
          <w:color w:val="auto"/>
        </w:rPr>
        <w:t>Nine Months Ended</w:t>
      </w:r>
    </w:p>
    <w:p>
      <w:pPr>
        <w:spacing w:after="0" w:line="26" w:lineRule="exact"/>
        <w:rPr>
          <w:sz w:val="20"/>
          <w:szCs w:val="20"/>
          <w:color w:val="auto"/>
        </w:rPr>
      </w:pPr>
    </w:p>
    <w:p>
      <w:pPr>
        <w:jc w:val="right"/>
        <w:ind w:right="340"/>
        <w:spacing w:after="0"/>
        <w:tabs>
          <w:tab w:leader="none" w:pos="1360" w:val="left"/>
        </w:tabs>
        <w:rPr>
          <w:sz w:val="20"/>
          <w:szCs w:val="20"/>
          <w:color w:val="auto"/>
        </w:rPr>
      </w:pPr>
      <w:r>
        <w:rPr>
          <w:rFonts w:ascii="Arial" w:cs="Arial" w:eastAsia="Arial" w:hAnsi="Arial"/>
          <w:sz w:val="16"/>
          <w:szCs w:val="16"/>
          <w:b w:val="1"/>
          <w:bCs w:val="1"/>
          <w:color w:val="auto"/>
        </w:rPr>
        <w:t>September 25, 2011</w:t>
      </w:r>
      <w:r>
        <w:rPr>
          <w:sz w:val="20"/>
          <w:szCs w:val="20"/>
          <w:color w:val="auto"/>
        </w:rPr>
        <w:tab/>
      </w:r>
      <w:r>
        <w:rPr>
          <w:rFonts w:ascii="Arial" w:cs="Arial" w:eastAsia="Arial" w:hAnsi="Arial"/>
          <w:sz w:val="14"/>
          <w:szCs w:val="14"/>
          <w:b w:val="1"/>
          <w:bCs w:val="1"/>
          <w:color w:val="auto"/>
        </w:rPr>
        <w:t>September 30, 2012</w:t>
      </w:r>
    </w:p>
    <w:p>
      <w:pPr>
        <w:sectPr>
          <w:pgSz w:w="11900" w:h="16838" w:orient="portrait"/>
          <w:cols w:equalWidth="0" w:num="1">
            <w:col w:w="11420"/>
          </w:cols>
          <w:pgMar w:left="240" w:top="125" w:right="239" w:bottom="1440" w:gutter="0" w:footer="0" w:header="0"/>
        </w:sectPr>
      </w:pP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7220" w:val="left"/>
        </w:tabs>
        <w:rPr>
          <w:sz w:val="20"/>
          <w:szCs w:val="20"/>
          <w:color w:val="auto"/>
        </w:rPr>
      </w:pPr>
      <w:r>
        <w:rPr>
          <w:rFonts w:ascii="Arial" w:cs="Arial" w:eastAsia="Arial" w:hAnsi="Arial"/>
          <w:sz w:val="16"/>
          <w:szCs w:val="16"/>
          <w:color w:val="auto"/>
        </w:rPr>
        <w:t>Net loss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from continuing operations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Adjustments to reconcile loss from continuing operations to net cash provided by operating activities from</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 to market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deferred financing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premium on 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for doubtful accounts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interest payable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Income tax receivable and payable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for acquisitions, net of cash acquired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common stock</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Borrowing under the line of credit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for contingent acquisition consideration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flows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operating cash flows of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6"/>
          <w:szCs w:val="16"/>
          <w:color w:val="auto"/>
        </w:rPr>
        <w:t>Cash and cash equivalents at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(16.3)</w:t>
            </w: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729"/>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8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0.3</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54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8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10.3</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(42.4)</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17.3</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20.6</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16.6</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12.6</w:t>
            </w:r>
          </w:p>
        </w:tc>
        <w:tc>
          <w:tcPr>
            <w:tcW w:w="8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87"/>
        </w:trPr>
        <w:tc>
          <w:tcPr>
            <w:tcW w:w="640" w:type="dxa"/>
            <w:vAlign w:val="bottom"/>
          </w:tcPr>
          <w:p>
            <w:pPr>
              <w:jc w:val="right"/>
              <w:ind w:right="79"/>
              <w:spacing w:after="0"/>
              <w:rPr>
                <w:sz w:val="20"/>
                <w:szCs w:val="20"/>
                <w:color w:val="auto"/>
              </w:rPr>
            </w:pPr>
            <w:r>
              <w:rPr>
                <w:rFonts w:ascii="Arial" w:cs="Arial" w:eastAsia="Arial" w:hAnsi="Arial"/>
                <w:sz w:val="16"/>
                <w:szCs w:val="16"/>
                <w:color w:val="auto"/>
                <w:w w:val="90"/>
              </w:rPr>
              <w:t>(373.8)</w:t>
            </w:r>
          </w:p>
        </w:tc>
        <w:tc>
          <w:tcPr>
            <w:tcW w:w="8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79"/>
              <w:spacing w:after="0"/>
              <w:rPr>
                <w:sz w:val="20"/>
                <w:szCs w:val="20"/>
                <w:color w:val="auto"/>
              </w:rPr>
            </w:pPr>
            <w:r>
              <w:rPr>
                <w:rFonts w:ascii="Arial" w:cs="Arial" w:eastAsia="Arial" w:hAnsi="Arial"/>
                <w:sz w:val="16"/>
                <w:szCs w:val="16"/>
                <w:color w:val="auto"/>
                <w:w w:val="90"/>
              </w:rPr>
              <w:t>(375.8)</w:t>
            </w: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(160.9)</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87"/>
        </w:trPr>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427.5</w:t>
            </w:r>
          </w:p>
        </w:tc>
        <w:tc>
          <w:tcPr>
            <w:tcW w:w="8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61.1</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97.0</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(20.6)</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8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467.0</w:t>
            </w:r>
          </w:p>
        </w:tc>
        <w:tc>
          <w:tcPr>
            <w:tcW w:w="8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91.6</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103.8</w:t>
            </w: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64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98.3</w:t>
            </w:r>
          </w:p>
        </w:tc>
        <w:tc>
          <w:tcPr>
            <w:tcW w:w="8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70"/>
        </w:trPr>
        <w:tc>
          <w:tcPr>
            <w:tcW w:w="640" w:type="dxa"/>
            <w:vAlign w:val="bottom"/>
          </w:tcPr>
          <w:p>
            <w:pPr>
              <w:jc w:val="right"/>
              <w:ind w:right="139"/>
              <w:spacing w:after="0"/>
              <w:rPr>
                <w:sz w:val="20"/>
                <w:szCs w:val="20"/>
                <w:color w:val="auto"/>
              </w:rPr>
            </w:pPr>
            <w:r>
              <w:rPr>
                <w:rFonts w:ascii="Arial" w:cs="Arial" w:eastAsia="Arial" w:hAnsi="Arial"/>
                <w:sz w:val="16"/>
                <w:szCs w:val="16"/>
                <w:color w:val="auto"/>
              </w:rPr>
              <w:t>10.8</w:t>
            </w:r>
          </w:p>
        </w:tc>
        <w:tc>
          <w:tcPr>
            <w:tcW w:w="8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69.6</w:t>
            </w:r>
          </w:p>
        </w:tc>
      </w:tr>
      <w:tr>
        <w:trPr>
          <w:trHeight w:val="33"/>
        </w:trPr>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109.1</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-1007745</wp:posOffset>
            </wp:positionV>
            <wp:extent cx="13119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-2722880</wp:posOffset>
            </wp:positionV>
            <wp:extent cx="1311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-3408680</wp:posOffset>
            </wp:positionV>
            <wp:extent cx="13119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8020" w:space="720"/>
            <w:col w:w="268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-115570</wp:posOffset>
            </wp:positionV>
            <wp:extent cx="2675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information as of September 30, 2012 and for the three and nine months ended September 25, 2011 and September 30, 2012 is unaudited. The condensed consolidated balance sheet as of December 25, 2011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25, 2011, included in the Company’s Annual Report on Form 10-K filed with the U.S. Securities and Exchange Commission ("SEC") on March 7, 2012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the last month of each calendar quarter. The nine months ended September 25, 2011 consisted of a 39-week period. The nine months ended September 30, 2012 consisted of a 40-week period. There were 52 calendar weeks in the fiscal year ended on December 25, 2011 and there are 53 calendar weeks in the fiscal year ending December 30, 2012.</w:t>
      </w:r>
    </w:p>
    <w:p>
      <w:pPr>
        <w:spacing w:after="0" w:line="18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Accounting Standards Updates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There have been no changes in the Company's significant accounting policies for the nine months ended September 30, 2012 as compared to the significant accounting policies described in the Form 10-K. In addition, none of the new accounting standards updates issued by the Financial Accounting Standards Board ("FASB") during the nine months ended September 30, 2012 have had or are expected to have a material effect on the Company's consolidated financial position, results of operations, or cash flows.</w:t>
      </w:r>
    </w:p>
    <w:p>
      <w:pPr>
        <w:spacing w:after="0" w:line="18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outstanding 10% Senior Secured Notes due 2017 ("the Notes") with an aggregate principal amount of $625.0 million outstanding as of September 30, 2012. The Notes are due on June 1, 2017 and the Company pays interest at the rate of 10% per annum semi-annually, in arrears, on June</w:t>
      </w:r>
    </w:p>
    <w:p>
      <w:pPr>
        <w:spacing w:after="0" w:line="261" w:lineRule="auto"/>
        <w:rPr>
          <w:sz w:val="20"/>
          <w:szCs w:val="20"/>
          <w:color w:val="auto"/>
        </w:rPr>
      </w:pPr>
      <w:r>
        <w:rPr>
          <w:rFonts w:ascii="Arial" w:cs="Arial" w:eastAsia="Arial" w:hAnsi="Arial"/>
          <w:sz w:val="18"/>
          <w:szCs w:val="18"/>
          <w:color w:val="auto"/>
        </w:rPr>
        <w:t>1 and December 1 of each year. In addition, the Company has $88.9 million available under its existing revolving credit agreement. See Note 9 for a complete description of the Company’s debt.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the Company's control. If the conditions in its industry deteriorate, its customers cancel or postpone projects or if the Company is unable to sufficiently increase its revenues or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Recent Acquisitions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Composite Engineering, Inc.</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July 2, 2012, the Company completed the acquisition of Composite Engineering, Inc. ("CEI") for approximately $163.5 million. The purchase price, which is subject to adjustments for working capital, consists of $135.0 million paid in cash, of which $10.7 million was placed into an escrow account as security for CEI's indemnification obligations as set forth in the CEI purchase agreement, and 4.0 million shares of the Company's common stock, valued at $5.94 per share on July 2, 2012, or $23.8 million. In addition, the Company paid $2.5 million to retire certain pre-existing CEI debt and settle pre-existing accounts receivable from CEI at its carrying and fair value of $3.0 million. The Company plans to make an election under Section 338(h)(10) of the Internal Revenue Code, which will result in tax deductible goodwill related to this transaction and will cover an estimated $0.8 million in additional tax liability incurred by the shareholders of CEI for this election. The Company estimates that the tax deductible goodwill, which is subject to change based upon the final fair value of assets acquired and liabilities assumed, will be approximately $101.0 million and can be deducted for federal and California state income taxes over a 15-year period.</w:t>
      </w:r>
    </w:p>
    <w:p>
      <w:pPr>
        <w:spacing w:after="0" w:line="19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connection with the completion of the CEI transaction, certain CEI personnel entered into long-term employment agreements with the Company and on July 2, 2012, the Company granted an aggregate 2.0 million restricted stock units ("RSUs") as long-term retention inducement grants to certain employees of CEI who have joined Kratos. The RSUs, which have an estimated value of $11.9 million, vest on the fourth anniversary of the closing of the CEI acquisition, or earlier upon the occurrence of certain events, and are being accounted for as compensation expense over such four-year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per share in an underwritten public offering. The Company received gross proceeds of approximately $100.0 million and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$97.0 million after deducting underwriting fees and other offering expenses. The Company used the net proceeds from this offering to fund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for the acquisition of CEI. In addition, the Company used borrowings of $40.0 million from its revolving line of credit to fund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of CEI.</w:t>
      </w:r>
    </w:p>
    <w:p>
      <w:pPr>
        <w:spacing w:after="0" w:line="292"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Kratos Government Solutions ("KGS") segment.</w:t>
      </w:r>
    </w:p>
    <w:p>
      <w:pPr>
        <w:spacing w:after="0" w:line="2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will also enable the Company to realize significant cross selling opportunities.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estimated fair values of the major assets acquired and liabilities assumed (in millions):</w:t>
      </w:r>
    </w:p>
    <w:p>
      <w:pPr>
        <w:spacing w:after="0" w:line="115"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188.5</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July 2, 2012, the expected fair value of accounts receivable approximated historical cost. The gross accounts receivable was $9.3 million, none of which is not expected to be collectible. There was no contingent purchase consideration associated with the acquisition of CEI.</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amounts of revenue and operating income of CEI included in the Company's Condensed Consolidated Statement of Operations for the three months ended September 30, 2012 are $34.7 million and $1.7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Purchase</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December 30, 2011, the Company acquired selected assets of a critical infrastructure security and public safety system integration business (the “Critical Infrastructure Business”) for approximately $20.0 million. The asset purchase agreement provides that the purchase price will be (i) increased on a dollar-for-dollar basis if the working capital on the closing date (as defined in the asset purchase agreement) exceeds $17.0 million or (ii) decreased on a dollar-for-dollar basis if the working capital is less than $17.0 million. In accordance with the terms of the asset purchase agreement, the Company submitted its computation of the closing working capital to the Seller on April 27, 2012, which reflected a deficiency to the minimum required working capital. The Seller had 60 days to object to the Company's computation of the closing working capital. Recently, both parties have mutually agreed to extend the time to discuss the Company's closing working capital computations and the Seller's objections to November 30, 2012. As the Seller and the Company have not yet agreed on the working capital adjustment, the Company has not reflected an adjustment to the purchase price.</w:t>
      </w:r>
    </w:p>
    <w:p>
      <w:pPr>
        <w:spacing w:after="0" w:line="166"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Public Safety &amp; Security (“PSS”) segment.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estimated fair values of the major assets acquired and liabilities assumed (in millions):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407035</wp:posOffset>
            </wp:positionV>
            <wp:extent cx="366204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Accounts receivable</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62045" cy="180340"/>
                    </a:xfrm>
                    <a:prstGeom prst="rect">
                      <a:avLst/>
                    </a:prstGeom>
                    <a:noFill/>
                  </pic:spPr>
                </pic:pic>
              </a:graphicData>
            </a:graphic>
          </wp:anchor>
        </w:drawing>
      </w:r>
    </w:p>
    <w:p>
      <w:pPr>
        <w:spacing w:after="0" w:line="5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62045" cy="188595"/>
                    </a:xfrm>
                    <a:prstGeom prst="rect">
                      <a:avLst/>
                    </a:prstGeom>
                    <a:noFill/>
                  </pic:spPr>
                </pic:pic>
              </a:graphicData>
            </a:graphic>
          </wp:anchor>
        </w:drawing>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hanging="96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23.4</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29.7</w:t>
      </w:r>
    </w:p>
    <w:p>
      <w:pPr>
        <w:spacing w:after="0" w:line="63"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ind w:left="960" w:hanging="96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892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180"/>
          </w:cols>
          <w:pgMar w:left="240" w:top="125" w:right="259" w:bottom="1440"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Due to the integration of the Critical Infrastructure Business with our existing PSS business it is impractical to estimate the amounts of revenue and operating income (loss) included in the Company's Condensed Consolidated Statement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SecureInfo Corporation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November 15, 2011, the Company acquired SecureInfo Corporation (“SecureInfo”) for $20.3 million in cash, which includes a $1.5 million earn-out that was paid in March 2012. Upon completion of the SecureInfo transaction, the Company deposited $1.8 million of the purchase price into an escrow account as security for SecureInfo's indemnification obligations as set forth in the SecureInfo purchase agreement. In addition, the SecureInfo purchase agreement provided that the purchase price would be (i) increased on a dollar for dollar basis if the working capital on the closing date (as defined in the SecureInfo purchase agreement) exceeded $2.2 million or (ii) decreased on a dollar for dollar basis if the working capital was less than $2.2 million. The SecureInfo working capital was $2.1 million, and the Company and SecureInfo agreed to a working capital adjustment of $0.1 million.</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Based in northern Virginia, SecureInfo is a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Department of Defense, the Department of Homeland Security and large commercial customers, including market leading cloud computing service providers. SecureInfo is part of the KGS segment.</w:t>
      </w:r>
    </w:p>
    <w:p>
      <w:pPr>
        <w:spacing w:after="0" w:line="178" w:lineRule="exact"/>
        <w:rPr>
          <w:sz w:val="20"/>
          <w:szCs w:val="20"/>
          <w:color w:val="auto"/>
        </w:rPr>
      </w:pPr>
    </w:p>
    <w:p>
      <w:pPr>
        <w:jc w:val="both"/>
        <w:ind w:right="760" w:firstLine="648"/>
        <w:spacing w:after="0" w:line="31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SecureInfo's nationally recognized expertise in operational cybersecurity, cybersecurity risk management and cybersecurity training programs.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SecureInfo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the major assets acquired and liabilities assumed (in millions):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99"/>
        </w:trPr>
        <w:tc>
          <w:tcPr>
            <w:tcW w:w="128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1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November 15, 2011, the expected fair value of accounts receivable approximated historical cost. The gross accounts receivable was $2.9 million, none of which is not expected to be collectible.</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amounts of revenue and operating loss of SecureInfo included in the Company's Condensed Consolidated Statement of Operations for the three months ended September 30, 2012 were $4.6 million and $0.2 million, respectively. The amounts of revenue and operating income for the nine months ended September 30, 2012 were $12.3 million and $0.2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Integral Systems, Inc.</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July 27, 2011, the Company acquired Integral Systems, Inc. (“Integral”) in a cash and stock transaction valued at $241.1 million. Upon completion of the acquisition, the Company paid an aggregate of $131.4 million in cash, issued approximately 10.4 million shares of the Company's common stock valued at $108.7 million and issued replacement stock options with a fair value of $1.0 million.</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fund the cash portion of the acquisition, on July 27, 2011, the Company issued $115.0 million aggregate principal amount of 10% Senior Secured Notes due 2017 (the “Notes”). The Notes were issued at a premium of 105% for an effective interest rate of approximately 8.9%. The gross proceeds of approximately $120.8 million, which includes an approximate $5.8 million issuance premium and excludes accrued interest received of $1.8 million, were used to finance, in part, the cash portion of the purchase price for the acquisition of Integral, to refinance existing indebtedness of Integral and its subsidiaries, to pay certain severance payments in connection with the acquisition and to pay related fees and expenses. See Note 9 for a complete description of the Company's debt.</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consideration for the acquisition of Integral, each Integral stockholder received (i) $5.00 in cash, without interest, and (ii) 0.588 shares of the Company's common stock for each share of Integral common stock. In addition, upon completion of the acquisition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applicable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applicable to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or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KGS segment.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as well as advanced technologies for Unmanned Aerial Vehicles, situational awareness, remote management and numerous established electronic attack and electronic warfare platforms, tactical missile systems, and strategic deterrence systems. The Integral transaction has been accounted for using the acquisition method of accounting which requires, among other things, that the assets acquired and liabilities assumed be recognized at their fair values as of the merger date. The following table summarizes the fair values of the major assets acquired and liabilities assumed (in millions):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187.8</w:t>
            </w:r>
          </w:p>
        </w:tc>
      </w:tr>
      <w:tr>
        <w:trPr>
          <w:trHeight w:val="27"/>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of July 27, 2011, the expected fair value of accounts receivable approximated the historical cost. The gross accounts receivable was $68.5 million, of which $0.1 million is not expected to be collectible. There was no contingent purchase consideration associated with the acquisition of Integral.</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amounts of revenue and operating income of Integral included in the Company’s Condensed Consolidated Statements of Operations for the three and nine months ended September 30, 2012 were $58.1 million and $5.0 million, and $152.9 million and $7.2 million, respectively. The amounts of revenue and operating income of Integral included in the Company's Condensed Consolidated Statements of Operations for both the three and nine months ended September 25, 2011 was $44.9 million and $5.1 million,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On March 25, 2011, the Company acquired approximately 13.2 million shares of Herley Industries, Inc. ("Herley") common stock, representing approximately 94% of the total outstanding shares of Herley common stock, in a tender offer to purchase all of the outstanding shares of Herley common stock. The fair value of the non-controlling interest related to Herley as of March 25, 2011 was $16.9 million, which represents the market trading price of $19.00 per share multiplied by approximately 0.9 million shares that were not tendered as of March 25, 2011. On March 30, 2011, following the purchase of the non-controlling interest in a subsequent offering period, Herley became a wholly owned subsidiary of the Company. The shares of Herley common stock were purchased at a price of $19.00 per share. Accordingly, the Company paid approximately $245.5 million in cash consideration as of March 27, 2011, and as of April 15, 2011 the Company had paid aggregate cash consideration of $270.7 million for the shares of Herley common stock and certain in-the-money options, which were exercised upon the change in control. In addition, upon completion of the subsequent short-form merger,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(“Herley Options”). The Company assumed each Herley Option in accordance with the terms (as in effect as of the date of the Herley Merger Agreement) of the applicable Herley equity plan and the option agreement pursuant to which such Herley Option was granted. The Herley Options are exercisable for an aggregate of approximately 0.8 million shares of the Company’s common stock. All Herley Options were fully vested upon the change in control, and the fair value of the Herley Options assumed was $1.9 million. The total aggregate consideration for the purchase of Herley was $272.5 million.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the Company assumed change in control obligations of $4.0 million related to the transaction and incurred combined transaction expenses of $11.1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$13.25 per share in an underwritten public offering. Kratos received gross proceeds of approximately $64.8 million and net proceeds of approximately $61.1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fees and other offering expenses. Kratos used the net proceeds from this offering to fund a portion of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of Herley. To fund the remaining purchase price, Kratos issued $285.0 million in aggregate principal amount of Notes at a premium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 through its wholly owned subsidiary, Acquisition Co. Lanza Parent ("Lanza"), on March 25, 2011, in an unregistered offering pursuant to Rule 144A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 S under the Securities Act of 1933, as amended. On April 4, 2011, after the acquisition of Herley was complete, Lanza was merged with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Kratos and all assets and liabilities of Lanza became assets and liabilities of Kratos. See Note 9 for a complete description of the Company’s debt.</w:t>
      </w:r>
    </w:p>
    <w:p>
      <w:pPr>
        <w:spacing w:after="0" w:line="22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 security applications. Herley is part of the KGS segment.</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fair values of the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4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Debt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440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272.5</w:t>
            </w:r>
          </w:p>
        </w:tc>
      </w:tr>
      <w:tr>
        <w:trPr>
          <w:trHeight w:val="27"/>
        </w:trPr>
        <w:tc>
          <w:tcPr>
            <w:tcW w:w="44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of March 25, 2011, the expected fair value of accounts receivable approximated the historical cost. The gross accounts receivable was $39.3 million, of which $0.2 million is not expected to be collectible. There were no contingent liabilities associated with the acquisition of Herley. The Company initially recorded $47.9 million of inventory and $30.4 million in property and equipment. The Company decreased the value of acquired inventory to $42.8 million and increased the value of acquired property and equipment to $34.2 million based on the final valuations.</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amounts of revenue and operating income of Herley included in the Company’s Condensed Consolidated Statements of Operations for the three and nine months ended September 30, 2012 were $50.0 million and $8.4 million, and $145.9 million and $22.5 million, respectively. The amounts of revenue and operating income of Herley included in the Company's condensed consolidated statements of operations for the three and nine months ended September 25, 2011 were $48.7 million and $3.4 million, and $100.6 million and $9.9 million, respectively.</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accordance with FASB Accounting Standards Codification ("ASC") </w:t>
      </w:r>
      <w:r>
        <w:rPr>
          <w:rFonts w:ascii="Arial" w:cs="Arial" w:eastAsia="Arial" w:hAnsi="Arial"/>
          <w:sz w:val="16"/>
          <w:szCs w:val="16"/>
          <w:i w:val="1"/>
          <w:iCs w:val="1"/>
          <w:color w:val="auto"/>
        </w:rPr>
        <w:t>Topic 805, Business Combinations</w:t>
      </w:r>
      <w:r>
        <w:rPr>
          <w:rFonts w:ascii="Arial" w:cs="Arial" w:eastAsia="Arial" w:hAnsi="Arial"/>
          <w:sz w:val="16"/>
          <w:szCs w:val="16"/>
          <w:color w:val="auto"/>
        </w:rPr>
        <w:t xml:space="preserve"> (“Topic 805”), the allocation of the purchase price for the Company’s acquisitions of SecureInfo, the Critical Infrastructure Business, and CEI are subject to adjustment during the measurement period after the respective closing dates when additional information on asset and liability valuations become available. The above estimated fair values of assets acquired and liabilities assumed are provisional and are based on the information that was available as of the respective acquisition dates to estimate the fair value of assets acquired and liabilities assumed. Measurement period adjustments reflect new information obtained about facts and circumstances that existed as of the respective acquisition dates. The Company believes that such information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these transactions, including intangible assets, inventory, property and equipment, contingent liabilities, and deferred taxes. Thus, the provisional measurements recorded are subject to change. Any changes will be recorded as adjustments to the fair value of those assets and liabilities, and residual amounts will be allocated to goodwill. The final valuation adjustments may also require adjustment to the Condensed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acquisitions of CEI, the Critical Infrastructure Business, SecureInfo, Integral, and Herley occurred on December 27, 2010 and include adjustments that were directly attributable to the foregoing transactions or were not expected to have a continuing impact on the Company. All acquisitions were included in the results of operations for the three months ended September 30, 2012 and all acquisitions, except CEI, were included in the Company's results of operations for the nine months ended September 30, 2012. There are no material, nonrecurring pro forma adjustments directly attributable to the business combinations included in the reported pro forma revenue and earnings for 2011 and 2012. The pro forma results are for illustrative purposes only for the applicable period and do not purport to be indicative of the actual results that would have occurred had the transactions been completed as of the beginning of the period, nor are they indicative of results of operations that may occur in the future (all amounts, except per share amounts are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For the Three</w:t>
            </w: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the Nine</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Nine</w:t>
            </w:r>
          </w:p>
        </w:tc>
      </w:t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92"/>
        </w:trPr>
        <w:tc>
          <w:tcPr>
            <w:tcW w:w="550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25, 2011</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25, 2011</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2012</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attributable to the registrant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r>
      <w:tr>
        <w:trPr>
          <w:trHeight w:val="27"/>
        </w:trPr>
        <w:tc>
          <w:tcPr>
            <w:tcW w:w="5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pro forma financial information reflects acquisition related expenses incurred, pro forma adjustments for the additional amortization associated with finite-lived intangible assets acquired, additional incremental interest expense, deferred financing costs related to the financing undertaken for the Integral and Herley transactions, the change in stock compensation expense as a result of the exercise of stock options and restricted stock immediately prior to closing of the Integral and Herley transactions, stock compensation related to the RSUs granted in the CEI transaction, and the related tax expense. The weighted average common shares also reflect the issuance of 4.9 million shares in February 2011 for the Herley acquisitions and 10.4 million shares in July 2011 for the Integral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adjustments are as follows (in millions except per share data):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For the Three</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the Nine</w:t>
            </w:r>
          </w:p>
        </w:tc>
        <w:tc>
          <w:tcPr>
            <w:tcW w:w="14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For the Nine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0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25,</w:t>
            </w:r>
          </w:p>
        </w:tc>
        <w:tc>
          <w:tcPr>
            <w:tcW w:w="140" w:type="dxa"/>
            <w:vAlign w:val="bottom"/>
          </w:tcPr>
          <w:p>
            <w:pPr>
              <w:spacing w:after="0"/>
              <w:rPr>
                <w:sz w:val="12"/>
                <w:szCs w:val="12"/>
                <w:color w:val="auto"/>
              </w:rPr>
            </w:pPr>
          </w:p>
        </w:tc>
        <w:tc>
          <w:tcPr>
            <w:tcW w:w="10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September 25, 2011</w:t>
            </w:r>
          </w:p>
        </w:tc>
        <w:tc>
          <w:tcPr>
            <w:tcW w:w="14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related expenses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1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Net change in interest expense</w:t>
            </w:r>
          </w:p>
        </w:tc>
        <w:tc>
          <w:tcPr>
            <w:tcW w:w="1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income tax benefit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w w:val="90"/>
              </w:rPr>
              <w:t>Increase in weighted average common shares outstanding for shares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w w:val="95"/>
              </w:rPr>
              <w:t>issued and not already included in the weighted average common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connection with certain acquisitions, the Company has agreed to make additional future payments to the seller contingent upon achievement of specific performance-based milestones by the acquired entities. Pursuant to the provisions of </w:t>
      </w:r>
      <w:r>
        <w:rPr>
          <w:rFonts w:ascii="Arial" w:cs="Arial" w:eastAsia="Arial" w:hAnsi="Arial"/>
          <w:sz w:val="17"/>
          <w:szCs w:val="17"/>
          <w:i w:val="1"/>
          <w:iCs w:val="1"/>
          <w:color w:val="auto"/>
        </w:rPr>
        <w:t>Topic 805,</w:t>
      </w:r>
      <w:r>
        <w:rPr>
          <w:rFonts w:ascii="Arial" w:cs="Arial" w:eastAsia="Arial" w:hAnsi="Arial"/>
          <w:sz w:val="17"/>
          <w:szCs w:val="17"/>
          <w:color w:val="auto"/>
        </w:rPr>
        <w:t xml:space="preserve"> the Company will re-measure these liabilities each reporting period and record changes in the fair value in its Condensed Consolidated Statement of Operations. Increases or decreases in the fair value of the contingent consideration liability which is measured as the present value of expected future cash flows, a Level 3 (Level 3 hierarchy as defined by </w:t>
      </w:r>
      <w:r>
        <w:rPr>
          <w:rFonts w:ascii="Arial" w:cs="Arial" w:eastAsia="Arial" w:hAnsi="Arial"/>
          <w:sz w:val="17"/>
          <w:szCs w:val="17"/>
          <w:i w:val="1"/>
          <w:iCs w:val="1"/>
          <w:color w:val="auto"/>
        </w:rPr>
        <w:t>ASC Topic</w:t>
      </w:r>
      <w:r>
        <w:rPr>
          <w:rFonts w:ascii="Arial" w:cs="Arial" w:eastAsia="Arial" w:hAnsi="Arial"/>
          <w:sz w:val="17"/>
          <w:szCs w:val="17"/>
          <w:color w:val="auto"/>
        </w:rPr>
        <w:t xml:space="preserve"> </w:t>
      </w:r>
      <w:r>
        <w:rPr>
          <w:rFonts w:ascii="Arial" w:cs="Arial" w:eastAsia="Arial" w:hAnsi="Arial"/>
          <w:sz w:val="17"/>
          <w:szCs w:val="17"/>
          <w:i w:val="1"/>
          <w:iCs w:val="1"/>
          <w:color w:val="auto"/>
        </w:rPr>
        <w:t>820, Fair Value Measurements and Disclosures (“Topic 820”</w:t>
      </w:r>
      <w:r>
        <w:rPr>
          <w:rFonts w:ascii="Arial" w:cs="Arial" w:eastAsia="Arial" w:hAnsi="Arial"/>
          <w:sz w:val="17"/>
          <w:szCs w:val="17"/>
          <w:color w:val="auto"/>
        </w:rPr>
        <w:t>)) measurement in the fair value hierarchy, can result from changes in discount periods and rates,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changes in the estimates on the achievement of the performance-based milestones.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Contingent acquisition consideration as of December 25, 2011 and September 30, 2012 is summarized in the following table (in millions):</w:t>
      </w:r>
    </w:p>
    <w:p>
      <w:pPr>
        <w:spacing w:after="0" w:line="386"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25, 2011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September 30, 2012</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September 30, 2012, $2.0 million is reflected in other current liabilities and $1.1 million is reflected in other long-term liabilities in the condensed consolidated balance sheet. Other than the cash payments noted above, there were no changes in the fair value of contingent consideration for the three and nine month periods ended September 30, 2012.</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the Company will be obligated to pay certain additional contingent consideration (the “DEI Contingent Consideration”). The Company has paid $2.9 million related to the DEI Contingent Consideration, of which $2.5 million was paid in April 2012. As of September 30, 2012, the potential undiscounted amount of future DEI Contingent Consideration that may be payable by the Company under the DEI Agreement is between $1.0 million and $4.0 million, subject to potential reductions if certain cash receipts are not collected, which was reduced by $0.5 million in the third quarter of 2012 related to certain amounts that were not collected. The DEI Contingent Consideration, which includes contingent consideration already paid and potential future contingent consideration, has a right of offset in the event certain anticipated cash receipts are not collected within agreed upon time period and could reduce the prior and future contingent consideration by approximately $5.5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as of the last day of each fiscal year or when evidence of potential impairment exists.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KGS and PSS operating segments.</w:t>
      </w:r>
    </w:p>
    <w:p>
      <w:pPr>
        <w:spacing w:after="0" w:line="18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Topic 350</w:t>
      </w:r>
      <w:r>
        <w:rPr>
          <w:rFonts w:ascii="Arial" w:cs="Arial" w:eastAsia="Arial" w:hAnsi="Arial"/>
          <w:sz w:val="17"/>
          <w:szCs w:val="17"/>
          <w:color w:val="auto"/>
        </w:rPr>
        <w:t>, as a result of the Company's decision in June 2012 to dispose of certain non-core businesses acquired in the Integral acquisition, the Company allocated $1.5 million of goodwill to discontinued operations, which resulted in an impairment charge (see Note 8). The Company then tested the goodwill remaining in the KGS reporting unit. The fair value of the KGS reporting unit exceeded its carrying value by 7.4% Considering the relatively small excess of fair value over carrying value for the KGS reporting unit and given the current market conditions and continued economic uncertainty in the U.S. defense industry as a result of the Budget Control Act of 2011 (the "Budget Control Act"), the fair value of the KGS reporting unit may deteriorate, resulting in an impairment of the goodwill in that unit. Due to continual changes in market and general business conditions, the Company cannot predict whether, and to what extent, its goodwill and long-lived intangible assets may be impaired in future periods. Any resulting impairment loss could harm the Company's profitability and financial condition.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the carrying amount of goodwill for the nine months ended September 30, 2012 are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w w:val="90"/>
              </w:rPr>
              <w:t>Public</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Kratos Government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96"/>
              </w:rPr>
              <w:t>Safety &amp;</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w w:val="90"/>
              </w:rPr>
              <w:t>Security</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Retrospective adjustments</w:t>
            </w:r>
          </w:p>
        </w:tc>
        <w:tc>
          <w:tcPr>
            <w:tcW w:w="11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 after retrospective adjustments</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1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2012</w:t>
            </w: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accumulated impairment losses as of December 25, 2011 and September 30, 2012 were $165.4 million, of which $147.1 million was associated with the KGS segment and $18.3 million was associated with the PSS segment.</w:t>
      </w:r>
    </w:p>
    <w:p>
      <w:pPr>
        <w:spacing w:after="0" w:line="1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finite-lived intangible assets subject to amortization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25, 2011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1"/>
              </w:rPr>
              <w:t>As of September 30, 2012</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66.0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16.3</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In addition to the finite-lived intangible assets listed in the table above, the Company has $24.5 million of indefinite-lived intangible assets consisting of trade names at both December 25, 2011 and September 30, 2012.</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Consolidated amortization expense related to intangible assets subject to amortization was $11.9 million and $13.0 million for the three months ended September 25, 2011 and September 30, 2012, respectively, and $24.5 million and $32.4 million for the nine months ended September 25, 2011 and September 30, 2012,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future amortization expense of purchased intangible assets with finite lives as of September 30, 2012 is as follows (in millions):</w:t>
      </w:r>
    </w:p>
    <w:p>
      <w:pPr>
        <w:spacing w:after="0" w:line="390" w:lineRule="exact"/>
        <w:rPr>
          <w:sz w:val="20"/>
          <w:szCs w:val="20"/>
          <w:color w:val="auto"/>
        </w:rPr>
      </w:pPr>
    </w:p>
    <w:tbl>
      <w:tblPr>
        <w:tblLayout w:type="fixed"/>
        <w:tblInd w:w="3460" w:type="dxa"/>
        <w:tblCellMar>
          <w:top w:w="0" w:type="dxa"/>
          <w:left w:w="0" w:type="dxa"/>
          <w:bottom w:w="0" w:type="dxa"/>
          <w:right w:w="0" w:type="dxa"/>
        </w:tblCellMar>
      </w:tblPr>
      <w:tr>
        <w:trPr>
          <w:trHeight w:val="19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 (remaining three months)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2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0"/>
        </w:trPr>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25,</w:t>
            </w:r>
          </w:p>
        </w:tc>
        <w:tc>
          <w:tcPr>
            <w:tcW w:w="200" w:type="dxa"/>
            <w:vAlign w:val="bottom"/>
          </w:tcPr>
          <w:p>
            <w:pPr>
              <w:spacing w:after="0"/>
              <w:rPr>
                <w:sz w:val="14"/>
                <w:szCs w:val="14"/>
                <w:color w:val="auto"/>
              </w:rPr>
            </w:pPr>
          </w:p>
        </w:tc>
        <w:tc>
          <w:tcPr>
            <w:tcW w:w="12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5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inventoried costs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inventoried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CEI in connection with the Company's acquisition thereof on July 2, 2012.</w:t>
      </w:r>
    </w:p>
    <w:p>
      <w:pPr>
        <w:spacing w:after="0" w:line="17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65"/>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25,</w:t>
            </w:r>
          </w:p>
        </w:tc>
        <w:tc>
          <w:tcPr>
            <w:tcW w:w="160" w:type="dxa"/>
            <w:vAlign w:val="bottom"/>
          </w:tcPr>
          <w:p>
            <w:pPr>
              <w:spacing w:after="0"/>
              <w:rPr>
                <w:sz w:val="14"/>
                <w:szCs w:val="14"/>
                <w:color w:val="auto"/>
              </w:rPr>
            </w:pPr>
          </w:p>
        </w:tc>
        <w:tc>
          <w:tcPr>
            <w:tcW w:w="1180" w:type="dxa"/>
            <w:vAlign w:val="bottom"/>
          </w:tcPr>
          <w:p>
            <w:pPr>
              <w:jc w:val="center"/>
              <w:ind w:right="133"/>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6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662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Additional paid-in-capital from the issuance of common stock for cash</w:t>
            </w: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97.0</w:t>
            </w:r>
          </w:p>
        </w:tc>
      </w:tr>
      <w:tr>
        <w:trPr>
          <w:trHeight w:val="27"/>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paid-in-capital from the issuance of common stock in connection with</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traded for taxes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 and warrants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Fair value of stock options assumed in acquisitions</w:t>
            </w:r>
          </w:p>
        </w:tc>
        <w:tc>
          <w:tcPr>
            <w:tcW w:w="1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412.6</w:t>
            </w: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prior reporting periods, the Company had two classes of outstanding stock, Series B Convertible Preferred Stock and common stock. On March 8, 2011, all of the 10,000 shares of the previously issued and outstanding shares of Series B Convertible Preferred Stock were redeemed for 100,000 shares of common stock. Common stock issued by the Company for the nine months ended September 25, 2011 and September 30, 2012 was as follows (in millions):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65"/>
        </w:trPr>
        <w:tc>
          <w:tcPr>
            <w:tcW w:w="662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25,</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66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w:t>
            </w:r>
          </w:p>
        </w:tc>
      </w:tr>
      <w:tr>
        <w:trPr>
          <w:trHeight w:val="229"/>
        </w:trPr>
        <w:tc>
          <w:tcPr>
            <w:tcW w:w="6620" w:type="dxa"/>
            <w:vAlign w:val="bottom"/>
          </w:tcPr>
          <w:p>
            <w:pPr>
              <w:ind w:left="40"/>
              <w:spacing w:after="0"/>
              <w:rPr>
                <w:sz w:val="20"/>
                <w:szCs w:val="20"/>
                <w:color w:val="auto"/>
              </w:rPr>
            </w:pPr>
            <w:r>
              <w:rPr>
                <w:rFonts w:ascii="Arial" w:cs="Arial" w:eastAsia="Arial" w:hAnsi="Arial"/>
                <w:sz w:val="18"/>
                <w:szCs w:val="18"/>
                <w:color w:val="auto"/>
                <w:w w:val="94"/>
              </w:rPr>
              <w:t>Stock issued for employee stock purchase plan, stock options and restricted stock units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6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for acquisitions</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Redemption of Series B Convertible Preferred Stock</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for cash</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56.5</w:t>
            </w:r>
          </w:p>
        </w:tc>
      </w:tr>
      <w:tr>
        <w:trPr>
          <w:trHeight w:val="27"/>
        </w:trPr>
        <w:tc>
          <w:tcPr>
            <w:tcW w:w="6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w:t>
      </w:r>
      <w:r>
        <w:rPr>
          <w:rFonts w:ascii="Arial" w:cs="Arial" w:eastAsia="Arial" w:hAnsi="Arial"/>
          <w:sz w:val="17"/>
          <w:szCs w:val="17"/>
          <w:i w:val="1"/>
          <w:iCs w:val="1"/>
          <w:color w:val="auto"/>
        </w:rPr>
        <w:t>ASC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w:t>
      </w:r>
      <w:r>
        <w:rPr>
          <w:rFonts w:ascii="Arial" w:cs="Arial" w:eastAsia="Arial" w:hAnsi="Arial"/>
          <w:sz w:val="17"/>
          <w:szCs w:val="17"/>
          <w:i w:val="1"/>
          <w:iCs w:val="1"/>
          <w:color w:val="auto"/>
        </w:rPr>
        <w:t>Topic 260”</w:t>
      </w:r>
      <w:r>
        <w:rPr>
          <w:rFonts w:ascii="Arial" w:cs="Arial" w:eastAsia="Arial" w:hAnsi="Arial"/>
          <w:sz w:val="17"/>
          <w:szCs w:val="17"/>
          <w:color w:val="auto"/>
        </w:rPr>
        <w:t xml:space="preserve">). Under </w:t>
      </w:r>
      <w:r>
        <w:rPr>
          <w:rFonts w:ascii="Arial" w:cs="Arial" w:eastAsia="Arial" w:hAnsi="Arial"/>
          <w:sz w:val="17"/>
          <w:szCs w:val="17"/>
          <w:i w:val="1"/>
          <w:iCs w:val="1"/>
          <w:color w:val="auto"/>
        </w:rPr>
        <w:t>Topic 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38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earnings per share)</w:t>
            </w:r>
          </w:p>
        </w:tc>
        <w:tc>
          <w:tcPr>
            <w:tcW w:w="12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25,</w:t>
            </w:r>
          </w:p>
        </w:tc>
        <w:tc>
          <w:tcPr>
            <w:tcW w:w="12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25,</w:t>
            </w:r>
          </w:p>
        </w:tc>
        <w:tc>
          <w:tcPr>
            <w:tcW w:w="120" w:type="dxa"/>
            <w:vAlign w:val="bottom"/>
          </w:tcPr>
          <w:p>
            <w:pPr>
              <w:spacing w:after="0"/>
              <w:rPr>
                <w:sz w:val="13"/>
                <w:szCs w:val="13"/>
                <w:color w:val="auto"/>
              </w:rPr>
            </w:pPr>
          </w:p>
        </w:tc>
        <w:tc>
          <w:tcPr>
            <w:tcW w:w="102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5"/>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4"/>
              </w:rPr>
              <w:t>Weighted average outstanding shares of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Dilutive effect of employee stock options and awards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Loss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Basic (A/B)</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(A/C)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shares were excluded from the calculation of diluted loss per share because their inclusion would have been anti-dilutive: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September 25,</w:t>
            </w: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46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1"/>
              </w:rPr>
              <w:t>September 25,</w:t>
            </w:r>
          </w:p>
        </w:tc>
        <w:tc>
          <w:tcPr>
            <w:tcW w:w="1340" w:type="dxa"/>
            <w:vAlign w:val="bottom"/>
          </w:tcPr>
          <w:p>
            <w:pPr>
              <w:jc w:val="right"/>
              <w:ind w:right="18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2011</w:t>
            </w: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6"/>
                <w:szCs w:val="16"/>
                <w:color w:val="auto"/>
              </w:rPr>
            </w:pPr>
          </w:p>
        </w:tc>
        <w:tc>
          <w:tcPr>
            <w:tcW w:w="1460" w:type="dxa"/>
            <w:vAlign w:val="bottom"/>
          </w:tcPr>
          <w:p>
            <w:pPr>
              <w:jc w:val="right"/>
              <w:ind w:right="584"/>
              <w:spacing w:after="0"/>
              <w:rPr>
                <w:sz w:val="20"/>
                <w:szCs w:val="20"/>
                <w:color w:val="auto"/>
              </w:rPr>
            </w:pPr>
            <w:r>
              <w:rPr>
                <w:rFonts w:ascii="Arial" w:cs="Arial" w:eastAsia="Arial" w:hAnsi="Arial"/>
                <w:sz w:val="14"/>
                <w:szCs w:val="14"/>
                <w:b w:val="1"/>
                <w:bCs w:val="1"/>
                <w:color w:val="auto"/>
              </w:rPr>
              <w:t>2011</w:t>
            </w: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from stock options and awards</w:t>
            </w:r>
          </w:p>
        </w:tc>
        <w:tc>
          <w:tcPr>
            <w:tcW w:w="148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2.8</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2.0</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400" w:firstLine="648"/>
        <w:spacing w:after="0" w:line="276" w:lineRule="auto"/>
        <w:rPr>
          <w:sz w:val="20"/>
          <w:szCs w:val="20"/>
          <w:color w:val="auto"/>
        </w:rPr>
      </w:pPr>
      <w:r>
        <w:rPr>
          <w:rFonts w:ascii="Arial" w:cs="Arial" w:eastAsia="Arial" w:hAnsi="Arial"/>
          <w:sz w:val="17"/>
          <w:szCs w:val="17"/>
          <w:color w:val="auto"/>
        </w:rPr>
        <w:t>As of December 25, 2011, the Company had $10.2 million of unrecognized tax benefits that, if recognized, would affect the effective tax rate, subject to possible offset by an increase in the valuation allowance. During the nine months ended September 30, 2012, this amount was reduced by $0.1 million relating to the expiration of statutes of limitations. This reduction in unrecognized tax benefits was recorded as a tax benefit from discontinued operations. Additionally, the unrecognized tax benefit amount was reduced by $0.3 million as a result of the completion of an Internal Revenue Service (“IRS”) audit. This reduction in unrecognized tax benefits was recorded as a benefit from continuing operations.</w:t>
      </w:r>
    </w:p>
    <w:p>
      <w:pPr>
        <w:spacing w:after="0" w:line="17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nine months ended September 30, 2012, the Company decreased the unrecognized tax benefits of Integral by $0.1 million, which was recorded as an adjustment to goodwill. Integral's unrecognized tax benefits are related to various federal tax issues.</w:t>
      </w:r>
    </w:p>
    <w:p>
      <w:pPr>
        <w:spacing w:after="0" w:line="170" w:lineRule="exact"/>
        <w:rPr>
          <w:sz w:val="20"/>
          <w:szCs w:val="20"/>
          <w:color w:val="auto"/>
        </w:rPr>
      </w:pPr>
    </w:p>
    <w:p>
      <w:pPr>
        <w:jc w:val="both"/>
        <w:ind w:right="100" w:firstLine="567"/>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There was no material expense recorded during the nine months ended September 25, 2011. During the nine months ended September 30, 2012, a $0.3 million expense was recorded related to interest and penalties. The Company recorded a benefit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related to the reversal of prior positions of $0.7 million and $0.1 million for the nine months ended September 25, 2011 and</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September 30, 2012, respectively. The Company believes that it is reasonably possible that as much as $1.5 million of the liabilities for uncertain tax positions will expire within 12 months of September 30, 2012 due to the expiration of various applicable statutes of limitations.</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181"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assets. A reconciliation of the total income tax provision to the amount computed by applying the statutory federal income tax rate of 35% to loss from continuing operations before income tax provision for the three and nine months ended September 25, 2011 and September 30, 2012 is as follows (in millions):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25,</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25,</w:t>
            </w:r>
          </w:p>
        </w:tc>
        <w:tc>
          <w:tcPr>
            <w:tcW w:w="160" w:type="dxa"/>
            <w:vAlign w:val="bottom"/>
          </w:tcPr>
          <w:p>
            <w:pPr>
              <w:spacing w:after="0"/>
              <w:rPr>
                <w:sz w:val="13"/>
                <w:szCs w:val="13"/>
                <w:color w:val="auto"/>
              </w:rPr>
            </w:pPr>
          </w:p>
        </w:tc>
        <w:tc>
          <w:tcPr>
            <w:tcW w:w="120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4"/>
              </w:rPr>
              <w:t>State and foreign taxes, net of federal tax benefit and valuation allowance</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Release of valuation allowance due to acquisitions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indefinite lived deferred tax liabilities and state law changes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 with IRS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Increase/(decrease) in reserves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Increase/(decrease) in federal valuation allowance</w:t>
            </w: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of 1986, as amended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In March 2010, an “ownership change” occurred that will limit the utilization of the loss carryforwards. Additionally, in May 2012, another “ownership change” was triggered. As a result of this change in May, the Company's federal annual utilization of NOL carryforwards will be limited to $28.1 million a year for the five years succeeding the initial ownership change and $11.6 million per year thereafter. If the entire limitation amount is not utilized in a year, the excess can be carried forward and utilized in future years. For the nine months ended September 30, 2012,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June of 2012, consistent with the Company's plans to complete its assessment and evaluation of the non-core businesses acquired in the Integral acquisition, the Company committed to a plan to sell certain lines of business associated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with antennas, satellite-cased products and fly-away terminals. These operations were previously reported in the KGS segment, and in accordance with </w:t>
      </w:r>
      <w:r>
        <w:rPr>
          <w:rFonts w:ascii="Arial" w:cs="Arial" w:eastAsia="Arial" w:hAnsi="Arial"/>
          <w:sz w:val="16"/>
          <w:szCs w:val="16"/>
          <w:i w:val="1"/>
          <w:iCs w:val="1"/>
          <w:color w:val="auto"/>
        </w:rPr>
        <w:t>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205, Presentation of Financial Statements ("Topic 205"), </w:t>
      </w:r>
      <w:r>
        <w:rPr>
          <w:rFonts w:ascii="Arial" w:cs="Arial" w:eastAsia="Arial" w:hAnsi="Arial"/>
          <w:sz w:val="16"/>
          <w:szCs w:val="16"/>
          <w:color w:val="auto"/>
        </w:rPr>
        <w:t>these businesses have been classified as held for sale and reported in discontinued operations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accompanying condensed consolidated financial statements. In the second quarter of 2012, the Company recorded a $1.5 million impairment charge associated with the portion of goodwill that was allocated to the discontinued businesses based on management's estimate of the fair value of the business.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470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25,</w:t>
            </w:r>
          </w:p>
        </w:tc>
        <w:tc>
          <w:tcPr>
            <w:tcW w:w="24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4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6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before taxes</w:t>
            </w:r>
          </w:p>
        </w:tc>
        <w:tc>
          <w:tcPr>
            <w:tcW w:w="126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after taxes</w:t>
            </w:r>
          </w:p>
        </w:tc>
        <w:tc>
          <w:tcPr>
            <w:tcW w:w="1260" w:type="dxa"/>
            <w:vAlign w:val="bottom"/>
          </w:tcPr>
          <w:p>
            <w:pPr>
              <w:jc w:val="right"/>
              <w:ind w:right="106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benefit for income taxes for the nine months ended September 25, 2011 and September 30, 2012 was primarily due to the expiration of the statute of limitations for certain foreign tax contingencies related to the Company’s discontinued wireless services business.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non-current assets, other current liabilities and other long-term liabilities in the accompanying Condensed Consolidated Balance Sheets as of December 25, 2011 and September 30, 2012 (in millions):</w:t>
      </w:r>
    </w:p>
    <w:p>
      <w:pPr>
        <w:spacing w:after="0" w:line="32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20" w:type="dxa"/>
            <w:vAlign w:val="bottom"/>
          </w:tcPr>
          <w:p>
            <w:pPr>
              <w:jc w:val="right"/>
              <w:ind w:right="14"/>
              <w:spacing w:after="0"/>
              <w:rPr>
                <w:sz w:val="20"/>
                <w:szCs w:val="20"/>
                <w:color w:val="auto"/>
              </w:rPr>
            </w:pPr>
            <w:r>
              <w:rPr>
                <w:rFonts w:ascii="Arial" w:cs="Arial" w:eastAsia="Arial" w:hAnsi="Arial"/>
                <w:sz w:val="14"/>
                <w:szCs w:val="14"/>
                <w:b w:val="1"/>
                <w:bCs w:val="1"/>
                <w:color w:val="auto"/>
              </w:rPr>
              <w:t>December 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4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2012</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9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9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Long-term liabilities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as trustee and collateral agent (as amended or supplemented the “Indenture”), to issue the Notes. As of September 30, 2012, the Company has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June 1 and December 1 of each year. The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30, 2012, the Company was in compliance with the covenants contained in the Indenture governing the Notes.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Notes at 110% of the aggregate principal amount of the Notes, plus accrued and unpaid interest to the date of redemption,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November 14, 2011, the Company entered into a first amendment (the “First Amendment”) with certain lenders and KeyBank which amended the 2011 Credit Agreement. Among other things, the First Amendment: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71"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On May 4, 2012, the Company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available to be borrowed under the 2011 Credit Agreement to $135.0 million subject to KeyBank's approval, and (v) updated certain schedules to the Credit Agreement.</w:t>
      </w:r>
    </w:p>
    <w:p>
      <w:pPr>
        <w:spacing w:after="0" w:line="18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The Company used the net proceeds from the sale of 20.0 million shares of its common stock, together with the borrowings under its credit facility, to fund the purchase of CEI on July 2, 2012 and to pay related fees and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of borrowings that may be made under the Amended Revolver are based on a borrowing base and are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September 30, 2012, there were no outstanding borrowings on the Amended Revolver and $13.0 million was outstanding on letters of credit resulting in net borrowing base availability of $88.9 million. The Company was in compliance with the financial covenants as of September 30,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 assumed a $10.0 million 10-year term loan with a bank in Israel that Herley entered into on September 16, 2008 in connection with the acquisition of one of its wholly owned subsidiaries. The balance as of September 30, 2012 was $6.0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September 30, 2012.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25, 2011 and September 30, 2012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25, 2011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631.8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631.0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650.7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$19.7 million as of September 30, 2012, which is the difference between the carrying amount of $650.7 million and the principal amount of $631.0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December 25, 2011 and September 30, 2012 are presented in Note 9. The carrying value of all other financial instruments, including cash and cash equivalents, accounts receivable, accounts payable and short-term debt, approximated their estimated fair values at December 25, 2011 and September 30,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it’s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w:t>
      </w:r>
      <w:r>
        <w:rPr>
          <w:rFonts w:ascii="Arial" w:cs="Arial" w:eastAsia="Arial" w:hAnsi="Arial"/>
          <w:sz w:val="18"/>
          <w:szCs w:val="18"/>
          <w:i w:val="1"/>
          <w:iCs w:val="1"/>
          <w:color w:val="auto"/>
        </w:rPr>
        <w:t>i.e</w:t>
      </w:r>
      <w:r>
        <w:rPr>
          <w:rFonts w:ascii="Arial" w:cs="Arial" w:eastAsia="Arial" w:hAnsi="Arial"/>
          <w:sz w:val="18"/>
          <w:szCs w:val="18"/>
          <w:color w:val="auto"/>
        </w:rPr>
        <w:t>., changes in interest rate payments) attributable to fluctuations in the three-month LIBOR on certain previously outstanding variable-rate debt.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There were no interest rate swaps outstanding as of and for the nine months ended September 30, 2012.</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Company's derivative financial instruments, which were cash flow hedges, were considered ineffective as a result of the interest rate floor that occurred with the first amendment of the first credit facility with KeyBank of $85.0 million in March 2008. The effect of marking the derivative instruments to market for the nine months ended September 25, 2011 was income of $0.3 million. There were no derivative liabilities outstanding as of December 25, 2011 or September 30, 2012.</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$157.9 million and $162.9 million, or 75% and 59%, of total revenue for the three months ended September 25, 2011 and September 30, 2012, respectively, and approximately $374.4 million and $443.8 million, or 74% and 63%, of total revenue for the nine months ended September 25, 2011 and September 30, 2012, respectively.</w:t>
      </w:r>
    </w:p>
    <w:p>
      <w:pPr>
        <w:spacing w:after="0" w:line="17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next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that will start in 2013 and be split between defense and non-defense programs and continue over a nine-year period. Any automatic reductions in national defense programs could impact the Company's significant customers. The impact of the Budget Control Act remains unknown, and the Company's business and industry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&amp;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shares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operating income, and assets generated or held by the Company’s current reporting segments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2011 and September 30, 2012 are as follows (in millions):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w w:val="94"/>
              </w:rPr>
              <w:t>Nine Months Ended</w:t>
            </w:r>
          </w:p>
        </w:tc>
      </w:tr>
      <w:tr>
        <w:trPr>
          <w:trHeight w:val="152"/>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00" w:type="dxa"/>
            <w:vAlign w:val="bottom"/>
            <w:gridSpan w:val="3"/>
          </w:tcPr>
          <w:p>
            <w:pPr>
              <w:jc w:val="right"/>
              <w:ind w:right="239"/>
              <w:spacing w:after="0" w:line="153" w:lineRule="exact"/>
              <w:rPr>
                <w:sz w:val="20"/>
                <w:szCs w:val="20"/>
                <w:color w:val="auto"/>
              </w:rPr>
            </w:pPr>
            <w:r>
              <w:rPr>
                <w:rFonts w:ascii="Arial" w:cs="Arial" w:eastAsia="Arial" w:hAnsi="Arial"/>
                <w:sz w:val="14"/>
                <w:szCs w:val="14"/>
                <w:b w:val="1"/>
                <w:bCs w:val="1"/>
                <w:color w:val="auto"/>
              </w:rPr>
              <w:t>September 25,</w:t>
            </w:r>
          </w:p>
        </w:tc>
        <w:tc>
          <w:tcPr>
            <w:tcW w:w="120" w:type="dxa"/>
            <w:vAlign w:val="bottom"/>
          </w:tcPr>
          <w:p>
            <w:pPr>
              <w:spacing w:after="0"/>
              <w:rPr>
                <w:sz w:val="13"/>
                <w:szCs w:val="13"/>
                <w:color w:val="auto"/>
              </w:rPr>
            </w:pPr>
          </w:p>
        </w:tc>
        <w:tc>
          <w:tcPr>
            <w:tcW w:w="14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58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25,</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36"/>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Kratos Government Solutions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9"/>
              <w:spacing w:after="0"/>
              <w:rPr>
                <w:sz w:val="20"/>
                <w:szCs w:val="20"/>
                <w:color w:val="auto"/>
              </w:rPr>
            </w:pPr>
            <w:r>
              <w:rPr>
                <w:rFonts w:ascii="Arial" w:cs="Arial" w:eastAsia="Arial" w:hAnsi="Arial"/>
                <w:sz w:val="18"/>
                <w:szCs w:val="18"/>
                <w:color w:val="auto"/>
              </w:rPr>
              <w:t>174.2</w:t>
            </w:r>
          </w:p>
        </w:tc>
        <w:tc>
          <w:tcPr>
            <w:tcW w:w="920" w:type="dxa"/>
            <w:vAlign w:val="bottom"/>
            <w:gridSpan w:val="2"/>
          </w:tcPr>
          <w:p>
            <w:pPr>
              <w:jc w:val="center"/>
              <w:ind w:right="439"/>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223.5</w:t>
            </w:r>
          </w:p>
        </w:tc>
        <w:tc>
          <w:tcPr>
            <w:tcW w:w="920" w:type="dxa"/>
            <w:vAlign w:val="bottom"/>
            <w:gridSpan w:val="2"/>
          </w:tcPr>
          <w:p>
            <w:pPr>
              <w:jc w:val="center"/>
              <w:ind w:right="479"/>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568.2</w:t>
            </w: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center"/>
              <w:ind w:right="55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276.3</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center"/>
              <w:ind w:right="57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705.6</w:t>
            </w:r>
          </w:p>
        </w:tc>
      </w:tr>
      <w:tr>
        <w:trPr>
          <w:trHeight w:val="67"/>
        </w:trPr>
        <w:tc>
          <w:tcPr>
            <w:tcW w:w="224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04"/>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9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Kratos Government Solutions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9"/>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center"/>
              <w:ind w:right="439"/>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920" w:type="dxa"/>
            <w:vAlign w:val="bottom"/>
            <w:gridSpan w:val="2"/>
          </w:tcPr>
          <w:p>
            <w:pPr>
              <w:jc w:val="center"/>
              <w:ind w:right="479"/>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32.4</w:t>
            </w: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Unallocated corporate expense, net</w:t>
            </w:r>
          </w:p>
        </w:tc>
        <w:tc>
          <w:tcPr>
            <w:tcW w:w="9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22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9.7</w:t>
            </w:r>
          </w:p>
        </w:tc>
        <w:tc>
          <w:tcPr>
            <w:tcW w:w="920" w:type="dxa"/>
            <w:vAlign w:val="bottom"/>
            <w:tcBorders>
              <w:bottom w:val="single" w:sz="8" w:color="CCEEFF"/>
            </w:tcBorders>
            <w:gridSpan w:val="2"/>
            <w:shd w:val="clear" w:color="auto" w:fill="CCEEFF"/>
          </w:tcPr>
          <w:p>
            <w:pPr>
              <w:jc w:val="center"/>
              <w:ind w:right="43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920" w:type="dxa"/>
            <w:vAlign w:val="bottom"/>
            <w:tcBorders>
              <w:bottom w:val="single" w:sz="8" w:color="CCEEFF"/>
            </w:tcBorders>
            <w:gridSpan w:val="2"/>
            <w:shd w:val="clear" w:color="auto" w:fill="CCEEFF"/>
          </w:tcPr>
          <w:p>
            <w:pPr>
              <w:jc w:val="center"/>
              <w:ind w:right="479"/>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90"/>
        </w:trPr>
        <w:tc>
          <w:tcPr>
            <w:tcW w:w="2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As of</w:t>
            </w:r>
          </w:p>
        </w:tc>
        <w:tc>
          <w:tcPr>
            <w:tcW w:w="560" w:type="dxa"/>
            <w:vAlign w:val="bottom"/>
          </w:tcPr>
          <w:p>
            <w:pPr>
              <w:spacing w:after="0"/>
              <w:rPr>
                <w:sz w:val="24"/>
                <w:szCs w:val="24"/>
                <w:color w:val="auto"/>
              </w:rPr>
            </w:pPr>
          </w:p>
        </w:tc>
        <w:tc>
          <w:tcPr>
            <w:tcW w:w="10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As of</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5"/>
        </w:trPr>
        <w:tc>
          <w:tcPr>
            <w:tcW w:w="2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25,</w:t>
            </w:r>
          </w:p>
        </w:tc>
        <w:tc>
          <w:tcPr>
            <w:tcW w:w="15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2"/>
        </w:trPr>
        <w:tc>
          <w:tcPr>
            <w:tcW w:w="224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6"/>
        </w:trPr>
        <w:tc>
          <w:tcPr>
            <w:tcW w:w="224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2240" w:type="dxa"/>
            <w:vAlign w:val="bottom"/>
          </w:tcPr>
          <w:p>
            <w:pPr>
              <w:spacing w:after="0"/>
              <w:rPr>
                <w:sz w:val="21"/>
                <w:szCs w:val="21"/>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900" w:type="dxa"/>
            <w:vAlign w:val="bottom"/>
          </w:tcPr>
          <w:p>
            <w:pPr>
              <w:spacing w:after="0"/>
              <w:rPr>
                <w:sz w:val="21"/>
                <w:szCs w:val="21"/>
                <w:color w:val="auto"/>
              </w:rPr>
            </w:pPr>
          </w:p>
        </w:tc>
        <w:tc>
          <w:tcPr>
            <w:tcW w:w="60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21"/>
                <w:szCs w:val="21"/>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1,187.8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24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2240" w:type="dxa"/>
            <w:vAlign w:val="bottom"/>
          </w:tcPr>
          <w:p>
            <w:pPr>
              <w:spacing w:after="0"/>
              <w:rPr>
                <w:sz w:val="21"/>
                <w:szCs w:val="21"/>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24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7"/>
        </w:trPr>
        <w:tc>
          <w:tcPr>
            <w:tcW w:w="2240" w:type="dxa"/>
            <w:vAlign w:val="bottom"/>
          </w:tcPr>
          <w:p>
            <w:pPr>
              <w:spacing w:after="0"/>
              <w:rPr>
                <w:sz w:val="22"/>
                <w:szCs w:val="22"/>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1,216.0</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1,372.9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
        </w:trPr>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increase in the assets in the KGS and PSS segments are primarily attributable to the acquisitions of CEI on July 2, 2012 and the Critical Infrastructure Business on December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additional information regarding the Company's legal proceedings, see Item 3, “Legal Proceedings” in the Form 10-K.</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Integral, which we acquired on July 27, 2011, was previously the subject of a SEC investigation. On July 30, 2009, the SEC and Integral each announced that an administrative settlement had been reached concluding the SEC's investigation.</w:t>
      </w:r>
    </w:p>
    <w:p>
      <w:pPr>
        <w:spacing w:after="0" w:line="30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 xml:space="preserve">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7"/>
          <w:szCs w:val="17"/>
          <w:i w:val="1"/>
          <w:iCs w:val="1"/>
          <w:color w:val="auto"/>
        </w:rPr>
        <w:t>United States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and Exchange Commission v. Steven R. Chamberlain, Elaine M. Brown, and Gary A. Prince, </w:t>
      </w:r>
      <w:r>
        <w:rPr>
          <w:rFonts w:ascii="Arial" w:cs="Arial" w:eastAsia="Arial" w:hAnsi="Arial"/>
          <w:sz w:val="17"/>
          <w:szCs w:val="17"/>
          <w:color w:val="auto"/>
        </w:rPr>
        <w:t>Case No. 09-CV-01423, pending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District of 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we have assumed these indemnification obligations. The indemnification agreements each provide, subject to certain terms and conditions, that we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we 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advancing payment of indemnifiable costs pursuant to the indemnification agreements. The case is scheduled for trial in December 2012.</w:t>
      </w:r>
    </w:p>
    <w:p>
      <w:pPr>
        <w:spacing w:after="0" w:line="200" w:lineRule="exact"/>
        <w:rPr>
          <w:sz w:val="20"/>
          <w:szCs w:val="20"/>
          <w:color w:val="auto"/>
        </w:rPr>
      </w:pPr>
    </w:p>
    <w:p>
      <w:pPr>
        <w:spacing w:after="0" w:line="376" w:lineRule="exact"/>
        <w:rPr>
          <w:sz w:val="20"/>
          <w:szCs w:val="20"/>
          <w:color w:val="auto"/>
        </w:rPr>
      </w:pPr>
    </w:p>
    <w:p>
      <w:pPr>
        <w:ind w:firstLine="554"/>
        <w:spacing w:after="0" w:line="257" w:lineRule="auto"/>
        <w:rPr>
          <w:sz w:val="20"/>
          <w:szCs w:val="20"/>
          <w:color w:val="auto"/>
        </w:rPr>
      </w:pPr>
      <w:r>
        <w:rPr>
          <w:rFonts w:ascii="Arial" w:cs="Arial" w:eastAsia="Arial" w:hAnsi="Arial"/>
          <w:sz w:val="18"/>
          <w:szCs w:val="18"/>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 The aggregate amounts accrued related to these matters are not material to the total liabilities of the Company.</w:t>
      </w:r>
    </w:p>
    <w:p>
      <w:pPr>
        <w:spacing w:after="0" w:line="18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25,</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liabilities assumed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9.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Senior Secured Notes are not guaranteed by the Company's foreign subsidiaries (the “Non-Guarantor Subsidiaries”).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tables present condensed consolidated financial statements for the parent company, the Subsidiary Guarantors and the Non-Guarantor Subsidiaries, respectively.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25, 2011</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421.0</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993.9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903.4</w:t>
            </w:r>
          </w:p>
        </w:tc>
        <w:tc>
          <w:tcPr>
            <w:tcW w:w="0" w:type="dxa"/>
            <w:vAlign w:val="bottom"/>
          </w:tcPr>
          <w:p>
            <w:pPr>
              <w:spacing w:after="0"/>
              <w:rPr>
                <w:sz w:val="1"/>
                <w:szCs w:val="1"/>
                <w:color w:val="auto"/>
              </w:rPr>
            </w:pPr>
          </w:p>
        </w:tc>
      </w:tr>
      <w:tr>
        <w:trPr>
          <w:trHeight w:val="217"/>
        </w:trPr>
        <w:tc>
          <w:tcPr>
            <w:tcW w:w="370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466.0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0"/>
          </w:cols>
          <w:pgMar w:left="240" w:top="125" w:right="7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September 30, 2012</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456.6</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Amounts due from affiliated companies, long-term</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678.5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1,103.7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1,270.3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1,372.9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2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649.7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960.3</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1,372.9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60"/>
          </w:cols>
          <w:pgMar w:left="240" w:top="125" w:right="7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Three Months Ended September 25, 2011</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113.4</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206.6</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68.6</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147.6</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Operating income from continuing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other income and expense, net</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Consolidating Statement of Operations and Comprehensive Income</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Nine Months Ended September 25, 2011</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Guarantors on a</w:t>
            </w: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86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Combined Basis</w:t>
            </w:r>
          </w:p>
        </w:tc>
        <w:tc>
          <w:tcPr>
            <w:tcW w:w="30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4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w:t>
            </w: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355.4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368.7</w:t>
            </w: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Operating income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net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other income and expense, net</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w:t>
            </w:r>
          </w:p>
        </w:tc>
      </w:tr>
      <w:tr>
        <w:trPr>
          <w:trHeight w:val="33"/>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Income (loss) from continuing operations before income</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Provision for income taxes from continuing operations</w:t>
            </w:r>
          </w:p>
        </w:tc>
        <w:tc>
          <w:tcPr>
            <w:tcW w:w="4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Income from discontinued operations</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5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3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60"/>
          </w:cols>
          <w:pgMar w:left="240" w:top="125" w:right="5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left="800" w:right="2420"/>
        <w:spacing w:after="0" w:line="265" w:lineRule="auto"/>
        <w:rPr>
          <w:sz w:val="20"/>
          <w:szCs w:val="20"/>
          <w:color w:val="auto"/>
        </w:rPr>
      </w:pPr>
      <w:r>
        <w:rPr>
          <w:rFonts w:ascii="Arial" w:cs="Arial" w:eastAsia="Arial" w:hAnsi="Arial"/>
          <w:sz w:val="16"/>
          <w:szCs w:val="16"/>
          <w:b w:val="1"/>
          <w:bCs w:val="1"/>
          <w:color w:val="auto"/>
        </w:rPr>
        <w:t>Condensed Consolidating Statement of Operations and Comprehensive Income Three Months Ended September 30, 2012 (Unaudited)</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3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Non-Guarantors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on a Combined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Parent Company</w:t>
            </w:r>
          </w:p>
        </w:tc>
        <w:tc>
          <w:tcPr>
            <w:tcW w:w="1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Combined Basis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Eliminations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217"/>
        </w:trPr>
        <w:tc>
          <w:tcPr>
            <w:tcW w:w="3720" w:type="dxa"/>
            <w:vAlign w:val="bottom"/>
          </w:tcPr>
          <w:p>
            <w:pPr>
              <w:ind w:left="20"/>
              <w:spacing w:after="0"/>
              <w:rPr>
                <w:sz w:val="20"/>
                <w:szCs w:val="20"/>
                <w:color w:val="auto"/>
              </w:rPr>
            </w:pPr>
            <w:r>
              <w:rPr>
                <w:rFonts w:ascii="Arial" w:cs="Arial" w:eastAsia="Arial" w:hAnsi="Arial"/>
                <w:sz w:val="16"/>
                <w:szCs w:val="16"/>
                <w:color w:val="auto"/>
              </w:rPr>
              <w:t>Service revenues</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125.6</w:t>
            </w:r>
          </w:p>
        </w:tc>
      </w:tr>
      <w:tr>
        <w:trPr>
          <w:trHeight w:val="33"/>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r>
      <w:tr>
        <w:trPr>
          <w:trHeight w:val="217"/>
        </w:trPr>
        <w:tc>
          <w:tcPr>
            <w:tcW w:w="3720" w:type="dxa"/>
            <w:vAlign w:val="bottom"/>
          </w:tcPr>
          <w:p>
            <w:pPr>
              <w:ind w:left="100"/>
              <w:spacing w:after="0"/>
              <w:rPr>
                <w:sz w:val="20"/>
                <w:szCs w:val="20"/>
                <w:color w:val="auto"/>
              </w:rPr>
            </w:pPr>
            <w:r>
              <w:rPr>
                <w:rFonts w:ascii="Arial" w:cs="Arial" w:eastAsia="Arial" w:hAnsi="Arial"/>
                <w:sz w:val="16"/>
                <w:szCs w:val="16"/>
                <w:color w:val="auto"/>
              </w:rPr>
              <w:t>Total revenues</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276.3</w:t>
            </w:r>
          </w:p>
        </w:tc>
      </w:tr>
      <w:tr>
        <w:trPr>
          <w:trHeight w:val="33"/>
        </w:trPr>
        <w:tc>
          <w:tcPr>
            <w:tcW w:w="3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service revenues</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Cost of product sales</w:t>
            </w:r>
          </w:p>
        </w:tc>
        <w:tc>
          <w:tcPr>
            <w:tcW w:w="4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103.9</w:t>
            </w:r>
          </w:p>
        </w:tc>
      </w:tr>
      <w:tr>
        <w:trPr>
          <w:trHeight w:val="33"/>
        </w:trPr>
        <w:tc>
          <w:tcPr>
            <w:tcW w:w="3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costs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202.2</w:t>
            </w:r>
          </w:p>
        </w:tc>
      </w:tr>
      <w:tr>
        <w:trPr>
          <w:trHeight w:val="217"/>
        </w:trPr>
        <w:tc>
          <w:tcPr>
            <w:tcW w:w="372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74.1</w:t>
            </w:r>
          </w:p>
        </w:tc>
      </w:tr>
      <w:tr>
        <w:trPr>
          <w:trHeight w:val="33"/>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4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3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income from continuing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37"/>
        </w:trPr>
        <w:tc>
          <w:tcPr>
            <w:tcW w:w="3720" w:type="dxa"/>
            <w:vAlign w:val="bottom"/>
          </w:tcPr>
          <w:p>
            <w:pPr>
              <w:ind w:left="100"/>
              <w:spacing w:after="0"/>
              <w:rPr>
                <w:sz w:val="20"/>
                <w:szCs w:val="20"/>
                <w:color w:val="auto"/>
              </w:rPr>
            </w:pPr>
            <w:r>
              <w:rPr>
                <w:rFonts w:ascii="Arial" w:cs="Arial" w:eastAsia="Arial" w:hAnsi="Arial"/>
                <w:sz w:val="16"/>
                <w:szCs w:val="16"/>
                <w:color w:val="auto"/>
              </w:rPr>
              <w:t>Other income, net</w:t>
            </w:r>
          </w:p>
        </w:tc>
        <w:tc>
          <w:tcPr>
            <w:tcW w:w="4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3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other income and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200"/>
        </w:trPr>
        <w:tc>
          <w:tcPr>
            <w:tcW w:w="3720" w:type="dxa"/>
            <w:vAlign w:val="bottom"/>
          </w:tcPr>
          <w:p>
            <w:pPr>
              <w:ind w:left="20"/>
              <w:spacing w:after="0"/>
              <w:rPr>
                <w:sz w:val="20"/>
                <w:szCs w:val="20"/>
                <w:color w:val="auto"/>
              </w:rPr>
            </w:pPr>
            <w:r>
              <w:rPr>
                <w:rFonts w:ascii="Arial" w:cs="Arial" w:eastAsia="Arial" w:hAnsi="Arial"/>
                <w:sz w:val="16"/>
                <w:szCs w:val="16"/>
                <w:color w:val="auto"/>
                <w:w w:val="93"/>
              </w:rPr>
              <w:t>Income (loss) from continuing operations before income</w:t>
            </w: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3720" w:type="dxa"/>
            <w:vAlign w:val="bottom"/>
          </w:tcPr>
          <w:p>
            <w:pPr>
              <w:ind w:left="20"/>
              <w:spacing w:after="0"/>
              <w:rPr>
                <w:sz w:val="20"/>
                <w:szCs w:val="20"/>
                <w:color w:val="auto"/>
              </w:rPr>
            </w:pPr>
            <w:r>
              <w:rPr>
                <w:rFonts w:ascii="Arial" w:cs="Arial" w:eastAsia="Arial" w:hAnsi="Arial"/>
                <w:sz w:val="16"/>
                <w:szCs w:val="16"/>
                <w:color w:val="auto"/>
              </w:rPr>
              <w:t>taxes</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Provision for income taxes from continuing operations</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372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3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3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3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240" w:top="125" w:right="7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Consolidating Statement of Operations and Comprehensive Income</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Nine Months Ended September 30, 2012</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8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4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365.8</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705.6</w:t>
            </w:r>
          </w:p>
        </w:tc>
      </w:tr>
      <w:tr>
        <w:trPr>
          <w:trHeight w:val="217"/>
        </w:trPr>
        <w:tc>
          <w:tcPr>
            <w:tcW w:w="3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264.8</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516.4</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145.7</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Operating income from continuing operations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net</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other income and expense, net</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Income (loss) from continuing operations before income</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Provision for income taxes from continuing operations</w:t>
            </w:r>
          </w:p>
        </w:tc>
        <w:tc>
          <w:tcPr>
            <w:tcW w:w="4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7"/>
        </w:trPr>
        <w:tc>
          <w:tcPr>
            <w:tcW w:w="386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
        </w:trPr>
        <w:tc>
          <w:tcPr>
            <w:tcW w:w="3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240" w:top="125" w:right="5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Nine Months Ended September 25, 2011</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Guarantors on a</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12.6</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(373.8)</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(375.8)</w:t>
            </w:r>
          </w:p>
        </w:tc>
      </w:tr>
      <w:tr>
        <w:trPr>
          <w:trHeight w:val="231"/>
        </w:trPr>
        <w:tc>
          <w:tcPr>
            <w:tcW w:w="40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the issuance of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427.5</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Proceeds from the issuance of common stock</w:t>
            </w:r>
          </w:p>
        </w:tc>
        <w:tc>
          <w:tcPr>
            <w:tcW w:w="4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61.1</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Debt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Repayment of debt</w:t>
            </w:r>
          </w:p>
        </w:tc>
        <w:tc>
          <w:tcPr>
            <w:tcW w:w="4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 from affiliated companies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4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 from continuing</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467.0</w:t>
            </w: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103.8</w:t>
            </w:r>
          </w:p>
        </w:tc>
      </w:tr>
      <w:tr>
        <w:trPr>
          <w:trHeight w:val="33"/>
        </w:trPr>
        <w:tc>
          <w:tcPr>
            <w:tcW w:w="4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w w:val="90"/>
              </w:rPr>
              <w:t>Effect of exchange rate changes on cash and cash equivalents</w:t>
            </w:r>
          </w:p>
        </w:tc>
        <w:tc>
          <w:tcPr>
            <w:tcW w:w="4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Nine Months Ended September 30, 2012</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Parent</w:t>
            </w: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 Combined</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r>
      <w:tr>
        <w:trPr>
          <w:trHeight w:val="231"/>
        </w:trPr>
        <w:tc>
          <w:tcPr>
            <w:tcW w:w="40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Debt issuance costs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Borrowing under the line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Repayment of debt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paid for contingent acquisition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4060" w:type="dxa"/>
            <w:vAlign w:val="bottom"/>
          </w:tcPr>
          <w:p>
            <w:pPr>
              <w:ind w:left="100"/>
              <w:spacing w:after="0"/>
              <w:rPr>
                <w:sz w:val="20"/>
                <w:szCs w:val="20"/>
                <w:color w:val="auto"/>
              </w:rPr>
            </w:pPr>
            <w:r>
              <w:rPr>
                <w:rFonts w:ascii="Arial" w:cs="Arial" w:eastAsia="Arial" w:hAnsi="Arial"/>
                <w:sz w:val="16"/>
                <w:szCs w:val="16"/>
                <w:color w:val="auto"/>
              </w:rPr>
              <w:t>Financings from affiliated companies</w:t>
            </w:r>
          </w:p>
        </w:tc>
        <w:tc>
          <w:tcPr>
            <w:tcW w:w="1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0"/>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91.6</w:t>
            </w:r>
          </w:p>
        </w:tc>
      </w:tr>
      <w:tr>
        <w:trPr>
          <w:trHeight w:val="3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57"/>
        </w:trPr>
        <w:tc>
          <w:tcPr>
            <w:tcW w:w="4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w:t>
      </w:r>
    </w:p>
    <w:p>
      <w:pPr>
        <w:spacing w:after="0" w:line="18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(this“Form 10-Q”) to conform such statements to actual results or to changes in our expectations.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amortization expense, may be considered non-GAAP (as defined below) financial measures. We believe this information is useful to investors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because it provides a basis for measuring the operating performance of our business and our cash flow, excluding the effect of items that would normally be included in the most directly comparable measures calculated and presented in accordance with principles generally accepted in the U.S.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us may not be comparable to similarly titled amounts reported by other companies.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that affect our business, including without limitation our Annual Report on Form 10-K, filed with the U.S. Securities and Exchange Commission (the“SEC”) on March 7, 2012 (the “Form 10-K”), including the disclosures made in Item 1A “Risk Factors” and the audited consolidated financial statements and related notes included therein, and the disclosures made in Item 1A “Risk Factors” in this Form 10-Q. All references to “us,” “we,” “our,” the “Company” and “Kratos” refer to Kratos Defense &amp; Security Solutions, Inc., a Delaware corporation,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a specialized national security technology business providing mission critical products, services and solutions for U.S. national security priorities.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manufacture and design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national security clearances, extensive list of past performance qualifications, and significant management and operational capabilities position us for continued growth.</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2011, Congress and the Administration enacted the Budget Control Act of 2011 (the “Budget Act”) in order to permit an increase in the federal government's borrowing limit while reducing projected net government spending over the next ten years. The Budget Act required $900 billion in immediate cuts to discretionary spending for 2012-2021. It also established a bi-partisan congressional Joint Select Committee on Deficit Reduction (the “Joint Committee”), which is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that will start in 2013 and be split between defense and non-defense programs continuing over a nine-year period. Should Congress and the Administration fail to change or delay the pending sequestration imposed by the Budget Act, our customers could see their budgets dramatically reduced across the board with a corresponding impact upon procurement of products and services, and this could have significant consequences to our business and industry. Although it appears Congressional leadership and the Obama Administration are considering options to avoid such an outcome, it remains uncertain as to whether they will succeed in doing so.</w:t>
      </w:r>
    </w:p>
    <w:p>
      <w:pPr>
        <w:spacing w:after="0" w:line="18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Congress has not passed the Fiscal Year ("FY") 2013 budget, but it has ratified and the President has signed a continuing resolution that provides funding through March 27, 2013 for the Department of Defense (“DoD”) at discretionary spending levels in accordance with the Budget Act and represents a slight increase over the FY 2012 budget. The continuing resolution and pending decisions related to sequestration may result in delays in the procurement of our products and services due to lack of funding, and those delays may affect our results of operations and negatively impact our cash flows.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We believe that spending on modernization and maintenance of defense, intelligence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Unmanned Aerial Vehicles, cybersecurity, ballistic missile defense, space programs and science and technology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supplemented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 Since March 2011, we have acquired four companies and selected assets of a critical infrastructure security and safety system integration business, each as discussed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30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July 2, 2012, we completed the acquisition of CEI for approximately $163.5 million. The purchase price, which is subject to adjustments for working capital, consists of $135.0 million in cash, of which $10.7 million was placed into an escrow account as security for CEI's indemnification obligations as set forth in the CEI purchase agreement, and 4.0 million shares of the Company's common stock, valued at $5.94 per share on July 2, 2012, or $23.8 million. In addition, we paid $2.5 million to retire certain pre-existing CEI debt and settle pre-existing accounts receivable from CEI at its carrying and fair value of $3.0 million. We plan to make an election under Section 338(h)(10) of the Internal Revenue Code, which will result in tax deductible goodwill related to this transaction and will cover an estimated $0.8 million in additional tax liability incurred by the shareholders of CEI for this election. We estimate that the tax deductible goodwill, which is subject to change based upon the final fair value of assets acquired and liabilities assumed, will be approximately $101.0 million and can be deducted for federal and California state income taxes over a 15-year period.</w:t>
      </w:r>
    </w:p>
    <w:p>
      <w:pPr>
        <w:spacing w:after="0" w:line="4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connection with the CEI acquisition certain CEI personnel entered into long-term employment agreements with us and on July 2, 2012, we granted an aggregate 2.0 million restricted stock units ("RSUs") as long-term retention inducement grants to certain employees of CEI who have joined Kratos. The RSUs, which have an estimated value of $11.9 million, cliff vest on the fourth anniversary of the closing of the CEI acquisition, or earlier upon the occurrence of certain events, and are being accounted for as compensation expense over this four year period.</w:t>
      </w:r>
    </w:p>
    <w:p>
      <w:pPr>
        <w:spacing w:after="0" w:line="17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To fund the acquisition of CEI, on May 14, 2012, we sold approximately 20.0 million shares of its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fund the purchase price of CEI.</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262"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On November 15, 2011, we acquired SecureInfo Corporation (“SecureInfo”) for $20.3 million in cash, which includes a $1.5 million earn-out payment made in the first quarter of 2012. Based in northern Virginia, SecureInfo is a leading cybersecurity company specializing in assisting defense, intelligence, civilian government and commercial customers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DHS and large commercial customers, including market-leading cloud computing service providers.</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July 27, 2011, we acquired Integral Systems, Inc. (“Integral”) in a cash and stock transaction valued at $241.1 million. As consideration for the acquisition of Integral, each Integral stockholder (i) received $5.00 per share of Integral common stock, in cash, for an aggregate payment of approximately $131.4 million and (ii) was issued 0.588 shares of our common stock for each share of Integral common stock held by each such stockholder, for an aggregate of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w:t>
      </w:r>
    </w:p>
    <w:p>
      <w:pPr>
        <w:spacing w:after="0" w:line="15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addition, upon completion of the merger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our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 shares of Herley common stock were purchased at a price of $19.00 per share. Accordingly, we paid total aggregate cash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$270.7 million in respect of the shares of Herley common stock and certain in-the-money options, which were exercised upon the change in control of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completion of the merger, all unexercised options to purchase Herley common stock were assumed by us and converted into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our common stock, entitling the holders thereof to receive 1.3495 shares of our common stock for each share of Herley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options. Herley is a leading provider of microwave technologies for use in command and control systems, flight instrumentation, weapons sensors, radar,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electronic warfare and electronic attack systems. Herley has served the defense industry for approximately 45 years by designing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 microwave devices for use in high-technology defense electronics applications. It has established relationships, experience and expertise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military electronics, electronic warfare and electronic attack industry. Herley's products represent key components in the national security efforts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as they are employed in mission critical electronic warfare, electronic attack, electronic warfare threat and radar simulation, command and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 and cyber warfare/cybersecurity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30, 2011, we acquired selected assets of a critical infrastructure security and public safety system integration business (the “Critical Infrastructure Business”) for approximately $20.0 million. The asset purchase agreement provides that the purchase price will be (i) increased on a dollar for dollar basis if the working capital on the closing date (as defined in the asset agreement) exceeds $17.0 million or (ii) decreased on a dollar for dollar basis if the working capital is less than $17.0 million. We submitted our computation of the closing working capital to the seller on April 27, 2012, reporting a deficiency to the minimum required working capital. The seller had 60 days to object to our computation of the closing working capital. Recently, both parties have mutually agreed to extend the time to discuss our working capital computations and the Seller's objections to November 30, 2012. As we have not yet agreed on the working capital adjustment, we have not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reflected an adjustment to the purchase price.</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2012, we consider the following factors to be important in understanding our financial statements.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 price contracts, we utilize both cost-to-cost and units produced measures under the percentage-of-completion method of accounting under the provisions of Financial Accounting Standards Board (“FASB”) Accounting Standards Codification (“ASC”)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25, 2011 to the Three Months Ended September 30, 2012</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$69.7 million from $206.6 million for the three months ended September 25, 2011 to $276.3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2012. KGS segment revenue increased by $49.3 million. This increase was primarily due to revenues of $59.7 million from our acquisitions as well as organic growth in our businesses, partially offset by the timing of orders and shipments in our ground equipment business and legacy weapons systems sustainment business and continued ongoing weakness and increased competition in our legacy government services businesses, including continued in-sourcing of our employees by the U.S. Government. PSS segment revenue increased by $20.4 million, due to both organic growth and the acquisition of the Critical Infrastructure Business. Revenues by operating segment for the three months ended September 25, 2011 and September 30, 2012 are as follows (dollars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25, 2011</w:t>
            </w:r>
          </w:p>
        </w:tc>
        <w:tc>
          <w:tcPr>
            <w:tcW w:w="2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34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900" w:type="dxa"/>
            <w:vAlign w:val="bottom"/>
          </w:tcPr>
          <w:p>
            <w:pPr>
              <w:jc w:val="right"/>
              <w:ind w:right="5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Public Safety &amp; Security</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-376555</wp:posOffset>
            </wp:positionV>
            <wp:extent cx="1080770"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360045"/>
                    </a:xfrm>
                    <a:prstGeom prst="rect">
                      <a:avLst/>
                    </a:prstGeom>
                    <a:noFill/>
                  </pic:spPr>
                </pic:pic>
              </a:graphicData>
            </a:graphic>
          </wp:anchor>
        </w:drawing>
      </w:r>
    </w:p>
    <w:p>
      <w:pPr>
        <w:spacing w:after="0" w:line="182"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Product sales increased $37.3 million from $113.4 million for the three months ended September 25, 2011 to $150.7 million for the three months ended September 30, 2012. As a percentage of total revenue, product sales were 54.9% for the three months ended September 25, 2011 as compared to</w:t>
      </w:r>
    </w:p>
    <w:p>
      <w:pPr>
        <w:ind w:right="120"/>
        <w:spacing w:after="0" w:line="273" w:lineRule="auto"/>
        <w:rPr>
          <w:sz w:val="20"/>
          <w:szCs w:val="20"/>
          <w:color w:val="auto"/>
        </w:rPr>
      </w:pPr>
      <w:r>
        <w:rPr>
          <w:rFonts w:ascii="Arial" w:cs="Arial" w:eastAsia="Arial" w:hAnsi="Arial"/>
          <w:sz w:val="17"/>
          <w:szCs w:val="17"/>
          <w:color w:val="auto"/>
        </w:rPr>
        <w:t>54.5% for the three months ended September 30, 2012. The increase in product sales was primarily related to the acquisition of CEI and Integral. Service revenues increased by $32.4 million from $93.2 million for the three months ended September 25, 2011 to $125.6 million for the three months ended September 30, 2012. The increase was primarily related to the acquisitions of Integral, SecureInfo and the Critical Infrastructure Business, partially offset by the reductions in the legacy government service revenue in other business units in the KGS segment as discussed above.</w:t>
      </w:r>
    </w:p>
    <w:p>
      <w:pPr>
        <w:spacing w:after="0" w:line="17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$54.6 million from $147.6 million for the three months ended September 25, 2011 to $202.2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2012. The increase in cost of revenues was primarily a result of costs from our acquisitions and costs related to revenue from organic growth in our PSS segment as discussed above.</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Gross margin decreased from 28.6% for the three months ended September 25, 2011 to 26.8% for the three months ended September 30, 2012. Margins on services decreased for the three months ended September 25, 2011 as compared to September 30, 2012, from 26.4% to 21.7%, respectively, due primarily to the acquisition of the Critical Infrastructure Business, as well as the continued margin pressure experienced in the legacy government services businesses in our KGS segment. Margins on products increased for the three months ended September 25, 2011 as compared to September 30, 2012 from 30.3% to 31.1%, respectively, as a result of the acquisition of Integral and CEI. Margins in the KGS segment decreased from 28.4% for the three months ended September 25, 2011 to 27.4% for the three months ended September 30, 2012, primarily as a result of lower gross margins from service revenue in our legacy services business units. Margins in the PSS segment decreased from 29.6% for the three months ended September 25, 2011 to 24.2% for the three months ended September 30, 2012 as a result of the mix of revenue and due to the acquisition of the Critical Infrastructure Business, for which all planned cost reduction actions have not yet been fully implemented.</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$12.1 million from $42.4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25, 2011 to $54.5 million for the three months ended September 30, 2012. The increase was primarily a result of the acquisitions of SecureInfo, Integral, the Critical Infrastructure Business, and CEI. As a percentage of revenues, SG&amp;A decreased from 20.5% to 19.7%. Excluding amortization of intangibles of $11.9 million for the three months ended September 25, 2011 and amortization of intangibles of $13.0 million for the three months ended September 30, 2012, SG&amp;A increased slightly as a percentage of revenues from 14.8% to 15.0% for the three months ended September 25, 2011 and September 30, 2012, respectively.</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for the three months ended September 25, 2011 were $3.7 million,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the acquisition of Integral. Merger and acquisition expenses for the three months ended September 30, 2012 were $0.3 million, which were primarily related to our acquisition of CEI in the third quarter of 2012.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$3.2 million for the three months ended September 25,</w:t>
      </w:r>
      <w:r>
        <w:rPr>
          <w:rFonts w:ascii="Arial" w:cs="Arial" w:eastAsia="Arial" w:hAnsi="Arial"/>
          <w:sz w:val="18"/>
          <w:szCs w:val="18"/>
          <w:i w:val="1"/>
          <w:iCs w:val="1"/>
          <w:color w:val="auto"/>
        </w:rPr>
        <w:t xml:space="preserve"> </w:t>
      </w:r>
      <w:r>
        <w:rPr>
          <w:rFonts w:ascii="Arial" w:cs="Arial" w:eastAsia="Arial" w:hAnsi="Arial"/>
          <w:sz w:val="18"/>
          <w:szCs w:val="18"/>
          <w:color w:val="auto"/>
        </w:rPr>
        <w:t>2011 to $4.5 million for the three months ended September 30, 2012, primarily related to the acquisition of Integral and CEI, and due to select investments we are making to enhance certain satellite and electronic warfare/electronic attack products.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$15.3 million to $17.2 million for the three months ended September 25,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respectively. The increase in expense of $1.9 million is primarily related to a $2.5 million increase in interest expense as a result of the Notes issued in July 2011, primarily to fund the Integral acquisition. The increase in interest expense was partially offset by the impact of foreign currency transaction gains.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three months ended September 25, 2011 and September 30, 2012 was $1.6 million and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on a loss before income taxes of $5.6 million and $3.1 million, respectively. The expense for both periods was primarily related to state and foreign taxes.</w:t>
      </w:r>
    </w:p>
    <w:p>
      <w:pPr>
        <w:spacing w:after="0" w:line="181" w:lineRule="exact"/>
        <w:rPr>
          <w:sz w:val="20"/>
          <w:szCs w:val="20"/>
          <w:color w:val="auto"/>
        </w:rPr>
      </w:pPr>
    </w:p>
    <w:p>
      <w:pPr>
        <w:ind w:right="120" w:firstLine="693"/>
        <w:spacing w:after="0" w:line="259"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Revenue from discontinued operations was $4.4 million and $6.0 million and income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$0.3 million and $0.2 million for the three months ended September 25, 2011 and September 30, 2012, respectively. The revenue and income for the three months ended September 25, 2011 and September 30, 2012 was primarily related to operations of the non-core businesses from the Integral acquisition that have been classified as held for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25, 2011 to the Nine Months Ended September 30, 2012</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$205.1 million from $500.5 million for the nine months ended September 25, 2011 to $705.6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2012. KGS segment revenue increased by $151.3 million. This increase was primarily due to our acquisitions which had combined revenues of $209.6 million, as well as organic growth in our ballistic missile defense and learning, performance and training businesses, offset by the completion of acquired small business contracts in the first quarter of 2011, ongoing weakness and increased competition in our legacy services businesses, and continued in-sourcing of our employees by the U.S. Government, resulting in an aggregate net reduction of approximately $30.9 million, and the timing of orders and shipments in our ground equipment business and legacy weapons systems sustainment business, resulting in an aggregate net reduction of approximately $29.9 million. PSS segment revenue increased by $53.8 million, which was primarily due to the acquisition of the Critical Infrastructure Business on December 30, 2011 as well as organic growth in our legacy PSS business. Revenues by operating segment for the nine months ended September 25, 2011 and September 30, 2012 are as follows (dollars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25,</w:t>
            </w:r>
          </w:p>
        </w:tc>
        <w:tc>
          <w:tcPr>
            <w:tcW w:w="28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22"/>
        </w:trPr>
        <w:tc>
          <w:tcPr>
            <w:tcW w:w="4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900" w:type="dxa"/>
            <w:vAlign w:val="bottom"/>
          </w:tcPr>
          <w:p>
            <w:pPr>
              <w:jc w:val="right"/>
              <w:ind w:right="5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Public Safety &amp; Security</w:t>
            </w:r>
          </w:p>
        </w:tc>
        <w:tc>
          <w:tcPr>
            <w:tcW w:w="2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Product sales increased $113.6 million from $252.2 million for the nine months ended September 25, 2011 to $365.8 million for the nine months ended September 30, 2012. As a percentage of total revenue, product sales were 50.4% for the nine months ended September 25, 2011 as compared to 51.8% for the nine months ended September 30, 2012. The increase in product sales was primarily related to the acquisitions of Integral, Herley and CEI, partially offset by the timing of orders and shipments in our ground equipment business. Service revenues increased by $91.5 million from $248.3 million for the nine months ended September 25, 2011 to $339.8 million for the nine months ended September 30, 2012. The increase was primarily related to the acquisitions of Integral, SecureInfo and the Critical Infrastructure Business, partially offset by the reductions in service revenue in other business units in the KGS segment as discussed above.</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$368.7 million for the nine months ended September 25, 2011 to $516.4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2012. The $147.7 million increase in cost of revenues was primarily a result of our acquisitions partially offset by reductions in cost of revenues in our KGS segment as a result of decreased revenue as discussed above.</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Gross margin increased from 26.3% for the nine months ended September 25, 2011 to 26.8% for the nine months ended September 30, 2012. Margins on services decreased from 24.7% for the nine months ended September 25, 2011 to 22.1% for the nine months ended September 30, 2012, due primarily to the acquisition of the Critical Infrastructure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well as the continued margin pressure experienced in our service business. Margins on products increased for the nine months ended September 25, 2011 as compared to September 30, 2012 from 27.9% to 31.2%, respectively, as a result of the acquisitions of CEI, Integral and Herley. Margins in the KGS segment increased from 25.1% for the nine months ended September 25, 2011 to 27.1% for the nine months ended September 30, 2012 primarily as a result of the higher gross margins from our CEI, Integral, Herley, and SecureInfo acquisitions. Margins in the PSS segment decreased from 28.8% for the nine months ended September 25, 2011 to 25.8% for the nine months ended September 30, 2012 as a result of the mix of revenue and due to the acquisition of the Critical Infrastructure Business, for which cost reduction actions have not yet been fully implemented.</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increased $45.2 million from $95.7 million for the nine months ended September 25, 2011 to</w:t>
      </w:r>
      <w:r>
        <w:rPr>
          <w:rFonts w:ascii="Arial" w:cs="Arial" w:eastAsia="Arial" w:hAnsi="Arial"/>
          <w:sz w:val="17"/>
          <w:szCs w:val="17"/>
          <w:i w:val="1"/>
          <w:iCs w:val="1"/>
          <w:color w:val="auto"/>
        </w:rPr>
        <w:t xml:space="preserve"> </w:t>
      </w:r>
      <w:r>
        <w:rPr>
          <w:rFonts w:ascii="Arial" w:cs="Arial" w:eastAsia="Arial" w:hAnsi="Arial"/>
          <w:sz w:val="17"/>
          <w:szCs w:val="17"/>
          <w:color w:val="auto"/>
        </w:rPr>
        <w:t>$140.9 million for the nine months ended September 30, 2012. The increase was primarily a result of the acquisitions of SecureInfo, Integral, Herley, the Critical Infrastructure Business and CEI. As a percentage of revenues, SG&amp;A increased from 19.1% to 20.0%. Excluding amortization of intangibles of $24.5 million for the nine months ended September 25, 2011 and amortization of intangibles of $32.4 million for the nine months ended September 30, 2012, SG&amp;A increased as a percentage of revenues from 14.2% to 15.4% for the nine months ended September 25, 2011 and September 30, 2012, respectively, reflecting the SG&amp;A of our acquisitions of SecureInfo, Integral, Herley, the Critical Infrastructure Business and CEI, which have higher SG&amp;A as a percentage of revenues and corresponding higher gross margin percentages.</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decreased $8.6 million from $11.3 million to $2.7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25, 2011 and September 30, 2012, respectively. Acquisition expenses are related primarily to our acquisitions of Herley and Integral in 2011 and to our acquisitions of the Critical Infrastructure Business and CEI in 2012.</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$5.0 million for the nine months ended September 25,</w:t>
      </w:r>
      <w:r>
        <w:rPr>
          <w:rFonts w:ascii="Arial" w:cs="Arial" w:eastAsia="Arial" w:hAnsi="Arial"/>
          <w:sz w:val="18"/>
          <w:szCs w:val="18"/>
          <w:i w:val="1"/>
          <w:iCs w:val="1"/>
          <w:color w:val="auto"/>
        </w:rPr>
        <w:t xml:space="preserve"> </w:t>
      </w:r>
      <w:r>
        <w:rPr>
          <w:rFonts w:ascii="Arial" w:cs="Arial" w:eastAsia="Arial" w:hAnsi="Arial"/>
          <w:sz w:val="18"/>
          <w:szCs w:val="18"/>
          <w:color w:val="auto"/>
        </w:rPr>
        <w:t>2011 to $12.9 million for the nine months ended September 30, 2012 primarily related to the acquisitions of CEI, Integral and Herley, as well as due to select investments we are making to enhance certain satellite and electronic warfare/electronic attack products.</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from $34.8 million to $48.6 million for the nine months ended September 25, 2011 and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2012, respectively. The increase in expense of $13.8 million is primarily related to an increase in interest expense as a result of the Notes issued in March 2011 and July 2011, primarily to fund the Herley and Integral acquisitions. In 2012, the interest expense was partially offset by other income of $1.3 million primarily related to foreign currency transaction gains as well as a favorable contractual settlement.</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We recorded an income tax provision of $1.3 million on a loss of $15.0 million before income taxes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25, 2011. The provision of $1.3 million was primarily related to state and foreign income taxes of $3.1 million, which cannot be offset by our net operating losses, partially offset by an income tax refund claim of $2.1 million that was settled with the IRS. We recorded an income tax expense of $3.8 million on a loss of $18.0 million before income taxes for the nine months ended September 30, 2012. The expense was primarily related to state and foreign taxes.</w:t>
      </w:r>
    </w:p>
    <w:p>
      <w:pPr>
        <w:spacing w:after="0" w:line="1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For the nine months ended September 25, 2011, revenue from discontinued operations was $4.4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net income was $0.7 million. The income of $0.7 million included an income tax benefit of approximately $0.3 million due to the expiration of the statute of limitations for items that had previously been reserved. For the nine months ended September 30, 2012, revenue was $13.3 million and loss from discontinued operations was $2.6 million. The revenue, income and loss for the nine months ended September 25, 2011 and September 30, 2012 was primarily related to operations of the non-core businesses from the Integral acquisition that have been classified as held for sale as of June 2012. In 2012, we recorded a $1.5 million impairment charge associated with the portion of goodwill that was allocated to the discontinued businesses based on our estimate of the fair value of the businesses. For the nine months ended September 30, 2012, we recognized a tax benefit of $0.1 million, primarily related to the expiration of the statute of limitations for certain foreign tax contingencies from our discontinued wireless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25, 2011 and September 30, 2012, our backlog was approximately $1.0 billion and $1.3 billion, respectively, of which $548.0 million was funded in 2011 and $692.0 million was funded in 2012. Backlog is our estimate of the amount of revenue we expect to realize over the remaining life of awarded contracts and task orders that we have in hand as of the measurement date. Our total backlog consists of funded and unfunded backlog. We define funded backlog as estimated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 .</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September 30, 2012, we had cash and cash equivalents of $37.6 million compared with cash and cash equivalents of $69.6 million as of December 25, 2011, which includes $18.0 million and $14.2 million, respectively, of cash and cash equivalents held by our foreign subsidiaries. We are not presently aware of any restrictions on the repatriation of these funds, although a portion may be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$19.7 million received on Notes issued, decreased by $4.2 million from $655.9 million on December 25, 2011 to $651.7 million on September 30, 2012. The decrease in debt was primarily the result of the amortization of the premium on the Notes of approximately $3.1 million and an $0.8 million principal payment on a ten-year term loan with a bank in Israel.</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operating cash flow is used to finance trade accounts receivable, fund necessary increases in inventory, fund capital expenditures and our ongoing operations, service our debt and make strategic acquisitions. Financing trade accounts receivable is necessary because, on average, our customers do not pay us as quickly as we pay our vendors and employees for their goods and services.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accounts receivable balance of $281.4 million at September 30, 2012 includes $1.2 million of receivables due from a Greek customer under a subcontract arrangement Gichner Holdings, Inc. ("Gichner") entered into with the Greek Ministry of Defense (GMoD) in 2004 prior to our acquisition of Gichner in 2010. After numerous delays by our customer and the GMoD, activity has recently resumed on the project. We currently expect product shipments to continue throughout 2012 with final shipment by mid-2013. We do not have any significant direct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exposure to European government receivables, and our customers do not rely heavily on European government subsidies or other European government support. We will continue to monitor our exposure to risks relating to European sovereign debt.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000" w:type="dxa"/>
            <w:vAlign w:val="bottom"/>
          </w:tcPr>
          <w:p>
            <w:pPr>
              <w:ind w:left="6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82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w w:val="99"/>
              </w:rPr>
              <w:t>September 25, 2011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30, 2012</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000" w:type="dxa"/>
            <w:vAlign w:val="bottom"/>
            <w:shd w:val="clear" w:color="auto" w:fill="CCEEFF"/>
          </w:tcPr>
          <w:p>
            <w:pPr>
              <w:jc w:val="right"/>
              <w:ind w:right="18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35.1</w:t>
            </w:r>
          </w:p>
        </w:tc>
      </w:tr>
      <w:tr>
        <w:trPr>
          <w:trHeight w:val="27"/>
        </w:trPr>
        <w:tc>
          <w:tcPr>
            <w:tcW w:w="58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Cash provided by operating activities from continuing operations for the nine months ended September 25, 2011 and September 30, 2012 includes the semi-annual interest payment of $25.5 million and $31.3 million, respectively, on the Notes and $20.9 million and $3.0 million, respectively, in transaction costs paid related to our acquisitions.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ind w:left="18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900" w:type="dxa"/>
            <w:vAlign w:val="bottom"/>
          </w:tcPr>
          <w:p>
            <w:pPr>
              <w:jc w:val="right"/>
              <w:ind w:right="396"/>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25, 2011</w:t>
            </w:r>
          </w:p>
        </w:tc>
        <w:tc>
          <w:tcPr>
            <w:tcW w:w="300" w:type="dxa"/>
            <w:vAlign w:val="bottom"/>
          </w:tcPr>
          <w:p>
            <w:pPr>
              <w:spacing w:after="0"/>
              <w:rPr>
                <w:sz w:val="24"/>
                <w:szCs w:val="24"/>
                <w:color w:val="auto"/>
              </w:rPr>
            </w:pPr>
          </w:p>
        </w:tc>
        <w:tc>
          <w:tcPr>
            <w:tcW w:w="1900" w:type="dxa"/>
            <w:vAlign w:val="bottom"/>
          </w:tcPr>
          <w:p>
            <w:pPr>
              <w:jc w:val="right"/>
              <w:ind w:right="416"/>
              <w:spacing w:after="0"/>
              <w:rPr>
                <w:sz w:val="20"/>
                <w:szCs w:val="20"/>
                <w:color w:val="auto"/>
              </w:rPr>
            </w:pPr>
            <w:r>
              <w:rPr>
                <w:rFonts w:ascii="Arial" w:cs="Arial" w:eastAsia="Arial" w:hAnsi="Arial"/>
                <w:sz w:val="14"/>
                <w:szCs w:val="14"/>
                <w:b w:val="1"/>
                <w:bCs w:val="1"/>
                <w:color w:val="auto"/>
              </w:rPr>
              <w:t>September 30, 2012</w:t>
            </w:r>
          </w:p>
        </w:tc>
      </w:tr>
      <w:tr>
        <w:trPr>
          <w:trHeight w:val="236"/>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6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0" w:firstLine="648"/>
        <w:spacing w:after="0" w:line="342" w:lineRule="auto"/>
        <w:rPr>
          <w:sz w:val="20"/>
          <w:szCs w:val="20"/>
          <w:color w:val="auto"/>
        </w:rPr>
      </w:pPr>
      <w:r>
        <w:rPr>
          <w:rFonts w:ascii="Arial" w:cs="Arial" w:eastAsia="Arial" w:hAnsi="Arial"/>
          <w:sz w:val="16"/>
          <w:szCs w:val="16"/>
          <w:color w:val="auto"/>
        </w:rPr>
        <w:t>Cash paid for acquisitions accounted for the most significant outlays for investing activities for the nine months ended September 25, 2011 and September 30, 2012, in each case as a result of the implementation of our strategy to diversify our business through strategic acquisitions.</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December 2010, we acquired Southside Container &amp; Trailer, LLC (“SCT”) and in March 2011, we paid $0.3 million to the SCT shareholders as SCT's indemnification obligations as set forth in the applicable acquisition agreement were met.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March 25, 2011, we completed our initial tender offer for all outstanding shares of Herley common stock, par value $0.001 per share. On that day, we paid $245.5 million for approximately 12.9 million shares of Herley common stock, which excluded 0.3 million shares that had been tendered via a notice of guaranteed delivery. Through purchases in a subsequent offering period and a short-form merger, we completed our acquisition of Herley on March 30, 2011 and paid an additional $25.1 million in April 2011 for the balance of the outstanding shares of 1.2 million and the Herley Options that were exercised as a result of the change in control.</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July 27, 2011, we completed the acquisition of Integral and paid approximately $131.4 million for the cash portion of the purchase of Integral common stock and options and to retire Integral's existing debt and capital leases.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December 30, 2011, we acquired selected assets of the Critical Infrastructure Business for approximately $20.0 million. In March 2012, we paid $1.5 million related to the contingent acquisition consideration for SecureInfo for performance milestones achieved in 2011.</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2, 2012, we completed the acquisition of CEI and paid approximately $136.7 million for the cash portion of the purchase of CEI common stock and to retire CEI's existing debt and capital leases.</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Capital expenditures consist primarily of investment in machinery, computer hardware and software, and improvement of our physical properties in order to maintain suitable conditions in which to conduct our business. The increase in capital expenditures of $6.1 million from $5.3 million for the nine months ended September 25, 2011 to $12.0 million for the nine months ended September 30, 2012 was primarily a result of the capital expenditures of Herley, Integral, and CEI.</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6"/>
                <w:szCs w:val="16"/>
                <w:color w:val="auto"/>
              </w:rPr>
            </w:pPr>
          </w:p>
        </w:tc>
        <w:tc>
          <w:tcPr>
            <w:tcW w:w="1820" w:type="dxa"/>
            <w:vAlign w:val="bottom"/>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25, 2011</w:t>
            </w:r>
          </w:p>
        </w:tc>
        <w:tc>
          <w:tcPr>
            <w:tcW w:w="280" w:type="dxa"/>
            <w:vAlign w:val="bottom"/>
          </w:tcPr>
          <w:p>
            <w:pPr>
              <w:spacing w:after="0"/>
              <w:rPr>
                <w:sz w:val="24"/>
                <w:szCs w:val="24"/>
                <w:color w:val="auto"/>
              </w:rPr>
            </w:pPr>
          </w:p>
        </w:tc>
        <w:tc>
          <w:tcPr>
            <w:tcW w:w="182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 2012</w:t>
            </w:r>
          </w:p>
        </w:tc>
      </w:tr>
      <w:tr>
        <w:trPr>
          <w:trHeight w:val="236"/>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Borrowings under credit facility</w:t>
            </w:r>
          </w:p>
        </w:tc>
        <w:tc>
          <w:tcPr>
            <w:tcW w:w="28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40.0</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During the nine months ended September 25, 2011, cash provided by financing activities was primarily related to proceeds from equity and debt offerings that we used to finance our acquisition of Herley and Integral. In March 2011, we issued Notes in the aggregate principal amount of $285.0 million at a $20.0 million premium for an effective interest rate of 8.5%. The gross proceeds were approximately $314.0 million, which includes approximately $9.0 million in accrued interest and $20.0 million in issuance premium. We paid $14.6 million in debt issuance costs related to this offering. In July 2011, we issued Notes in the aggregate principal amount of $115.0 million at a $5.8 million premium and an effective interest rate of 8.9%. The gross proceeds of approximately $120.8 million excludes accrued interest received of $1.8 million.</w:t>
      </w:r>
    </w:p>
    <w:p>
      <w:pPr>
        <w:spacing w:after="0" w:line="178"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February 11,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we received approximately $61.1 million in net proceeds.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2012, we paid $2.5 million in contingent acquisition consideration related to the DEI Services Corporation performance milestones achieved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2011.</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as well as borrowings of $40.0 million from our revolving line of credit to fund the cash consideration paid to the stockholders of CEI in connection with our acquisition in July 2, 2012. As of September 30, 2012, we had repaid the $40.0 million borrowed on our revolving line of credit for the acquisition of CEI.</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“Contractual Obligations and Commitments” for a further discussion of the Notes and our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6"/>
                <w:szCs w:val="16"/>
                <w:color w:val="auto"/>
              </w:rPr>
            </w:pPr>
          </w:p>
        </w:tc>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25, 2011</w:t>
            </w:r>
          </w:p>
        </w:tc>
        <w:tc>
          <w:tcPr>
            <w:tcW w:w="2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Arial" w:cs="Arial" w:eastAsia="Arial" w:hAnsi="Arial"/>
                <w:sz w:val="14"/>
                <w:szCs w:val="14"/>
                <w:b w:val="1"/>
                <w:bCs w:val="1"/>
                <w:color w:val="auto"/>
              </w:rPr>
              <w:t>September 30, 2012</w:t>
            </w:r>
          </w:p>
        </w:tc>
      </w:tr>
      <w:tr>
        <w:trPr>
          <w:trHeight w:val="243"/>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discontinued operations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2.1</w:t>
            </w:r>
          </w:p>
        </w:tc>
      </w:tr>
      <w:tr>
        <w:trPr>
          <w:trHeight w:val="27"/>
        </w:trPr>
        <w:tc>
          <w:tcPr>
            <w:tcW w:w="6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fund our acquisitions in 2011 and 2012, we issued equity and increased our leverage through a series of financing transactions.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(as amended or supplemented the “Indenture”), to issue the Notes. As of September 30, 2012, we have issued Notes in the aggregate principal amount of $625.0 million under the Indenture, of which $225.0 million were issued on May 19, 2010, $285.0 million were issued on March 25, 2011 at a $20.0 million premium and an effective interest rate of 8.5 % and $115.0 million were issued on July 27, 2011 at a $5.8 million premium and an effective interest rate of</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8.9%. These Notes have been used to fund acquisitions and for general corporate purposes. 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9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30, 2012, we were in compliance with the covenants contained in the Indenture governing the Notes.</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date of redemption,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as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On November 14, 2011, we entered into a first amendment (the “First Amendment”) with certain lenders and KeyBank, which amended the 2011 Credit Agreement. Among other things, the First Amendment: (i) increased the amount of the Amended Revolver from $65.0 million to $90.0 million;</w:t>
      </w:r>
    </w:p>
    <w:p>
      <w:pPr>
        <w:ind w:right="20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to and modified the definitions of certain terms contained in the 2011 Credit Agreement; (iii) added PNC Bank, National Association as a lender under the 2011 Credit Agreement; and (iv) updated certain schedules to the 2011 Credit Agreement.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4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200" w:lineRule="exact"/>
        <w:rPr>
          <w:sz w:val="20"/>
          <w:szCs w:val="20"/>
          <w:color w:val="auto"/>
        </w:rPr>
      </w:pPr>
    </w:p>
    <w:p>
      <w:pPr>
        <w:spacing w:after="0" w:line="29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May 8, 2012, we entered into a third amendment (the "Third Amendment") to the 2011 Credit Agreement. Under the terms of the Third Amendment, the definitions of certain terms of the 2011 Credit Agreement were modified and the acquisition of CEI was approved. We used the net proceeds from the sale of 20.0 million shares of our common stock, together with a $40.0 million borrowing under the Amended Revolver, to fund the purchase of the CEI and to pay related fees and expenses. As of September 30, 2012, we have repaid the $40.0 million borrowing under our credit facility.</w:t>
      </w:r>
    </w:p>
    <w:p>
      <w:pPr>
        <w:spacing w:after="0" w:line="23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September 30, 2012, there were no outstanding borrowings on the Amended Revolver and $13.0 million was outstanding on letters of credit resulting in net borrowing base availability of $88.9 million. We were in compliance with the financial covenants as of September 30,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assumed a $10.0 million ten-year term loan with a bank in Israel that Herley entered into on September 16, 2008 in connection with the acquisition of one of its wholly owned subsidiaries. The balance as of September 30, 2012 was $6.0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September 30, 2012.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Pursuant to the terms of the agreement and plan of merger with DEI Services Corporation entered into on August 9, 2010 (“the DEI Agreement”), upon achievement of certain cash receipts, revenue, EBITDA and backlog amounts in 2010, 2011 and 2012, we will be obligated to pay certain additional contingent consideration (the “DEI Contingent Consideration”). We have paid $2.9 million related to the DEI Contingent Consideration of which $2.5 million was paid in April 2012. As of September 30, 2012, the potential undiscounted amount of future DEI Contingent Consideration that may be payable by us under the DEI Agreement is between $2.0 million and $4.5 million, subject to potential reductions if certain cash receipts are not collected, which was reduced by $0.5 million in the third quarter of 2012 related to certain amounts that were not collected. The DEI Contingent Consideration, which includes contingent consideration already paid and potential future contingent consideration, may be reduced in the event certain anticipated cash receipts are not collected within an agreed upon time period and could reduce the prior and future contingent consideration by approximately $6.0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may also pursue business acquisitions and other transactions designed to expand our business, which we would expect to fund from borrowings under the Amended Revolver, other future indebtedness or, if appropriate, the private and/or public sale or exchange of our debt or equity securities.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nine months ended September 30, 2012,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New accounting pronouncements issued or effective during the nine month period ended September 30, 2012 have not had or are not expected to have a material impact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September 30, 2012 were $37.6 million and are primarily invested in money market interest bearing accounts. A hypothetical 10% adverse change in the average interest rate on our money market cash investments and short-term investments would have had no material effect on our net loss for the three and nine months ended September 30,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maintain disclosure controls and procedures, as defined in Rules 13a-15(e) and 15d-15(e) promulgated under the Securities Exchange Act of 1934, as amended (the “Exchange Act”), designed to ensure that information required to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30,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nine months ended September 30, 2012 that has materially affected, or is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For additional information regarding our legal proceedings, see Item 3, “Legal Proceedings” in the Form 10-K and Item 1. "Legal Proceedings" in our previous reports on Form 10-Q. As of September 30, 2012, there have been no material developments in our historical legal proceedings since December 25, 2011.</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Integral, which we acquired on July 27, 2011, was previously the subject of a SEC investigation. On July 30, 2009, the SEC and Integral each announced that an administrative settlement had been reached concluding the SEC's investigation.</w:t>
      </w:r>
    </w:p>
    <w:p>
      <w:pPr>
        <w:spacing w:after="0" w:line="89"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7"/>
          <w:szCs w:val="17"/>
          <w:i w:val="1"/>
          <w:iCs w:val="1"/>
          <w:color w:val="auto"/>
        </w:rPr>
        <w:t>United States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and Exchange Commission v. Steven R. Chamberlain, Elaine M. Brown, and Gary A. Prince, </w:t>
      </w:r>
      <w:r>
        <w:rPr>
          <w:rFonts w:ascii="Arial" w:cs="Arial" w:eastAsia="Arial" w:hAnsi="Arial"/>
          <w:sz w:val="17"/>
          <w:szCs w:val="17"/>
          <w:color w:val="auto"/>
        </w:rPr>
        <w:t>Case No. 09-CV-01423, pending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District of 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we have assumed these indemnification obligations. The indemnification agreements each provide, subject to certain terms and conditions, that we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we are advancing payment of indemnifiable costs pursuant to the indemnification agreements. The case is scheduled for trial in December 2012.</w:t>
      </w:r>
    </w:p>
    <w:p>
      <w:pPr>
        <w:spacing w:after="0" w:line="1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we may become involved in various claims, lawsuits and legal proceedings that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or cash flows. The aggregate amounts accrued related to these matters are not material to the total liabilities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the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Form 10-K, except as follows: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disasters or severe weather conditions could disrupt our business and result in loss of revenue or higher expenses.</w:t>
      </w:r>
    </w:p>
    <w:p>
      <w:pPr>
        <w:spacing w:after="0" w:line="23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quarter ended September 30, 2012,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Filing Date/</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2/8/2011</w:t>
            </w: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0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900" w:type="dxa"/>
            <w:vAlign w:val="bottom"/>
          </w:tcPr>
          <w:p>
            <w:pPr>
              <w:jc w:val="center"/>
              <w:ind w:right="33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09/14/2007</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90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900" w:type="dxa"/>
            <w:vAlign w:val="bottom"/>
          </w:tcPr>
          <w:p>
            <w:pPr>
              <w:jc w:val="center"/>
              <w:ind w:right="33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900" w:type="dxa"/>
            <w:vAlign w:val="bottom"/>
          </w:tcPr>
          <w:p>
            <w:pPr>
              <w:jc w:val="center"/>
              <w:ind w:right="350"/>
              <w:spacing w:after="0"/>
              <w:rPr>
                <w:sz w:val="20"/>
                <w:szCs w:val="20"/>
                <w:color w:val="auto"/>
              </w:rPr>
            </w:pPr>
            <w:r>
              <w:rPr>
                <w:rFonts w:ascii="Arial" w:cs="Arial" w:eastAsia="Arial" w:hAnsi="Arial"/>
                <w:sz w:val="18"/>
                <w:szCs w:val="18"/>
                <w:color w:val="auto"/>
              </w:rPr>
              <w:t>8-K/A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6/5/2002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03/15/2011</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12/26/2010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02"/>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05/15/2012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5500" w:space="120"/>
            <w:col w:w="5800"/>
          </w:cols>
          <w:pgMar w:left="240" w:top="125" w:right="2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Filing Date/</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2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60" w:val="left"/>
          <w:tab w:leader="none" w:pos="3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6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6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6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06/28/10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06/07/2011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41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Incorporated by</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Reference</w:t>
            </w: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End</w:t>
            </w:r>
          </w:p>
        </w:tc>
        <w:tc>
          <w:tcPr>
            <w:tcW w:w="960" w:type="dxa"/>
            <w:vAlign w:val="bottom"/>
            <w:vMerge w:val="restart"/>
          </w:tcPr>
          <w:p>
            <w:pPr>
              <w:jc w:val="center"/>
              <w:ind w:left="299"/>
              <w:spacing w:after="0"/>
              <w:rPr>
                <w:sz w:val="20"/>
                <w:szCs w:val="20"/>
                <w:color w:val="auto"/>
              </w:rPr>
            </w:pPr>
            <w:r>
              <w:rPr>
                <w:rFonts w:ascii="Arial" w:cs="Arial" w:eastAsia="Arial" w:hAnsi="Arial"/>
                <w:sz w:val="14"/>
                <w:szCs w:val="14"/>
                <w:b w:val="1"/>
                <w:bCs w:val="1"/>
                <w:color w:val="auto"/>
                <w:w w:val="98"/>
              </w:rPr>
              <w:t>Exhibit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4"/>
              </w:rPr>
              <w:t>Form of Restricted Stock Unit Agreement entered into</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right"/>
              <w:ind w:right="183"/>
              <w:spacing w:after="0"/>
              <w:rPr>
                <w:sz w:val="20"/>
                <w:szCs w:val="20"/>
                <w:color w:val="auto"/>
              </w:rPr>
            </w:pPr>
            <w:r>
              <w:rPr>
                <w:rFonts w:ascii="Arial" w:cs="Arial" w:eastAsia="Arial" w:hAnsi="Arial"/>
                <w:sz w:val="18"/>
                <w:szCs w:val="18"/>
                <w:color w:val="auto"/>
              </w:rPr>
              <w:t>07/27/2012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between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3"/>
              </w:rPr>
              <w:t>and certain employees of Composite Engineering, Inc.</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Executive Officer pursuant to</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60" w:type="dxa"/>
            <w:vAlign w:val="bottom"/>
          </w:tcPr>
          <w:p>
            <w:pPr>
              <w:jc w:val="right"/>
              <w:ind w:right="223"/>
              <w:spacing w:after="0"/>
              <w:rPr>
                <w:sz w:val="20"/>
                <w:szCs w:val="20"/>
                <w:color w:val="auto"/>
              </w:rPr>
            </w:pPr>
            <w:r>
              <w:rPr>
                <w:rFonts w:ascii="Arial" w:cs="Arial" w:eastAsia="Arial" w:hAnsi="Arial"/>
                <w:sz w:val="18"/>
                <w:szCs w:val="18"/>
                <w:color w:val="auto"/>
              </w:rPr>
              <w:t>7/27/2012</w:t>
            </w:r>
          </w:p>
        </w:tc>
        <w:tc>
          <w:tcPr>
            <w:tcW w:w="12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4.1</w:t>
            </w:r>
          </w:p>
        </w:tc>
        <w:tc>
          <w:tcPr>
            <w:tcW w:w="186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101†</w:t>
            </w: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60" w:type="dxa"/>
            <w:vAlign w:val="bottom"/>
            <w:gridSpan w:val="3"/>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Solutions, Inc. for the quarter ended September 30,</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2012, formatted in XBRL: (i) the Condensed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 (ii) the Condensed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8"/>
          <w:szCs w:val="18"/>
          <w:color w:val="auto"/>
        </w:rPr>
        <w:t>Consolidated Statements of Operations and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Comprehensive Income, (iii) the Condensed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Statements of Cash Flows, (iv) the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Notes to the Condensed Consolidated Financial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50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540" w:firstLine="8"/>
        <w:spacing w:after="0" w:line="308" w:lineRule="auto"/>
        <w:tabs>
          <w:tab w:leader="none" w:pos="2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93" w:lineRule="exact"/>
        <w:rPr>
          <w:sz w:val="20"/>
          <w:szCs w:val="20"/>
          <w:color w:val="auto"/>
        </w:rPr>
      </w:pPr>
    </w:p>
    <w:p>
      <w:pPr>
        <w:ind w:right="280" w:firstLine="8"/>
        <w:spacing w:after="0" w:line="264"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LAURA L. SIEGAL,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Laura L. Siegal</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8, 2012</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52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2012</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20"/>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2012</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30, 2012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30, 2012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2"/>
    </w:lvl>
  </w:abstractNum>
  <w:abstractNum w:abstractNumId="4">
    <w:nsid w:val="109CF92E"/>
    <w:multiLevelType w:val="hybridMultilevel"/>
    <w:lvl w:ilvl="0">
      <w:lvlJc w:val="left"/>
      <w:lvlText w:val="(%1)"/>
      <w:numFmt w:val="lowerLetter"/>
      <w:start w:val="3"/>
    </w:lvl>
  </w:abstractNum>
  <w:abstractNum w:abstractNumId="5">
    <w:nsid w:val="DED7263"/>
    <w:multiLevelType w:val="hybridMultilevel"/>
    <w:lvl w:ilvl="0">
      <w:lvlJc w:val="left"/>
      <w:lvlText w:val="(%1)"/>
      <w:numFmt w:val="lowerLetter"/>
      <w:start w:val="4"/>
    </w:lvl>
  </w:abstractNum>
  <w:abstractNum w:abstractNumId="6">
    <w:nsid w:val="7FDCC233"/>
    <w:multiLevelType w:val="hybridMultilevel"/>
    <w:lvl w:ilvl="0">
      <w:lvlJc w:val="left"/>
      <w:lvlText w:val="(%1)"/>
      <w:numFmt w:val="lowerLetter"/>
      <w:start w:val="5"/>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2"/>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2"/>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2019-12-09T13:35:41Z</dcterms:created>
  <dcterms:modified xsi:type="dcterms:W3CDTF">2019-12-09T13:35:41Z</dcterms:modified>
</cp:coreProperties>
</file>