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9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June 30, 2013</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00"/>
          </w:cols>
          <w:pgMar w:left="240" w:top="233" w:right="31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080"/>
          </w:cols>
          <w:pgMar w:left="240" w:top="233"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309"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140" w:space="720"/>
            <w:col w:w="3480"/>
          </w:cols>
          <w:pgMar w:left="240" w:top="233" w:right="319" w:bottom="1440" w:gutter="0" w:footer="0" w:header="0"/>
          <w:type w:val="continuous"/>
        </w:sectPr>
      </w:pPr>
    </w:p>
    <w:p>
      <w:pPr>
        <w:spacing w:after="0" w:line="156" w:lineRule="exact"/>
        <w:rPr>
          <w:sz w:val="24"/>
          <w:szCs w:val="24"/>
          <w:color w:val="auto"/>
        </w:rPr>
      </w:pPr>
    </w:p>
    <w:p>
      <w:pPr>
        <w:ind w:left="204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00" w:space="720"/>
            <w:col w:w="3820"/>
          </w:cols>
          <w:pgMar w:left="240" w:top="233" w:right="319" w:bottom="1440" w:gutter="0" w:footer="0" w:header="0"/>
          <w:type w:val="continuous"/>
        </w:sectPr>
      </w:pPr>
    </w:p>
    <w:p>
      <w:pPr>
        <w:ind w:left="120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40"/>
          </w:cols>
          <w:pgMar w:left="240" w:top="233" w:right="319" w:bottom="1440" w:gutter="0" w:footer="0" w:header="0"/>
          <w:type w:val="continuous"/>
        </w:sectPr>
      </w:pPr>
    </w:p>
    <w:p>
      <w:pPr>
        <w:spacing w:after="0" w:line="243" w:lineRule="exact"/>
        <w:rPr>
          <w:sz w:val="24"/>
          <w:szCs w:val="24"/>
          <w:color w:val="auto"/>
        </w:rPr>
      </w:pPr>
    </w:p>
    <w:p>
      <w:pPr>
        <w:ind w:left="340" w:right="17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2, 2013, 57,005,546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80" w:type="dxa"/>
            <w:vAlign w:val="bottom"/>
            <w:tcBorders>
              <w:bottom w:val="single" w:sz="8" w:color="0000FF"/>
            </w:tcBorders>
            <w:gridSpan w:val="6"/>
          </w:tcPr>
          <w:p>
            <w:pPr>
              <w:jc w:val="center"/>
              <w:ind w:right="20"/>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90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0" w:type="dxa"/>
            <w:vAlign w:val="bottom"/>
            <w:tcBorders>
              <w:bottom w:val="single" w:sz="8" w:color="0000FF"/>
            </w:tcBorders>
            <w:gridSpan w:val="1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at December 30, 2012 and June 30, 2013 (unaudited)</w:t>
              </w:r>
            </w:hyperlink>
          </w:p>
        </w:tc>
        <w:tc>
          <w:tcPr>
            <w:tcW w:w="310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Condensed Consolidated Statements of Operations and Comprehensive Income (Loss) for the Three and Six Months Ended June 24,</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5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2012 and June 30, 2013 (unaudited)</w:t>
              </w:r>
            </w:hyperlink>
          </w:p>
        </w:tc>
        <w:tc>
          <w:tcPr>
            <w:tcW w:w="360" w:type="dxa"/>
            <w:vAlign w:val="bottom"/>
          </w:tcPr>
          <w:p>
            <w:pPr>
              <w:spacing w:after="0"/>
              <w:rPr>
                <w:sz w:val="17"/>
                <w:szCs w:val="17"/>
                <w:color w:val="auto"/>
              </w:rPr>
            </w:pPr>
          </w:p>
        </w:tc>
        <w:tc>
          <w:tcPr>
            <w:tcW w:w="560" w:type="dxa"/>
            <w:vAlign w:val="bottom"/>
            <w:gridSpan w:val="4"/>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Cash Flows for the Six Months Ended June 24, 2012 and June 30, 2013 (unaudited)</w:t>
              </w:r>
            </w:hyperlink>
          </w:p>
        </w:tc>
        <w:tc>
          <w:tcPr>
            <w:tcW w:w="10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9900" w:type="dxa"/>
            <w:vAlign w:val="bottom"/>
            <w:gridSpan w:val="18"/>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990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80" w:type="dxa"/>
            <w:vAlign w:val="bottom"/>
            <w:tcBorders>
              <w:left w:val="single" w:sz="8" w:color="0000FF"/>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w:t>
              </w:r>
            </w:hyperlink>
          </w:p>
        </w:tc>
        <w:tc>
          <w:tcPr>
            <w:tcW w:w="990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520"/>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3"/>
          </w:tcPr>
          <w:p>
            <w:pPr>
              <w:jc w:val="center"/>
              <w:spacing w:after="0"/>
              <w:rPr>
                <w:rFonts w:ascii="Arial" w:cs="Arial" w:eastAsia="Arial" w:hAnsi="Arial"/>
                <w:sz w:val="18"/>
                <w:szCs w:val="18"/>
                <w:b w:val="1"/>
                <w:bCs w:val="1"/>
                <w:color w:val="0000FF"/>
              </w:rPr>
            </w:pPr>
            <w:hyperlink w:anchor="page44">
              <w:r>
                <w:rPr>
                  <w:rFonts w:ascii="Arial" w:cs="Arial" w:eastAsia="Arial" w:hAnsi="Arial"/>
                  <w:sz w:val="18"/>
                  <w:szCs w:val="18"/>
                  <w:b w:val="1"/>
                  <w:bCs w:val="1"/>
                  <w:color w:val="0000FF"/>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w:t>
              </w:r>
            </w:hyperlink>
          </w:p>
        </w:tc>
        <w:tc>
          <w:tcPr>
            <w:tcW w:w="990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FF"/>
                <w:w w:val="87"/>
              </w:rPr>
            </w:pPr>
            <w:hyperlink w:anchor="page44">
              <w:r>
                <w:rPr>
                  <w:rFonts w:ascii="Arial" w:cs="Arial" w:eastAsia="Arial" w:hAnsi="Arial"/>
                  <w:sz w:val="18"/>
                  <w:szCs w:val="18"/>
                  <w:color w:val="0000FF"/>
                  <w:w w:val="87"/>
                </w:rPr>
                <w:t>Risk Factors</w:t>
              </w:r>
            </w:hyperlink>
          </w:p>
        </w:tc>
        <w:tc>
          <w:tcPr>
            <w:tcW w:w="9000" w:type="dxa"/>
            <w:vAlign w:val="bottom"/>
            <w:gridSpan w:val="16"/>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2.</w:t>
              </w:r>
            </w:hyperlink>
          </w:p>
        </w:tc>
        <w:tc>
          <w:tcPr>
            <w:tcW w:w="28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3.</w:t>
              </w:r>
            </w:hyperlink>
          </w:p>
        </w:tc>
        <w:tc>
          <w:tcPr>
            <w:tcW w:w="990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9900" w:type="dxa"/>
            <w:vAlign w:val="bottom"/>
            <w:gridSpan w:val="18"/>
          </w:tcPr>
          <w:p>
            <w:pPr>
              <w:spacing w:after="0"/>
              <w:rPr>
                <w:sz w:val="20"/>
                <w:szCs w:val="20"/>
                <w:color w:val="auto"/>
              </w:rPr>
            </w:pPr>
            <w:r>
              <w:rPr>
                <w:rFonts w:ascii="Arial" w:cs="Arial" w:eastAsia="Arial" w:hAnsi="Arial"/>
                <w:sz w:val="18"/>
                <w:szCs w:val="18"/>
                <w:color w:val="auto"/>
              </w:rPr>
              <w:t>Mine Safety Disclosures</w:t>
            </w:r>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5.</w:t>
              </w:r>
            </w:hyperlink>
          </w:p>
        </w:tc>
        <w:tc>
          <w:tcPr>
            <w:tcW w:w="990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990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r>
        <w:trPr>
          <w:trHeight w:val="507"/>
        </w:trPr>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60" w:type="dxa"/>
            <w:vAlign w:val="bottom"/>
            <w:gridSpan w:val="10"/>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98"/>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30, 2012</w:t>
            </w:r>
          </w:p>
        </w:tc>
        <w:tc>
          <w:tcPr>
            <w:tcW w:w="360" w:type="dxa"/>
            <w:vAlign w:val="bottom"/>
          </w:tcPr>
          <w:p>
            <w:pPr>
              <w:spacing w:after="0"/>
              <w:rPr>
                <w:sz w:val="24"/>
                <w:szCs w:val="24"/>
                <w:color w:val="auto"/>
              </w:rPr>
            </w:pPr>
          </w:p>
        </w:tc>
        <w:tc>
          <w:tcPr>
            <w:tcW w:w="1900" w:type="dxa"/>
            <w:vAlign w:val="bottom"/>
          </w:tcPr>
          <w:p>
            <w:pPr>
              <w:jc w:val="right"/>
              <w:ind w:right="639"/>
              <w:spacing w:after="0"/>
              <w:rPr>
                <w:sz w:val="20"/>
                <w:szCs w:val="20"/>
                <w:color w:val="auto"/>
              </w:rPr>
            </w:pPr>
            <w:r>
              <w:rPr>
                <w:rFonts w:ascii="Arial" w:cs="Arial" w:eastAsia="Arial" w:hAnsi="Arial"/>
                <w:sz w:val="16"/>
                <w:szCs w:val="16"/>
                <w:b w:val="1"/>
                <w:bCs w:val="1"/>
                <w:color w:val="auto"/>
              </w:rPr>
              <w:t>June 30, 2013</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49.7</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5.2</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253.6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85.3</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18.4</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5.6</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417.8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83.5</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596.4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106.1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87.8</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36.8</w:t>
            </w:r>
          </w:p>
        </w:tc>
      </w:tr>
      <w:tr>
        <w:trPr>
          <w:trHeight w:val="29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1,283.9</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1,222.3</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39.1</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39.8</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6.1</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45.6</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Deferred income tax liability</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29.0</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14.1</w:t>
            </w: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238.6</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629.3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Long-term debt premium</w:t>
            </w:r>
          </w:p>
        </w:tc>
        <w:tc>
          <w:tcPr>
            <w:tcW w:w="38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16.6</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29.7</w:t>
            </w: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914.2</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December</w:t>
            </w:r>
          </w:p>
        </w:tc>
        <w:tc>
          <w:tcPr>
            <w:tcW w:w="3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30, 2012 and June 30, 2013</w:t>
            </w:r>
          </w:p>
        </w:tc>
        <w:tc>
          <w:tcPr>
            <w:tcW w:w="3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20"/>
        </w:trPr>
        <w:tc>
          <w:tcPr>
            <w:tcW w:w="6740" w:type="dxa"/>
            <w:vAlign w:val="bottom"/>
          </w:tcPr>
          <w:p>
            <w:pPr>
              <w:ind w:left="180"/>
              <w:spacing w:after="0"/>
              <w:rPr>
                <w:sz w:val="20"/>
                <w:szCs w:val="20"/>
                <w:color w:val="auto"/>
              </w:rPr>
            </w:pPr>
            <w:r>
              <w:rPr>
                <w:rFonts w:ascii="Arial" w:cs="Arial" w:eastAsia="Arial" w:hAnsi="Arial"/>
                <w:sz w:val="16"/>
                <w:szCs w:val="16"/>
                <w:color w:val="auto"/>
                <w:w w:val="90"/>
              </w:rPr>
              <w:t>Common stock, $0.001 par value, 195,000,000 shares authorized; 56,613,024 and 56,675,080 shares</w:t>
            </w:r>
          </w:p>
        </w:tc>
        <w:tc>
          <w:tcPr>
            <w:tcW w:w="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06"/>
        </w:trPr>
        <w:tc>
          <w:tcPr>
            <w:tcW w:w="6740" w:type="dxa"/>
            <w:vAlign w:val="bottom"/>
          </w:tcPr>
          <w:p>
            <w:pPr>
              <w:ind w:left="180"/>
              <w:spacing w:after="0"/>
              <w:rPr>
                <w:sz w:val="20"/>
                <w:szCs w:val="20"/>
                <w:color w:val="auto"/>
              </w:rPr>
            </w:pPr>
            <w:r>
              <w:rPr>
                <w:rFonts w:ascii="Arial" w:cs="Arial" w:eastAsia="Arial" w:hAnsi="Arial"/>
                <w:sz w:val="16"/>
                <w:szCs w:val="16"/>
                <w:color w:val="auto"/>
              </w:rPr>
              <w:t>issued and outstanding at December 30, 2012 and June 30, 2013, respectively</w:t>
            </w:r>
          </w:p>
        </w:tc>
        <w:tc>
          <w:tcPr>
            <w:tcW w:w="380" w:type="dxa"/>
            <w:vAlign w:val="bottom"/>
          </w:tcPr>
          <w:p>
            <w:pPr>
              <w:spacing w:after="0"/>
              <w:rPr>
                <w:sz w:val="17"/>
                <w:szCs w:val="17"/>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850.9</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79"/>
              <w:spacing w:after="0"/>
              <w:rPr>
                <w:sz w:val="20"/>
                <w:szCs w:val="20"/>
                <w:color w:val="auto"/>
              </w:rPr>
            </w:pPr>
            <w:r>
              <w:rPr>
                <w:rFonts w:ascii="Arial" w:cs="Arial" w:eastAsia="Arial" w:hAnsi="Arial"/>
                <w:sz w:val="16"/>
                <w:szCs w:val="16"/>
                <w:color w:val="auto"/>
              </w:rPr>
              <w:t>(0.7)</w:t>
            </w: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(542.1)</w:t>
            </w:r>
          </w:p>
        </w:tc>
      </w:tr>
      <w:tr>
        <w:trPr>
          <w:trHeight w:val="231"/>
        </w:trPr>
        <w:tc>
          <w:tcPr>
            <w:tcW w:w="6740" w:type="dxa"/>
            <w:vAlign w:val="bottom"/>
          </w:tcPr>
          <w:p>
            <w:pPr>
              <w:ind w:left="38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308.1</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1,222.3</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5"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64"/>
        </w:trPr>
        <w:tc>
          <w:tcPr>
            <w:tcW w:w="4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24, 2012</w:t>
            </w:r>
          </w:p>
        </w:tc>
        <w:tc>
          <w:tcPr>
            <w:tcW w:w="280" w:type="dxa"/>
            <w:vAlign w:val="bottom"/>
          </w:tcPr>
          <w:p>
            <w:pPr>
              <w:spacing w:after="0"/>
              <w:rPr>
                <w:sz w:val="22"/>
                <w:szCs w:val="22"/>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440" w:type="dxa"/>
            <w:vAlign w:val="bottom"/>
          </w:tcPr>
          <w:p>
            <w:pPr>
              <w:spacing w:after="0"/>
              <w:rPr>
                <w:sz w:val="22"/>
                <w:szCs w:val="22"/>
                <w:color w:val="auto"/>
              </w:rPr>
            </w:pPr>
          </w:p>
        </w:tc>
        <w:tc>
          <w:tcPr>
            <w:tcW w:w="136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24, 2012</w:t>
            </w:r>
          </w:p>
        </w:tc>
        <w:tc>
          <w:tcPr>
            <w:tcW w:w="64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28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215.1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262.3</w:t>
            </w:r>
          </w:p>
        </w:tc>
        <w:tc>
          <w:tcPr>
            <w:tcW w:w="100" w:type="dxa"/>
            <w:vAlign w:val="bottom"/>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429.3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171.9</w:t>
            </w:r>
          </w:p>
        </w:tc>
        <w:tc>
          <w:tcPr>
            <w:tcW w:w="10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4120" w:type="dxa"/>
            <w:vAlign w:val="bottom"/>
          </w:tcPr>
          <w:p>
            <w:pPr>
              <w:ind w:left="380"/>
              <w:spacing w:after="0"/>
              <w:rPr>
                <w:sz w:val="20"/>
                <w:szCs w:val="20"/>
                <w:color w:val="auto"/>
              </w:rPr>
            </w:pPr>
            <w:r>
              <w:rPr>
                <w:rFonts w:ascii="Arial" w:cs="Arial" w:eastAsia="Arial" w:hAnsi="Arial"/>
                <w:sz w:val="16"/>
                <w:szCs w:val="16"/>
                <w:color w:val="auto"/>
              </w:rPr>
              <w:t>Total costs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314.2</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362.3</w:t>
            </w:r>
          </w:p>
        </w:tc>
        <w:tc>
          <w:tcPr>
            <w:tcW w:w="100" w:type="dxa"/>
            <w:vAlign w:val="bottom"/>
            <w:tcBorders>
              <w:top w:val="single" w:sz="8" w:color="auto"/>
            </w:tcBorders>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86.4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97.1</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 and acquisition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Unused office space and other restructuring</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4120" w:type="dxa"/>
            <w:vAlign w:val="bottom"/>
          </w:tcPr>
          <w:p>
            <w:pPr>
              <w:ind w:left="380"/>
              <w:spacing w:after="0"/>
              <w:rPr>
                <w:sz w:val="20"/>
                <w:szCs w:val="20"/>
                <w:color w:val="auto"/>
              </w:rPr>
            </w:pPr>
            <w:r>
              <w:rPr>
                <w:rFonts w:ascii="Arial" w:cs="Arial" w:eastAsia="Arial" w:hAnsi="Arial"/>
                <w:sz w:val="16"/>
                <w:szCs w:val="16"/>
                <w:color w:val="auto"/>
              </w:rPr>
              <w:t>Operating income from continuing operations</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412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auto"/>
            </w:tcBorders>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0"/>
        </w:trPr>
        <w:tc>
          <w:tcPr>
            <w:tcW w:w="4120" w:type="dxa"/>
            <w:vAlign w:val="bottom"/>
          </w:tcPr>
          <w:p>
            <w:pPr>
              <w:ind w:left="40"/>
              <w:spacing w:after="0"/>
              <w:rPr>
                <w:sz w:val="20"/>
                <w:szCs w:val="20"/>
                <w:color w:val="auto"/>
              </w:rPr>
            </w:pPr>
            <w:r>
              <w:rPr>
                <w:rFonts w:ascii="Arial" w:cs="Arial" w:eastAsia="Arial" w:hAnsi="Arial"/>
                <w:sz w:val="16"/>
                <w:szCs w:val="16"/>
                <w:color w:val="auto"/>
              </w:rPr>
              <w:t>Provision (benefit) for income taxes from continuing</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280" w:type="dxa"/>
            <w:vAlign w:val="bottom"/>
          </w:tcPr>
          <w:p>
            <w:pPr>
              <w:spacing w:after="0"/>
              <w:rPr>
                <w:sz w:val="17"/>
                <w:szCs w:val="17"/>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auto"/>
            </w:tcBorders>
            <w:shd w:val="clear" w:color="auto" w:fill="CCEEFF"/>
          </w:tcPr>
          <w:p>
            <w:pPr>
              <w:spacing w:after="0"/>
              <w:rPr>
                <w:sz w:val="22"/>
                <w:szCs w:val="22"/>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income (loss)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loss from continuing operations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0"/>
                <w:szCs w:val="20"/>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top w:val="single" w:sz="8" w:color="auto"/>
              <w:bottom w:val="single" w:sz="8" w:color="auto"/>
            </w:tcBorders>
          </w:tcPr>
          <w:p>
            <w:pPr>
              <w:spacing w:after="0"/>
              <w:rPr>
                <w:sz w:val="24"/>
                <w:szCs w:val="24"/>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(loss)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Net loss from continuing operations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0"/>
                <w:szCs w:val="20"/>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97"/>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Net loss per common share</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top w:val="single" w:sz="8" w:color="auto"/>
              <w:bottom w:val="single" w:sz="8" w:color="auto"/>
            </w:tcBorders>
          </w:tcPr>
          <w:p>
            <w:pPr>
              <w:spacing w:after="0"/>
              <w:rPr>
                <w:sz w:val="24"/>
                <w:szCs w:val="24"/>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Comprehensive Loss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from above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Change in cumulative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auto"/>
            </w:tcBorders>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auto"/>
            </w:tcBorders>
            <w:shd w:val="clear" w:color="auto" w:fill="CCEEFF"/>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Six Months Ended</w:t>
            </w: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ind w:right="8"/>
              <w:spacing w:after="0"/>
              <w:rPr>
                <w:sz w:val="20"/>
                <w:szCs w:val="20"/>
                <w:color w:val="auto"/>
              </w:rPr>
            </w:pPr>
            <w:r>
              <w:rPr>
                <w:rFonts w:ascii="Arial" w:cs="Arial" w:eastAsia="Arial" w:hAnsi="Arial"/>
                <w:sz w:val="14"/>
                <w:szCs w:val="14"/>
                <w:b w:val="1"/>
                <w:bCs w:val="1"/>
                <w:color w:val="auto"/>
              </w:rPr>
              <w:t>June 24, 2012</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2013</w:t>
            </w: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spacing w:after="0"/>
              <w:rPr>
                <w:sz w:val="20"/>
                <w:szCs w:val="20"/>
                <w:color w:val="auto"/>
              </w:rPr>
            </w:pPr>
          </w:p>
        </w:tc>
        <w:tc>
          <w:tcPr>
            <w:tcW w:w="15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700" w:type="dxa"/>
            <w:vAlign w:val="bottom"/>
            <w:gridSpan w:val="2"/>
          </w:tcPr>
          <w:p>
            <w:pPr>
              <w:jc w:val="right"/>
              <w:ind w:right="140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loss from continuing operations to net cash provided by</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Amortization of premium on Senior Secured Notes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Provision for doubtful accounts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Inventoried costs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Accounts payable</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interest payable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Income tax receivable and payable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600"/>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sale of 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contingent acquisition consideration</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 from continuing operations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700" w:type="dxa"/>
            <w:vAlign w:val="bottom"/>
            <w:tcBorders>
              <w:top w:val="single" w:sz="8" w:color="auto"/>
              <w:bottom w:val="single" w:sz="8" w:color="auto"/>
            </w:tcBorders>
            <w:gridSpan w:val="2"/>
          </w:tcPr>
          <w:p>
            <w:pPr>
              <w:jc w:val="right"/>
              <w:ind w:right="1408"/>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145.7</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49.7</w:t>
            </w:r>
          </w:p>
        </w:tc>
        <w:tc>
          <w:tcPr>
            <w:tcW w:w="120" w:type="dxa"/>
            <w:vAlign w:val="bottom"/>
            <w:tcBorders>
              <w:top w:val="single" w:sz="8" w:color="auto"/>
              <w:bottom w:val="single" w:sz="8" w:color="auto"/>
            </w:tcBorders>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information as of June 30, 2013 and for the three and six months ended June 24, 2012 and June 30, 2013 is unaudited. The condensed consolidated balance sheet as of December 30, 2012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30, 2012, included in the Company’s Annual Report on Form 10-K filed with the U.S. Securities and Exchange Commission ("SEC") on March 12, 2013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Company has a 52/53 week fiscal year ending on the last Sunday of the calendar year, with interim fiscal periods ending on the last Sunday of each calendar quarter. The three and six month periods ended June 24, 2012 and June 30, 2013 consisted of 13 and 26 week periods, respectively. There were 53 calendar weeks in the fiscal year ended December 30, 2012 and there are 52 calendar weeks in the fiscal year ending on December 29, 2013.</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warranties, inventory valuation, valuation of long-lived assets including identifiable intangibles and goodwill, accounting for income taxes including the related valuation allowance on the deferred tax asset and uncertain tax positions, contingencies and litigation, contingent acquisition consideration, stock-based compensation and business combination purchase price allocations.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27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accounting for our long-term contracts for production of products and services provided to the U.S. Government and provided to our PSS segment customers under fixed price contracts, we utilize both cost-to-cost and units produced measures under the percentage-of-completion method of accounting in accordance with the provisions of Financial Accounting Standards Board (“FASB”) Accounting Standards Codification (“ASC”) Topic 605</w:t>
      </w:r>
      <w:r>
        <w:rPr>
          <w:rFonts w:ascii="Arial" w:cs="Arial" w:eastAsia="Arial" w:hAnsi="Arial"/>
          <w:sz w:val="18"/>
          <w:szCs w:val="18"/>
          <w:i w:val="1"/>
          <w:iCs w:val="1"/>
          <w:color w:val="auto"/>
        </w:rPr>
        <w:t>,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Due to the size and nature of many of our contracts accounted for under the percentage-of-completion method of accounting, the estimation of total revenues and costs at completion is complicated and subject to many variables. For example,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estimates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7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closely monitors the consistent application of its critical accounting policies and compliance with contract accounting. Business operations personnel conduct periodic contract status and performance reviews. Also, regular and recurring evaluations of contract cost, scheduling and technical matters are performed by management personnel who are independent from the business operations personnel performing work under the contract. When adjustments in estimated contract revenues or costs are required, any significant changes from prior estimates are included in earnings in the current period ("the cumulative catch-up method").</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337"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July 2013, the FASB issued Accounting Standards Update 2013-11 ("ASU 2013-11") "Presentation of an Unrecognized Tax Benefit When a Net Operating Loss Carryforward, a Similar Tax Loss, or a Tax Credit Carryforward Exists" which states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The amendments in this ASU are effective for fiscal years, and interim periods within those years, beginning after December 15, 2013. The Company does not believe that the adoption of this guidance will have a material impact on its consolidated financial statements.</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February 2013, the FASB issued ASU 2013-02 "Comprehensive Income: Reporting of Amounts Reclassified Out of Accumulated Other Comprehensive Income," which requires entities to provide information about the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standard is effective prospectively for reporting periods beginning after December 15, 2012. The Company adopted this standard in the quarter ended March 31, 2013, which did not have a material impact on its consolidated financial statements.</w:t>
      </w:r>
    </w:p>
    <w:p>
      <w:pPr>
        <w:spacing w:after="0" w:line="11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December 2011 and February 2013, the FASB issued an amendment to the Balance Sheet topic of the Accounting Standards Codification ("ASC"), which requires entities to disclose both gross and net information about both derivatives and transactions eligible for offset in the statement of financial position and instruments and transactions subject to an agreement similar to a master netting agreement. The objective of the disclosure is to facilitate comparison between those entities that prepare their financial statements on the basis of GAAP and those entities that prepare their financial statements on the basis of International Financial Reporting Standards. This standard is effective for fiscal years, and interim periods within those years, beginning on or after January 1, 2013. Retrospective presentation for all comparative periods presented is required. Accordingly, the Company will adopt this amendment in the first quarter of fiscal year 2014. The Company does not believe that the adoption of this guidance will have a material impact on its consolidated financial statements.</w:t>
      </w:r>
    </w:p>
    <w:p>
      <w:pPr>
        <w:spacing w:after="0" w:line="233"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Other than as noted above, there have been no changes in the Company's significant accounting policies for the six months ended June 30, 2013 as compared to the significant accounting policies described in the Form 10-K.</w:t>
      </w:r>
    </w:p>
    <w:p>
      <w:pPr>
        <w:spacing w:after="0" w:line="27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11 for a discussion of the Company’s significant customers.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5" w:lineRule="exact"/>
        <w:rPr>
          <w:sz w:val="20"/>
          <w:szCs w:val="20"/>
          <w:color w:val="auto"/>
        </w:rPr>
      </w:pPr>
    </w:p>
    <w:p>
      <w:pPr>
        <w:ind w:left="580" w:right="8500" w:hanging="572"/>
        <w:spacing w:after="0" w:line="566" w:lineRule="auto"/>
        <w:tabs>
          <w:tab w:leader="none" w:pos="403"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Recent Acquisitions </w:t>
      </w:r>
      <w:r>
        <w:rPr>
          <w:rFonts w:ascii="Arial" w:cs="Arial" w:eastAsia="Arial" w:hAnsi="Arial"/>
          <w:sz w:val="16"/>
          <w:szCs w:val="16"/>
          <w:i w:val="1"/>
          <w:iCs w:val="1"/>
          <w:color w:val="auto"/>
        </w:rPr>
        <w:t>Composite Engineering, Inc.</w:t>
      </w:r>
    </w:p>
    <w:p>
      <w:pPr>
        <w:spacing w:after="0" w:line="1"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 July 2, 2012, the Company completed the acquisition of Composite Engineering, Inc. (“CEi”) for approximately $164.0 million. The purchase price, including an adjustment for working capital and cash paid to the CEi shareholders for a 338(h)(10) election, included $135.0 million in cash and 4.0 million shares of the Company's common stock, valued at $5.94 per share on July 2, 2012, or $23.8 million. $10.7 million of the cash paid was placed into an escrow account as security for CEi's indemnification obligations as set forth in the CEi purchase agreement and was reduced by $1.0 million for the working capital adjustment paid to the Company in July 2013, at which time the remaining escrow was released to the sellers. In addition, $2.5 million was paid to retire certain pre-existing CEi debt and settle pre-existing accounts receivable from CEi at its carrying and fair value of $3.0 million. The Company made an election under Section 338(h)(10) of the Internal Revenue Code, which resulted in tax deductible goodwill related to this transaction, and paid approximately $1.6 million in additional tax liability incurred by the shareholders of CEi for this election. The Company estimates that the tax deductible goodwill and intangibles is approximately $140.6 million and can be deducted for federal and California state income taxes over a 15-year period.</w:t>
      </w:r>
    </w:p>
    <w:p>
      <w:pPr>
        <w:spacing w:after="0" w:line="16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connection with the completion of the CEi transaction, certain CEi personnel entered into long-term employment agreements with the Company. On July 2, 2012, the Company granted restricted stock units ("RSUs") for an aggregate of 2.0 million shares of common stock as long-term retention inducement grants to certain employees of CEi who joined Kratos. The RSUs had an estimated value of $11.9 million on the grant date, vest on the fourth anniversary of the closing of the CEi acquisition, or earlier upon the occurrence of certain events, and are being accounted for as compensation expense over such four-year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CEi, on May 14, 2012, the Company sold approximately 20.0 million shares of its common stock at a purchase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$5.00 per share in an underwritten public offering. The Company received gross proceeds of approximately $100.0 million and net proceeds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$97.0 million after deducting underwriting fees and other offering expenses. The Company used the net proceeds from this offering to fund a portion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price for the acquisition of CEi. In addition, the Company used borrowings of $40.0 million from its revolving line of credit to fund the purchase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price of CEi.</w:t>
      </w:r>
    </w:p>
    <w:p>
      <w:pPr>
        <w:spacing w:after="0" w:line="211"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agencies and foreign governments. CEi is a part of the Kratos Government Solutions ("KGS") segment.</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design, engineering, development, manufacturing and production of unmanned aerial targets, and will also enable the Company to realize significant cross selling opportunities.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fair values of the major assets acquired and liabilities assumed (in millions):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2820" w:type="dxa"/>
        <w:tblCellMar>
          <w:top w:w="0" w:type="dxa"/>
          <w:left w:w="0" w:type="dxa"/>
          <w:bottom w:w="0" w:type="dxa"/>
          <w:right w:w="0" w:type="dxa"/>
        </w:tblCellMar>
      </w:tblP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5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37"/>
        </w:trPr>
        <w:tc>
          <w:tcPr>
            <w:tcW w:w="43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5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189.7</w:t>
            </w:r>
          </w:p>
        </w:tc>
      </w:tr>
      <w:tr>
        <w:trPr>
          <w:trHeight w:val="27"/>
        </w:trPr>
        <w:tc>
          <w:tcPr>
            <w:tcW w:w="4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57"/>
        </w:trPr>
        <w:tc>
          <w:tcPr>
            <w:tcW w:w="4380" w:type="dxa"/>
            <w:vAlign w:val="bottom"/>
          </w:tcPr>
          <w:p>
            <w:pPr>
              <w:ind w:left="120"/>
              <w:spacing w:after="0"/>
              <w:rPr>
                <w:sz w:val="20"/>
                <w:szCs w:val="20"/>
                <w:color w:val="auto"/>
              </w:rPr>
            </w:pPr>
            <w:r>
              <w:rPr>
                <w:rFonts w:ascii="Arial" w:cs="Arial" w:eastAsia="Arial" w:hAnsi="Arial"/>
                <w:sz w:val="18"/>
                <w:szCs w:val="18"/>
                <w:color w:val="auto"/>
              </w:rPr>
              <w:t>Net assets acquired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164.0</w:t>
            </w:r>
          </w:p>
        </w:tc>
      </w:tr>
      <w:tr>
        <w:trPr>
          <w:trHeight w:val="20"/>
        </w:trPr>
        <w:tc>
          <w:tcPr>
            <w:tcW w:w="4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July 2, 2012, the expected fair value of accounts receivable approximated historical cost. The gross accounts receivable was $9.3 million, all of which is expected to be collectible. There was no contingent purchase consideration associated with the acquisition of CEi.</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amounts of revenue and operating loss of CEi included in the Company's condensed consolidated statement of operations and comprehensive income (loss) for the three and six months ended June 30, 2013 are $27.2 million and $53.1 million, and $3.6 million and $6.8 million,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Infrastructure Business</w:t>
      </w:r>
    </w:p>
    <w:p>
      <w:pPr>
        <w:spacing w:after="0" w:line="225"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On December 30, 2011, the Company acquired a critical infrastructure security and public safety system integration business (the “Critical Infrastructure Business”) for approximately $18.8 million, which includes a final agreement on the working capital adjustment.</w:t>
      </w:r>
    </w:p>
    <w:p>
      <w:pPr>
        <w:spacing w:after="0" w:line="147"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 The Critical Infrastructure Business is part of the Company's Public Safety &amp; Security (“PSS”) segment.</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fair values of the major assets acquired and liabilities assumed (in millions):</w:t>
      </w:r>
    </w:p>
    <w:p>
      <w:pPr>
        <w:spacing w:after="0" w:line="331" w:lineRule="exact"/>
        <w:rPr>
          <w:sz w:val="20"/>
          <w:szCs w:val="20"/>
          <w:color w:val="auto"/>
        </w:rPr>
      </w:pPr>
    </w:p>
    <w:tbl>
      <w:tblPr>
        <w:tblLayout w:type="fixed"/>
        <w:tblInd w:w="2840" w:type="dxa"/>
        <w:tblCellMar>
          <w:top w:w="0" w:type="dxa"/>
          <w:left w:w="0" w:type="dxa"/>
          <w:bottom w:w="0" w:type="dxa"/>
          <w:right w:w="0" w:type="dxa"/>
        </w:tblCellMar>
      </w:tblPr>
      <w:tr>
        <w:trPr>
          <w:trHeight w:val="27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4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0"/>
        </w:trPr>
        <w:tc>
          <w:tcPr>
            <w:tcW w:w="4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December 30, 2011, the expected fair value of accounts receivable approximated historical cost. The gross accounts receivable was $24.4 million, of which approximately $1.0 million is not expected to be collectible.</w:t>
      </w:r>
    </w:p>
    <w:p>
      <w:pPr>
        <w:spacing w:after="0" w:line="170"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Due to the integration of the Critical Infrastructure Business with the Company's existing PSS business it is impractical to estimate the amounts of revenue and operating income (loss) included in the Company's condensed consolidated statement of operations and comprehensive income (loss).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tables summarize the supplemental condensed consolidated statements of operations information on an unaudited pro forma basis as if the acquisition of CEi occurred on December 26, 2011 and include adjustments that were directly attributable to the transaction or were not expected to have a continuing impact on the Company. The acquisition of CEi is included in the results of operations for the three and six months ended June 30, 2013. There are no material, nonrecurring pro forma adjustments directly attributable to the business combination included in the reported pro forma revenue and earnings for 2012.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 (all amounts except per share amounts are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40" w:type="dxa"/>
            <w:vAlign w:val="bottom"/>
            <w:gridSpan w:val="3"/>
          </w:tcPr>
          <w:p>
            <w:pPr>
              <w:ind w:left="140"/>
              <w:spacing w:after="0"/>
              <w:rPr>
                <w:sz w:val="20"/>
                <w:szCs w:val="20"/>
                <w:color w:val="auto"/>
              </w:rPr>
            </w:pPr>
            <w:r>
              <w:rPr>
                <w:rFonts w:ascii="Arial" w:cs="Arial" w:eastAsia="Arial" w:hAnsi="Arial"/>
                <w:sz w:val="14"/>
                <w:szCs w:val="14"/>
                <w:b w:val="1"/>
                <w:bCs w:val="1"/>
                <w:color w:val="auto"/>
              </w:rPr>
              <w:t>For the Three Months</w:t>
            </w: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For the Six Months</w:t>
            </w:r>
          </w:p>
        </w:tc>
      </w:tr>
      <w:tr>
        <w:trPr>
          <w:trHeight w:val="192"/>
        </w:trPr>
        <w:tc>
          <w:tcPr>
            <w:tcW w:w="7780" w:type="dxa"/>
            <w:vAlign w:val="bottom"/>
          </w:tcPr>
          <w:p>
            <w:pPr>
              <w:spacing w:after="0"/>
              <w:rPr>
                <w:sz w:val="16"/>
                <w:szCs w:val="16"/>
                <w:color w:val="auto"/>
              </w:rPr>
            </w:pPr>
          </w:p>
        </w:tc>
        <w:tc>
          <w:tcPr>
            <w:tcW w:w="1640" w:type="dxa"/>
            <w:vAlign w:val="bottom"/>
            <w:gridSpan w:val="3"/>
          </w:tcPr>
          <w:p>
            <w:pPr>
              <w:ind w:left="180"/>
              <w:spacing w:after="0"/>
              <w:rPr>
                <w:sz w:val="20"/>
                <w:szCs w:val="20"/>
                <w:color w:val="auto"/>
              </w:rPr>
            </w:pPr>
            <w:r>
              <w:rPr>
                <w:rFonts w:ascii="Arial" w:cs="Arial" w:eastAsia="Arial" w:hAnsi="Arial"/>
                <w:sz w:val="14"/>
                <w:szCs w:val="14"/>
                <w:b w:val="1"/>
                <w:bCs w:val="1"/>
                <w:color w:val="auto"/>
              </w:rPr>
              <w:t>Ended June 24, 2012</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Ended June 24, 2012</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620" w:type="dxa"/>
            <w:vAlign w:val="bottom"/>
            <w:tcBorders>
              <w:top w:val="single" w:sz="8" w:color="auto"/>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Pro forma net loss before tax</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w:t>
            </w: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loss attributable to the registrant</w:t>
            </w: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pro forma loss per share</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1"/>
                <w:szCs w:val="21"/>
                <w:color w:val="auto"/>
              </w:rPr>
            </w:pPr>
          </w:p>
        </w:tc>
      </w:tr>
      <w:tr>
        <w:trPr>
          <w:trHeight w:val="27"/>
        </w:trPr>
        <w:tc>
          <w:tcPr>
            <w:tcW w:w="77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The pro forma financial information reflects the elimination of acquisition related expenses incurred for the three and six months ended of $0.5 million and $0.8 million, respectively, pro forma adjustments for the additional amortization associated with finite-lived intangible assets acquired, stock compensation related to the RSUs granted in the CEi transaction, adjusted depreciation expense related to the fair value of property, plant, and equipment acquired, and the related tax expense.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adjustments are as follows (in millions):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60" w:type="dxa"/>
            <w:vAlign w:val="bottom"/>
            <w:gridSpan w:val="3"/>
          </w:tcPr>
          <w:p>
            <w:pPr>
              <w:ind w:left="140"/>
              <w:spacing w:after="0"/>
              <w:rPr>
                <w:sz w:val="20"/>
                <w:szCs w:val="20"/>
                <w:color w:val="auto"/>
              </w:rPr>
            </w:pPr>
            <w:r>
              <w:rPr>
                <w:rFonts w:ascii="Arial" w:cs="Arial" w:eastAsia="Arial" w:hAnsi="Arial"/>
                <w:sz w:val="14"/>
                <w:szCs w:val="14"/>
                <w:b w:val="1"/>
                <w:bCs w:val="1"/>
                <w:color w:val="auto"/>
              </w:rPr>
              <w:t>For the Three Months</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For the Six Months</w:t>
            </w:r>
          </w:p>
        </w:tc>
      </w:tr>
      <w:tr>
        <w:trPr>
          <w:trHeight w:val="192"/>
        </w:trPr>
        <w:tc>
          <w:tcPr>
            <w:tcW w:w="7740" w:type="dxa"/>
            <w:vAlign w:val="bottom"/>
          </w:tcPr>
          <w:p>
            <w:pPr>
              <w:spacing w:after="0"/>
              <w:rPr>
                <w:sz w:val="16"/>
                <w:szCs w:val="16"/>
                <w:color w:val="auto"/>
              </w:rPr>
            </w:pPr>
          </w:p>
        </w:tc>
        <w:tc>
          <w:tcPr>
            <w:tcW w:w="1660" w:type="dxa"/>
            <w:vAlign w:val="bottom"/>
            <w:gridSpan w:val="3"/>
          </w:tcPr>
          <w:p>
            <w:pPr>
              <w:ind w:left="200"/>
              <w:spacing w:after="0"/>
              <w:rPr>
                <w:sz w:val="20"/>
                <w:szCs w:val="20"/>
                <w:color w:val="auto"/>
              </w:rPr>
            </w:pPr>
            <w:r>
              <w:rPr>
                <w:rFonts w:ascii="Arial" w:cs="Arial" w:eastAsia="Arial" w:hAnsi="Arial"/>
                <w:sz w:val="14"/>
                <w:szCs w:val="14"/>
                <w:b w:val="1"/>
                <w:bCs w:val="1"/>
                <w:color w:val="auto"/>
              </w:rPr>
              <w:t>Ended June 24, 2012</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Ended June 24, 2012</w:t>
            </w:r>
          </w:p>
        </w:tc>
      </w:tr>
      <w:tr>
        <w:trPr>
          <w:trHeight w:val="250"/>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amortization</w:t>
            </w:r>
          </w:p>
        </w:tc>
        <w:tc>
          <w:tcPr>
            <w:tcW w:w="68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Net change in stock compensation expense</w:t>
            </w:r>
          </w:p>
        </w:tc>
        <w:tc>
          <w:tcPr>
            <w:tcW w:w="6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Increase in weighted average common shares outstanding for shares issued and not already included in the</w:t>
            </w: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6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0"/>
                <w:szCs w:val="20"/>
                <w:color w:val="auto"/>
              </w:rPr>
            </w:pPr>
          </w:p>
        </w:tc>
      </w:tr>
      <w:tr>
        <w:trPr>
          <w:trHeight w:val="27"/>
        </w:trPr>
        <w:tc>
          <w:tcPr>
            <w:tcW w:w="77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 xml:space="preserve">In connection with certain acquisitions, the Company has agreed to make additional future payments to the seller contingent upon achievement of specific performance-based milestones by the acquired entities. Pursuant to the provisions of </w:t>
      </w:r>
      <w:r>
        <w:rPr>
          <w:rFonts w:ascii="Arial" w:cs="Arial" w:eastAsia="Arial" w:hAnsi="Arial"/>
          <w:sz w:val="16"/>
          <w:szCs w:val="16"/>
          <w:i w:val="1"/>
          <w:iCs w:val="1"/>
          <w:color w:val="auto"/>
        </w:rPr>
        <w:t>Topic 805,</w:t>
      </w:r>
      <w:r>
        <w:rPr>
          <w:rFonts w:ascii="Arial" w:cs="Arial" w:eastAsia="Arial" w:hAnsi="Arial"/>
          <w:sz w:val="16"/>
          <w:szCs w:val="16"/>
          <w:color w:val="auto"/>
        </w:rPr>
        <w:t xml:space="preserve"> the Company will re-measure these liabilities each reporting period and record changes in the fair value in its condensed consolidated statement of operations and comprehensive income (loss). Increases or decreases in the fair value of the contingent consideration liability, which is measured as the present value of expected future cash flows, a Level 3 measurement in the fair value hierarchy (Level 3 hierarchy as defined by </w:t>
      </w:r>
      <w:r>
        <w:rPr>
          <w:rFonts w:ascii="Arial" w:cs="Arial" w:eastAsia="Arial" w:hAnsi="Arial"/>
          <w:sz w:val="16"/>
          <w:szCs w:val="16"/>
          <w:i w:val="1"/>
          <w:iCs w:val="1"/>
          <w:color w:val="auto"/>
        </w:rPr>
        <w:t>ASC Topic 820, Fair Value Measurements and Disclosures (“Topic 820”</w:t>
      </w:r>
      <w:r>
        <w:rPr>
          <w:rFonts w:ascii="Arial" w:cs="Arial" w:eastAsia="Arial" w:hAnsi="Arial"/>
          <w:sz w:val="16"/>
          <w:szCs w:val="16"/>
          <w:color w:val="auto"/>
        </w:rPr>
        <w:t>)), can result from changes in discount periods and rates, as well as changes in the estimates on the achievement of the performance-based milestones.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the Company was obligated to pay certain additional contingent consideration (the “DEI Contingent Consideration”). The Company has paid $5.0 million related to the DEI Contingent Consideration, with the final payment of $2.1 million paid in April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ASC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as of the last day of each fiscal year or when evidence of potential impairment exists.</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KGS and PSS operating segments.</w:t>
      </w:r>
    </w:p>
    <w:p>
      <w:pPr>
        <w:spacing w:after="0" w:line="15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a Level 3 measurement. If the book value exceeds the estimated fair value for a reporting unit a potential impairment is indicated, and </w:t>
      </w:r>
      <w:r>
        <w:rPr>
          <w:rFonts w:ascii="Arial" w:cs="Arial" w:eastAsia="Arial" w:hAnsi="Arial"/>
          <w:sz w:val="17"/>
          <w:szCs w:val="17"/>
          <w:i w:val="1"/>
          <w:iCs w:val="1"/>
          <w:color w:val="auto"/>
        </w:rPr>
        <w:t>Topic 350</w:t>
      </w:r>
      <w:r>
        <w:rPr>
          <w:rFonts w:ascii="Arial" w:cs="Arial" w:eastAsia="Arial" w:hAnsi="Arial"/>
          <w:sz w:val="17"/>
          <w:szCs w:val="17"/>
          <w:color w:val="auto"/>
        </w:rPr>
        <w:t xml:space="preserve"> prescribes the approach for determining the impairment amount, if any.</w:t>
      </w:r>
    </w:p>
    <w:p>
      <w:pPr>
        <w:spacing w:after="0" w:line="17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Topic 350</w:t>
      </w:r>
      <w:r>
        <w:rPr>
          <w:rFonts w:ascii="Arial" w:cs="Arial" w:eastAsia="Arial" w:hAnsi="Arial"/>
          <w:sz w:val="16"/>
          <w:szCs w:val="16"/>
          <w:color w:val="auto"/>
        </w:rPr>
        <w:t>, as a result of the Company's decision in June 2012 to dispose of certain non-core businesses acquired in the Integral acquisition, the Company allocated $1.5 million of goodwill to discontinued operations, which resulted in an impairment charge (see Note 8). The Company then tested the goodwill remaining in the KGS reporting unit. The fair value of the KGS reporting unit exceeded its carrying value by 7.4% at that time.</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the fourth quarter of 2012, the KGS reporting unit was impacted by continued declining market valuations and the economic uncertainty in the U.S. defense industry. At that time, Congress had been unable to agree on a budget that conformed with the Budget Control Act of 2011 requirements, which required additional substantial defense spending reductions through sequestration. Additionally, Congress and the President failed to agree on budgetary, tax and spending issues, and as a result a FY 2013 budget was not passed and a six-month continuing resolution that funded the U.S. Government through March 27, 2013 was passed. As of December 2012, these events significantly increased the likelihood of the sequester occurring, which had negative consequences for the defense industry. In addition, as Congress and the Administration could not come to an agreement on terms of a possible national fiscal approach, they also failed to address other fiscal matters such as the debt ceiling, which is currently expected to be reached during the third quarter of 2013. These events negatively impacted the Company's estimate of the fair value of the KGS reporting unit, resulting in the book value of KGS exceeding its fair value in step one of the impairment test in the fourth quarter of 2012.</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then performed the second step of the goodwill impairment test to measure the amount of the impairment loss, if any, of the KGS reporting unit. The second step of the test requires the allocation of the reporting unit's fair value to its assets and liabilities, including any unrecognized intangible assets, in a hypothetical analysis that calculates the implied fair value of goodwill as if the reporting unit was being acquired in a business combination. If the implied fair value of goodwill is less than the carrying value, the difference is recorded as an impairment loss. Based on the results of the step two analysis, the Company recorded an $82.0 million goodwill impairment in the fourth quarter of 2012. The changes in the carrying amount of goodwill for the six months ended June 30, 2013 are as follows (in millions):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Public Safety</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Government</w:t>
            </w:r>
          </w:p>
        </w:tc>
        <w:tc>
          <w:tcPr>
            <w:tcW w:w="2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&amp; Security</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40"/>
              <w:spacing w:after="0"/>
              <w:rPr>
                <w:sz w:val="20"/>
                <w:szCs w:val="20"/>
                <w:color w:val="auto"/>
              </w:rPr>
            </w:pPr>
            <w:r>
              <w:rPr>
                <w:rFonts w:ascii="Arial" w:cs="Arial" w:eastAsia="Arial" w:hAnsi="Arial"/>
                <w:sz w:val="18"/>
                <w:szCs w:val="18"/>
                <w:color w:val="auto"/>
              </w:rPr>
              <w:t>Balance as of December 30, 2012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Retrospective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600" w:type="dxa"/>
            <w:vAlign w:val="bottom"/>
          </w:tcPr>
          <w:p>
            <w:pPr>
              <w:ind w:left="40"/>
              <w:spacing w:after="0"/>
              <w:rPr>
                <w:sz w:val="20"/>
                <w:szCs w:val="20"/>
                <w:color w:val="auto"/>
              </w:rPr>
            </w:pPr>
            <w:r>
              <w:rPr>
                <w:rFonts w:ascii="Arial" w:cs="Arial" w:eastAsia="Arial" w:hAnsi="Arial"/>
                <w:sz w:val="18"/>
                <w:szCs w:val="18"/>
                <w:color w:val="auto"/>
              </w:rPr>
              <w:t>Balance as of December 30, 2012 after retrospective adjustments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accumulated impairment losses as of December 30, 2012 and June 30, 2013 were $247.4 million, of which $229.1 million was associated with the KGS segment and $18.3 million was associated with the PSS segment.</w:t>
      </w: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125" w:right="41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2"/>
              </w:rPr>
              <w:t>As of December 30, 2012</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June 30, 2013</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52"/>
        </w:trPr>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9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88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88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Value</w:t>
            </w:r>
          </w:p>
        </w:tc>
      </w:tr>
      <w:tr>
        <w:trPr>
          <w:trHeight w:val="236"/>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97.7</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97.7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52.6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Developed technology and technical know-how</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Acquired indefinite-lived intangible assets: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indefinite-lived intangible assets</w:t>
            </w: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Consolidated amortization expense related to intangible assets subject to amortization was $8.9 million and $9.0 million for the three months ended June 24, 2012 and June 30, 2013, respectively, and $19.4 million and $18.3 million for the six months ended June 24, 2012 and June 30, 2013,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or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680" w:type="dxa"/>
        <w:tblCellMar>
          <w:top w:w="0" w:type="dxa"/>
          <w:left w:w="0" w:type="dxa"/>
          <w:bottom w:w="0" w:type="dxa"/>
          <w:right w:w="0" w:type="dxa"/>
        </w:tblCellMar>
      </w:tblPr>
      <w:tr>
        <w:trPr>
          <w:trHeight w:val="192"/>
        </w:trPr>
        <w:tc>
          <w:tcPr>
            <w:tcW w:w="374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December 30, 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June 30, 2013</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Supplies and other</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 inventoried costs</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w w:val="92"/>
              </w:rPr>
              <w:t>Less: Customer advances and progress payments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ind w:right="930"/>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May 14, 2012, the Company sold 20.0 million shares of its common stock at a purchase price of $5.00 per share in an underwritten public offering. The Company received gross proceeds of $100.0 million. After deducting underwriting and other offering expenses, the Company received approximately $97.0 million in net proceeds. The Company used the net proceeds from this offering to fund a portion of the cash consideration paid to the stockholders of Composite Engineering, Inc. ("CEi") in connection with the Company's acquisition thereof on July 2, 2012.</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493"/>
              <w:spacing w:after="0"/>
              <w:rPr>
                <w:sz w:val="20"/>
                <w:szCs w:val="20"/>
                <w:color w:val="auto"/>
              </w:rPr>
            </w:pPr>
            <w:r>
              <w:rPr>
                <w:rFonts w:ascii="Arial" w:cs="Arial" w:eastAsia="Arial" w:hAnsi="Arial"/>
                <w:sz w:val="14"/>
                <w:szCs w:val="14"/>
                <w:b w:val="1"/>
                <w:bCs w:val="1"/>
                <w:color w:val="auto"/>
              </w:rPr>
              <w:t>For the Six Months Ended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5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June 24, 2012</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4"/>
              </w:rPr>
              <w:t>June 30, 2013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 beginning of period</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comprehensive loss</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Additional paid-in-capital from the issuance of common stock for cash</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Restricted stock units traded for taxes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 at end of period</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308.1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5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960" w:type="dxa"/>
            <w:vAlign w:val="bottom"/>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5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4"/>
              </w:rPr>
              <w:t>June 24, 2012</w:t>
            </w:r>
          </w:p>
        </w:tc>
        <w:tc>
          <w:tcPr>
            <w:tcW w:w="16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June 30, 2013</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Cumulative translation adjustment</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6620" w:type="dxa"/>
            <w:vAlign w:val="bottom"/>
            <w:gridSpan w:val="2"/>
          </w:tcPr>
          <w:p>
            <w:pPr>
              <w:ind w:left="20"/>
              <w:spacing w:after="0"/>
              <w:rPr>
                <w:sz w:val="20"/>
                <w:szCs w:val="20"/>
                <w:color w:val="auto"/>
              </w:rPr>
            </w:pPr>
            <w:r>
              <w:rPr>
                <w:rFonts w:ascii="Arial" w:cs="Arial" w:eastAsia="Arial" w:hAnsi="Arial"/>
                <w:sz w:val="18"/>
                <w:szCs w:val="18"/>
                <w:color w:val="auto"/>
              </w:rPr>
              <w:t>Post retirement benefit reserve adjustment net of tax expense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6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loss</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reclassifications from other comprehensive income to net loss for the three or six months ended June 30,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issued by the Company for the six months ended June 24, 2012 and June 30, 2013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6700" w:type="dxa"/>
            <w:vAlign w:val="bottom"/>
          </w:tcPr>
          <w:p>
            <w:pPr>
              <w:spacing w:after="0"/>
              <w:rPr>
                <w:sz w:val="22"/>
                <w:szCs w:val="22"/>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24, 2012</w:t>
            </w:r>
          </w:p>
        </w:tc>
        <w:tc>
          <w:tcPr>
            <w:tcW w:w="1300" w:type="dxa"/>
            <w:vAlign w:val="bottom"/>
          </w:tcPr>
          <w:p>
            <w:pPr>
              <w:jc w:val="right"/>
              <w:ind w:right="154"/>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beginning of the period</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w:t>
            </w:r>
          </w:p>
        </w:tc>
      </w:tr>
      <w:tr>
        <w:trPr>
          <w:trHeight w:val="229"/>
        </w:trPr>
        <w:tc>
          <w:tcPr>
            <w:tcW w:w="6700" w:type="dxa"/>
            <w:vAlign w:val="bottom"/>
          </w:tcPr>
          <w:p>
            <w:pPr>
              <w:ind w:left="160"/>
              <w:spacing w:after="0"/>
              <w:rPr>
                <w:sz w:val="20"/>
                <w:szCs w:val="20"/>
                <w:color w:val="auto"/>
              </w:rPr>
            </w:pPr>
            <w:r>
              <w:rPr>
                <w:rFonts w:ascii="Arial" w:cs="Arial" w:eastAsia="Arial" w:hAnsi="Arial"/>
                <w:sz w:val="18"/>
                <w:szCs w:val="18"/>
                <w:color w:val="auto"/>
                <w:w w:val="93"/>
              </w:rPr>
              <w:t>Stock issued for employee stock purchase plan, stock options and restricted stock units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70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issued for cash</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Shares outstanding at end of the period</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r>
      <w:tr>
        <w:trPr>
          <w:trHeight w:val="27"/>
        </w:trPr>
        <w:tc>
          <w:tcPr>
            <w:tcW w:w="67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Company calculates net income (loss) per share in accordance with </w:t>
      </w:r>
      <w:r>
        <w:rPr>
          <w:rFonts w:ascii="Arial" w:cs="Arial" w:eastAsia="Arial" w:hAnsi="Arial"/>
          <w:sz w:val="18"/>
          <w:szCs w:val="18"/>
          <w:i w:val="1"/>
          <w:iCs w:val="1"/>
          <w:color w:val="auto"/>
        </w:rPr>
        <w:t>ASC Topic 260</w:t>
      </w:r>
      <w:r>
        <w:rPr>
          <w:rFonts w:ascii="Arial" w:cs="Arial" w:eastAsia="Arial" w:hAnsi="Arial"/>
          <w:sz w:val="18"/>
          <w:szCs w:val="18"/>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Topic 260”</w:t>
      </w:r>
      <w:r>
        <w:rPr>
          <w:rFonts w:ascii="Arial" w:cs="Arial" w:eastAsia="Arial" w:hAnsi="Arial"/>
          <w:sz w:val="18"/>
          <w:szCs w:val="18"/>
          <w:color w:val="auto"/>
        </w:rPr>
        <w:t xml:space="preserve">). Under </w:t>
      </w:r>
      <w:r>
        <w:rPr>
          <w:rFonts w:ascii="Arial" w:cs="Arial" w:eastAsia="Arial" w:hAnsi="Arial"/>
          <w:sz w:val="18"/>
          <w:szCs w:val="18"/>
          <w:i w:val="1"/>
          <w:iCs w:val="1"/>
          <w:color w:val="auto"/>
        </w:rPr>
        <w:t>Topic 260</w:t>
      </w:r>
      <w:r>
        <w:rPr>
          <w:rFonts w:ascii="Arial" w:cs="Arial" w:eastAsia="Arial" w:hAnsi="Arial"/>
          <w:sz w:val="18"/>
          <w:szCs w:val="18"/>
          <w:color w:val="auto"/>
        </w:rPr>
        <w:t>, basic net income (loss) per common share is calculated by dividing net income (loss) by the weighted-average number of common shares outstanding during the reporting period.</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125" w:right="39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28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4"/>
                <w:szCs w:val="14"/>
                <w:b w:val="1"/>
                <w:bCs w:val="1"/>
                <w:color w:val="auto"/>
                <w:w w:val="94"/>
              </w:rPr>
              <w:t>For the 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8"/>
              </w:rPr>
              <w:t>For the Six Months Ended</w:t>
            </w:r>
          </w:p>
        </w:tc>
        <w:tc>
          <w:tcPr>
            <w:tcW w:w="0" w:type="dxa"/>
            <w:vAlign w:val="bottom"/>
          </w:tcPr>
          <w:p>
            <w:pPr>
              <w:spacing w:after="0"/>
              <w:rPr>
                <w:sz w:val="1"/>
                <w:szCs w:val="1"/>
                <w:color w:val="auto"/>
              </w:rPr>
            </w:pPr>
          </w:p>
        </w:tc>
      </w:tr>
      <w:tr>
        <w:trPr>
          <w:trHeight w:val="152"/>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earnings per share)</w:t>
            </w:r>
          </w:p>
        </w:tc>
        <w:tc>
          <w:tcPr>
            <w:tcW w:w="140" w:type="dxa"/>
            <w:vAlign w:val="bottom"/>
          </w:tcPr>
          <w:p>
            <w:pPr>
              <w:spacing w:after="0"/>
              <w:rPr>
                <w:sz w:val="13"/>
                <w:szCs w:val="13"/>
                <w:color w:val="auto"/>
              </w:rPr>
            </w:pPr>
          </w:p>
        </w:tc>
        <w:tc>
          <w:tcPr>
            <w:tcW w:w="9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24,</w:t>
            </w:r>
          </w:p>
        </w:tc>
        <w:tc>
          <w:tcPr>
            <w:tcW w:w="160" w:type="dxa"/>
            <w:vAlign w:val="bottom"/>
          </w:tcPr>
          <w:p>
            <w:pPr>
              <w:spacing w:after="0"/>
              <w:rPr>
                <w:sz w:val="13"/>
                <w:szCs w:val="13"/>
                <w:color w:val="auto"/>
              </w:rPr>
            </w:pPr>
          </w:p>
        </w:tc>
        <w:tc>
          <w:tcPr>
            <w:tcW w:w="9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June 24,</w:t>
            </w:r>
          </w:p>
        </w:tc>
        <w:tc>
          <w:tcPr>
            <w:tcW w:w="160" w:type="dxa"/>
            <w:vAlign w:val="bottom"/>
          </w:tcPr>
          <w:p>
            <w:pPr>
              <w:spacing w:after="0"/>
              <w:rPr>
                <w:sz w:val="13"/>
                <w:szCs w:val="13"/>
                <w:color w:val="auto"/>
              </w:rPr>
            </w:pPr>
          </w:p>
        </w:tc>
        <w:tc>
          <w:tcPr>
            <w:tcW w:w="8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63"/>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continuing operations (A)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w w:val="95"/>
              </w:rPr>
              <w:t>Weighted average outstanding shares of common stock (B)</w:t>
            </w:r>
          </w:p>
        </w:tc>
        <w:tc>
          <w:tcPr>
            <w:tcW w:w="14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employee stock options and awards</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and common stock equivalents (C)</w:t>
            </w: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60"/>
              <w:spacing w:after="0"/>
              <w:rPr>
                <w:sz w:val="20"/>
                <w:szCs w:val="20"/>
                <w:color w:val="auto"/>
              </w:rPr>
            </w:pPr>
            <w:r>
              <w:rPr>
                <w:rFonts w:ascii="Arial" w:cs="Arial" w:eastAsia="Arial" w:hAnsi="Arial"/>
                <w:sz w:val="18"/>
                <w:szCs w:val="18"/>
                <w:color w:val="auto"/>
              </w:rPr>
              <w:t>Basic (A/B)</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(A/C)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As of December 30, 2012, the Company had $13.4 million of unrecognized tax benefits that, if recognized, would affect the effective tax rate, subject to possible offset by an increase in the valuation allowance. During the six months ended June 30, 2013, this amount was increased by $0.1 million and was recorded as an adjustment to goodwill. Additionally, the unrecognized tax benefit amount was reduced by $1.5 million relating to the expiration of statutes of limitations. This reduction in unrecognized tax benefits was recorded as a benefit from continuing operations.</w:t>
      </w:r>
    </w:p>
    <w:p>
      <w:pPr>
        <w:spacing w:after="0" w:line="171" w:lineRule="exact"/>
        <w:rPr>
          <w:sz w:val="20"/>
          <w:szCs w:val="20"/>
          <w:color w:val="auto"/>
        </w:rPr>
      </w:pPr>
    </w:p>
    <w:p>
      <w:pPr>
        <w:ind w:right="140" w:firstLine="567"/>
        <w:spacing w:after="0" w:line="297"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During the six months ended June 24, 2012, a $0.3 million expense was recorded related to interest and penalties. There was no material expense recorded during the six months ended June 30, 2013. The Company recorded a benefit for interest and penalties related to the reversal of prior positions of $0.1 million and$0.2 million for the six months ended June 24, 2012 and June 30, 2013, respectively. The Company believes that it is reasonably possible that as much as $0.1 million of the liabilities for uncertain tax positions will expire within twelve months of June 30, 2013 due to the expiration of various applicable statutes of limitations.</w:t>
      </w:r>
    </w:p>
    <w:p>
      <w:pPr>
        <w:spacing w:after="0" w:line="15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net operating loss (“NOL”) carryforwards. Generally, the Company's tax years for 2006 and later are subject to examination by various foreign tax authorities.</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 Management will continue to evaluate the necessity to maintain a valuation allowance against the Company's net deferred tax assets.</w:t>
      </w:r>
    </w:p>
    <w:p>
      <w:pPr>
        <w:spacing w:after="0" w:line="188" w:lineRule="exact"/>
        <w:rPr>
          <w:sz w:val="20"/>
          <w:szCs w:val="20"/>
          <w:color w:val="auto"/>
        </w:rPr>
      </w:pPr>
    </w:p>
    <w:p>
      <w:pPr>
        <w:ind w:right="460" w:firstLine="567"/>
        <w:spacing w:after="0" w:line="342" w:lineRule="auto"/>
        <w:rPr>
          <w:sz w:val="20"/>
          <w:szCs w:val="20"/>
          <w:color w:val="auto"/>
        </w:rPr>
      </w:pPr>
      <w:r>
        <w:rPr>
          <w:rFonts w:ascii="Arial" w:cs="Arial" w:eastAsia="Arial" w:hAnsi="Arial"/>
          <w:sz w:val="16"/>
          <w:szCs w:val="16"/>
          <w:color w:val="auto"/>
        </w:rPr>
        <w:t>A reconciliation of the total income tax provision to the amount computed by applying the statutory federal income tax rate of 35% to loss from continuing operations before income tax provision for the three and six months ended June 24, 2012 and June 30, 2013 is as follows (in millions):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9"/>
              </w:rPr>
              <w:t>For the 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For the Six Months Ended</w:t>
            </w:r>
          </w:p>
        </w:tc>
      </w:tr>
      <w:tr>
        <w:trPr>
          <w:trHeight w:val="152"/>
        </w:trPr>
        <w:tc>
          <w:tcPr>
            <w:tcW w:w="5620" w:type="dxa"/>
            <w:vAlign w:val="bottom"/>
          </w:tcPr>
          <w:p>
            <w:pPr>
              <w:spacing w:after="0"/>
              <w:rPr>
                <w:sz w:val="13"/>
                <w:szCs w:val="13"/>
                <w:color w:val="auto"/>
              </w:rPr>
            </w:pPr>
          </w:p>
        </w:tc>
        <w:tc>
          <w:tcPr>
            <w:tcW w:w="960" w:type="dxa"/>
            <w:vAlign w:val="bottom"/>
          </w:tcPr>
          <w:p>
            <w:pPr>
              <w:ind w:left="420"/>
              <w:spacing w:after="0" w:line="153" w:lineRule="exact"/>
              <w:rPr>
                <w:sz w:val="20"/>
                <w:szCs w:val="20"/>
                <w:color w:val="auto"/>
              </w:rPr>
            </w:pPr>
            <w:r>
              <w:rPr>
                <w:rFonts w:ascii="Arial" w:cs="Arial" w:eastAsia="Arial" w:hAnsi="Arial"/>
                <w:sz w:val="14"/>
                <w:szCs w:val="14"/>
                <w:b w:val="1"/>
                <w:bCs w:val="1"/>
                <w:color w:val="auto"/>
                <w:w w:val="92"/>
              </w:rPr>
              <w:t>June 24,</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24,</w:t>
            </w:r>
          </w:p>
        </w:tc>
        <w:tc>
          <w:tcPr>
            <w:tcW w:w="260" w:type="dxa"/>
            <w:vAlign w:val="bottom"/>
          </w:tcPr>
          <w:p>
            <w:pPr>
              <w:spacing w:after="0"/>
              <w:rPr>
                <w:sz w:val="13"/>
                <w:szCs w:val="13"/>
                <w:color w:val="auto"/>
              </w:rPr>
            </w:pPr>
          </w:p>
        </w:tc>
        <w:tc>
          <w:tcPr>
            <w:tcW w:w="110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56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w w:val="94"/>
              </w:rPr>
              <w:t>State and foreign taxes, net of federal tax benefit and valuation allowance</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Impact of indefinite lived deferred tax liabilities</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reserves for uncertain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9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4.1</w:t>
            </w:r>
          </w:p>
        </w:tc>
      </w:tr>
      <w:tr>
        <w:trPr>
          <w:trHeight w:val="27"/>
        </w:trPr>
        <w:tc>
          <w:tcPr>
            <w:tcW w:w="5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Federal and state income tax laws impose restrictions on the utilization of NOL and tax credit carryforwards in the event that an “ownership change” occurs for tax purposes, as defined by Section 382 (“Section 382”) of the Internal Revenue Code of 1986, as amended (the “Code”). In general, an ownership change occurs when shareholders owning 5% or more of a “loss corporation” (a corporation entitled to use NOL or other tax attribute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 two preceding months. The annual base Section 382 limitation may be increased for certain recognized built-in gains during the five year period succeeding an ownership change. In March 2010, an “ownership change” occurred that will limit the utilization of the loss carryforwards. Additionally, in May 2012, another “ownership change” was triggered. As a result of these changes, the amount of NOLs that can be used in any period are limited. For the three and six months ended June 30, 2013, there was no impact of such limitations on the income tax provision since the amount of taxable income did not exceed the annual limitation amount. In addition,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June 2012, consistent with the Company's plans to complete its assessment and evaluation of the non-core businesses acquired in the Integral acquisition, the Company committed to a plan to sell certain lines of business associated with antennas, satellite-cased products and fly-away terminals. These operations were previously reported in the KGS segment, and in accordance with </w:t>
      </w:r>
      <w:r>
        <w:rPr>
          <w:rFonts w:ascii="Arial" w:cs="Arial" w:eastAsia="Arial" w:hAnsi="Arial"/>
          <w:sz w:val="17"/>
          <w:szCs w:val="17"/>
          <w:i w:val="1"/>
          <w:iCs w:val="1"/>
          <w:color w:val="auto"/>
        </w:rPr>
        <w:t>Topic 205, Presentation of Financial Statements ("Topic 205"),</w:t>
      </w:r>
      <w:r>
        <w:rPr>
          <w:rFonts w:ascii="Arial" w:cs="Arial" w:eastAsia="Arial" w:hAnsi="Arial"/>
          <w:sz w:val="17"/>
          <w:szCs w:val="17"/>
          <w:color w:val="auto"/>
        </w:rPr>
        <w:t xml:space="preserve"> these businesses have been classified as held for sale and reported in discontinued operations in the accompanying condensed consolidated financial statements. In the second quarter of 2012, the Company recorded a $1.5 million impairment charge associated with the portion of goodwill that was allocated to the discontinued businesses based on management's estimate of the fair value of the business. The Company sold its domestic operations to two buyers for approximately $0.8 million in cash consideration and the assumption of certain liabilities. The Company received $0.3 million in cash in 2012 from the first buyer and $0.5 million in cash in April 2013 from the second buyer. The Company recorded a $1.2 million impairment charge in the first quarter of 2013 related to its revised estimate of the fair value of these operations.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320" w:type="dxa"/>
            <w:vAlign w:val="bottom"/>
            <w:tcBorders>
              <w:bottom w:val="single" w:sz="8" w:color="auto"/>
            </w:tcBorders>
            <w:gridSpan w:val="5"/>
          </w:tcPr>
          <w:p>
            <w:pPr>
              <w:jc w:val="right"/>
              <w:ind w:right="67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47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24, 2012</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24, 2012</w:t>
            </w:r>
          </w:p>
        </w:tc>
        <w:tc>
          <w:tcPr>
            <w:tcW w:w="260" w:type="dxa"/>
            <w:vAlign w:val="bottom"/>
          </w:tcPr>
          <w:p>
            <w:pPr>
              <w:spacing w:after="0"/>
              <w:rPr>
                <w:sz w:val="22"/>
                <w:szCs w:val="22"/>
                <w:color w:val="auto"/>
              </w:rPr>
            </w:pPr>
          </w:p>
        </w:tc>
        <w:tc>
          <w:tcPr>
            <w:tcW w:w="1340" w:type="dxa"/>
            <w:vAlign w:val="bottom"/>
          </w:tcPr>
          <w:p>
            <w:pPr>
              <w:jc w:val="right"/>
              <w:ind w:right="294"/>
              <w:spacing w:after="0"/>
              <w:rPr>
                <w:sz w:val="20"/>
                <w:szCs w:val="20"/>
                <w:color w:val="auto"/>
              </w:rPr>
            </w:pPr>
            <w:r>
              <w:rPr>
                <w:rFonts w:ascii="Arial" w:cs="Arial" w:eastAsia="Arial" w:hAnsi="Arial"/>
                <w:sz w:val="14"/>
                <w:szCs w:val="14"/>
                <w:b w:val="1"/>
                <w:bCs w:val="1"/>
                <w:color w:val="auto"/>
              </w:rPr>
              <w:t>June 30, 2013</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20" w:type="dxa"/>
            <w:vAlign w:val="bottom"/>
            <w:tcBorders>
              <w:top w:val="single" w:sz="8" w:color="auto"/>
              <w:bottom w:val="single" w:sz="8" w:color="CCEEFF"/>
            </w:tcBorders>
            <w:shd w:val="clear" w:color="auto" w:fill="CCEEFF"/>
          </w:tcPr>
          <w:p>
            <w:pPr>
              <w:jc w:val="right"/>
              <w:ind w:right="101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before taxes</w:t>
            </w:r>
          </w:p>
        </w:tc>
        <w:tc>
          <w:tcPr>
            <w:tcW w:w="12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6"/>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Net loss after taxes</w:t>
            </w:r>
          </w:p>
        </w:tc>
        <w:tc>
          <w:tcPr>
            <w:tcW w:w="1220" w:type="dxa"/>
            <w:vAlign w:val="bottom"/>
            <w:tcBorders>
              <w:top w:val="single" w:sz="8" w:color="auto"/>
              <w:bottom w:val="single" w:sz="8" w:color="auto"/>
            </w:tcBorders>
          </w:tcPr>
          <w:p>
            <w:pPr>
              <w:jc w:val="right"/>
              <w:ind w:right="1017"/>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7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80" w:firstLine="690"/>
        <w:spacing w:after="0" w:line="264" w:lineRule="auto"/>
        <w:rPr>
          <w:sz w:val="20"/>
          <w:szCs w:val="20"/>
          <w:color w:val="auto"/>
        </w:rPr>
      </w:pPr>
      <w:r>
        <w:rPr>
          <w:rFonts w:ascii="Arial" w:cs="Arial" w:eastAsia="Arial" w:hAnsi="Arial"/>
          <w:sz w:val="18"/>
          <w:szCs w:val="18"/>
          <w:color w:val="auto"/>
        </w:rPr>
        <w:t>The following is a summary of the assets and liabilities of discontinued operations, which are in other current assets, other non-current assets, other current liabilities and other long-term liabilities in the accompanying condensed consolidated balance sheets as of December 30, 2012 and June 30, 2013 (in millions):</w:t>
      </w:r>
    </w:p>
    <w:p>
      <w:pPr>
        <w:spacing w:after="0" w:line="32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60" w:type="dxa"/>
            <w:vAlign w:val="bottom"/>
          </w:tcPr>
          <w:p>
            <w:pPr>
              <w:jc w:val="right"/>
              <w:ind w:right="35"/>
              <w:spacing w:after="0"/>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jc w:val="right"/>
              <w:ind w:right="6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65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2013</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60" w:type="dxa"/>
            <w:vAlign w:val="bottom"/>
            <w:tcBorders>
              <w:bottom w:val="single" w:sz="8" w:color="CCEEFF"/>
            </w:tcBorders>
            <w:shd w:val="clear" w:color="auto" w:fill="CCEEFF"/>
          </w:tcPr>
          <w:p>
            <w:pPr>
              <w:jc w:val="right"/>
              <w:ind w:right="12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Inventoried costs</w:t>
            </w: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6580" w:type="dxa"/>
            <w:vAlign w:val="bottom"/>
          </w:tcPr>
          <w:p>
            <w:pPr>
              <w:ind w:left="160"/>
              <w:spacing w:after="0"/>
              <w:rPr>
                <w:sz w:val="20"/>
                <w:szCs w:val="20"/>
                <w:color w:val="auto"/>
              </w:rPr>
            </w:pPr>
            <w:r>
              <w:rPr>
                <w:rFonts w:ascii="Arial" w:cs="Arial" w:eastAsia="Arial" w:hAnsi="Arial"/>
                <w:sz w:val="18"/>
                <w:szCs w:val="18"/>
                <w:color w:val="auto"/>
              </w:rPr>
              <w:t>Current assets of discontinued operations</w:t>
            </w:r>
          </w:p>
        </w:tc>
        <w:tc>
          <w:tcPr>
            <w:tcW w:w="14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assets of discontinued operations</w:t>
            </w:r>
          </w:p>
        </w:tc>
        <w:tc>
          <w:tcPr>
            <w:tcW w:w="1460" w:type="dxa"/>
            <w:vAlign w:val="bottom"/>
            <w:tcBorders>
              <w:bottom w:val="single" w:sz="8" w:color="auto"/>
            </w:tcBorders>
            <w:shd w:val="clear" w:color="auto" w:fill="CCEEFF"/>
          </w:tcPr>
          <w:p>
            <w:pPr>
              <w:jc w:val="right"/>
              <w:ind w:right="125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tcPr>
          <w:p>
            <w:pPr>
              <w:jc w:val="right"/>
              <w:ind w:right="125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 of discontinued operations</w:t>
            </w:r>
          </w:p>
        </w:tc>
        <w:tc>
          <w:tcPr>
            <w:tcW w:w="14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unrecognized tax liabilities</w:t>
            </w:r>
          </w:p>
        </w:tc>
        <w:tc>
          <w:tcPr>
            <w:tcW w:w="1460" w:type="dxa"/>
            <w:vAlign w:val="bottom"/>
            <w:tcBorders>
              <w:bottom w:val="single" w:sz="8" w:color="CCEEFF"/>
            </w:tcBorders>
            <w:shd w:val="clear" w:color="auto" w:fill="CCEEFF"/>
          </w:tcPr>
          <w:p>
            <w:pPr>
              <w:jc w:val="right"/>
              <w:ind w:right="125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6580" w:type="dxa"/>
            <w:vAlign w:val="bottom"/>
          </w:tcPr>
          <w:p>
            <w:pPr>
              <w:ind w:left="160"/>
              <w:spacing w:after="0"/>
              <w:rPr>
                <w:sz w:val="20"/>
                <w:szCs w:val="20"/>
                <w:color w:val="auto"/>
              </w:rPr>
            </w:pPr>
            <w:r>
              <w:rPr>
                <w:rFonts w:ascii="Arial" w:cs="Arial" w:eastAsia="Arial" w:hAnsi="Arial"/>
                <w:sz w:val="18"/>
                <w:szCs w:val="18"/>
                <w:color w:val="auto"/>
              </w:rPr>
              <w:t>Long-term liabilities of discontinued operations</w:t>
            </w:r>
          </w:p>
        </w:tc>
        <w:tc>
          <w:tcPr>
            <w:tcW w:w="1460" w:type="dxa"/>
            <w:vAlign w:val="bottom"/>
            <w:tcBorders>
              <w:top w:val="single" w:sz="8" w:color="auto"/>
              <w:bottom w:val="single" w:sz="8" w:color="auto"/>
            </w:tcBorders>
          </w:tcPr>
          <w:p>
            <w:pPr>
              <w:jc w:val="right"/>
              <w:ind w:right="1255"/>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6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May 19, 2010, the Company entered into an indenture with the guarantors set forth therein and Wilmington Trust FSB, as trustee and collateral agent (as amended or supplemented the “Indenture”), to issue the Notes. As of June 30, 2013, the Company has issued Notes in the aggregate principal amount of $625.0 million under the Indenture, of which $225.0 million were issued on May 19, 2010, $285.0 million were issued on March 25, 2011 at a $20.0 million premium and an effective interest rate of 8.5%, and $115.0 million were issued on July 27, 2011 at a $5.8 million premium and an effective interest rate of 8.9%. These Notes have been used to fund acquisitions and for general corporate purposes. The holders of the Notes have a first priority lien on substantially all of the Company's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7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30, 2013, the Company was in compliance with the covenants contained in the Indenture governing the Notes.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have redeemed up to 35% of the aggregate principal amount of the Notes at 110% of the aggregate principal amount of the Notes, plus accrued and unpaid interest to the date of redemption, with the net cash proceeds of certain equity offerings.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18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$110.0 Million Credit Facility</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27, 2011, the Company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established a five-year senior secured revolving credit facility in the amount of $65.0 million (as amended and described below,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jc w:val="both"/>
        <w:ind w:right="120" w:firstLine="648"/>
        <w:spacing w:after="0" w:line="291" w:lineRule="auto"/>
        <w:rPr>
          <w:sz w:val="20"/>
          <w:szCs w:val="20"/>
          <w:color w:val="auto"/>
        </w:rPr>
      </w:pPr>
      <w:r>
        <w:rPr>
          <w:rFonts w:ascii="Arial" w:cs="Arial" w:eastAsia="Arial" w:hAnsi="Arial"/>
          <w:sz w:val="16"/>
          <w:szCs w:val="16"/>
          <w:color w:val="auto"/>
        </w:rPr>
        <w:t>On November 14, 2011, the Company entered into a first amendment (the “First Amendment”) with certain lenders and KeyBank that amended the 2011 Credit Agreement. Among other things, the First Amendment: (i) increased the amount of the Amended Revolver from $65.0 million to $90.0 million;</w:t>
      </w:r>
    </w:p>
    <w:p>
      <w:pPr>
        <w:ind w:right="240" w:firstLine="8"/>
        <w:spacing w:after="0" w:line="261"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added to and modified the definitions of certain terms contained in the 2011 Credit Agreement; (iii) added PNC Bank, National Association as a lender under the 2011 Credit Agreement; and (iv) updated certain schedules to the 2011 Credit Agreement.</w:t>
      </w:r>
    </w:p>
    <w:p>
      <w:pPr>
        <w:spacing w:after="0" w:line="184" w:lineRule="exact"/>
        <w:rPr>
          <w:sz w:val="20"/>
          <w:szCs w:val="20"/>
          <w:color w:val="auto"/>
        </w:rPr>
      </w:pPr>
    </w:p>
    <w:p>
      <w:pPr>
        <w:ind w:right="20" w:firstLine="612"/>
        <w:spacing w:after="0" w:line="257" w:lineRule="auto"/>
        <w:rPr>
          <w:sz w:val="20"/>
          <w:szCs w:val="20"/>
          <w:color w:val="auto"/>
        </w:rPr>
      </w:pPr>
      <w:r>
        <w:rPr>
          <w:rFonts w:ascii="Arial" w:cs="Arial" w:eastAsia="Arial" w:hAnsi="Arial"/>
          <w:sz w:val="18"/>
          <w:szCs w:val="18"/>
          <w:color w:val="auto"/>
        </w:rPr>
        <w:t>On May 4, 2012, the Company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available to be borrowed under the 2011 Credit Agreement to $135.0 million subject to KeyBank's approval, and (v) updated certain schedules to the Credit Agreement.</w:t>
      </w:r>
    </w:p>
    <w:p>
      <w:pPr>
        <w:spacing w:after="0" w:line="188"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On May 8, 2012, the Company entered into a third amendment (the "Third Amendment") to the 2011 Credit Agreement. Under the terms of the Third Amendment, the definitions of certain terms of the 2011 Credit Agreement were modified and the acquisition of CEi was approved. The Company used the net proceeds from the sale of 20.0 million shares of its common stock, together with the borrowings under its credit facility, to fund the purchase of CEi on July 2, 2012 and to pay related fees and expenses.</w:t>
      </w:r>
    </w:p>
    <w:p>
      <w:pPr>
        <w:spacing w:after="0" w:line="18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On February 27, 2013, the Company entered into a fourth amendment (the "Fourth Amendment") to the 2011 Credit Agreement. Under the terms of the Fourth Amendment, the definition of certain terms of the 2011 Credit Agreement and reporting requirements were modified.</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June 30, 2013, there were no outstanding borrowings on the Amended Revolver and $14.2 million was outstanding on letters of credit, resulting in net borrowing base availability of $69.3 million. The Company was in compliance with the financial covenants as of June 30, 2013.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assumed a $10.0 million 10-year term loan with a bank in Israel that Herley entered into on September 16, 2008 in connection with the acquisition of one of its wholly owned subsidiaries. The balance as of June 30, 2013 was $5.3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June 30, 2013.</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30, 2012 and June 30, 2013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30,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As of June 30, 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649.4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630.3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676.2</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 and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net unamortized debt premium of $16.6 million as of June 30, 2013, which is the difference between the carrying amount of $646.9 million and the principal amount of $630.3 million represented in the previous table, is being amortized to interest expense over the terms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December 30, 2012 and June 30, 2013 are presented in Note 9. The carrying value of all other financial instruments, including cash equivalents, accounts receivable, accounts payable and short-term debt, approximated their estimated fair values at December 30, 2012 and June 30,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Significant Customers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$140.0 million and $152.2 million or 64% and 65% of total Kratos revenue for the three months ended June 24, 2012 and June 30, 2013, respectively, and approximately $280.9 million and $317.6 million, or 65% and 65%, of total revenue for the six months ended June 24, 2012 and June 30, 2013, respectively.</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U.S. Government continues to focus on developing and implementing spending, tax, and other initiatives to reduce the deficit, create jobs, and stimulate the economy. Although defense spending is expected to remain a national priority within future federal budgets, the Budget Control Act of 2011 (“Budget Control Act”) committed the U.S. Government to reduce the federal deficit over the following ten years. Under the Budget Control Act, the Bi-Partisan Congressional Joint Select Committee on Deficit Reduction (“the Joint Committee”) was responsible for identifying $1.2 to $1.5 trillion in deficit reductions by November 30, 2011. The Joint Committee was unable to identify the reductions by this deadline and thereby triggered a provision of the Budget Control Act called “sequestration,” which requires very substantial automatic spending cuts that have started in 2013, are split between defense and non-defense programs, and continue over a nine-year period.</w:t>
      </w:r>
    </w:p>
    <w:p>
      <w:pPr>
        <w:spacing w:after="0" w:line="178"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On March 26, 2013, the President signed into law the Consolidated and Further Continuing Appropriations Act, 2013, which includes specific appropriations for the Company's major federal customers, including the DoD. On April 10, 2013, the President delivered his proposed FY 2014 budget to Congress. The President's $527 billion FY 2014 defense budget is slightly lower than final defense appropriations for FY 2013. While it largely reflects defense spending plans in the FY 2013 budget, it does not reflect the reductions mandated by Part II of the Budget Control Act. The Congressional appropriation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authorization of FY 2014 defense spending is likely to be marked by significant debate and an uncertain schedule. There continues to be uncertainty in how sequestration will ultimately be implemented, and there are many variables in how the law could be applied that make it difficult to determine the specific impacts. Any automatic reductions in national defense programs could impact the Company's significant customers, which in turn could impact the Company's business and financial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operates in two principal business segments: Kratos Government Solutions and Public Safety &amp; Security. The Company organizes its business segments based on the nature of the services offered. In the following table, total operating income of the business segments is reconciled to the corresponding consolidated amount. The reconciling item “Unallocated corporate expense, net” includes costs for certain stock-based compensation programs (including stock-based compensation costs for stock options, employee stock purchase plan shares and restricted stock units),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current reporting segments for the three and six month periods ended June 24, 2012 and June 30, 2013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24, 2012</w:t>
            </w:r>
          </w:p>
        </w:tc>
        <w:tc>
          <w:tcPr>
            <w:tcW w:w="20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2013</w:t>
            </w:r>
          </w:p>
        </w:tc>
        <w:tc>
          <w:tcPr>
            <w:tcW w:w="180" w:type="dxa"/>
            <w:vAlign w:val="bottom"/>
          </w:tcPr>
          <w:p>
            <w:pPr>
              <w:spacing w:after="0"/>
              <w:rPr>
                <w:sz w:val="22"/>
                <w:szCs w:val="22"/>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24, 2012</w:t>
            </w:r>
          </w:p>
        </w:tc>
        <w:tc>
          <w:tcPr>
            <w:tcW w:w="220" w:type="dxa"/>
            <w:vAlign w:val="bottom"/>
          </w:tcPr>
          <w:p>
            <w:pPr>
              <w:spacing w:after="0"/>
              <w:rPr>
                <w:sz w:val="22"/>
                <w:szCs w:val="22"/>
                <w:color w:val="auto"/>
              </w:rPr>
            </w:pPr>
          </w:p>
        </w:tc>
        <w:tc>
          <w:tcPr>
            <w:tcW w:w="1260" w:type="dxa"/>
            <w:vAlign w:val="bottom"/>
          </w:tcPr>
          <w:p>
            <w:pPr>
              <w:jc w:val="right"/>
              <w:ind w:right="231"/>
              <w:spacing w:after="0"/>
              <w:rPr>
                <w:sz w:val="20"/>
                <w:szCs w:val="20"/>
                <w:color w:val="auto"/>
              </w:rPr>
            </w:pPr>
            <w:r>
              <w:rPr>
                <w:rFonts w:ascii="Arial" w:cs="Arial" w:eastAsia="Arial" w:hAnsi="Arial"/>
                <w:sz w:val="14"/>
                <w:szCs w:val="14"/>
                <w:b w:val="1"/>
                <w:bCs w:val="1"/>
                <w:color w:val="auto"/>
              </w:rPr>
              <w:t>June 30, 2013</w:t>
            </w:r>
          </w:p>
        </w:tc>
      </w:tr>
      <w:tr>
        <w:trPr>
          <w:trHeight w:val="236"/>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262.3</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386.2</w:t>
            </w: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w:t>
            </w:r>
          </w:p>
        </w:tc>
      </w:tr>
      <w:tr>
        <w:trPr>
          <w:trHeight w:val="243"/>
        </w:trPr>
        <w:tc>
          <w:tcPr>
            <w:tcW w:w="53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w:t>
            </w:r>
          </w:p>
        </w:tc>
      </w:tr>
      <w:tr>
        <w:trPr>
          <w:trHeight w:val="297"/>
        </w:trPr>
        <w:tc>
          <w:tcPr>
            <w:tcW w:w="5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429.3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488.5</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25.9</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97"/>
        </w:trPr>
        <w:tc>
          <w:tcPr>
            <w:tcW w:w="53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27.8</w:t>
            </w:r>
          </w:p>
        </w:tc>
      </w:tr>
      <w:tr>
        <w:trPr>
          <w:trHeight w:val="210"/>
        </w:trPr>
        <w:tc>
          <w:tcPr>
            <w:tcW w:w="53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17.4</w:t>
            </w: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its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the procedural status of the matter in question, the presence of complex or novel legal theories, and/or the ongoing discovery</w:t>
      </w:r>
    </w:p>
    <w:p>
      <w:pPr>
        <w:sectPr>
          <w:pgSz w:w="11900" w:h="16838" w:orient="portrait"/>
          <w:cols w:equalWidth="0" w:num="1">
            <w:col w:w="11420"/>
          </w:cols>
          <w:pgMar w:left="240" w:top="125"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and development of information important to the matters. In addition, damage amounts claimed in litigation against the Company may be unsupported, exaggerated or unrelated to possible outcomes, and as such are not meaningful indicators of the Company's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of any such losses, damages or remedies on the Company's consolidated financial statements; and the unique facts and circumstances of the particular matter that may give rise to additional factors.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and Regulatory Matters</w:t>
      </w:r>
    </w:p>
    <w:p>
      <w:pPr>
        <w:spacing w:after="0" w:line="14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u w:val="single" w:color="auto"/>
          <w:color w:val="auto"/>
        </w:rPr>
        <w:t>Integral Indemnification Obligation</w:t>
      </w:r>
      <w:r>
        <w:rPr>
          <w:rFonts w:ascii="Arial" w:cs="Arial" w:eastAsia="Arial" w:hAnsi="Arial"/>
          <w:sz w:val="16"/>
          <w:szCs w:val="16"/>
          <w:color w:val="auto"/>
        </w:rPr>
        <w:t>. Integral, which was acquired on July 27, 2011, was previously the subject of a SEC investigation. On July 30,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2009, the SEC and Integral each announced that an administrative settlement had been reached concluding the SEC's investigation. In conjunction with its announcement of the administrative settlement, the SEC disclosed that it was instituting separate civil actions against three former officers of Integral, Steven R. Chamberlain (now deceased), Elaine M. Brown and Gary A. Prince, in a case filed July 30, 2009 captioned </w:t>
      </w:r>
      <w:r>
        <w:rPr>
          <w:rFonts w:ascii="Arial" w:cs="Arial" w:eastAsia="Arial" w:hAnsi="Arial"/>
          <w:sz w:val="16"/>
          <w:szCs w:val="16"/>
          <w:i w:val="1"/>
          <w:iCs w:val="1"/>
          <w:color w:val="auto"/>
        </w:rPr>
        <w:t>United States Securities and Exchange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Commission v. Steven R. Chamberlain, Elaine M. Brown, and Gary A. Prince, </w:t>
      </w:r>
      <w:r>
        <w:rPr>
          <w:rFonts w:ascii="Arial" w:cs="Arial" w:eastAsia="Arial" w:hAnsi="Arial"/>
          <w:sz w:val="16"/>
          <w:szCs w:val="16"/>
          <w:color w:val="auto"/>
        </w:rPr>
        <w:t>Case No. 09-CV-01423, pending in the United States District Court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of Columbia. The SEC's complaint alleges that from 1999 through August 2006, Chamberlain, Brown and Prince made materially false and misleading statements and omitted material information in various filings with the SEC by failing to disclose the role of Prince, who had been convicted of engaging in securities fraud while at another company, at Integral and his legal background in its filings. The SEC sought permanent injunctions against each defendant, as well as court orders imposing officer and director bars and civil penalties. Integral has indemnification obligations to these individuals, as well as to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the Company has assumed these indemnification obligations. The indemnification agreements provide, subject to certain terms and conditions, that the Company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December 2011, and the Company is advancing payment of indemnifiable costs pursuant to the indemnification agreements. On November 26, 2012, the SEC announced that it had finalized a settlement with Elaine M. Brown, resulting in a final judgment that resolved the SEC's matter against Brown. The SEC's case against Gary A. Prince proceeded to a bench trial in December 2012, which trial concluded in January 2013. On May 2, 2013, the court issued a memorandum opinion and entered an order granting judgment in favor of the SEC on one count of its complaint. The court found that in 1997, an accounting bar order had been issued against Mr. Prince because of his conduct at a different company, and that Mr. Prince violated the bar order between 1998 and 2006. The court issued an injunction permanently restraining and enjoining Mr. Prince from violating the accounting bar order. The court entered judgment in favor of Mr. Prince on all other counts of the SEC's complaint. No relief was sought or entered against Integral. The deadline for appeals expired on July 1, 2013. Neither party appealed, so the trial court's judgment is final. This matter is now concluded.</w:t>
      </w:r>
    </w:p>
    <w:p>
      <w:pPr>
        <w:spacing w:after="0" w:line="9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u w:val="single" w:color="auto"/>
          <w:color w:val="auto"/>
        </w:rPr>
        <w:t>U.S. Government Cost Claims</w:t>
      </w:r>
      <w:r>
        <w:rPr>
          <w:rFonts w:ascii="Arial" w:cs="Arial" w:eastAsia="Arial" w:hAnsi="Arial"/>
          <w:sz w:val="17"/>
          <w:szCs w:val="17"/>
          <w:color w:val="auto"/>
        </w:rPr>
        <w:t>. The Company's contracts with the Department of Defense are subject to audit by the Defense Contract Audit</w:t>
      </w:r>
      <w:r>
        <w:rPr>
          <w:rFonts w:ascii="Arial" w:cs="Arial" w:eastAsia="Arial" w:hAnsi="Arial"/>
          <w:sz w:val="17"/>
          <w:szCs w:val="17"/>
          <w:b w:val="1"/>
          <w:bCs w:val="1"/>
          <w:color w:val="auto"/>
        </w:rPr>
        <w:t xml:space="preserve"> </w:t>
      </w:r>
      <w:r>
        <w:rPr>
          <w:rFonts w:ascii="Arial" w:cs="Arial" w:eastAsia="Arial" w:hAnsi="Arial"/>
          <w:sz w:val="17"/>
          <w:szCs w:val="17"/>
          <w:color w:val="auto"/>
        </w:rPr>
        <w:t>Agency (“DCAA”). As a result of these audits, from time to time, the Company is advised of claims concerning potential disallowed, overstated or disputed costs. For example, during the course of its current audits, the DCAA is closely examining and questioning certain of its established and disclosed practices that it had previously audited and accepted. In addition, based on a DCAA audit, the U.S. Department of Justice is currently investigating whether one of the Company's subsidiaries violated the federal False Claims Act by overstating its labor and material costs in a contract with the Department of Defense prior to the Company's acquisition of the subsidiary. Under the False Claims Act, the Department of Justice can seek civil penalties plus treble damages. The Company intends to defend itself in these matters and to work to resolve or settle any disputed contract costs. When appropriate, the Company records accruals to reflect its expected exposure to the matters raised by the U.S. Government, and it reviews such accruals on a quarterly basis for sufficiency based on the most recent information available. Based on its assessment, it has accrued an amount in its financial statements for contingent liabilities associated with these matters that it considers to be immaterial to its overall financial position. The matter that is currently being investigated was identified during the acquisition process and was taken into consideration in the purchase price allocation of this subsidiary. Contract disputes with the U.S. Government, however, are inherently unpredictable,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spacing w:after="0" w:line="177"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u w:val="single" w:color="auto"/>
          <w:color w:val="auto"/>
        </w:rPr>
        <w:t>Other Litigation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subject to normal and routine litigation arising from the ordinary course and conduct of business, and, at</w:t>
      </w:r>
      <w:r>
        <w:rPr>
          <w:rFonts w:ascii="Arial" w:cs="Arial" w:eastAsia="Arial" w:hAnsi="Arial"/>
          <w:sz w:val="17"/>
          <w:szCs w:val="17"/>
          <w:b w:val="1"/>
          <w:bCs w:val="1"/>
          <w:color w:val="auto"/>
        </w:rPr>
        <w:t xml:space="preserve"> </w:t>
      </w:r>
      <w:r>
        <w:rPr>
          <w:rFonts w:ascii="Arial" w:cs="Arial" w:eastAsia="Arial" w:hAnsi="Arial"/>
          <w:sz w:val="17"/>
          <w:szCs w:val="17"/>
          <w:color w:val="auto"/>
        </w:rPr>
        <w:t>times, as a result of acquisitions and dispositions. Such disputes include, for example, commercial, employment, intellectual property, environmental and securities matters. The aggregate amounts accrued related to these matters are not material to the total liabilities of the Company.</w:t>
      </w:r>
    </w:p>
    <w:p>
      <w:pPr>
        <w:spacing w:after="0" w:line="158"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32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6"/>
                <w:szCs w:val="16"/>
                <w:color w:val="auto"/>
              </w:rPr>
            </w:pPr>
          </w:p>
        </w:tc>
      </w:tr>
      <w:tr>
        <w:trPr>
          <w:trHeight w:val="152"/>
        </w:trPr>
        <w:tc>
          <w:tcPr>
            <w:tcW w:w="66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3"/>
                <w:szCs w:val="13"/>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the period</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Costs accrued and revenues deferred</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liabilities assumed from acquisitions</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Settlements made (in cash or kind) and revenues recognized</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Non-current accrued product warranty and deferred warranty revenue</w:t>
            </w:r>
          </w:p>
        </w:tc>
        <w:tc>
          <w:tcPr>
            <w:tcW w:w="1040" w:type="dxa"/>
            <w:vAlign w:val="bottom"/>
            <w:tcBorders>
              <w:bottom w:val="single" w:sz="8" w:color="CCEEFF"/>
            </w:tcBorders>
            <w:shd w:val="clear" w:color="auto" w:fill="CCEEFF"/>
          </w:tcPr>
          <w:p>
            <w:pPr>
              <w:jc w:val="right"/>
              <w:ind w:right="84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Condensed Consolidating Financial Statements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has $625.0 million in outstanding Senior Secured Notes (see Note 9). The Notes are guaranteed by all of the Company's 100% owned domestic subsidiaries (the "Subsidiary Guarantors") and are collateralized by the assets of all of the Company's 100% owned subsidiaries. The Notes are fully and unconditionally guaranteed on a joint and several basis by each guarantor subsidiary and the Company. There are no contractual restrictions limiting cash transfers from guarantor subsidiaries by dividends, loans or advances to the Company. The Senior Secured Notes are not guaranteed by the Company's foreign subsidiaries (the “Non-Guarantor Subsidiaries”).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consolidated financial statements, except for the use of the equity method of accounting to reflect ownership interests in wholly owned subsidiaries, which are eliminated upon consolidation.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December 30, 2012</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271.9</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Investment in subsidiaries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uncompleted contracts</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Deferred income tax liability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648.4</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959.8</w:t>
            </w:r>
          </w:p>
        </w:tc>
        <w:tc>
          <w:tcPr>
            <w:tcW w:w="0" w:type="dxa"/>
            <w:vAlign w:val="bottom"/>
          </w:tcPr>
          <w:p>
            <w:pPr>
              <w:spacing w:after="0"/>
              <w:rPr>
                <w:sz w:val="1"/>
                <w:szCs w:val="1"/>
                <w:color w:val="auto"/>
              </w:rPr>
            </w:pPr>
          </w:p>
        </w:tc>
      </w:tr>
      <w:tr>
        <w:trPr>
          <w:trHeight w:val="217"/>
        </w:trPr>
        <w:tc>
          <w:tcPr>
            <w:tcW w:w="3700" w:type="dxa"/>
            <w:vAlign w:val="bottom"/>
          </w:tcPr>
          <w:p>
            <w:pPr>
              <w:ind w:left="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451.8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0"/>
          </w:cols>
          <w:pgMar w:left="240" w:top="125" w:right="7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June 30, 2013</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Parent</w:t>
            </w:r>
          </w:p>
        </w:tc>
        <w:tc>
          <w:tcPr>
            <w:tcW w:w="13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Company</w:t>
            </w: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37"/>
        </w:trPr>
        <w:tc>
          <w:tcPr>
            <w:tcW w:w="370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253.6</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7"/>
        </w:trPr>
        <w:tc>
          <w:tcPr>
            <w:tcW w:w="37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494.8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317.9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417.8</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9"/>
              </w:rPr>
              <w:t>Amounts due from affiliated companies, long-term</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87.8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Investment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1,222.3</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37"/>
        </w:trPr>
        <w:tc>
          <w:tcPr>
            <w:tcW w:w="3700" w:type="dxa"/>
            <w:vAlign w:val="bottom"/>
          </w:tcPr>
          <w:p>
            <w:pPr>
              <w:ind w:left="20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Billings in excess of costs and earnings 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uncompleted contracts</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Deferred income tax liability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238.6</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645.9</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due to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0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914.2</w:t>
            </w:r>
          </w:p>
        </w:tc>
        <w:tc>
          <w:tcPr>
            <w:tcW w:w="0" w:type="dxa"/>
            <w:vAlign w:val="bottom"/>
          </w:tcPr>
          <w:p>
            <w:pPr>
              <w:spacing w:after="0"/>
              <w:rPr>
                <w:sz w:val="1"/>
                <w:szCs w:val="1"/>
                <w:color w:val="auto"/>
              </w:rPr>
            </w:pPr>
          </w:p>
        </w:tc>
      </w:tr>
      <w:tr>
        <w:trPr>
          <w:trHeight w:val="217"/>
        </w:trPr>
        <w:tc>
          <w:tcPr>
            <w:tcW w:w="370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468.2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308.1</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1,222.3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0"/>
          </w:cols>
          <w:pgMar w:left="240" w:top="125" w:right="79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Three Months Ended June 24, 2012</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on a Combined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402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112.1</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107.7</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86.7</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r>
      <w:tr>
        <w:trPr>
          <w:trHeight w:val="217"/>
        </w:trPr>
        <w:tc>
          <w:tcPr>
            <w:tcW w:w="402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162.1</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5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45.5</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17"/>
        </w:trPr>
        <w:tc>
          <w:tcPr>
            <w:tcW w:w="4020" w:type="dxa"/>
            <w:vAlign w:val="bottom"/>
          </w:tcPr>
          <w:p>
            <w:pPr>
              <w:ind w:left="120"/>
              <w:spacing w:after="0"/>
              <w:rPr>
                <w:sz w:val="20"/>
                <w:szCs w:val="20"/>
                <w:color w:val="auto"/>
              </w:rPr>
            </w:pPr>
            <w:r>
              <w:rPr>
                <w:rFonts w:ascii="Arial" w:cs="Arial" w:eastAsia="Arial" w:hAnsi="Arial"/>
                <w:sz w:val="16"/>
                <w:szCs w:val="16"/>
                <w:color w:val="auto"/>
              </w:rPr>
              <w:t>Operating income from continuing operations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0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5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17"/>
        </w:trPr>
        <w:tc>
          <w:tcPr>
            <w:tcW w:w="4020" w:type="dxa"/>
            <w:vAlign w:val="bottom"/>
          </w:tcPr>
          <w:p>
            <w:pPr>
              <w:ind w:left="240"/>
              <w:spacing w:after="0"/>
              <w:rPr>
                <w:sz w:val="20"/>
                <w:szCs w:val="20"/>
                <w:color w:val="auto"/>
              </w:rPr>
            </w:pPr>
            <w:r>
              <w:rPr>
                <w:rFonts w:ascii="Arial" w:cs="Arial" w:eastAsia="Arial" w:hAnsi="Arial"/>
                <w:sz w:val="16"/>
                <w:szCs w:val="16"/>
                <w:color w:val="auto"/>
              </w:rPr>
              <w:t>Total other income and expense, net</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5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40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0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237"/>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125" w:right="37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Three Months Ended June 30, 2013</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Non-</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w:t>
            </w: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Guarantors on</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Parent</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 Combined</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 Combined</w:t>
            </w: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Company</w:t>
            </w: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Eliminations</w:t>
            </w:r>
          </w:p>
        </w:tc>
        <w:tc>
          <w:tcPr>
            <w:tcW w:w="1100" w:type="dxa"/>
            <w:vAlign w:val="bottom"/>
            <w:gridSpan w:val="2"/>
          </w:tcPr>
          <w:p>
            <w:pPr>
              <w:jc w:val="right"/>
              <w:ind w:right="14"/>
              <w:spacing w:after="0"/>
              <w:rPr>
                <w:sz w:val="20"/>
                <w:szCs w:val="20"/>
                <w:color w:val="auto"/>
              </w:rPr>
            </w:pPr>
            <w:r>
              <w:rPr>
                <w:rFonts w:ascii="Arial" w:cs="Arial" w:eastAsia="Arial" w:hAnsi="Arial"/>
                <w:sz w:val="16"/>
                <w:szCs w:val="16"/>
                <w:b w:val="1"/>
                <w:bCs w:val="1"/>
                <w:color w:val="auto"/>
                <w:w w:val="96"/>
              </w:rPr>
              <w:t>Consolidated</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7"/>
        </w:trPr>
        <w:tc>
          <w:tcPr>
            <w:tcW w:w="286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9"/>
                <w:szCs w:val="19"/>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0"/>
        </w:trPr>
        <w:tc>
          <w:tcPr>
            <w:tcW w:w="2860" w:type="dxa"/>
            <w:vAlign w:val="bottom"/>
          </w:tcPr>
          <w:p>
            <w:pPr>
              <w:ind w:left="100"/>
              <w:spacing w:after="0"/>
              <w:rPr>
                <w:sz w:val="20"/>
                <w:szCs w:val="20"/>
                <w:color w:val="auto"/>
              </w:rPr>
            </w:pPr>
            <w:r>
              <w:rPr>
                <w:rFonts w:ascii="Arial" w:cs="Arial" w:eastAsia="Arial" w:hAnsi="Arial"/>
                <w:sz w:val="16"/>
                <w:szCs w:val="16"/>
                <w:color w:val="auto"/>
              </w:rPr>
              <w:t>Operating income from continuing</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54"/>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54"/>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60" w:type="dxa"/>
            <w:vAlign w:val="bottom"/>
          </w:tcPr>
          <w:p>
            <w:pPr>
              <w:jc w:val="right"/>
              <w:ind w:right="14"/>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00"/>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7"/>
        </w:trPr>
        <w:tc>
          <w:tcPr>
            <w:tcW w:w="2860" w:type="dxa"/>
            <w:vAlign w:val="bottom"/>
          </w:tcPr>
          <w:p>
            <w:pPr>
              <w:ind w:left="240"/>
              <w:spacing w:after="0"/>
              <w:rPr>
                <w:sz w:val="20"/>
                <w:szCs w:val="20"/>
                <w:color w:val="auto"/>
              </w:rPr>
            </w:pPr>
            <w:r>
              <w:rPr>
                <w:rFonts w:ascii="Arial" w:cs="Arial" w:eastAsia="Arial" w:hAnsi="Arial"/>
                <w:sz w:val="16"/>
                <w:szCs w:val="16"/>
                <w:color w:val="auto"/>
              </w:rPr>
              <w:t>Total other income and expense, net</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Income (loss) from continuing operations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before income taxes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Arial" w:cs="Arial" w:eastAsia="Arial" w:hAnsi="Arial"/>
                <w:sz w:val="16"/>
                <w:szCs w:val="16"/>
                <w:color w:val="auto"/>
                <w:w w:val="98"/>
              </w:rPr>
              <w:t>Benefit for income taxes from continuing</w:t>
            </w:r>
          </w:p>
        </w:tc>
        <w:tc>
          <w:tcPr>
            <w:tcW w:w="160" w:type="dxa"/>
            <w:vAlign w:val="bottom"/>
          </w:tcPr>
          <w:p>
            <w:pPr>
              <w:spacing w:after="0"/>
              <w:rPr>
                <w:sz w:val="19"/>
                <w:szCs w:val="19"/>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restart"/>
          </w:tcPr>
          <w:p>
            <w:pPr>
              <w:jc w:val="right"/>
              <w:ind w:right="5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Income (loss)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6"/>
                <w:szCs w:val="16"/>
                <w:color w:val="auto"/>
              </w:rPr>
              <w:t>Income (loss) from discontinued</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2"/>
        </w:trPr>
        <w:tc>
          <w:tcPr>
            <w:tcW w:w="286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5"/>
              </w:rPr>
              <w:t>Equity in net income (loss) of subsidiaries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51"/>
        </w:trPr>
        <w:tc>
          <w:tcPr>
            <w:tcW w:w="2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125" w:right="1440"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17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179"/>
        <w:spacing w:after="0"/>
        <w:rPr>
          <w:sz w:val="20"/>
          <w:szCs w:val="20"/>
          <w:color w:val="auto"/>
        </w:rPr>
      </w:pPr>
      <w:r>
        <w:rPr>
          <w:rFonts w:ascii="Arial" w:cs="Arial" w:eastAsia="Arial" w:hAnsi="Arial"/>
          <w:sz w:val="16"/>
          <w:szCs w:val="16"/>
          <w:b w:val="1"/>
          <w:bCs w:val="1"/>
          <w:color w:val="auto"/>
        </w:rPr>
        <w:t>Six Months Ended June 24, 2012</w:t>
      </w:r>
    </w:p>
    <w:p>
      <w:pPr>
        <w:spacing w:after="0" w:line="5" w:lineRule="exact"/>
        <w:rPr>
          <w:sz w:val="20"/>
          <w:szCs w:val="20"/>
          <w:color w:val="auto"/>
        </w:rPr>
      </w:pPr>
    </w:p>
    <w:p>
      <w:pPr>
        <w:jc w:val="center"/>
        <w:ind w:right="-1179"/>
        <w:spacing w:after="0"/>
        <w:rPr>
          <w:sz w:val="20"/>
          <w:szCs w:val="20"/>
          <w:color w:val="auto"/>
        </w:rPr>
      </w:pPr>
      <w:r>
        <w:rPr>
          <w:rFonts w:ascii="Arial" w:cs="Arial" w:eastAsia="Arial" w:hAnsi="Arial"/>
          <w:sz w:val="16"/>
          <w:szCs w:val="16"/>
          <w:b w:val="1"/>
          <w:bCs w:val="1"/>
          <w:color w:val="auto"/>
        </w:rPr>
        <w:t>(Unaudited)</w:t>
      </w:r>
    </w:p>
    <w:p>
      <w:pPr>
        <w:spacing w:after="0" w:line="72"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color w:val="auto"/>
                <w:w w:val="90"/>
              </w:rPr>
              <w:t>Non-Guarantors</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rPr>
              <w:t>Parent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ind w:left="80"/>
              <w:spacing w:after="0"/>
              <w:rPr>
                <w:sz w:val="20"/>
                <w:szCs w:val="20"/>
                <w:color w:val="auto"/>
              </w:rPr>
            </w:pPr>
            <w:r>
              <w:rPr>
                <w:rFonts w:ascii="Arial" w:cs="Arial" w:eastAsia="Arial" w:hAnsi="Arial"/>
                <w:sz w:val="16"/>
                <w:szCs w:val="16"/>
                <w:color w:val="auto"/>
              </w:rPr>
              <w:t>Guarantors on a</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on a Combined</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288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6"/>
                <w:szCs w:val="16"/>
                <w:color w:val="auto"/>
                <w:w w:val="93"/>
              </w:rPr>
              <w:t>Company</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color w:val="auto"/>
              </w:rPr>
              <w:t>Combined Basis</w:t>
            </w:r>
          </w:p>
        </w:tc>
        <w:tc>
          <w:tcPr>
            <w:tcW w:w="10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Basis</w:t>
            </w:r>
          </w:p>
        </w:tc>
        <w:tc>
          <w:tcPr>
            <w:tcW w:w="1220" w:type="dxa"/>
            <w:vAlign w:val="bottom"/>
            <w:gridSpan w:val="3"/>
          </w:tcPr>
          <w:p>
            <w:pPr>
              <w:ind w:left="20"/>
              <w:spacing w:after="0"/>
              <w:rPr>
                <w:sz w:val="20"/>
                <w:szCs w:val="20"/>
                <w:color w:val="auto"/>
              </w:rPr>
            </w:pPr>
            <w:r>
              <w:rPr>
                <w:rFonts w:ascii="Arial" w:cs="Arial" w:eastAsia="Arial" w:hAnsi="Arial"/>
                <w:sz w:val="16"/>
                <w:szCs w:val="16"/>
                <w:color w:val="auto"/>
              </w:rPr>
              <w:t>Eliminations</w:t>
            </w:r>
          </w:p>
        </w:tc>
        <w:tc>
          <w:tcPr>
            <w:tcW w:w="1120" w:type="dxa"/>
            <w:vAlign w:val="bottom"/>
            <w:gridSpan w:val="2"/>
          </w:tcPr>
          <w:p>
            <w:pPr>
              <w:ind w:left="40"/>
              <w:spacing w:after="0"/>
              <w:rPr>
                <w:sz w:val="20"/>
                <w:szCs w:val="20"/>
                <w:color w:val="auto"/>
              </w:rPr>
            </w:pPr>
            <w:r>
              <w:rPr>
                <w:rFonts w:ascii="Arial" w:cs="Arial" w:eastAsia="Arial" w:hAnsi="Arial"/>
                <w:sz w:val="16"/>
                <w:szCs w:val="16"/>
                <w:color w:val="auto"/>
              </w:rPr>
              <w:t>Consolidated</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214.2</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68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215.1</w:t>
            </w:r>
          </w:p>
        </w:tc>
      </w:tr>
      <w:tr>
        <w:trPr>
          <w:trHeight w:val="33"/>
        </w:trPr>
        <w:tc>
          <w:tcPr>
            <w:tcW w:w="2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429.3</w:t>
            </w: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166.5</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r>
      <w:tr>
        <w:trPr>
          <w:trHeight w:val="217"/>
        </w:trPr>
        <w:tc>
          <w:tcPr>
            <w:tcW w:w="288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314.2</w:t>
            </w:r>
          </w:p>
        </w:tc>
      </w:tr>
      <w:tr>
        <w:trPr>
          <w:trHeight w:val="33"/>
        </w:trPr>
        <w:tc>
          <w:tcPr>
            <w:tcW w:w="2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6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Selling, general and administrative</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expenses</w:t>
            </w:r>
          </w:p>
        </w:tc>
        <w:tc>
          <w:tcPr>
            <w:tcW w:w="6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6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0"/>
        </w:trPr>
        <w:tc>
          <w:tcPr>
            <w:tcW w:w="2880" w:type="dxa"/>
            <w:vAlign w:val="bottom"/>
          </w:tcPr>
          <w:p>
            <w:pPr>
              <w:ind w:left="40"/>
              <w:spacing w:after="0"/>
              <w:rPr>
                <w:sz w:val="20"/>
                <w:szCs w:val="20"/>
                <w:color w:val="auto"/>
              </w:rPr>
            </w:pPr>
            <w:r>
              <w:rPr>
                <w:rFonts w:ascii="Arial" w:cs="Arial" w:eastAsia="Arial" w:hAnsi="Arial"/>
                <w:sz w:val="16"/>
                <w:szCs w:val="16"/>
                <w:color w:val="auto"/>
              </w:rPr>
              <w:t>Operating income from continuing</w:t>
            </w:r>
          </w:p>
        </w:tc>
        <w:tc>
          <w:tcPr>
            <w:tcW w:w="6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6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6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(32.1)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expense, net</w:t>
            </w:r>
          </w:p>
        </w:tc>
        <w:tc>
          <w:tcPr>
            <w:tcW w:w="6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7"/>
        </w:trPr>
        <w:tc>
          <w:tcPr>
            <w:tcW w:w="2880" w:type="dxa"/>
            <w:vAlign w:val="bottom"/>
          </w:tcPr>
          <w:p>
            <w:pPr>
              <w:ind w:left="100"/>
              <w:spacing w:after="0"/>
              <w:rPr>
                <w:sz w:val="20"/>
                <w:szCs w:val="20"/>
                <w:color w:val="auto"/>
              </w:rPr>
            </w:pPr>
            <w:r>
              <w:rPr>
                <w:rFonts w:ascii="Arial" w:cs="Arial" w:eastAsia="Arial" w:hAnsi="Arial"/>
                <w:sz w:val="16"/>
                <w:szCs w:val="16"/>
                <w:color w:val="auto"/>
              </w:rPr>
              <w:t>Total other expense, net</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(31.8)</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r>
      <w:tr>
        <w:trPr>
          <w:trHeight w:val="33"/>
        </w:trPr>
        <w:tc>
          <w:tcPr>
            <w:tcW w:w="2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Income (loss) from continuing operations</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before income taxes</w:t>
            </w:r>
          </w:p>
        </w:tc>
        <w:tc>
          <w:tcPr>
            <w:tcW w:w="6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Provision for income taxes from</w:t>
            </w: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6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28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Income (loss) from continuing operations</w:t>
            </w: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6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2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Equity in net income (loss) of subsidiaries</w:t>
            </w:r>
          </w:p>
        </w:tc>
        <w:tc>
          <w:tcPr>
            <w:tcW w:w="6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6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(20.2)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(20.4)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0"/>
        </w:trPr>
        <w:tc>
          <w:tcPr>
            <w:tcW w:w="2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40"/>
          </w:cols>
          <w:pgMar w:left="240" w:top="125" w:right="1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Six Months Ended June 30, 2013</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on a Combined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402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Parent Company</w:t>
            </w: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8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60" w:type="dxa"/>
            <w:vAlign w:val="bottom"/>
          </w:tcPr>
          <w:p>
            <w:pPr>
              <w:jc w:val="right"/>
              <w:ind w:right="114"/>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226.2</w:t>
            </w:r>
          </w:p>
        </w:tc>
      </w:tr>
      <w:tr>
        <w:trPr>
          <w:trHeight w:val="243"/>
        </w:trPr>
        <w:tc>
          <w:tcPr>
            <w:tcW w:w="40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262.3</w:t>
            </w:r>
          </w:p>
        </w:tc>
      </w:tr>
      <w:tr>
        <w:trPr>
          <w:trHeight w:val="27"/>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revenues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459.0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488.5</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171.9</w:t>
            </w: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190.4</w:t>
            </w:r>
          </w:p>
        </w:tc>
      </w:tr>
      <w:tr>
        <w:trPr>
          <w:trHeight w:val="217"/>
        </w:trPr>
        <w:tc>
          <w:tcPr>
            <w:tcW w:w="4020" w:type="dxa"/>
            <w:vAlign w:val="bottom"/>
          </w:tcPr>
          <w:p>
            <w:pPr>
              <w:ind w:left="100"/>
              <w:spacing w:after="0"/>
              <w:rPr>
                <w:sz w:val="20"/>
                <w:szCs w:val="20"/>
                <w:color w:val="auto"/>
              </w:rPr>
            </w:pPr>
            <w:r>
              <w:rPr>
                <w:rFonts w:ascii="Arial" w:cs="Arial" w:eastAsia="Arial" w:hAnsi="Arial"/>
                <w:sz w:val="16"/>
                <w:szCs w:val="16"/>
                <w:color w:val="auto"/>
              </w:rPr>
              <w:t>Total costs</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344.3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362.3</w:t>
            </w: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5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114.7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126.2</w:t>
            </w:r>
          </w:p>
        </w:tc>
      </w:tr>
      <w:tr>
        <w:trPr>
          <w:trHeight w:val="243"/>
        </w:trPr>
        <w:tc>
          <w:tcPr>
            <w:tcW w:w="40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96.2</w:t>
            </w: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r>
      <w:tr>
        <w:trPr>
          <w:trHeight w:val="217"/>
        </w:trPr>
        <w:tc>
          <w:tcPr>
            <w:tcW w:w="4020" w:type="dxa"/>
            <w:vAlign w:val="bottom"/>
          </w:tcPr>
          <w:p>
            <w:pPr>
              <w:ind w:left="160"/>
              <w:spacing w:after="0"/>
              <w:rPr>
                <w:sz w:val="20"/>
                <w:szCs w:val="20"/>
                <w:color w:val="auto"/>
              </w:rPr>
            </w:pPr>
            <w:r>
              <w:rPr>
                <w:rFonts w:ascii="Arial" w:cs="Arial" w:eastAsia="Arial" w:hAnsi="Arial"/>
                <w:sz w:val="16"/>
                <w:szCs w:val="16"/>
                <w:color w:val="auto"/>
              </w:rPr>
              <w:t>Operating income from continuing operations</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20.3</w:t>
            </w:r>
          </w:p>
        </w:tc>
      </w:tr>
      <w:tr>
        <w:trPr>
          <w:trHeight w:val="33"/>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expense, net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7"/>
        </w:trPr>
        <w:tc>
          <w:tcPr>
            <w:tcW w:w="4020" w:type="dxa"/>
            <w:vAlign w:val="bottom"/>
          </w:tcPr>
          <w:p>
            <w:pPr>
              <w:ind w:left="240"/>
              <w:spacing w:after="0"/>
              <w:rPr>
                <w:sz w:val="20"/>
                <w:szCs w:val="20"/>
                <w:color w:val="auto"/>
              </w:rPr>
            </w:pPr>
            <w:r>
              <w:rPr>
                <w:rFonts w:ascii="Arial" w:cs="Arial" w:eastAsia="Arial" w:hAnsi="Arial"/>
                <w:sz w:val="16"/>
                <w:szCs w:val="16"/>
                <w:color w:val="auto"/>
              </w:rPr>
              <w:t>Total other expense, net</w:t>
            </w:r>
          </w:p>
        </w:tc>
        <w:tc>
          <w:tcPr>
            <w:tcW w:w="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33"/>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 income</w:t>
            </w: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43"/>
        </w:trPr>
        <w:tc>
          <w:tcPr>
            <w:tcW w:w="402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5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4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5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84"/>
        </w:trPr>
        <w:tc>
          <w:tcPr>
            <w:tcW w:w="40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income (loss)</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w:t>
            </w:r>
          </w:p>
        </w:tc>
      </w:tr>
      <w:tr>
        <w:trPr>
          <w:trHeight w:val="251"/>
        </w:trPr>
        <w:tc>
          <w:tcPr>
            <w:tcW w:w="4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Comprehensive income (loss)</w:t>
            </w: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4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878"/>
        </w:trPr>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28</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280"/>
          </w:cols>
          <w:pgMar w:left="240" w:top="125"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Six Months Ended June 24, 2012</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Non-Guarantors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Guarantors on a</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06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6"/>
                <w:szCs w:val="16"/>
                <w:b w:val="1"/>
                <w:bCs w:val="1"/>
                <w:color w:val="auto"/>
              </w:rPr>
              <w:t>Combined Basis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r>
      <w:tr>
        <w:trPr>
          <w:trHeight w:val="231"/>
        </w:trPr>
        <w:tc>
          <w:tcPr>
            <w:tcW w:w="406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acquisitions, net of cash acquired</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(Increase) decrease in restricted cash</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0.3</w:t>
            </w:r>
          </w:p>
        </w:tc>
      </w:tr>
      <w:tr>
        <w:trPr>
          <w:trHeight w:val="33"/>
        </w:trPr>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expenditures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00"/>
        </w:trPr>
        <w:tc>
          <w:tcPr>
            <w:tcW w:w="4060" w:type="dxa"/>
            <w:vAlign w:val="bottom"/>
          </w:tcPr>
          <w:p>
            <w:pPr>
              <w:ind w:left="20"/>
              <w:spacing w:after="0"/>
              <w:rPr>
                <w:sz w:val="20"/>
                <w:szCs w:val="20"/>
                <w:color w:val="auto"/>
              </w:rPr>
            </w:pPr>
            <w:r>
              <w:rPr>
                <w:rFonts w:ascii="Arial" w:cs="Arial" w:eastAsia="Arial" w:hAnsi="Arial"/>
                <w:sz w:val="16"/>
                <w:szCs w:val="16"/>
                <w:color w:val="auto"/>
              </w:rPr>
              <w:t>Net cash used in investing activities from continuing</w:t>
            </w: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06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33"/>
        </w:trPr>
        <w:tc>
          <w:tcPr>
            <w:tcW w:w="4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4060" w:type="dxa"/>
            <w:vAlign w:val="bottom"/>
          </w:tcPr>
          <w:p>
            <w:pPr>
              <w:ind w:left="160"/>
              <w:spacing w:after="0"/>
              <w:rPr>
                <w:sz w:val="20"/>
                <w:szCs w:val="20"/>
                <w:color w:val="auto"/>
              </w:rPr>
            </w:pPr>
            <w:r>
              <w:rPr>
                <w:rFonts w:ascii="Arial" w:cs="Arial" w:eastAsia="Arial" w:hAnsi="Arial"/>
                <w:sz w:val="16"/>
                <w:szCs w:val="16"/>
                <w:color w:val="auto"/>
                <w:w w:val="93"/>
              </w:rPr>
              <w:t>Proceeds from the issuance of common stock for cash, net</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060" w:type="dxa"/>
            <w:vAlign w:val="bottom"/>
          </w:tcPr>
          <w:p>
            <w:pPr>
              <w:ind w:left="160"/>
              <w:spacing w:after="0"/>
              <w:rPr>
                <w:sz w:val="20"/>
                <w:szCs w:val="20"/>
                <w:color w:val="auto"/>
              </w:rPr>
            </w:pPr>
            <w:r>
              <w:rPr>
                <w:rFonts w:ascii="Arial" w:cs="Arial" w:eastAsia="Arial" w:hAnsi="Arial"/>
                <w:sz w:val="16"/>
                <w:szCs w:val="16"/>
                <w:color w:val="auto"/>
              </w:rPr>
              <w:t>of issuance costs</w:t>
            </w:r>
          </w:p>
        </w:tc>
        <w:tc>
          <w:tcPr>
            <w:tcW w:w="5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97.0</w:t>
            </w:r>
          </w:p>
        </w:tc>
      </w:tr>
      <w:tr>
        <w:trPr>
          <w:trHeight w:val="33"/>
        </w:trPr>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contingent acquisition consideration</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Debt issuance costs</w:t>
            </w: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 of debt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4060" w:type="dxa"/>
            <w:vAlign w:val="bottom"/>
          </w:tcPr>
          <w:p>
            <w:pPr>
              <w:ind w:left="160"/>
              <w:spacing w:after="0"/>
              <w:rPr>
                <w:sz w:val="20"/>
                <w:szCs w:val="20"/>
                <w:color w:val="auto"/>
              </w:rPr>
            </w:pPr>
            <w:r>
              <w:rPr>
                <w:rFonts w:ascii="Arial" w:cs="Arial" w:eastAsia="Arial" w:hAnsi="Arial"/>
                <w:sz w:val="16"/>
                <w:szCs w:val="16"/>
                <w:color w:val="auto"/>
              </w:rPr>
              <w:t>Financing from affiliated companies</w:t>
            </w:r>
          </w:p>
        </w:tc>
        <w:tc>
          <w:tcPr>
            <w:tcW w:w="5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0"/>
        </w:trPr>
        <w:tc>
          <w:tcPr>
            <w:tcW w:w="406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 from</w:t>
            </w: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060" w:type="dxa"/>
            <w:vAlign w:val="bottom"/>
          </w:tcPr>
          <w:p>
            <w:pPr>
              <w:ind w:left="20"/>
              <w:spacing w:after="0"/>
              <w:rPr>
                <w:sz w:val="20"/>
                <w:szCs w:val="20"/>
                <w:color w:val="auto"/>
              </w:rPr>
            </w:pPr>
            <w:r>
              <w:rPr>
                <w:rFonts w:ascii="Arial" w:cs="Arial" w:eastAsia="Arial" w:hAnsi="Arial"/>
                <w:sz w:val="16"/>
                <w:szCs w:val="16"/>
                <w:color w:val="auto"/>
              </w:rPr>
              <w:t>continuing operations</w:t>
            </w:r>
          </w:p>
        </w:tc>
        <w:tc>
          <w:tcPr>
            <w:tcW w:w="50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92.7</w:t>
            </w:r>
          </w:p>
        </w:tc>
      </w:tr>
      <w:tr>
        <w:trPr>
          <w:trHeight w:val="33"/>
        </w:trPr>
        <w:tc>
          <w:tcPr>
            <w:tcW w:w="4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w:t>
            </w:r>
          </w:p>
        </w:tc>
      </w:tr>
      <w:tr>
        <w:trPr>
          <w:trHeight w:val="237"/>
        </w:trPr>
        <w:tc>
          <w:tcPr>
            <w:tcW w:w="4060" w:type="dxa"/>
            <w:vAlign w:val="bottom"/>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5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w:t>
            </w:r>
          </w:p>
        </w:tc>
      </w:tr>
      <w:tr>
        <w:trPr>
          <w:trHeight w:val="33"/>
        </w:trPr>
        <w:tc>
          <w:tcPr>
            <w:tcW w:w="4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0"/>
              </w:rPr>
              <w:t>Effect of exchange rate changes on cash and cash equivalents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4"/>
        </w:trPr>
        <w:tc>
          <w:tcPr>
            <w:tcW w:w="40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76.1</w:t>
            </w:r>
          </w:p>
        </w:tc>
      </w:tr>
      <w:tr>
        <w:trPr>
          <w:trHeight w:val="20"/>
        </w:trPr>
        <w:tc>
          <w:tcPr>
            <w:tcW w:w="4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Six Months Ended June 30, 2013</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(Unaudited)</w:t>
      </w:r>
    </w:p>
    <w:p>
      <w:pPr>
        <w:spacing w:after="0" w:line="6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Parent</w:t>
            </w: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Guarantors on a</w:t>
            </w: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 Combined</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Company</w:t>
            </w: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auto"/>
              </w:rPr>
              <w:t>Combined Basis</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138"/>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8.4</w:t>
            </w:r>
          </w:p>
        </w:tc>
      </w:tr>
      <w:tr>
        <w:trPr>
          <w:trHeight w:val="231"/>
        </w:trPr>
        <w:tc>
          <w:tcPr>
            <w:tcW w:w="45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paid for acquisitions,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w:t>
            </w:r>
          </w:p>
        </w:tc>
      </w:tr>
      <w:tr>
        <w:trPr>
          <w:trHeight w:val="237"/>
        </w:trPr>
        <w:tc>
          <w:tcPr>
            <w:tcW w:w="4520" w:type="dxa"/>
            <w:vAlign w:val="bottom"/>
          </w:tcPr>
          <w:p>
            <w:pPr>
              <w:ind w:left="100"/>
              <w:spacing w:after="0"/>
              <w:rPr>
                <w:sz w:val="20"/>
                <w:szCs w:val="20"/>
                <w:color w:val="auto"/>
              </w:rPr>
            </w:pPr>
            <w:r>
              <w:rPr>
                <w:rFonts w:ascii="Arial" w:cs="Arial" w:eastAsia="Arial" w:hAnsi="Arial"/>
                <w:sz w:val="16"/>
                <w:szCs w:val="16"/>
                <w:color w:val="auto"/>
              </w:rPr>
              <w:t>Decrease in restricted cash</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8"/>
              <w:spacing w:after="0"/>
              <w:rPr>
                <w:sz w:val="20"/>
                <w:szCs w:val="20"/>
                <w:color w:val="auto"/>
              </w:rPr>
            </w:pPr>
            <w:r>
              <w:rPr>
                <w:rFonts w:ascii="Arial" w:cs="Arial" w:eastAsia="Arial" w:hAnsi="Arial"/>
                <w:sz w:val="16"/>
                <w:szCs w:val="16"/>
                <w:color w:val="auto"/>
              </w:rPr>
              <w:t>0.2</w:t>
            </w: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0.4</w:t>
            </w:r>
          </w:p>
        </w:tc>
      </w:tr>
      <w:tr>
        <w:trPr>
          <w:trHeight w:val="237"/>
        </w:trPr>
        <w:tc>
          <w:tcPr>
            <w:tcW w:w="452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1"/>
        </w:trPr>
        <w:tc>
          <w:tcPr>
            <w:tcW w:w="452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Repayment of debt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43"/>
        </w:trPr>
        <w:tc>
          <w:tcPr>
            <w:tcW w:w="4520" w:type="dxa"/>
            <w:vAlign w:val="bottom"/>
          </w:tcPr>
          <w:p>
            <w:pPr>
              <w:ind w:left="100"/>
              <w:spacing w:after="0"/>
              <w:rPr>
                <w:sz w:val="20"/>
                <w:szCs w:val="20"/>
                <w:color w:val="auto"/>
              </w:rPr>
            </w:pPr>
            <w:r>
              <w:rPr>
                <w:rFonts w:ascii="Arial" w:cs="Arial" w:eastAsia="Arial" w:hAnsi="Arial"/>
                <w:sz w:val="16"/>
                <w:szCs w:val="16"/>
                <w:color w:val="auto"/>
              </w:rPr>
              <w:t>Cash paid for contingent acquisition consideration</w:t>
            </w:r>
          </w:p>
        </w:tc>
        <w:tc>
          <w:tcPr>
            <w:tcW w:w="1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Financings from affiliated companies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28.6</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r>
      <w:tr>
        <w:trPr>
          <w:trHeight w:val="237"/>
        </w:trPr>
        <w:tc>
          <w:tcPr>
            <w:tcW w:w="4520" w:type="dxa"/>
            <w:vAlign w:val="bottom"/>
          </w:tcPr>
          <w:p>
            <w:pPr>
              <w:ind w:left="10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Net cash provided by (used in) financing activities from continuing</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28.3</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4520" w:type="dxa"/>
            <w:vAlign w:val="bottom"/>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r>
      <w:tr>
        <w:trPr>
          <w:trHeight w:val="33"/>
        </w:trPr>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operating cash flows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0.8</w:t>
            </w:r>
          </w:p>
        </w:tc>
      </w:tr>
      <w:tr>
        <w:trPr>
          <w:trHeight w:val="237"/>
        </w:trPr>
        <w:tc>
          <w:tcPr>
            <w:tcW w:w="45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0.7</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240" w:top="125" w:right="41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which could cause delays, cancellations or reductions of key government contracts;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on Form 10-Q and in “Item 1A-Risk Factors” of our Annual Report on Form 10-K for the fiscal year ended December 30, 2012 filed with the Securities and Exchange Commission on March 12, 2013.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are a specialized security technology business providing mission critical products, services and solutions for domestic and international customers, with our principal customers being national security related agencies of the U.S. Government.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 customers products, solutions, services and expertise to support their mission-critical needs by leveraging our skills across our core offering areas in C5ISR.</w:t>
      </w:r>
    </w:p>
    <w:p>
      <w:pPr>
        <w:spacing w:after="0" w:line="15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manufacture and design specialized electronic components, subsystems and systems for electronic attack, electronic warfare, radar, intelligence,surveillance and reconnaissance,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services; weapons systems lifecycle support and sustainment; military weapon range operations and technical services; and public safety, critical infrastructure security and surveillance systems. We believe our stable client base, strong client relationships, broad array of contract vehicles, large employee base possessing specialized skills, extensive list of past performance qualifications, and significant management and operational capabilities position us for continued growth.</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August 2011, Congress and the Administration enacted the Budget Control Act of 2011 (the “Budget Control Act”) in order to permit an increase in the federal government's borrowing limit while reducing projected net government spending over the following ten years. The Budget Control Act required $900 billion in immediate cuts to discretionary spending for 2012-2021. It also established a bi-partisan congressional Joint Select Committee on Deficit Reduction (the “Joint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Committee”), which was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split between defense and non-defense programs, that started in 2013 and continues over a nine-year period.</w:t>
      </w:r>
    </w:p>
    <w:p>
      <w:pPr>
        <w:spacing w:after="0" w:line="17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January 2013, Congress enacted the American Taxpayer Relief Act of 2012. It addressed a number of tax code provisions and certain spending issues but left in place the sequester (although delaying its implementation to March 1, 2013) and did not address other fiscal matters such as the debt ceiling. Although debate on budget reductions continued through the first two months of 2013, no resolution was reached prior to the March 1, 2013 sequester deadline. As a result, the President was required by law to issue an order canceling $85 billion in budgetary resources across the U.S. Government for the remainder of FY 2013. The Office of Management and Budget (“OMB”) in its report to Congress on March 1, 2013, entitled “</w:t>
      </w:r>
      <w:r>
        <w:rPr>
          <w:rFonts w:ascii="Arial" w:cs="Arial" w:eastAsia="Arial" w:hAnsi="Arial"/>
          <w:sz w:val="17"/>
          <w:szCs w:val="17"/>
          <w:i w:val="1"/>
          <w:iCs w:val="1"/>
          <w:color w:val="auto"/>
        </w:rPr>
        <w:t>OMB Report to the Congress</w:t>
      </w:r>
      <w:r>
        <w:rPr>
          <w:rFonts w:ascii="Arial" w:cs="Arial" w:eastAsia="Arial" w:hAnsi="Arial"/>
          <w:sz w:val="17"/>
          <w:szCs w:val="17"/>
          <w:color w:val="auto"/>
        </w:rPr>
        <w:t xml:space="preserve"> </w:t>
      </w:r>
      <w:r>
        <w:rPr>
          <w:rFonts w:ascii="Arial" w:cs="Arial" w:eastAsia="Arial" w:hAnsi="Arial"/>
          <w:sz w:val="17"/>
          <w:szCs w:val="17"/>
          <w:i w:val="1"/>
          <w:iCs w:val="1"/>
          <w:color w:val="auto"/>
        </w:rPr>
        <w:t>on the Joint Committee Sequestration,</w:t>
      </w:r>
      <w:r>
        <w:rPr>
          <w:rFonts w:ascii="Arial" w:cs="Arial" w:eastAsia="Arial" w:hAnsi="Arial"/>
          <w:sz w:val="17"/>
          <w:szCs w:val="17"/>
          <w:color w:val="auto"/>
        </w:rPr>
        <w:t>” calculated that, over the course of the fiscal year, the order requires a 7.8 percent reduction in non-exempt defense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discretionary funding and a 5.0 percent reduction in non-exempt non-defense discretionary funding. The sequestration also requires reductions of 7.9 percent to non-exempt defense mandatory programs. The sequestration report provides calculations of the amounts and percentages by which various budgetary resources are required to be reduced, and a listing of the reductions required for each non-exempt budget account. Federal agencies were directed to apply the same percentage reduction to all programs, projects, and activities within a budget account, as required by Section 256(k)(2) of Balanced Budget and Emergency Deficit Control Act, as amended (“BBEDCA”), and to operate in a manner that is consistent with guidance provided by OMB in Memorandum 13-03, Planning for Uncertainty with Respect to Fiscal Year 2013 Budgetary Resources and Memorandum 13-05, Agency Responsibilities for Implementation of Potential Joint Committee Sequestration.</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delay in the sequester has left the DoD less time to enact 2013 automatic spending cuts and adds to the uncertainty from such cuts. The nation's debt ceiling is currently expected to be reached in the fall of 2013. The U.S. Government continues to face substantial fiscal and economic challenges that affect funding for its discretionary and non-discretionary budget. On March 26, 2013, the President signed into law the Consolidated and Further Continuing Appropriations Act, 2013, which includes specific appropriations for our major federal customers, including the DoD. Although we are not yet able to determine all program specific impacts, we expect the reduced FY 2013 budget levels will result in lower 2013 awards on some of our programs and the related impacts to company revenues, earnings and cash flows will likely follow reduced awards.</w:t>
      </w:r>
    </w:p>
    <w:p>
      <w:pPr>
        <w:spacing w:after="0" w:line="17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April 10, 2013, the President delivered his proposed FY 2014 budget to Congress. The President's $527 billion FY 2014 defense budget is slightly lower than final defense appropriations for FY 2013. While it largely reflects defense spending plans in the FY 2013 budget, it does not reflect the reductions mandated by Part II of the Budget Control Act. The Congressional appropriation and authorization of FY 2014 defense spending is likely to be marked by significant debate and an uncertain schedule. In addition, if Congress does not timely pass a FY 2014 defense appropriation or a continuing resolution, we may be required to continue to perform for some period of time on certain of our U.S. Government contracts even if the U.S. Government is unable to make timely payments.</w:t>
      </w:r>
    </w:p>
    <w:p>
      <w:pPr>
        <w:spacing w:after="0" w:line="193"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Despite the sequestration order and the budget debate, we believe that spending on modernization and maintenance of foundational and strategic defense, national and homeland security assets will continue to be a national priority. The vast majority of our programs are funded in the DoD Base budget and not the Overseas Contingency Operations budget. We also believe that our business is aligned with mission critical national security priorities, particularly in the areas of unmanned aerial vehicles, cybersecurity, electronic warfare, ballistic missile defense, satellite communications, space programs and science and technology efforts. Nevertheless, the actual impact of sequestration and the federal budget debates are uncertain at this time, and we cannot assure you that these events will not have a significant adverse effect on our business and results of operations. See the risk factor entitled “The U.S. Government provides a significant portion of our revenue, and our business could be adversely affected by changes in the fiscal policies of the U.S. Government and governmental entities” in Part II, Item 1A, "Risk Factors" of the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We operate in two principal business segments: Kratos Government Solutions (“KGS”) and Public Safety &amp;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operating segments, see Note 12 of the notes to the condensed consolidated financial statements. From a customer and solutions perspective, we view our business as an integrated whole, leveraging skills and assets wherever possible.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We have supplemented our organic growth by identifying, acquiring and integrating businesses that meet our primary objective of providing us with enhanced capabilities to pursue a broader cross section of the DoD, Department of Homeland Security (“DHS”) and other government markets, complement and broaden our existing client base and expand our primary service offerings. Our senior management team has significant acquisition experience.</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July 2, 2012, we completed the acquisition of CEi for approximately $164.0 million. The purchase price, including an adjustment for working capital and cash paid to the shareholders for the 338(h)(10) election, included $135.0 million in cash and 4.0 million shares of our common stock, valued at $5.94 per share on July 2, 2012, or $23.8 million. $10.7 million of the cash paid was placed into an escrow account as security for CEi's indemnification obligations as set forth in the CEi purchase agreement and was reduced by $1.0 million to pay the working capital adjustment paid to us in July 2013. In addition, $2.5 million was paid to retire certain pre-existing CEi debt and settle pre-existing accounts receivable from CEi at its carrying and fair value of $3.0 million. We made an election under Section 338(h)(10) of the Internal Revenue Code, which resulted in tax deductible goodwill related to this transaction and as a result paid approximately $1.6 million in additional tax liability incurred by the shareholders of CEi for this election. We estimate the tax deductible goodwill and intangibles is approximately $140.6 million and can be deducted for federal and California state income taxes over a 15-year period.</w:t>
      </w:r>
    </w:p>
    <w:p>
      <w:pPr>
        <w:spacing w:after="0" w:line="16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connection with the completion of the CEi transaction, certain CEi personnel entered into long-term employment agreements with us. On July 2, 2012, we granted restricted stock units ("RSUs") for an aggregate of 2.0 million shares of common stock as long-term retention inducement grants to certain employees of CEi who joined Kratos. The RSUs had an estimated value of $11.9 million on the grant date, vest on the fourth anniversary of the closing of the CEi acquisition, or earlier upon the occurrence of certain events, and are being accounted for as compensation expense over such four-year period.</w:t>
      </w:r>
    </w:p>
    <w:p>
      <w:pPr>
        <w:spacing w:after="0" w:line="154"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To fund the acquisition of CEi, on May 14, 2012, the Company sold approximately 20.0 million shares of its common stock at a purchase price of $5.00 per share in an underwritten public offering. We received gross proceeds of approximately $100.0 million and net proceeds of approximately $97.0 million after deducting underwriting fees and other offering expenses. We used the net proceeds from this offering to fund a portion of the purchase price for the acquisition of CEi. In addition, we borrowed $40.0 million from our revolving line of credit to fund the purchase price of CEi.</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CEi is a vertically integrated manufacturer and developer of unmanned aerial target systems and composite structures used for national security programs. Its drones are designed to replicate some of the most lethal aerial threats facing warfighters and strategic assets. CEi's customers include U.S. and foreign governments.</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December 30, 2011, we acquired selected assets of a Critical Infrastructure Business for approximately $18.8 million, which includes a final agreement on the working capital adjustment.</w:t>
      </w:r>
    </w:p>
    <w:p>
      <w:pPr>
        <w:spacing w:after="0" w:line="170"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2013, we consider the following factors to be important in understanding our financial statements.</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KGS' business with the U.S. Government and prime contractors is generally performed under cost reimbursable, fixed-price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to our PSS segment customers under fixed price contracts, we utilize both cost-to-cost and units produced measures under the percentage-of-completion method of accounting under the provisions of Financial Accounting Standards Board (“FASB”) Accounting Standards Codification (“ASC”)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Recognition</w:t>
      </w:r>
      <w:r>
        <w:rPr>
          <w:rFonts w:ascii="Arial" w:cs="Arial" w:eastAsia="Arial" w:hAnsi="Arial"/>
          <w:sz w:val="18"/>
          <w:szCs w:val="18"/>
          <w:color w:val="auto"/>
        </w:rPr>
        <w:t>. Under the units produced measure of the percentage-of-completion method of accounting, sales are recognized as the units are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 and at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June 24, 2012 to the Three Months Ended June 30, 2013</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$15.4 million from $219.8 million for the three months ended June 24, 2012 to $235.2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2013. KGS segment revenue increased by $7.7 million. This increase was primarily due to revenues of $27.2 million from our CEi acquisition, partially offset by the timing of shipments of products primarily in our ground equipment and electronic warfare businesses, continued ongoing weakness and increased competition in our legacy government services businesses of $4.4 million and delay of service programs as a result of the continuing resolution and uncertainty related to sequestration. PSS segment revenue increased by $7.7 million due to organic growth primarily driven by revenue from large metropolitan transit authority programs. Revenues by operating segment for the three months ended June 24, 2012 and June 30, 2013 are as follows (dollars in millions):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24, 2012</w:t>
            </w:r>
          </w:p>
        </w:tc>
        <w:tc>
          <w:tcPr>
            <w:tcW w:w="28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2013</w:t>
            </w:r>
          </w:p>
        </w:tc>
        <w:tc>
          <w:tcPr>
            <w:tcW w:w="360" w:type="dxa"/>
            <w:vAlign w:val="bottom"/>
          </w:tcPr>
          <w:p>
            <w:pPr>
              <w:spacing w:after="0"/>
              <w:rPr>
                <w:sz w:val="16"/>
                <w:szCs w:val="16"/>
                <w:color w:val="auto"/>
              </w:rPr>
            </w:pPr>
          </w:p>
        </w:tc>
        <w:tc>
          <w:tcPr>
            <w:tcW w:w="134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940" w:type="dxa"/>
            <w:vAlign w:val="bottom"/>
          </w:tcPr>
          <w:p>
            <w:pPr>
              <w:jc w:val="right"/>
              <w:ind w:right="5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17.5 %</w:t>
            </w:r>
          </w:p>
        </w:tc>
      </w:tr>
      <w:tr>
        <w:trPr>
          <w:trHeight w:val="27"/>
        </w:trPr>
        <w:tc>
          <w:tcPr>
            <w:tcW w:w="4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406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2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17.5 %</w:t>
            </w:r>
          </w:p>
        </w:tc>
      </w:tr>
      <w:tr>
        <w:trPr>
          <w:trHeight w:val="27"/>
        </w:trPr>
        <w:tc>
          <w:tcPr>
            <w:tcW w:w="4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0"/>
        </w:trPr>
        <w:tc>
          <w:tcPr>
            <w:tcW w:w="4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Product sales increased $17.3 million from $107.7 million for the three months ended June 24, 2012 to $125.0 million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2013, primarily as a result of the CEi acquisition which was offset by timing of shipments as discussed above. As a percentage of total revenue, product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49.0% for the three months ended June 24, 2012 as compared to 53.1% for the three months ended June 30, 2013. The increase in product sales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related to the acquisition of CEi. Service revenues decreased by $1.9 million from $112.1 million for the three months ended June 24, 2012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$110.2 million for the three months ended June 30, 2013. The decrease was primarily related to the reductions in the legacy government service revenue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business units in the KGS segment, partially offset by the organic growth in the PSS segment.</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$12.7 million from $162.1 million for the three months ended June 24, 2012 to $174.8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2013. The increase in cost of revenues was primarily a result of the changes discussed above.</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Gross margin decreased from 26.3% for the three months ended June 24, 2012 to 25.7% for the three months ended June 30, 2013. Margins on services increased for the three months ended June 24, 2012 as compared to June 30, 2013, from 22.7% to 24.4%, respectively, due primarily to increased margins in our KGS segment. Margins on products decreased for the three months ended June 24, 2012 as compared to June 30, 2013 from 30.0% to 26.8%, respectively, as a result of a mix of products shipped. Margins in the KGS segment decreased from 25.9% for the three months ended June 24, 2012 to 25.3% for the three months ended June 30, 2013, primarily as a result of the mix of products shipped. Margins in the PSS segment remained fairly flat at 27.7% for the three months ended June 24, 2012 and 27.1% for the three months ended June 30, 2013.</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increased $5.4 million from $42.6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June 24, 2012 to $48.0 million for the three months ended June 30, 2013. The increase was primarily a result of the acquisition of CEi. As a percentage of revenues, SG&amp;A increased from 19.4% to 20.4%. Excluding amortization of intangibles of $8.9 million for the three months ended June 24, 2012 and amortization of intangibles of $9.0 million for the three months ended June 30, 2013, SG&amp;A increased as a percentage of revenues from 15.3% to 16.6% for the three months ended June 24, 2012 and June 30, 2013, respectively, as a result of increases in certain infrastructure costs including information technology, network security, and non-recurring audit fees related to our change in external auditors.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of $1.5 million for the three months ended June 24, 2012, were primarily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acquisition of CEi. The benefit of $2.6 million for the three months ended June 30, 2013, was due to the reduction in a $3.1 million liability as a result of the final settlement of our indemnity obligations related to former directors and officers of Integral on July 1, 2013, partially offset by a $0.4 million of legal fees on another matter related to a prior acquisition. See Note 13 of the Notes to the Condensed Consolidated Financial Statements for a further discussion of our indemnity obligations.</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$4.8 million for the three months ended June 24, 2012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2013 .</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Unused office space and other restructuring. </w:t>
      </w:r>
      <w:r>
        <w:rPr>
          <w:rFonts w:ascii="Arial" w:cs="Arial" w:eastAsia="Arial" w:hAnsi="Arial"/>
          <w:sz w:val="18"/>
          <w:szCs w:val="18"/>
          <w:color w:val="auto"/>
        </w:rPr>
        <w:t>The expense of $1.4 million for the three months ended June 24, 2012 was a result of an increase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excess facility accrual due to consolidation of office space at our Lanham, Maryland administrative facilities. The expense of $1.3 million for the three months ended June 30, 2013 was due to expenses related to workforce reductions as a result of cost saving initiatives we have implemented across the Company.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increased from $15.7 million to $16.1 million for the three months ended June 24, 2012 and June 30, 2013,</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increase in expense of $0.4 million is primarily related to a year over year reduction in the benefit of foreign currency transaction gains.</w:t>
      </w:r>
    </w:p>
    <w:p>
      <w:pPr>
        <w:spacing w:after="0" w:line="12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 xml:space="preserve">Provision (Benefit) for Income Taxes. </w:t>
      </w:r>
      <w:r>
        <w:rPr>
          <w:rFonts w:ascii="Arial" w:cs="Arial" w:eastAsia="Arial" w:hAnsi="Arial"/>
          <w:sz w:val="17"/>
          <w:szCs w:val="17"/>
          <w:color w:val="auto"/>
        </w:rPr>
        <w:t>Income tax expense for the three months ended June 24, 2012 was $6.6 million and the income tax benefit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June 30, 2013 was $0.1 million, on a loss before income taxes of $8.3 million and $7.2 million, respectively. The tax expense of $6.6 million and benefit of $0.1 million for the three months ended June 24, 2012 and June 30, 2013, respectively, were primarily a function of the estimated effective tax rate for the respective years. The estimated effective tax rate for any given year is driven by estimated foreign taxes, estimated state taxes, permanent book/tax differences, tax amortization of intangible assets that have an indefinite life under GAAP and the projected income or loss for the year. For the three months ended June 30, 2013, the benefit for income taxes was due to a reduction in the reserve for uncertain tax positions of $1.6 million as a result of the expiration of the statute of limitations.</w:t>
      </w:r>
    </w:p>
    <w:p>
      <w:pPr>
        <w:spacing w:after="0" w:line="178" w:lineRule="exact"/>
        <w:rPr>
          <w:sz w:val="20"/>
          <w:szCs w:val="20"/>
          <w:color w:val="auto"/>
        </w:rPr>
      </w:pPr>
    </w:p>
    <w:p>
      <w:pPr>
        <w:ind w:right="40" w:firstLine="693"/>
        <w:spacing w:after="0" w:line="257" w:lineRule="auto"/>
        <w:rPr>
          <w:sz w:val="20"/>
          <w:szCs w:val="20"/>
          <w:color w:val="auto"/>
        </w:rPr>
      </w:pPr>
      <w:r>
        <w:rPr>
          <w:rFonts w:ascii="Arial" w:cs="Arial" w:eastAsia="Arial" w:hAnsi="Arial"/>
          <w:sz w:val="18"/>
          <w:szCs w:val="18"/>
          <w:i w:val="1"/>
          <w:iCs w:val="1"/>
          <w:color w:val="auto"/>
        </w:rPr>
        <w:t xml:space="preserve">Income from Discontinued Operations. </w:t>
      </w:r>
      <w:r>
        <w:rPr>
          <w:rFonts w:ascii="Arial" w:cs="Arial" w:eastAsia="Arial" w:hAnsi="Arial"/>
          <w:sz w:val="18"/>
          <w:szCs w:val="18"/>
          <w:color w:val="auto"/>
        </w:rPr>
        <w:t>Revenue from discontinued operations was $1.8 million and $0.5 million, tax expense was $0.0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$0.0 million, and loss from discontinued operations was $2.3 million and $2.5 million for the three months ended June 24, 2012 and June 30, 2013, respectively. The revenue and income for the three months ended June 24, 2012 and June 30, 2013 was primarily related to operations of the non-core businesses from the Integral acquisition that have been classified as held for sale. See Note 8 of the Notes to the Condensed Consolidated Financial Statements for a further discussion of our discontinued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Six Months Ended June 26, 2012 to the Six Months Ended June 24, 2013</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$59.2 million from $429.3 million for the six months ended June 24, 2012 to $488.5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2013. KGS segment revenue increased by $41.5 million. This increase was primarily due to revenues of $53.1 million from our CEi acquisition as well as organic growth in our cyber security businesses, partially offset by the timing of shipments of products primarily in our electronic warfare businesses, continued ongoing weakness and increased competition in our legacy government services businesses of $7.5 million and delay of service programs as a result of the continuing resolution and uncertainty related to sequestration. PSS segment revenue increased by $17.7 million which was primarily due to the organic growth driven partially by an increase in revenue of $11.6 million from large metropolitan transit authority programs. Revenues by operating segment for the six months ended June 24, 2012 and June 30, 2013 are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24, 2012</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16"/>
                <w:szCs w:val="16"/>
                <w:color w:val="auto"/>
              </w:rPr>
            </w:pPr>
          </w:p>
        </w:tc>
        <w:tc>
          <w:tcPr>
            <w:tcW w:w="1100" w:type="dxa"/>
            <w:vAlign w:val="bottom"/>
          </w:tcPr>
          <w:p>
            <w:pPr>
              <w:jc w:val="right"/>
              <w:ind w:right="33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Pr>
          <w:p>
            <w:pPr>
              <w:jc w:val="right"/>
              <w:ind w:right="35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21.9 %</w:t>
            </w: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12.0 %</w:t>
            </w:r>
          </w:p>
        </w:tc>
      </w:tr>
      <w:tr>
        <w:trPr>
          <w:trHeight w:val="27"/>
        </w:trPr>
        <w:tc>
          <w:tcPr>
            <w:tcW w:w="3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Public Safety &amp; Security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20.9 %</w:t>
            </w: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color w:val="auto"/>
              </w:rPr>
              <w:t>Total Public Safety &amp; Security</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20.9 %</w:t>
            </w:r>
          </w:p>
        </w:tc>
      </w:tr>
      <w:tr>
        <w:trPr>
          <w:trHeight w:val="27"/>
        </w:trPr>
        <w:tc>
          <w:tcPr>
            <w:tcW w:w="3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0"/>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sales increased $47.2 million from $215.1 million for the six months ended June 24, 2012 to $262.3 million for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2013.  As a percentage of total revenue, product sales were 50.1% for the six months ended June 24, 2012 as compared to 53.7% for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2013. This increase was primarily related to the acquisition of CEi. Service revenues increased by $12.0 million from $214.2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June 24, 2012 to $226.2 million for the six months ended June 30, 2013. The increase was primarily related to the organic growth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PSS segment, partially offset by the reductions in the legacy government service revenue in other business units in the KGS segment as discussed above.</w:t>
      </w:r>
    </w:p>
    <w:p>
      <w:pPr>
        <w:spacing w:after="0" w:line="234"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$314.2 million for the six months ended June 24, 2012 to $362.3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2013. The $48.1 million increase in cost of revenues was primarily a result of the acquisitions of CEi and costs related to revenue from organic growth in our PSS segment as discussed above.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Gross margin decreased from 26.8% for the six months ended June 24, 2012 to 25.8% for the six months ended June 30, 2013. Margins on services increased from 22.3% for the six months ended June 24, 2012 to 24.0% for the six months ended June 30, 2013, due primarily to increased margins in our KGS segment. Margins on products decreased for the six months ended June 24, 2012 as compared to June 30, 2013 from 31.3% to 27.4%, respectively, as a result of an increase in the shipment of specialized ground equipment in the first quarter, which has lower margins than other products and the overall mix of products shipped. Margins in the KGS segment decreased from 26.8% for the six months ended June 24, 2012 to 25.8% for the six months ended June 30, 2013 primarily as a result of reduction in margins on products. Margins in the PSS segment decreased slightly from 26.7% for the six months ended June 24, 2012 to 26.2% for the six months ended June 30, 2013.</w:t>
      </w:r>
    </w:p>
    <w:p>
      <w:pPr>
        <w:spacing w:after="0" w:line="17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increased $10.7 million from $86.4 million for the six months ended June 24, 2012 to $97.1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six months ended June 30, 2013. The increase was primarily a result of the acquisitions of CEi which had SG&amp;A of $6.9 million. As a percentage of revenues, SG&amp;A decreased from 20.1% to 19.9%. Excluding amortization of intangibles of $19.4 million for the six months ended June 24, 2012 and amortization of intangibles of $18.3 million for the six months ended June 30, 2013, SG&amp;A increased as a percentage of revenues from 15.6% to 16.1% for the six months ended June 24, 2012 and June 30, 2013, respectively, reflecting increases in certain infrastructure costs including information technology, network security, and non-recurring audit fees related to our change in external auditors.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Merger and Acquisition Expenses. </w:t>
      </w:r>
      <w:r>
        <w:rPr>
          <w:rFonts w:ascii="Arial" w:cs="Arial" w:eastAsia="Arial" w:hAnsi="Arial"/>
          <w:sz w:val="18"/>
          <w:szCs w:val="18"/>
          <w:color w:val="auto"/>
        </w:rPr>
        <w:t>Merger and acquisition expenses of $2.4 million for the six months ended June 24, 2012, were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acquisition of CEi. The benefit of $2.5 million for the six months ended June 30, 2013, was due to the reduction in a $3.1 million liability as a result of the final settlement of our indemnity obligations related to former directors and officers of Integral on July 1, 2013, partially offset by other merger expenses and legal fees related to prior acquisitions. See Note 13 of the Notes to the Condensed Consolidated Financial Statements for a further discussion of our indemnity obligations.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increased from $8.4 million for the six months ended June 24, 2012 to</w:t>
      </w:r>
      <w:r>
        <w:rPr>
          <w:rFonts w:ascii="Arial" w:cs="Arial" w:eastAsia="Arial" w:hAnsi="Arial"/>
          <w:sz w:val="18"/>
          <w:szCs w:val="18"/>
          <w:i w:val="1"/>
          <w:iCs w:val="1"/>
          <w:color w:val="auto"/>
        </w:rPr>
        <w:t xml:space="preserve"> </w:t>
      </w:r>
      <w:r>
        <w:rPr>
          <w:rFonts w:ascii="Arial" w:cs="Arial" w:eastAsia="Arial" w:hAnsi="Arial"/>
          <w:sz w:val="18"/>
          <w:szCs w:val="18"/>
          <w:color w:val="auto"/>
        </w:rPr>
        <w:t>$9.7 million for the six months ended June 30, 2013, primarily due to select investments we are making to enhance certain satellite and electronic warfare/electronic attack products and the acquisition of CEi.</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i w:val="1"/>
          <w:iCs w:val="1"/>
          <w:color w:val="auto"/>
        </w:rPr>
        <w:t xml:space="preserve">Unused office space and other resttucturing. </w:t>
      </w:r>
      <w:r>
        <w:rPr>
          <w:rFonts w:ascii="Arial" w:cs="Arial" w:eastAsia="Arial" w:hAnsi="Arial"/>
          <w:sz w:val="16"/>
          <w:szCs w:val="16"/>
          <w:color w:val="auto"/>
        </w:rPr>
        <w:t>The expense of $1.4 million for the six months ended June 24, 2012 was a result of an increase in our</w:t>
      </w:r>
      <w:r>
        <w:rPr>
          <w:rFonts w:ascii="Arial" w:cs="Arial" w:eastAsia="Arial" w:hAnsi="Arial"/>
          <w:sz w:val="16"/>
          <w:szCs w:val="16"/>
          <w:i w:val="1"/>
          <w:iCs w:val="1"/>
          <w:color w:val="auto"/>
        </w:rPr>
        <w:t xml:space="preserve"> </w:t>
      </w:r>
      <w:r>
        <w:rPr>
          <w:rFonts w:ascii="Arial" w:cs="Arial" w:eastAsia="Arial" w:hAnsi="Arial"/>
          <w:sz w:val="16"/>
          <w:szCs w:val="16"/>
          <w:color w:val="auto"/>
        </w:rPr>
        <w:t>excess facility accrual due to consolidation of office space at our Lanham, Maryland administrative facilities. The expense of $1.6 million for the six months ended June 30, 2013 was due to expenses related to workforce reductions as a result of cost saving initiatives we have implemented across the Company.</w:t>
      </w:r>
    </w:p>
    <w:p>
      <w:pPr>
        <w:spacing w:after="0" w:line="36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increased from $31.4 million to $33.1 million for the six months ended June 24, 2012 and June 30, 2013,</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The increase in expense of $1.7 million is primarily related to a change in foreign currency transactions. We had other income of $0.9 million and other expense of $0.6 million for the six months ended June 24, 2012 and June 30, 2013, respectively, primarily related to foreign currency transactions.</w:t>
      </w:r>
    </w:p>
    <w:p>
      <w:pPr>
        <w:spacing w:after="0" w:line="14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We recorded an income tax expense of $2.5 million on a loss of $14.9 million before income taxes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24, 2012. The expense of $2.5 million was primarily related to state and foreign taxes. We recorded an income tax expense of $2.7 million on a loss of $12.8 million before income taxes for the six months ended June 30, 2013. This expense was related to state and foreign taxes which were offset by a reduction in the reserve for uncertain tax positions of $1.6 million as a result of the expiration of the statute of limitations.</w:t>
      </w:r>
    </w:p>
    <w:p>
      <w:pPr>
        <w:spacing w:after="0" w:line="171" w:lineRule="exact"/>
        <w:rPr>
          <w:sz w:val="20"/>
          <w:szCs w:val="20"/>
          <w:color w:val="auto"/>
        </w:rPr>
      </w:pPr>
    </w:p>
    <w:p>
      <w:pPr>
        <w:ind w:right="60" w:firstLine="693"/>
        <w:spacing w:after="0" w:line="255" w:lineRule="auto"/>
        <w:rPr>
          <w:sz w:val="20"/>
          <w:szCs w:val="20"/>
          <w:color w:val="auto"/>
        </w:rPr>
      </w:pPr>
      <w:r>
        <w:rPr>
          <w:rFonts w:ascii="Arial" w:cs="Arial" w:eastAsia="Arial" w:hAnsi="Arial"/>
          <w:sz w:val="18"/>
          <w:szCs w:val="18"/>
          <w:i w:val="1"/>
          <w:iCs w:val="1"/>
          <w:color w:val="auto"/>
        </w:rPr>
        <w:t xml:space="preserve">Income from Discontinued Operations. </w:t>
      </w:r>
      <w:r>
        <w:rPr>
          <w:rFonts w:ascii="Arial" w:cs="Arial" w:eastAsia="Arial" w:hAnsi="Arial"/>
          <w:sz w:val="18"/>
          <w:szCs w:val="18"/>
          <w:color w:val="auto"/>
        </w:rPr>
        <w:t>Revenue from discontinued operations was $7.4 million and $3.6 million, tax expense was $0.1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$0.0 million, and loss from discontinued operations was $2.8 million and $4.4 million for the six months ended June 24, 2012 and June 30, 2013, respectively. The revenue and income for the six months ended June 24, 2012 and June 30, 2013 was primarily related to operations of the non-core businesses from the Integral acquisition that have been classified as held for sale. During the six months ended June 30, 2013, we recorded a $1.2 million impairment charge related to our revised estimate of the fair value of these operations. See Note 8 of the Notes to the Condensed Consolidated Financial Statements for a further discussion of our discontinued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June 24, 2012 and June 30, 2013, our backlog was approximately $1.1 billion and $1.1 billion, respectively, of which $546.0 million was funded in 2012 and $558.0 million was funded in 2013. Backlog is our estimate of the amount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9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June 30, 2013, we had cash and cash equivalents of $49.7 million compared with cash and cash equivalents of $49.0 million as of December 30, 2012, which includes $21.2 million and $15.2 million, respectively, of cash and cash equivalents held by our foreign subsidiaries. We are not presently aware of any restrictions on the repatriation of these funds, although a portion may be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17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total debt, including capital lease obligations, principal due on the Notes, other term debt, and the premium of $16.6 million received on Notes issued, decreased by $2.8 million from $650.3 million on December 30, 2012 to $647.5 million on June 30, 2013. The decrease in debt was primarily the result of the amortization of the premium on the Notes of approximately $2.1 million and a $0.5 million principal payment on a ten-year term loan with a bank in Israel.</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operating cash flow is used to finance trade accounts receivable, fund necessary increases in inventory, fund capital expenditures and our ongoing operations, service our debt and make strategic acquisitions. Financing trade accounts receivable is necessary because, on average, our customers do not pay us as quickly as we pay our vendors and employees for their goods and services.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accounts receivable balance of $253.6 million at June 30, 2013 includes $1.4 million of receivables due from a Greek customer under a subcontract arrangement Gichner Holdings, Inc. ("Gichner") entered into with the Greek Ministry of Defense (GMoD) in 2004 prior to our acquisition of Gichner in 2010. After numerous delays by our customer and the GMoD, activity has resumed on the project. We currently expect product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shipments to continue through late 2013 when the final shipment is delivered. We do not have any significant direct exposure to European government receivables, and our customers do not rely heavily on European government subsidies or other European government support. We will continue to monitor our exposure to risks relating to European sovereign debt.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pacing w:after="0" w:line="392"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Borders>
              <w:bottom w:val="single" w:sz="8" w:color="auto"/>
            </w:tcBorders>
          </w:tcPr>
          <w:p>
            <w:pPr>
              <w:spacing w:after="0"/>
              <w:rPr>
                <w:sz w:val="16"/>
                <w:szCs w:val="16"/>
                <w:color w:val="auto"/>
              </w:rPr>
            </w:pPr>
          </w:p>
        </w:tc>
      </w:tr>
      <w:tr>
        <w:trPr>
          <w:trHeight w:val="264"/>
        </w:trPr>
        <w:tc>
          <w:tcPr>
            <w:tcW w:w="54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24, 2012</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2013</w:t>
            </w:r>
          </w:p>
        </w:tc>
        <w:tc>
          <w:tcPr>
            <w:tcW w:w="320" w:type="dxa"/>
            <w:vAlign w:val="bottom"/>
            <w:tcBorders>
              <w:bottom w:val="single" w:sz="8" w:color="auto"/>
            </w:tcBorders>
          </w:tcPr>
          <w:p>
            <w:pPr>
              <w:spacing w:after="0"/>
              <w:rPr>
                <w:sz w:val="22"/>
                <w:szCs w:val="2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cash provided by operating activities from continuing operations</w:t>
            </w:r>
          </w:p>
        </w:tc>
        <w:tc>
          <w:tcPr>
            <w:tcW w:w="1300" w:type="dxa"/>
            <w:vAlign w:val="bottom"/>
            <w:shd w:val="clear" w:color="auto" w:fill="CCEEFF"/>
          </w:tcPr>
          <w:p>
            <w:pPr>
              <w:jc w:val="right"/>
              <w:ind w:right="1102"/>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w:t>
            </w:r>
          </w:p>
        </w:tc>
      </w:tr>
      <w:tr>
        <w:trPr>
          <w:trHeight w:val="27"/>
        </w:trPr>
        <w:tc>
          <w:tcPr>
            <w:tcW w:w="5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Cash provided by operating activities from continuing operations includes $2.9 million and $0.5 million in transaction costs paid related to our acquisitions for the six months ended June 24, 2012 and June 30, 2013,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24, 2012</w:t>
            </w:r>
          </w:p>
        </w:tc>
        <w:tc>
          <w:tcPr>
            <w:tcW w:w="220" w:type="dxa"/>
            <w:vAlign w:val="bottom"/>
          </w:tcPr>
          <w:p>
            <w:pPr>
              <w:spacing w:after="0"/>
              <w:rPr>
                <w:sz w:val="22"/>
                <w:szCs w:val="22"/>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June 30, 2013</w:t>
            </w:r>
          </w:p>
        </w:tc>
      </w:tr>
      <w:tr>
        <w:trPr>
          <w:trHeight w:val="236"/>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160"/>
              <w:spacing w:after="0"/>
              <w:rPr>
                <w:sz w:val="20"/>
                <w:szCs w:val="20"/>
                <w:color w:val="auto"/>
              </w:rPr>
            </w:pPr>
            <w:r>
              <w:rPr>
                <w:rFonts w:ascii="Arial" w:cs="Arial" w:eastAsia="Arial" w:hAnsi="Arial"/>
                <w:sz w:val="18"/>
                <w:szCs w:val="18"/>
                <w:color w:val="auto"/>
              </w:rPr>
              <w:t>Cash paid for acquisitions, net of cash acquired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Proceeds from the sale of discontinued operations</w:t>
            </w:r>
          </w:p>
        </w:tc>
        <w:tc>
          <w:tcPr>
            <w:tcW w:w="26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57"/>
        </w:trPr>
        <w:tc>
          <w:tcPr>
            <w:tcW w:w="5720" w:type="dxa"/>
            <w:vAlign w:val="bottom"/>
          </w:tcPr>
          <w:p>
            <w:pPr>
              <w:ind w:left="360"/>
              <w:spacing w:after="0"/>
              <w:rPr>
                <w:sz w:val="20"/>
                <w:szCs w:val="20"/>
                <w:color w:val="auto"/>
              </w:rPr>
            </w:pPr>
            <w:r>
              <w:rPr>
                <w:rFonts w:ascii="Arial" w:cs="Arial" w:eastAsia="Arial" w:hAnsi="Arial"/>
                <w:sz w:val="18"/>
                <w:szCs w:val="18"/>
                <w:color w:val="auto"/>
              </w:rPr>
              <w:t>Net cash used in investing activities from continuing operations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Cash paid for acquisitions was the most significant outlay for investing activities for the six months ended June 24, 2012, as a result of the implementation of our strategy to diversify our business through strategic acquisitions. On December 30, 2011, we acquired selected assets of the Critical Infrastructure Business for approximately $18.8 million. We paid $20.0 million related to this acquisition in 2012 and received payment of $1.2 million on the settlement of the working capital in 2013. In March 2012, we paid $1.5 million related to the contingent acquisition consideration for SecureInfo for performance milestones achieved in 2011.</w:t>
      </w:r>
    </w:p>
    <w:p>
      <w:pPr>
        <w:spacing w:after="0" w:line="188"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Capital expenditures consist primarily of investment in machinery, computer hardware and software, and improvement of our physical properties in order to maintain suitable conditions in which to conduct our business. The increase in capital expenditures of $1.1 million from $6.2 million for the six months ended June 24, 2012 to $7.3 million for the six months ended June 30, 2013 was primarily a result of capital equipment expenditures made by CEi.</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financing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24, 2012</w:t>
            </w:r>
          </w:p>
        </w:tc>
        <w:tc>
          <w:tcPr>
            <w:tcW w:w="240" w:type="dxa"/>
            <w:vAlign w:val="bottom"/>
          </w:tcPr>
          <w:p>
            <w:pPr>
              <w:spacing w:after="0"/>
              <w:rPr>
                <w:sz w:val="22"/>
                <w:szCs w:val="22"/>
                <w:color w:val="auto"/>
              </w:rPr>
            </w:pPr>
          </w:p>
        </w:tc>
        <w:tc>
          <w:tcPr>
            <w:tcW w:w="1320" w:type="dxa"/>
            <w:vAlign w:val="bottom"/>
          </w:tcPr>
          <w:p>
            <w:pPr>
              <w:jc w:val="right"/>
              <w:ind w:right="273"/>
              <w:spacing w:after="0"/>
              <w:rPr>
                <w:sz w:val="20"/>
                <w:szCs w:val="20"/>
                <w:color w:val="auto"/>
              </w:rPr>
            </w:pPr>
            <w:r>
              <w:rPr>
                <w:rFonts w:ascii="Arial" w:cs="Arial" w:eastAsia="Arial" w:hAnsi="Arial"/>
                <w:sz w:val="14"/>
                <w:szCs w:val="14"/>
                <w:b w:val="1"/>
                <w:bCs w:val="1"/>
                <w:color w:val="auto"/>
              </w:rPr>
              <w:t>June 30, 2013</w:t>
            </w:r>
          </w:p>
        </w:tc>
        <w:tc>
          <w:tcPr>
            <w:tcW w:w="0" w:type="dxa"/>
            <w:vAlign w:val="bottom"/>
          </w:tcPr>
          <w:p>
            <w:pPr>
              <w:spacing w:after="0"/>
              <w:rPr>
                <w:sz w:val="1"/>
                <w:szCs w:val="1"/>
                <w:color w:val="auto"/>
              </w:rPr>
            </w:pPr>
          </w:p>
        </w:tc>
      </w:tr>
      <w:tr>
        <w:trPr>
          <w:trHeight w:val="236"/>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w:t>
            </w:r>
          </w:p>
        </w:tc>
        <w:tc>
          <w:tcPr>
            <w:tcW w:w="2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contingent acquisition consideration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Repayments of debt</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 from continuing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44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340" w:firstLine="693"/>
        <w:spacing w:after="0" w:line="302" w:lineRule="auto"/>
        <w:rPr>
          <w:sz w:val="20"/>
          <w:szCs w:val="20"/>
          <w:color w:val="auto"/>
        </w:rPr>
      </w:pPr>
      <w:r>
        <w:rPr>
          <w:rFonts w:ascii="Arial" w:cs="Arial" w:eastAsia="Arial" w:hAnsi="Arial"/>
          <w:sz w:val="16"/>
          <w:szCs w:val="16"/>
          <w:color w:val="auto"/>
        </w:rPr>
        <w:t>On May 15, 2012, we sold 20.0 million shares of common stock at a purchase price of $5.00 per share in an underwritten public offering. We received gross proceeds of $100.0 million. After deducting underwriting and other offering expenses, we received approximately $97.0 million in net proceeds. We used the net proceeds from this offering to fund a portion of the cash consideration paid to the stockholders of CEi in connection with our acquisition of CEi on July 2, 2012.</w:t>
      </w:r>
    </w:p>
    <w:p>
      <w:pPr>
        <w:spacing w:after="0" w:line="154" w:lineRule="exact"/>
        <w:rPr>
          <w:sz w:val="20"/>
          <w:szCs w:val="20"/>
          <w:color w:val="auto"/>
        </w:rPr>
      </w:pPr>
    </w:p>
    <w:p>
      <w:pPr>
        <w:ind w:right="2160" w:firstLine="648"/>
        <w:spacing w:after="0" w:line="277" w:lineRule="auto"/>
        <w:rPr>
          <w:sz w:val="20"/>
          <w:szCs w:val="20"/>
          <w:color w:val="auto"/>
        </w:rPr>
      </w:pPr>
      <w:r>
        <w:rPr>
          <w:rFonts w:ascii="Arial" w:cs="Arial" w:eastAsia="Arial" w:hAnsi="Arial"/>
          <w:sz w:val="18"/>
          <w:szCs w:val="18"/>
          <w:color w:val="auto"/>
        </w:rPr>
        <w:t>In April 2012, we paid $2.5 million in contingent acquisition consideration related to the DEI performance milestones achieved in 2011. In April of 2013 the remaining DEI Contingent Consideration of $2.1 million was paid.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24, 2012</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2013</w:t>
            </w:r>
          </w:p>
        </w:tc>
        <w:tc>
          <w:tcPr>
            <w:tcW w:w="320" w:type="dxa"/>
            <w:vAlign w:val="bottom"/>
            <w:tcBorders>
              <w:bottom w:val="single" w:sz="8" w:color="auto"/>
            </w:tcBorders>
          </w:tcPr>
          <w:p>
            <w:pPr>
              <w:spacing w:after="0"/>
              <w:rPr>
                <w:sz w:val="22"/>
                <w:szCs w:val="22"/>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discontinued operations</w:t>
            </w:r>
          </w:p>
        </w:tc>
        <w:tc>
          <w:tcPr>
            <w:tcW w:w="1280" w:type="dxa"/>
            <w:vAlign w:val="bottom"/>
            <w:shd w:val="clear" w:color="auto" w:fill="CCEEFF"/>
          </w:tcPr>
          <w:p>
            <w:pPr>
              <w:jc w:val="right"/>
              <w:ind w:right="1102"/>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0.8</w:t>
            </w:r>
          </w:p>
        </w:tc>
      </w:tr>
      <w:tr>
        <w:trPr>
          <w:trHeight w:val="27"/>
        </w:trPr>
        <w:tc>
          <w:tcPr>
            <w:tcW w:w="48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cash flow from discontinued operations is primarily related to non-core businesses we acquired in the Integral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order to fund our acquisitions in 2011 and 2012, we issued equity and increased our leverage through a series of financing transactions.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On May 19, 2010, we entered into an indenture with the guarantors set forth therein and Wilmington Trust FSB, as trustee and collateral agent (as amended or supplemented the “Indenture”), to issue the Notes. As of June 30, 2013, we have issued Notes in the aggregate principal amount of $625.0 million under the Indenture, of which $225.0 million were issued on May 19, 2010, $285.0 million were issued on March 25, 2011 at a $20.0 million premium and an effective interest rate of 8.5 % and $115.0 million were issued on July 27, 2011 at a $5.8 million premium and an effective interest rate of</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8.9%. These Notes have been used to fund acquisitions and for general corporate purposes. The holders of the Notes have a first priority lien on substantially all of our assets and the assets of the guarantors, except with respect to accounts receivable, inventory, deposit accounts, securities accounts, cash, securities and general intangibles (other than intellectual property), on which the holders of the Notes have a second priority lien to the $110.0 million credit facility described below.</w:t>
      </w:r>
    </w:p>
    <w:p>
      <w:pPr>
        <w:spacing w:after="0" w:line="19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pay interest on the Notes semi-annually, in arrears, on June 1 and December 1 of each year. The Notes include customary covenants and events of default as well as a consolidated fixed charge ratio of 2:1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June 30, 2013, we were in compliance with the covenants contained in the Indenture governing the Notes.</w:t>
      </w:r>
    </w:p>
    <w:p>
      <w:pPr>
        <w:spacing w:after="0" w:line="15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Notes at 110% of the aggregate principal amount of the Notes, plus accrued and unpaid interest to the date of redemption, with the net cash proceeds of certain equity offerings. In addition, we may, at our option, redeem some or all of the Notes at any time prior to June 1, 2014, by paying a “make whole” premium, plus accrued and unpaid interest, if any, to the date of redemption. The Company may also at any time purchase outstanding Notes traded on the open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Facility</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July 27, 2011, we entered into a credit and security agreement with KeyBank National Association (“KeyBank”), as lead arranger, sole book runner and administrative agent, and East West Bank and Bank of the West, as the lenders (the</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“2011 Credit Agreement”). The 2011 Credit Agreement amends and restates in its entirety the credit and security agreement, dated as of May 19, 2010, by and among the Company, KeyBank and the lenders named therein (as amended). The 2011 Credit Agreement establishes a five-year senior secured revolving credit facility in the amount of $65.0 million (as amended as described below, the “Amended Revolver”). The Amended Revolver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jc w:val="both"/>
        <w:ind w:right="140" w:firstLine="648"/>
        <w:spacing w:after="0" w:line="291" w:lineRule="auto"/>
        <w:rPr>
          <w:sz w:val="20"/>
          <w:szCs w:val="20"/>
          <w:color w:val="auto"/>
        </w:rPr>
      </w:pPr>
      <w:r>
        <w:rPr>
          <w:rFonts w:ascii="Arial" w:cs="Arial" w:eastAsia="Arial" w:hAnsi="Arial"/>
          <w:sz w:val="16"/>
          <w:szCs w:val="16"/>
          <w:color w:val="auto"/>
        </w:rPr>
        <w:t>On November 14, 2011, the Company entered into a first amendment (the “First Amendment”) with certain lenders and KeyBank that amended the 2011 Credit Agreement. Among other things, the First Amendment: (i) increased the amount of the Amended Revolver from $65.0 million to $90.0 million;</w:t>
      </w:r>
    </w:p>
    <w:p>
      <w:pPr>
        <w:ind w:right="260" w:firstLine="8"/>
        <w:spacing w:after="0" w:line="261"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added to and modified the definitions of certain terms contained in the 2011 Credit Agreement; (iii) added PNC Bank, National Association as a lender under the 2011 Credit Agreement; and (iv) updated certain schedules to the 2011 Credit Agreement.</w:t>
      </w:r>
    </w:p>
    <w:p>
      <w:pPr>
        <w:spacing w:after="0" w:line="184" w:lineRule="exact"/>
        <w:rPr>
          <w:sz w:val="20"/>
          <w:szCs w:val="20"/>
          <w:color w:val="auto"/>
        </w:rPr>
      </w:pPr>
    </w:p>
    <w:p>
      <w:pPr>
        <w:ind w:right="140" w:firstLine="612"/>
        <w:spacing w:after="0" w:line="279" w:lineRule="auto"/>
        <w:rPr>
          <w:sz w:val="20"/>
          <w:szCs w:val="20"/>
          <w:color w:val="auto"/>
        </w:rPr>
      </w:pPr>
      <w:r>
        <w:rPr>
          <w:rFonts w:ascii="Arial" w:cs="Arial" w:eastAsia="Arial" w:hAnsi="Arial"/>
          <w:sz w:val="17"/>
          <w:szCs w:val="17"/>
          <w:color w:val="auto"/>
        </w:rPr>
        <w:t>On May 4, 2012, we entered into a second amendment (the "Second Amendment") to the 2011 Credit Agreement. Among other things, the Second Amendment (i) increased the amount of the Amended Revolver from $90.0 million to $110.0 million, (ii) added to and modified the definitions of certain terms contained in the 2011 Credit Agreement, (iii) added Cathay Bank as a lender under the 2011 Credit Agreement, (iv) increased the maximum revolving amount capacity of the 2011Credit Agreement to $135.0 million, and (v) updated certain schedules to the 2011 Credit Agreement.</w:t>
      </w:r>
    </w:p>
    <w:p>
      <w:pPr>
        <w:spacing w:after="0" w:line="171" w:lineRule="exact"/>
        <w:rPr>
          <w:sz w:val="20"/>
          <w:szCs w:val="20"/>
          <w:color w:val="auto"/>
        </w:rPr>
      </w:pPr>
    </w:p>
    <w:p>
      <w:pPr>
        <w:ind w:right="60" w:firstLine="567"/>
        <w:spacing w:after="0" w:line="279" w:lineRule="auto"/>
        <w:rPr>
          <w:sz w:val="20"/>
          <w:szCs w:val="20"/>
          <w:color w:val="auto"/>
        </w:rPr>
      </w:pPr>
      <w:r>
        <w:rPr>
          <w:rFonts w:ascii="Arial" w:cs="Arial" w:eastAsia="Arial" w:hAnsi="Arial"/>
          <w:sz w:val="17"/>
          <w:szCs w:val="17"/>
          <w:color w:val="auto"/>
        </w:rPr>
        <w:t>On May 8, 2012, we entered into a third amendment (the "Third Amendment") to the 2011 Credit Agreement. Under the terms of the Third Amendment, the definitions of certain terms of the 2011 Credit Agreement were modified and the acquisition of CEi was approved. We used the net proceeds from the sale of 20.0 million shares of our common stock, together with a $40.0 million borrowing under the Amended Revolver, to fund the purchase of the CEi and to pay related fees and expenses. As of September 30, 2012, we repaid the $40.0 million borrowing under our credit facility.</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February 27, 2013, we entered into a fourth amendment (the "Fourth Amendment") to the 2011 Credit Agreement. Under the terms of the Fourth Amendment, the definition of certain terms of the 2011 Credit Agreement and reporting requirements were modified.</w:t>
      </w:r>
    </w:p>
    <w:p>
      <w:pPr>
        <w:spacing w:after="0" w:line="170"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we are required to repay such borrowings in an amount sufficient to eliminate such excess. The Amended Revolver includes $50.0 million of availability for letters of credit and $10.0 million of availability for swing line loans.</w:t>
      </w:r>
    </w:p>
    <w:p>
      <w:pPr>
        <w:spacing w:after="0" w:line="171"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We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June 30, 2013, there were no outstanding borrowings on the Amended Revolver and $14.2 million was outstanding on letters of credit resulting in net borrowing base availability of $69.3 million. We were in compliance with the financial covenants as of June 30, 2013.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We assumed a $10.0 million ten-year term loan with a bank in Israel that Herley entered into on September 16, 2008 in connection with the acquisition of one of its wholly owned subsidiaries. The balance as of June 30, 2013 was $5.3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June 30, 2013.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and Liabilities in Connection with Acquisitions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Topic 805</w:t>
      </w:r>
      <w:r>
        <w:rPr>
          <w:rFonts w:ascii="Arial" w:cs="Arial" w:eastAsia="Arial" w:hAnsi="Arial"/>
          <w:sz w:val="18"/>
          <w:szCs w:val="18"/>
          <w:color w:val="auto"/>
        </w:rPr>
        <w:t>, such amounts are recorded at fair value on the acquisition date.</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agreement and plan of merger entered into in connection with our acquisition of SecureInfo provided that upon achievement of certain cash receipts, revenue and EBITDA in 2011, we were obligated to pay the former stockholders of SecureInfo additional cash contingent consideration. In March 2012, we paid $1.5 million related to this contingent consideration.</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Pursuant to the terms of the agreement and plan of merger with DEI Services Corporation entered into on August 9, 2010 (“the DEI Agreement”), upon achievement of certain cash receipts, revenue, EBITDA and backlog amounts in 2010, 2011 and 2012, we were obligated to pay certain additional contingent consideration (the “DEI Contingent Consideration”). We have paid $5.0 million related to the DEI Contingent Consideration, of which $2.5 million and $2.1 million was paid in April 2012 and April 2013,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Amended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six months ended June 30, 2013, there have been no significant changes to our Critical Accounting Policies or Estimates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July 2013, the Financial Accounting Standards Board ("FASB") issued Accounting Standards Update 2013-11 ("ASU 2013-11") "Presentation of an Unrecognized Tax Benefit When a Net Operating Loss Carryforward, a Similar Tax Loss, or a Tax Credit Carryforward Exists" which states that an unrecognized tax benefit, or a portion of an unrecognized tax benefit, should be presented in the financial statements as a reduction to a deferred tax asset for a net operating loss carryforward, a similar tax loss, or a tax credit carryforward, except as follows.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tax assets. The amendments in this ASU are effective for fiscal years, and interim periods within those years, beginning after December 15, 2013. The Company does not believe that the adoption of this guidance will have a material impact on its consolidated financial statements.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February 2013, the FASB issued ASU 2013-02 "Comprehensive Income: Reporting of Amounts Reclassified Out of Accumulated Other Comprehensive Income," which requires entities to provide information about the amounts reclassified out of accumulated other comprehensive income by component. In addition, entities are required to present, either on the face of the statement where net income is presented or in the notes, significant amounts reclassified out of accumulated other comprehensive income by the respective line items of net income, but only if the amount is required under GAAP to be reclassified to net income in its entirety in the same reporting period. For other amounts that are not required under GAAP to be reclassified in their entirety to net income, entities are required to cross-reference to other disclosures required under GAAP that provide additional detail on these amounts. This standard is effective prospectively for reporting periods beginning after December 15, 2012. The Company adopted this standard in the quarter ended March 31, 2013, which did not have a material impact on its consolidated financial statements.</w:t>
      </w:r>
    </w:p>
    <w:p>
      <w:pPr>
        <w:spacing w:after="0" w:line="11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December 2011 and February 2013, the FASB issued an amendment to the Balance Sheet topic of the Accounting Standards Codification ("ASC"), which requires entities to disclose both gross and net information about both derivatives and transactions eligible for offset in the statement of financial position and instruments and transactions subject to an agreement similar to a master netting agreement. The objective of the disclosure is to facilitate comparison between those entities that prepare their financial statements on the basis of GAAP and those entities that prepare their financial statements on the basis of International Financial Reporting Standards. This standard is effective for fiscal years, and interim periods within those years, beginning on or after January 1, 2013. Retrospective presentation for all comparative periods presented is required. Accordingly, the Company will adopt this amendment in the first quarter of fiscal year 2014. The Company does not believe that the adoption of this guidance will have a material impact on its consolidated financial statements.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Amended Revolver discussed under </w:t>
      </w:r>
      <w:r>
        <w:rPr>
          <w:rFonts w:ascii="Arial" w:cs="Arial" w:eastAsia="Arial" w:hAnsi="Arial"/>
          <w:sz w:val="18"/>
          <w:szCs w:val="18"/>
          <w:b w:val="1"/>
          <w:bCs w:val="1"/>
          <w:color w:val="auto"/>
        </w:rPr>
        <w:t>"</w:t>
      </w:r>
      <w:r>
        <w:rPr>
          <w:rFonts w:ascii="Arial" w:cs="Arial" w:eastAsia="Arial" w:hAnsi="Arial"/>
          <w:sz w:val="18"/>
          <w:szCs w:val="18"/>
          <w:color w:val="auto"/>
        </w:rPr>
        <w:t>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 contracts to manage foreign currency exchange rate risk because to date exchange rate fluctuations have had minimal impact on our operating results and cash flows.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and cash equivalents as of June 30, 2013 were $49.7 million and are primarily invested in money market interest bearing accounts. A hypothetical 10% adverse change in the average interest rate on our money market cash investments and short-term investments would have had no material effect on our net loss for the six months ended June 30, 2013.</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June 30, 2013.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three months ended June 30, 2013 that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13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evaluating us and our common stock, we urge you to carefully consider the risks and other information in this Quarterly Report on Form 10-Q, as well as the risk factors disclosed in Item 1A. to Part I of our Annual Report on Form 10-K for the fiscal year ended December 30, 2012, which we filed with the SEC on March 12, 2013. The risks and uncertainties described in “Item 1A - Risk Factors” of our Annual Report on Form 10-K have not materially changed. Any of the risks discussed in this Quarterly Report on Form 10-Q or any of the risks disclosed in Item 1A. to Part I of our Annual Report on Form 10-K for the fiscal year ended December 30, 2012, as well as additional risks and uncertainties not currently known to us or that we currently deem immaterial, could materially and adversely affect our results of operations or financial condition.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were no unregistered sales of the Company's equity securities during the six month period ended June 30, 2013 that were not previously disclosed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125" w:right="1440"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6"/>
              </w:rPr>
              <w:t>Stock Purchase Agreement, dated May 8, 2012,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Composite Engineering, Inc., and Amy Fournier,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stockholders representative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Agreement and Plan of Merger, dated May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Inc., Integral Systems, Inc., IRIS Merger Sub Inc.,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IRIS Acquisition Sub LLC.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Agreement and Plan of Merger, dated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Solutions, Inc., Lanza Acquisition, Co. and Herley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Industries, Inc. (incorporated by reference to Annex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to the Prospectus Supplement dated February 8,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0"/>
              </w:rPr>
              <w:t>pursuant to the Registration Statement on Form S-3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Amended and Restated Certificate of Incorporation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Ownership and Merger of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 into Wireless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Facilities,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Certificate of Amendment to Amended and Restated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Certificate of Incorporation of Kratos Defense &amp;</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Security Solutions, Inc.</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Series A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Certificate of Designations, Preferences and Rights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Series B Preferred Stock (included as Exhibit A to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Preferred Stock Purchase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May 16, 2002 among the Company, Meritech Capital</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II L.P., Meritech Capital Affiliates II L.P.,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MCB Entrepreneur Partners II L.P., Oak Investment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Partners X, Limited Partnership, Oak X Affiliates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Fund, Limited Partnership, Oak Investment Partners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IX, L.P, Oak Affiliates Fund, L.P, Oak IX Affiliates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Fund-A, L.P, and the KLS Trust dated July 14, 1999).</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Certificate of Designation of Series C Preferred Stock.</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Second Amended and Restated Bylaws of Kratos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Defense &amp; Security Solutions, Inc.</w:t>
            </w:r>
          </w:p>
        </w:tc>
        <w:tc>
          <w:tcPr>
            <w:tcW w:w="0" w:type="dxa"/>
            <w:vAlign w:val="bottom"/>
          </w:tcPr>
          <w:p>
            <w:pPr>
              <w:spacing w:after="0"/>
              <w:rPr>
                <w:sz w:val="1"/>
                <w:szCs w:val="1"/>
                <w:color w:val="auto"/>
              </w:rPr>
            </w:pPr>
          </w:p>
        </w:tc>
      </w:tr>
      <w:tr>
        <w:trPr>
          <w:trHeight w:val="270"/>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3"/>
                <w:szCs w:val="23"/>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Specimen Stock Certificate.</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Rights Agreement, dated as of December 16, 2004,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between Kratos Defense &amp; Security Solutions,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Wells Fargo, N.A.</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Amendment No. 1 to Rights Agreement, dated as of</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May 14, 2012, between Kratos Defense &amp; Security</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and Wells Fargo,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05/08/2012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05/18/2011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8"/>
        </w:trPr>
        <w:tc>
          <w:tcPr>
            <w:tcW w:w="138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02/08/2011</w:t>
            </w:r>
          </w:p>
        </w:tc>
        <w:tc>
          <w:tcPr>
            <w:tcW w:w="100" w:type="dxa"/>
            <w:vAlign w:val="bottom"/>
          </w:tcPr>
          <w:p>
            <w:pPr>
              <w:spacing w:after="0"/>
              <w:rPr>
                <w:sz w:val="24"/>
                <w:szCs w:val="2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09/30/2001</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09/14/2007</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09/27/2009</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02"/>
        </w:trPr>
        <w:tc>
          <w:tcPr>
            <w:tcW w:w="880" w:type="dxa"/>
            <w:vAlign w:val="bottom"/>
          </w:tcPr>
          <w:p>
            <w:pPr>
              <w:jc w:val="center"/>
              <w:ind w:right="310"/>
              <w:spacing w:after="0"/>
              <w:rPr>
                <w:sz w:val="20"/>
                <w:szCs w:val="20"/>
                <w:color w:val="auto"/>
              </w:rPr>
            </w:pPr>
            <w:r>
              <w:rPr>
                <w:rFonts w:ascii="Arial" w:cs="Arial" w:eastAsia="Arial" w:hAnsi="Arial"/>
                <w:sz w:val="18"/>
                <w:szCs w:val="18"/>
                <w:color w:val="auto"/>
                <w:w w:val="89"/>
              </w:rPr>
              <w:t>10-Q</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09/30/2001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880" w:type="dxa"/>
            <w:vAlign w:val="bottom"/>
          </w:tcPr>
          <w:p>
            <w:pPr>
              <w:jc w:val="center"/>
              <w:ind w:right="330"/>
              <w:spacing w:after="0"/>
              <w:rPr>
                <w:sz w:val="20"/>
                <w:szCs w:val="20"/>
                <w:color w:val="auto"/>
              </w:rPr>
            </w:pPr>
            <w:r>
              <w:rPr>
                <w:rFonts w:ascii="Arial" w:cs="Arial" w:eastAsia="Arial" w:hAnsi="Arial"/>
                <w:sz w:val="18"/>
                <w:szCs w:val="18"/>
                <w:color w:val="auto"/>
              </w:rPr>
              <w:t>8-K/A</w:t>
            </w:r>
          </w:p>
        </w:tc>
        <w:tc>
          <w:tcPr>
            <w:tcW w:w="1720" w:type="dxa"/>
            <w:vAlign w:val="bottom"/>
          </w:tcPr>
          <w:p>
            <w:pPr>
              <w:jc w:val="right"/>
              <w:ind w:right="390"/>
              <w:spacing w:after="0"/>
              <w:rPr>
                <w:sz w:val="20"/>
                <w:szCs w:val="20"/>
                <w:color w:val="auto"/>
              </w:rPr>
            </w:pPr>
            <w:r>
              <w:rPr>
                <w:rFonts w:ascii="Arial" w:cs="Arial" w:eastAsia="Arial" w:hAnsi="Arial"/>
                <w:sz w:val="18"/>
                <w:szCs w:val="18"/>
                <w:color w:val="auto"/>
              </w:rPr>
              <w:t>06/05/2002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03/15/2011</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4"/>
              </w:rPr>
              <w:t>10-K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12/26/2010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12/17/2004</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702"/>
        </w:trPr>
        <w:tc>
          <w:tcPr>
            <w:tcW w:w="800" w:type="dxa"/>
            <w:vAlign w:val="bottom"/>
          </w:tcPr>
          <w:p>
            <w:pPr>
              <w:jc w:val="center"/>
              <w:ind w:right="350"/>
              <w:spacing w:after="0"/>
              <w:rPr>
                <w:sz w:val="20"/>
                <w:szCs w:val="20"/>
                <w:color w:val="auto"/>
              </w:rPr>
            </w:pPr>
            <w:r>
              <w:rPr>
                <w:rFonts w:ascii="Arial" w:cs="Arial" w:eastAsia="Arial" w:hAnsi="Arial"/>
                <w:sz w:val="18"/>
                <w:szCs w:val="18"/>
                <w:color w:val="auto"/>
                <w:w w:val="99"/>
              </w:rPr>
              <w:t>8-K</w:t>
            </w:r>
          </w:p>
        </w:tc>
        <w:tc>
          <w:tcPr>
            <w:tcW w:w="1740" w:type="dxa"/>
            <w:vAlign w:val="bottom"/>
          </w:tcPr>
          <w:p>
            <w:pPr>
              <w:jc w:val="right"/>
              <w:ind w:right="390"/>
              <w:spacing w:after="0"/>
              <w:rPr>
                <w:sz w:val="20"/>
                <w:szCs w:val="20"/>
                <w:color w:val="auto"/>
              </w:rPr>
            </w:pPr>
            <w:r>
              <w:rPr>
                <w:rFonts w:ascii="Arial" w:cs="Arial" w:eastAsia="Arial" w:hAnsi="Arial"/>
                <w:sz w:val="18"/>
                <w:szCs w:val="18"/>
                <w:color w:val="auto"/>
              </w:rPr>
              <w:t>05/15/2012</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ectPr>
          <w:pgSz w:w="11900" w:h="16838" w:orient="portrait"/>
          <w:cols w:equalWidth="0" w:num="2">
            <w:col w:w="5500" w:space="120"/>
            <w:col w:w="5800"/>
          </w:cols>
          <w:pgMar w:left="240" w:top="125" w:right="2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Indenture, dated as of May 19, 2010,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Guarantors set forth therein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Form of 10% Senior Secured Notes due 2017 as an</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exhibit thereto).</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First Supplemental Indenture, dated as of February 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listed on Exhibit 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thereto and Wilmington Trust FSB, to the Indenture,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dated as of May 19, 2010 (as amended 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supplemented),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party thereto and</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Supplemental Indenture, dated April 1, 2011,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Wilmington Trust FSB, as trustee, to the Indenture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89"/>
              </w:rPr>
              <w:t>amended or supplemented), dated as of May 19, 2010,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among Kratos Defense &amp; Security Solutions, Inc., the</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guarantors party thereto and Wilmington Trust FSB,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trustee 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Third Supplemental Indenture, dated April 15,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Solutions, Inc., the guaranteeing subsidiaries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9"/>
              </w:rPr>
              <w:t>therein and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Sixth Supplemental Indenture, dated July 27,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 guaranteeing subsidiaries named therein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Wilmington Trust, National Association (as successor</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merger to Wilmington Trust FSB), as trustee and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2"/>
              </w:rPr>
              <w:t>collateral agent, to the Indenture,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2010 (as amended or supplemented), among Kratos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Defense &amp; Security Solutions, Inc., the guarantors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7"/>
              </w:rPr>
              <w:t>party thereto and Wilmington Trust FSB, as trustee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collateral agent.</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connection with the 2010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in connection with the August 2011 exchange offer).</w:t>
            </w:r>
          </w:p>
        </w:tc>
        <w:tc>
          <w:tcPr>
            <w:tcW w:w="0" w:type="dxa"/>
            <w:vAlign w:val="bottom"/>
          </w:tcPr>
          <w:p>
            <w:pPr>
              <w:spacing w:after="0"/>
              <w:rPr>
                <w:sz w:val="1"/>
                <w:szCs w:val="1"/>
                <w:color w:val="auto"/>
              </w:rPr>
            </w:pP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4.11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Form of 10% Senior Secured Note due 2017 (issuable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in connection with the October 2011 exchange offer).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right"/>
              <w:ind w:right="47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60"/>
        <w:spacing w:after="0"/>
        <w:tabs>
          <w:tab w:leader="none" w:pos="1740" w:val="left"/>
          <w:tab w:leader="none" w:pos="34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02/07/2011</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04/07/2011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04/20/2011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1740" w:val="left"/>
          <w:tab w:leader="none" w:pos="3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07/29/2011</w:t>
      </w:r>
      <w:r>
        <w:rPr>
          <w:sz w:val="20"/>
          <w:szCs w:val="20"/>
          <w:color w:val="auto"/>
        </w:rPr>
        <w:tab/>
      </w:r>
      <w:r>
        <w:rPr>
          <w:rFonts w:ascii="Arial" w:cs="Arial" w:eastAsia="Arial" w:hAnsi="Arial"/>
          <w:sz w:val="15"/>
          <w:szCs w:val="15"/>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06/28/2010</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06/07/2011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86"/>
        </w:trPr>
        <w:tc>
          <w:tcPr>
            <w:tcW w:w="720" w:type="dxa"/>
            <w:vAlign w:val="bottom"/>
          </w:tcPr>
          <w:p>
            <w:pPr>
              <w:spacing w:after="0"/>
              <w:rPr>
                <w:sz w:val="20"/>
                <w:szCs w:val="20"/>
                <w:color w:val="auto"/>
              </w:rPr>
            </w:pPr>
            <w:r>
              <w:rPr>
                <w:rFonts w:ascii="Arial" w:cs="Arial" w:eastAsia="Arial" w:hAnsi="Arial"/>
                <w:sz w:val="18"/>
                <w:szCs w:val="18"/>
                <w:color w:val="auto"/>
              </w:rPr>
              <w:t>S-4</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10/25/2011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416"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80" w:type="dxa"/>
            <w:vAlign w:val="bottom"/>
            <w:tcBorders>
              <w:top w:val="single" w:sz="8" w:color="auto"/>
            </w:tcBorders>
          </w:tcPr>
          <w:p>
            <w:pPr>
              <w:jc w:val="right"/>
              <w:ind w:right="43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Registration Rights Agreement, dated as of May 19,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2010,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Solutions, Inc., the Guarantors set forth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Jefferies &amp; Company, Inc., B. Riley &amp; Co., LLC,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Imperial Capital, LLC, Keybanc Capital Markets Inc.</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and Noble International Investments, Inc.</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Indenture, dated March 25, 2011, by and among</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Acquisition Co. Lanza Parent, the Guarantors named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therein and a party thereto, and Wilmington Trust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FSB, as Trustee and Collateral Agent (including the</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Form of 10% Senior Secured Notes).</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First Supplemental Indenture, date April 4, 2011, by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1"/>
              </w:rPr>
              <w:t>and among Kratos Defense &amp; Security Solutions, Inc.,</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Herley Industries, Inc. and Wilmington Trust FSB,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Trustee and Collateral Agent, to the Indenture, dated</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as of March 25, 2011, among Kratos Defense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6"/>
              </w:rPr>
              <w:t>Security Solutions, Inc., the Guarantor party thereto</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and Wilmington Trust FSB, as Trustee and Collateral</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Agent.</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Registration Rights Agreement, dated March 25,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2011, by and among Kratos Defense &amp; Security</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Solutions, Inc., Acquisition Co. Lanza Parent, Lanza</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Acquisition Co., the Guarantors named therein,</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Jefferies &amp; Company, Inc., KeyBanc Capital Markets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and Oppenheimer &amp; Co. Inc.</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4"/>
              </w:rPr>
              <w:t>Registration Rights Agreement, dated July 27, 2011,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by and among Kratos Defense &amp; Security Solutions,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Inc., the guarantors named therein, Jefferies &amp;</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3"/>
              </w:rPr>
              <w:t>Company, Inc., KeyBanc Capital Markets Inc. and B.</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Riley &amp; Co., LLC.</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Certification of Chief Executive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Section 302 of the Sarbanes Oxley Act of 2002.</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Certification pursuant to 18 U.S.C. Section 1350,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adopted pursuant to Section 906 of the Sarbanes-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Oxley Act of 2002 for Eric M. DeMarco.</w:t>
            </w:r>
          </w:p>
        </w:tc>
        <w:tc>
          <w:tcPr>
            <w:tcW w:w="0" w:type="dxa"/>
            <w:vAlign w:val="bottom"/>
          </w:tcPr>
          <w:p>
            <w:pPr>
              <w:spacing w:after="0"/>
              <w:rPr>
                <w:sz w:val="1"/>
                <w:szCs w:val="1"/>
                <w:color w:val="auto"/>
              </w:rPr>
            </w:pPr>
          </w:p>
        </w:tc>
      </w:tr>
      <w:tr>
        <w:trPr>
          <w:trHeight w:val="256"/>
        </w:trPr>
        <w:tc>
          <w:tcPr>
            <w:tcW w:w="1380" w:type="dxa"/>
            <w:vAlign w:val="bottom"/>
          </w:tcPr>
          <w:p>
            <w:pPr>
              <w:jc w:val="right"/>
              <w:ind w:right="43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5"/>
              </w:rPr>
              <w:t>Certification pursuant to 18 U.S.C. Section 1350, as</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w w:val="98"/>
              </w:rPr>
              <w:t>adopted pursuant to Section 906 of the Sarbanes-</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Oxley Act of 2002 for Deanna Lund.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05/25/2010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04/04/2011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3"/>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03/29/2011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1"/>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07/29/2011</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655" w:lineRule="exact"/>
        <w:rPr>
          <w:sz w:val="20"/>
          <w:szCs w:val="20"/>
          <w:color w:val="auto"/>
        </w:rPr>
      </w:pPr>
    </w:p>
    <w:p>
      <w:pPr>
        <w:sectPr>
          <w:pgSz w:w="11900" w:h="16838" w:orient="portrait"/>
          <w:cols w:equalWidth="0" w:num="2">
            <w:col w:w="5500" w:space="120"/>
            <w:col w:w="580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500" w:type="dxa"/>
            <w:vAlign w:val="bottom"/>
            <w:gridSpan w:val="2"/>
            <w:vMerge w:val="continue"/>
          </w:tcPr>
          <w:p>
            <w:pPr>
              <w:spacing w:after="0"/>
              <w:rPr>
                <w:sz w:val="12"/>
                <w:szCs w:val="12"/>
                <w:color w:val="auto"/>
              </w:rPr>
            </w:pPr>
          </w:p>
        </w:tc>
        <w:tc>
          <w:tcPr>
            <w:tcW w:w="40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ind w:left="520"/>
              <w:spacing w:after="0"/>
              <w:rPr>
                <w:sz w:val="20"/>
                <w:szCs w:val="20"/>
                <w:color w:val="auto"/>
              </w:rPr>
            </w:pPr>
            <w:r>
              <w:rPr>
                <w:rFonts w:ascii="Arial" w:cs="Arial" w:eastAsia="Arial" w:hAnsi="Arial"/>
                <w:sz w:val="18"/>
                <w:szCs w:val="18"/>
                <w:color w:val="auto"/>
              </w:rPr>
              <w:t>101†</w:t>
            </w: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Form 10-Q of Kratos Defense &amp; Security</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Solutions, Inc. for the quarter ended June 30, 2013,</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8"/>
              </w:rPr>
              <w:t>formatted in XBRL: (i) the Condensed Consolidated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rPr>
              <w:t>Balance Sheets, (ii) the Condensed Consolidated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gridSpan w:val="2"/>
          </w:tcPr>
          <w:p>
            <w:pPr>
              <w:ind w:left="40"/>
              <w:spacing w:after="0"/>
              <w:rPr>
                <w:sz w:val="20"/>
                <w:szCs w:val="20"/>
                <w:color w:val="auto"/>
              </w:rPr>
            </w:pPr>
            <w:r>
              <w:rPr>
                <w:rFonts w:ascii="Arial" w:cs="Arial" w:eastAsia="Arial" w:hAnsi="Arial"/>
                <w:sz w:val="18"/>
                <w:szCs w:val="18"/>
                <w:color w:val="auto"/>
                <w:w w:val="92"/>
              </w:rPr>
              <w:t>Statements of Operations and Comprehensive Income,</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540" w:right="6080" w:hanging="6"/>
        <w:spacing w:after="0" w:line="255" w:lineRule="auto"/>
        <w:tabs>
          <w:tab w:leader="none" w:pos="18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(iv) the Notes to the Condensed Consolidated Financial Statements.</w:t>
      </w:r>
    </w:p>
    <w:p>
      <w:pPr>
        <w:spacing w:after="0" w:line="200" w:lineRule="exact"/>
        <w:rPr>
          <w:rFonts w:ascii="Arial" w:cs="Arial" w:eastAsia="Arial" w:hAnsi="Arial"/>
          <w:sz w:val="18"/>
          <w:szCs w:val="18"/>
          <w:color w:val="auto"/>
        </w:rPr>
      </w:pPr>
    </w:p>
    <w:p>
      <w:pPr>
        <w:spacing w:after="0" w:line="395" w:lineRule="exact"/>
        <w:rPr>
          <w:rFonts w:ascii="Arial" w:cs="Arial" w:eastAsia="Arial" w:hAnsi="Arial"/>
          <w:sz w:val="18"/>
          <w:szCs w:val="18"/>
          <w:color w:val="auto"/>
        </w:rPr>
      </w:pPr>
    </w:p>
    <w:p>
      <w:pPr>
        <w:ind w:right="540" w:firstLine="8"/>
        <w:spacing w:after="0" w:line="308" w:lineRule="auto"/>
        <w:tabs>
          <w:tab w:leader="none" w:pos="27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73" w:lineRule="exact"/>
        <w:rPr>
          <w:sz w:val="20"/>
          <w:szCs w:val="20"/>
          <w:color w:val="auto"/>
        </w:rPr>
      </w:pPr>
    </w:p>
    <w:p>
      <w:pPr>
        <w:ind w:right="280" w:firstLine="8"/>
        <w:spacing w:after="0" w:line="264" w:lineRule="auto"/>
        <w:tabs>
          <w:tab w:leader="none" w:pos="2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Officer and Acting Principal Accounting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DEBORAH BUTERA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Deborah Butera</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General Counsel, Chief Compliance Officer and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89"/>
              </w:rPr>
              <w:t>Secretary/Registered In-House Counsel</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August 8, 2013</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50</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2013</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8"/>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2013</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8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30, 2013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June 30, 2013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2"/>
    </w:lvl>
  </w:abstractNum>
  <w:abstractNum w:abstractNumId="3">
    <w:nsid w:val="66EF438D"/>
    <w:multiLevelType w:val="hybridMultilevel"/>
    <w:lvl w:ilvl="0">
      <w:lvlJc w:val="left"/>
      <w:lvlText w:val="(%1)"/>
      <w:numFmt w:val="lowerLetter"/>
      <w:start w:val="3"/>
    </w:lvl>
  </w:abstractNum>
  <w:abstractNum w:abstractNumId="4">
    <w:nsid w:val="140E0F76"/>
    <w:multiLevelType w:val="hybridMultilevel"/>
    <w:lvl w:ilvl="0">
      <w:lvlJc w:val="left"/>
      <w:lvlText w:val="(%1)"/>
      <w:numFmt w:val="lowerLetter"/>
      <w:start w:val="6"/>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2"/>
    </w:lvl>
  </w:abstractNum>
  <w:abstractNum w:abstractNumId="10">
    <w:nsid w:val="41A7C4C9"/>
    <w:multiLevelType w:val="hybridMultilevel"/>
    <w:lvl w:ilvl="0">
      <w:lvlJc w:val="left"/>
      <w:lvlText w:val="(%1)"/>
      <w:numFmt w:val="lowerRoman"/>
      <w:start w:val="2"/>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2"/>
    </w:lvl>
  </w:abstractNum>
  <w:abstractNum w:abstractNumId="13">
    <w:nsid w:val="25E45D32"/>
    <w:multiLevelType w:val="hybridMultilevel"/>
    <w:lvl w:ilvl="0">
      <w:lvlJc w:val="left"/>
      <w:lvlText w:val="(%1)"/>
      <w:numFmt w:val="lowerRoman"/>
      <w:start w:val="2"/>
    </w:lvl>
  </w:abstractNum>
  <w:abstractNum w:abstractNumId="14">
    <w:nsid w:val="519B500D"/>
    <w:multiLevelType w:val="hybridMultilevel"/>
    <w:lvl w:ilvl="0">
      <w:lvlJc w:val="left"/>
      <w:lvlText w:val="#"/>
      <w:numFmt w:val="bullet"/>
      <w:start w:val="1"/>
    </w:lvl>
    <w:lvl w:ilvl="1">
      <w:lvlJc w:val="left"/>
      <w:lvlText w:val="(%2)"/>
      <w:numFmt w:val="lowerRoman"/>
      <w:start w:val="3"/>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2019-12-06T20:54:53Z</dcterms:created>
  <dcterms:modified xsi:type="dcterms:W3CDTF">2019-12-06T20:54:53Z</dcterms:modified>
</cp:coreProperties>
</file>