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8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24, 2012</w:t>
      </w:r>
    </w:p>
    <w:p>
      <w:pPr>
        <w:spacing w:after="0" w:line="230" w:lineRule="exact"/>
        <w:rPr>
          <w:sz w:val="24"/>
          <w:szCs w:val="24"/>
          <w:color w:val="auto"/>
        </w:rPr>
      </w:pPr>
    </w:p>
    <w:p>
      <w:pPr>
        <w:ind w:right="320" w:firstLine="8"/>
        <w:spacing w:after="0" w:line="320" w:lineRule="auto"/>
        <w:tabs>
          <w:tab w:leader="none" w:pos="338"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59"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4820 Eastgate Mall, Suite 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27, 2012, 56,528,337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24,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FF"/>
            </w:tcBorders>
            <w:gridSpan w:val="6"/>
          </w:tcPr>
          <w:p>
            <w:pPr>
              <w:jc w:val="center"/>
              <w:ind w:right="20"/>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at December 25, 2011 and June 24, 2012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and Comprehensive Income for the Three and Six Months Ended June 26, 2011 and</w:t>
              </w:r>
            </w:hyperlink>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June 24, 2012 (unaudited)</w:t>
              </w:r>
            </w:hyperlink>
          </w:p>
        </w:tc>
        <w:tc>
          <w:tcPr>
            <w:tcW w:w="8020" w:type="dxa"/>
            <w:vAlign w:val="bottom"/>
            <w:gridSpan w:val="12"/>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Cash Flows for the Six Months Ended June 24, 2012 and June 26, 2011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80" w:type="dxa"/>
            <w:vAlign w:val="bottom"/>
            <w:tcBorders>
              <w:top w:val="single" w:sz="8" w:color="0000FF"/>
            </w:tcBorders>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 (unaudited)</w:t>
              </w:r>
            </w:hyperlink>
          </w:p>
        </w:tc>
        <w:tc>
          <w:tcPr>
            <w:tcW w:w="102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990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990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w:t>
              </w:r>
            </w:hyperlink>
          </w:p>
        </w:tc>
        <w:tc>
          <w:tcPr>
            <w:tcW w:w="990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52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990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9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9900" w:type="dxa"/>
            <w:vAlign w:val="bottom"/>
            <w:gridSpan w:val="18"/>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5.</w:t>
              </w:r>
            </w:hyperlink>
          </w:p>
        </w:tc>
        <w:tc>
          <w:tcPr>
            <w:tcW w:w="9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w:t>
              </w:r>
            </w:hyperlink>
          </w:p>
        </w:tc>
        <w:tc>
          <w:tcPr>
            <w:tcW w:w="9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25,</w:t>
            </w:r>
          </w:p>
        </w:tc>
        <w:tc>
          <w:tcPr>
            <w:tcW w:w="320" w:type="dxa"/>
            <w:vAlign w:val="bottom"/>
          </w:tcPr>
          <w:p>
            <w:pPr>
              <w:spacing w:after="0"/>
              <w:rPr>
                <w:sz w:val="24"/>
                <w:szCs w:val="24"/>
                <w:color w:val="auto"/>
              </w:rPr>
            </w:pPr>
          </w:p>
        </w:tc>
        <w:tc>
          <w:tcPr>
            <w:tcW w:w="1280" w:type="dxa"/>
            <w:vAlign w:val="bottom"/>
          </w:tcPr>
          <w:p>
            <w:pPr>
              <w:jc w:val="right"/>
              <w:ind w:right="471"/>
              <w:spacing w:after="0"/>
              <w:rPr>
                <w:sz w:val="20"/>
                <w:szCs w:val="20"/>
                <w:color w:val="auto"/>
              </w:rPr>
            </w:pPr>
            <w:r>
              <w:rPr>
                <w:rFonts w:ascii="Arial" w:cs="Arial" w:eastAsia="Arial" w:hAnsi="Arial"/>
                <w:sz w:val="14"/>
                <w:szCs w:val="14"/>
                <w:b w:val="1"/>
                <w:bCs w:val="1"/>
                <w:color w:val="auto"/>
              </w:rPr>
              <w:t>June 24,</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Inventoried costs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72.4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107.2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1,299.3</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principal, net of current portion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630.2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premium</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33.9</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1"/>
              </w:rPr>
              <w:t>Preferred stock, 5,000,000 shares authorized, $0.001 par value, 0 shares outstanding at December 25, 2011</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and June 24, 2012</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$0.001 par value, 195,000,000 shares authorized; 32,421,135 and 52,518,189 shares issued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at December 25, 2011 and June 24, 2012,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819.9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(428.0)</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1,216.2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1,299.3</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260" w:right="1560"/>
        <w:spacing w:after="0" w:line="255" w:lineRule="auto"/>
        <w:rPr>
          <w:sz w:val="20"/>
          <w:szCs w:val="20"/>
          <w:color w:val="auto"/>
        </w:rPr>
      </w:pPr>
      <w:r>
        <w:rPr>
          <w:rFonts w:ascii="Arial" w:cs="Arial" w:eastAsia="Arial" w:hAnsi="Arial"/>
          <w:sz w:val="18"/>
          <w:szCs w:val="18"/>
          <w:b w:val="1"/>
          <w:bCs w:val="1"/>
          <w:color w:val="auto"/>
        </w:rPr>
        <w:t>KRATOS DEFENSE &amp; SECURITY SOLUTIONS, INC. CONDENSED CONSOLIDATED STATEMENTS OF OPERATIONS AND COMPREHENSIVE INCOME (in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26,</w:t>
            </w:r>
          </w:p>
        </w:tc>
        <w:tc>
          <w:tcPr>
            <w:tcW w:w="30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24,</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26,</w:t>
            </w:r>
          </w:p>
        </w:tc>
        <w:tc>
          <w:tcPr>
            <w:tcW w:w="300" w:type="dxa"/>
            <w:vAlign w:val="bottom"/>
          </w:tcPr>
          <w:p>
            <w:pPr>
              <w:spacing w:after="0"/>
              <w:rPr>
                <w:sz w:val="13"/>
                <w:szCs w:val="13"/>
                <w:color w:val="auto"/>
              </w:rPr>
            </w:pPr>
          </w:p>
        </w:tc>
        <w:tc>
          <w:tcPr>
            <w:tcW w:w="1180" w:type="dxa"/>
            <w:vAlign w:val="bottom"/>
          </w:tcPr>
          <w:p>
            <w:pPr>
              <w:jc w:val="right"/>
              <w:ind w:right="411"/>
              <w:spacing w:after="0" w:line="153" w:lineRule="exact"/>
              <w:rPr>
                <w:sz w:val="20"/>
                <w:szCs w:val="20"/>
                <w:color w:val="auto"/>
              </w:rPr>
            </w:pPr>
            <w:r>
              <w:rPr>
                <w:rFonts w:ascii="Arial" w:cs="Arial" w:eastAsia="Arial" w:hAnsi="Arial"/>
                <w:sz w:val="14"/>
                <w:szCs w:val="14"/>
                <w:b w:val="1"/>
                <w:bCs w:val="1"/>
                <w:color w:val="auto"/>
              </w:rPr>
              <w:t>June 24,</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Cost of service revenues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costs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acquisition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office space expense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(benefit) for income taxes from continuing operations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 from discontinued operations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from above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Six Months Ended</w:t>
            </w:r>
          </w:p>
        </w:tc>
      </w:tr>
      <w:tr>
        <w:trPr>
          <w:trHeight w:val="249"/>
        </w:trPr>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26,</w:t>
            </w:r>
          </w:p>
        </w:tc>
        <w:tc>
          <w:tcPr>
            <w:tcW w:w="180" w:type="dxa"/>
            <w:vAlign w:val="bottom"/>
          </w:tcPr>
          <w:p>
            <w:pPr>
              <w:spacing w:after="0"/>
              <w:rPr>
                <w:sz w:val="21"/>
                <w:szCs w:val="21"/>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June 24,</w:t>
            </w:r>
          </w:p>
        </w:tc>
      </w:t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Adjustments to reconcile loss from continuing operations to net cash provided by (used in) operating activities</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from continuing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 to market on swaps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on Senior 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766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766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766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766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r>
      <w:tr>
        <w:trPr>
          <w:trHeight w:val="47"/>
        </w:trPr>
        <w:tc>
          <w:tcPr>
            <w:tcW w:w="7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the issuance of long-term debt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2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92.7</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20955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wholly owned subsidiaries.</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information as of June 24, 2012 and for the three and six months ended June 26, 2011 and June 24, 2012 is unaudited. The condensed consolidated balance sheet as of December 25, 2011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25, 2011, included in the Company’s Annual Report on Form 10-K filed with the U.S. Securities and Exchange Commission ("SEC") on March 7, 2012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Company has a 52/53 week fiscal year ending on the last Sunday of the calendar year, with interim fiscal periods ending on the last Sunday of the last month of each calendar quarter. The six months ended June 26, 2011 and June 24, 2012 consisted of 26 week periods. There were 52 calendar weeks in the fiscal year ended on December 25, 2011 and there are 53 calendar weeks in the fiscal year ending December 30, 2012.</w:t>
      </w:r>
    </w:p>
    <w:p>
      <w:pPr>
        <w:spacing w:after="0" w:line="14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Accounting Standards Updates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There have been no changes in the Company's significant accounting policies for the six months ended June 24, 2012 as compared to the significant accounting policies described in the Form 10-K. In addition, there were no new accounting standards updates issued by the Financial Accounting Standards Board during the six months ended June 24, 2012.</w:t>
      </w:r>
    </w:p>
    <w:p>
      <w:pPr>
        <w:spacing w:after="0" w:line="17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outstanding 10% Senior Secured Notes due 2017 ("the Notes") with an aggregate principal amount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of $625.0 million outstanding as of June 24, 2012. The Notes are due on June 1, 2017 and the Company pays interest at the rate of 10% per annum semi-annually, in arrears, on June 1 and December 1 of each year. In addition, the Company has $85.0 million available under its existing revolving credit agreement. See Note 9 for a complete description of the Company’s debt.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the Company's control. If the conditions in its industry deteriorate, its customers cancel or postpone projects or if the Company is unable to sufficiently increase its revenues or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ind w:left="580" w:right="8480" w:hanging="572"/>
        <w:spacing w:after="0" w:line="533" w:lineRule="auto"/>
        <w:tabs>
          <w:tab w:leader="none" w:pos="403"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Recent Acquisitions </w:t>
      </w:r>
      <w:r>
        <w:rPr>
          <w:rFonts w:ascii="Arial" w:cs="Arial" w:eastAsia="Arial" w:hAnsi="Arial"/>
          <w:sz w:val="17"/>
          <w:szCs w:val="17"/>
          <w:i w:val="1"/>
          <w:iCs w:val="1"/>
          <w:color w:val="auto"/>
        </w:rPr>
        <w:t>Asset Purchase</w:t>
      </w:r>
    </w:p>
    <w:p>
      <w:pPr>
        <w:ind w:right="80" w:firstLine="648"/>
        <w:spacing w:after="0" w:line="290" w:lineRule="auto"/>
        <w:rPr>
          <w:sz w:val="20"/>
          <w:szCs w:val="20"/>
          <w:color w:val="auto"/>
        </w:rPr>
      </w:pPr>
      <w:r>
        <w:rPr>
          <w:rFonts w:ascii="Arial" w:cs="Arial" w:eastAsia="Arial" w:hAnsi="Arial"/>
          <w:sz w:val="16"/>
          <w:szCs w:val="16"/>
          <w:color w:val="auto"/>
        </w:rPr>
        <w:t>On December 30, 2011, the Company acquired selected assets of a critical infrastructure security and public safety system integration business (the “Critical Infrastructure Business”) for approximately $20.0 million. The asset purchase agreement provides that the purchase price will be (i) increased on a dollar-for-dollar basis if the working capital on the closing date (as defined in the asset purchase agreement) exceeds $17.0 million or (ii) decreased on a dollar-for-dollar basis if the working capital is less than $17.0 million. In accordance with the terms of the asset purchase agreement, the Company submitted its computation of the closing working capital to the Seller on April 27, 2012, which reflected a deficiency to the minimum required working capital. The Seller had 60 days to object to the Company's computation of the closing working capital. Recently, both parties have mutually agreed to extend the time to discuss the Company's closing working capital computations and the Seller's objections to August 30, 2012. As the Seller and the Company have not yet agreed on the working capital adjustment, the Company has not reflected an adjustment to the purchase price.</w:t>
      </w:r>
    </w:p>
    <w:p>
      <w:pPr>
        <w:spacing w:after="0" w:line="16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Public Safety &amp; Security (“PSS”) segment.</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estimated fair values of major assets acquired and liabilities assumed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210185</wp:posOffset>
            </wp:positionV>
            <wp:extent cx="366204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Accounts receivable</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62045" cy="180340"/>
                    </a:xfrm>
                    <a:prstGeom prst="rect">
                      <a:avLst/>
                    </a:prstGeom>
                    <a:noFill/>
                  </pic:spPr>
                </pic:pic>
              </a:graphicData>
            </a:graphic>
          </wp:anchor>
        </w:drawing>
      </w:r>
    </w:p>
    <w:p>
      <w:pPr>
        <w:spacing w:after="0" w:line="5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62045" cy="188595"/>
                    </a:xfrm>
                    <a:prstGeom prst="rect">
                      <a:avLst/>
                    </a:prstGeom>
                    <a:noFill/>
                  </pic:spPr>
                </pic:pic>
              </a:graphicData>
            </a:graphic>
          </wp:anchor>
        </w:drawing>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960" w:hanging="96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23.4</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29.7</w:t>
      </w:r>
    </w:p>
    <w:p>
      <w:pPr>
        <w:spacing w:after="0" w:line="63"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ind w:left="960" w:hanging="96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892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180"/>
          </w:cols>
          <w:pgMar w:left="240" w:top="125" w:right="259" w:bottom="1440"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amounts of revenue and operating income (loss) of the Critical Infrastructure Business included in the Company's Condensed Consolidated Statement of Operations and Comprehensive Income for the three and six months ended June 24, 2012 are $16.6 million and $30.4 million, and $0.1 million and $(0.5)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SecureInfo Corporation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November 15, 2011, the Company acquired SecureInfo Corporation (“SecureInfo”) for $20.3 million in cash, which includes a $1.5 million earn-out that was paid in March 2012. Upon completion of the SecureInfo transaction, the Company deposited $1.8 million of the purchase price (“the holdback”) into an escrow account as security for SecureInfo's indemnification obligations as set forth in the SecureInfo purchase agreement. In addition, the SecureInfo purchase agreement provided that the purchase price would be (i) increased on a dollar for dollar basis if the working capital on the closing date (as defined in the SecureInfo purchase agreement) exceeded $2.2 million or (ii) decreased on a dollar for dollar basis if the working capital was less than $2.2 million. The SecureInfo working capital was $2.1 million and the Company and SecureInfo agreed to a working capital adjustment of $0.1 million.</w:t>
      </w:r>
    </w:p>
    <w:p>
      <w:pPr>
        <w:spacing w:after="0" w:line="16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Based in northern Virginia, SecureInfo is a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Department of Defense, the Department of Homeland Security (“DHS”) and large commercial customers, including market leading cloud computing service providers. SecureInfo is part of the Kratos Government Solutions ("KGS") segment.</w:t>
      </w:r>
    </w:p>
    <w:p>
      <w:pPr>
        <w:spacing w:after="0" w:line="178" w:lineRule="exact"/>
        <w:rPr>
          <w:sz w:val="20"/>
          <w:szCs w:val="20"/>
          <w:color w:val="auto"/>
        </w:rPr>
      </w:pPr>
    </w:p>
    <w:p>
      <w:pPr>
        <w:jc w:val="both"/>
        <w:ind w:right="760" w:firstLine="648"/>
        <w:spacing w:after="0" w:line="31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SecureInfo's nationally recognized expertise in operational cybersecurity, cybersecurity risk management as well as cybersecurity training programs.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SecureInfo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436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November 15, 2011, the expected fair value of accounts receivable approximated historical cost. The gross accounts receivable was $2.9 million, of which $0.0 million is not expected to be collectible.</w:t>
      </w:r>
    </w:p>
    <w:p>
      <w:pPr>
        <w:spacing w:after="0" w:line="17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amounts of revenue and operating income of SecureInfo included in the Company's Condensed Consolidated Statement of Operations and Comprehensive Income for the three and six months ended June 24, 2012 are $4.0 million and $7.7 million, and $0.1 million and $0.3 million, respectively.</w:t>
      </w:r>
    </w:p>
    <w:p>
      <w:pPr>
        <w:ind w:left="660"/>
        <w:spacing w:after="0"/>
        <w:rPr>
          <w:sz w:val="20"/>
          <w:szCs w:val="20"/>
          <w:color w:val="auto"/>
        </w:rPr>
      </w:pPr>
      <w:r>
        <w:rPr>
          <w:rFonts w:ascii="Arial" w:cs="Arial" w:eastAsia="Arial" w:hAnsi="Arial"/>
          <w:sz w:val="18"/>
          <w:szCs w:val="18"/>
          <w:i w:val="1"/>
          <w:iCs w:val="1"/>
          <w:color w:val="auto"/>
        </w:rPr>
        <w:t>Integral Systems,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27, 2011, the Company acquired Integral Systems, Inc. (“Integral”), in a cash and stock transaction valued at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$241.1 million. Upon completion of the acquisition, the Company paid an aggregate of $131.4 million in cash, issued approximately 10.4 million shares of the Company's common stock valued at $108.7 million and issued replacement stock options with a fair value of $1.0 million.</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fund the cash portion of the acquisition, on July 27, 2011, the Company issued $115.0 million aggregate principal amount of 10% Senior Secured Notes due 2017 (the “Notes”). The Notes were issued at a premium of 105% for an effective interest rate of approximately 8.9%. The gross proceeds of approximately $120.8 million, which includes an approximate $5.8 million issuance premium and excludes accrued interest received of $1.8 million, were used to finance, in part, the cash portion of the purchase price for the acquisition of Integral, to refinance existing indebtedness of Integral and its subsidiaries, to pay certain severance payments in connection with the acquisition and to pay related fees and expenses. See Note 9 for a complete description of the Company's debt.</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consideration for the acquisition of Integral, each Integral stockholder received (i) $5.00 in cash, without interest, and (ii) 0.588 shares of the Company's common stock for each share of Integral common stock. In addition, upon completion of the acquisition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applicable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applicable to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or RF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KGS segment.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as well as advanced technologies for Unmanned Aerial Vehicles, situational awareness, remote management and numerous established electronic attack and electronic warfare platforms, tactical missile systems, and strategic deterrence systems. The Integral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99"/>
        </w:trPr>
        <w:tc>
          <w:tcPr>
            <w:tcW w:w="128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188.1</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1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1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As of July 27, 2011, the expected fair value of accounts receivable approximated the historical cost. The gross accounts receivable was $68.5 million, of which $0.1 million is not expected to be collectible. There were no contingent liabilities associated with the acquisition of Integral.</w:t>
      </w:r>
    </w:p>
    <w:p>
      <w:pPr>
        <w:spacing w:after="0" w:line="124"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amounts of revenue and operating income of Integral included in the Company’s Condensed Consolidated Statements of Operations and Comprehensive Income for the three and six months ended June 24, 2012 were $50.9 million and $94.9 million, and $0.4 million and $2.2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25, 2011, the Company acquired approximately 13.2 million shares of Herley Industries, Inc. ("Herley")common stock, representing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94% of the total outstanding shares of Herley common stock, in a tender offer to purchase all of the outstanding shares of Herley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The fair value of the non-controlling interest related to Herley as of March 25, 2011 was $16.9 million, which represents the market trading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$19.00 per share multiplied by the approximately 0.9 million shares that were not tendered as of March 25, 2011. On March 30, 2011, following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non-controlling interest in a subsequent offering period, Herley became a wholly owned subsidiary of the Company. The shares of Herley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were purchased at a price of $19.00 per share. Accordingly, the Company paid approximately $245.5 million in cash consideration as of March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and as of April 15, 2011 the Company had paid aggregate cash consideration of $270.7 million for the shares of Herley common stock and certain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the-money options, which were exercised upon the change in control. In addition, upon completion of the subsequent short-form merger, all unexercised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to purchase Herley common stock were assumed by the Company and converted into options to purchase Kratos common stock, entitling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thereof to receive 1.3495 shares of Kratos common stock for each share of Herley common stock underlying the options (“Herley Options”).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assumed each Herley Option in accordance with the terms (as in effect as of the date of the Herley Merger Agreement) of the applicable Herley equity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option agreement pursuant to which such Herley Option was granted. The Herley Options are exercisable for an aggregate of approximately 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of the Company’s common stock. All Herley Options were fully vested upon the change in control and the fair value of the Herley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assumed was $1.9 million. The total aggregate consideration for the purchase of Herley was $272.5 million. In addition, the Company assumed change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 obligations of $4.0 million related to the transaction and incurred combined transaction expenses of $11.1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Kratos sold approximately 4.9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$13.25 per share in an underwritten public offering. Kratos received gross proceeds of approximately $64.8 million and net proceeds of approximately $61.1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fees and other offering expenses. Kratos used the net proceeds from this offering to fund a portion of the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acquisition of Herley. To fund the remaining purchase price, Kratos issued $285.0 million in aggregate principal amount of Notes at a premium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 through its wholly owned subsidiary, Acquisition Co. Lanza Parent ("Lanza"), on March 25, 2011, in an unregistered offering pursuant to Rule 144A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 S under the Securities Act of 1933, as amended. On April 4, 2011, after the acquisition of Herley was complete, Lanza was merged with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Kratos and all assets and liabilities of Lanza became assets and liabilities of Kratos. See Note 9 for a complete description of the Company’s debt.</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08" w:right="3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 security applications. Herley is part of the KGS segment.</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fair values of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4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Debt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440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272.5</w:t>
            </w:r>
          </w:p>
        </w:tc>
      </w:tr>
      <w:tr>
        <w:trPr>
          <w:trHeight w:val="27"/>
        </w:trPr>
        <w:tc>
          <w:tcPr>
            <w:tcW w:w="44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March 25, 2011, the expected fair value of accounts receivable approximated the historical cost. The gross accounts receivable was $39.3 million, of which $0.2 million is not expected to be collectible. There were no contingent liabilities associated with the acquisition of Herley. The Company initially recorded $47.9 million of inventory and $30.4 million in property and equipment. The Company decreased the value of acquired inventory to $42.8 million and increased the value of acquired property and equipment to $34.2 million based on its updated valuations.</w:t>
      </w:r>
    </w:p>
    <w:p>
      <w:pPr>
        <w:spacing w:after="0" w:line="171"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The amounts of revenue and operating income of Herley included in the Company’s Condensed Consolidated Statements of Operations and Comprehensive Income for the three and six months ended June 24, 2012 are $48.6 million and $95.9 million, and $8.0 million and $14.2 million, respectively.</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accordance with Financial Accounting Standards Board ("FASB") Accounting Standards Codification ("ASC") </w:t>
      </w:r>
      <w:r>
        <w:rPr>
          <w:rFonts w:ascii="Arial" w:cs="Arial" w:eastAsia="Arial" w:hAnsi="Arial"/>
          <w:sz w:val="18"/>
          <w:szCs w:val="18"/>
          <w:i w:val="1"/>
          <w:iCs w:val="1"/>
          <w:color w:val="auto"/>
        </w:rPr>
        <w:t>Topic 805, Business Combinations</w:t>
      </w:r>
      <w:r>
        <w:rPr>
          <w:rFonts w:ascii="Arial" w:cs="Arial" w:eastAsia="Arial" w:hAnsi="Arial"/>
          <w:sz w:val="18"/>
          <w:szCs w:val="18"/>
          <w:color w:val="auto"/>
        </w:rPr>
        <w:t xml:space="preserve"> (“Topic 805”), the allocation of the purchase price for the Company’s acquisitions of SecureInfo and the Critical Infrastructure Business are subject to adjustment during the measurement period after the respective closing dates when additional information on asset and liability valuations become available. The above estimated fair values of assets acquired and liabilities assumed are provisional and are based on the information that was available as of the respective acquisition dates to estimate the fair value of assets acquired and liabilities assumed. Measurement period adjustments reflect new information obtained about facts and circumstances that existed as of the respective acquisition dates. The Company believes that such information provides a reasonable basis for estimating the fair values of assets acquired and liabilities assumed but the Company is waiting for additional information necessary to finalize those fair values. The Company has not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finalized its valuation of certain assets and liabilities recorded in connection with these transactions, including intangible assets, inventory, property and equipment and deferred taxes. Thus, the provisional measurements recorded are subject to change.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following tables summarize the supplemental Condensed Consolidated Statements of Operations and Comprehensive Income information on an unaudited pro forma basis as if the acquisitions of SecureInfo, Integral, Herley, and the Critical Infrastructure Business occurred on December 27, 2010, and include adjustments that were directly attributable to the foregoing transactions or were not expected to have a continuing impact on the Company. All acquisitions, except the acquisition of the Critical Infrastructure Business, which was acquired on December 30, 2011, were included in the Company's results of operations for the full six months ended June 24, 2012. There are no material, nonrecurring pro forma adjustments directly attributable to the business combinations included in the reported pro forma revenue and earnings for 2011. The pro forma results are for illustrative purposes only for the applicable period and do not purport to be indicative of the actual results that would have occurred had the transactions been completed as of the beginning of the period, nor are they indicative of results of operations that may occur in the future (all amounts, except per share amounts are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For the Three Months</w:t>
            </w:r>
          </w:p>
        </w:tc>
        <w:tc>
          <w:tcPr>
            <w:tcW w:w="2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For the Six Months</w:t>
            </w:r>
          </w:p>
        </w:tc>
      </w:tr>
      <w:tr>
        <w:trPr>
          <w:trHeight w:val="192"/>
        </w:trPr>
        <w:tc>
          <w:tcPr>
            <w:tcW w:w="4620" w:type="dxa"/>
            <w:vAlign w:val="bottom"/>
          </w:tcPr>
          <w:p>
            <w:pPr>
              <w:spacing w:after="0"/>
              <w:rPr>
                <w:sz w:val="16"/>
                <w:szCs w:val="16"/>
                <w:color w:val="auto"/>
              </w:rPr>
            </w:pPr>
          </w:p>
        </w:tc>
        <w:tc>
          <w:tcPr>
            <w:tcW w:w="15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7"/>
              </w:rPr>
              <w:t>Ended June 26, 2011</w:t>
            </w:r>
          </w:p>
        </w:tc>
        <w:tc>
          <w:tcPr>
            <w:tcW w:w="20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Ended June 26, 2011</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Net income (loss) attributable to the registrant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r>
      <w:tr>
        <w:trPr>
          <w:trHeight w:val="27"/>
        </w:trPr>
        <w:tc>
          <w:tcPr>
            <w:tcW w:w="46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pro forma results for the three and six month periods ended June 26, 2011 include $1.8 million and $7.6 million of acquisition related expenses, respectively. The pro forma financial information also reflects pro forma adjustments for the additional amortization associated with finite-lived intangible assets acquired, additional incremental interest expense, deferred financing costs related to the financing undertaken for the Integral and Herley transactions, the change in stock compensation expense as a result of the exercise of stock options and restricted stock immediately prior to closing of the Integral and Herley transactions, and the tax effect of the increased interest expense and intangible amortization. The weighted average common shares also reflect the issuance of 4.9 million shares in February 2011 for the Herley acquisitions and 10.4 million shares in July 2011 for the Integral acquisition. These adjustments are as follows (in millions except per share data):</w:t>
      </w:r>
    </w:p>
    <w:p>
      <w:pPr>
        <w:spacing w:after="0" w:line="319"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7"/>
              </w:rPr>
              <w:t>For the Three Months</w:t>
            </w:r>
          </w:p>
        </w:tc>
        <w:tc>
          <w:tcPr>
            <w:tcW w:w="200" w:type="dxa"/>
            <w:vAlign w:val="bottom"/>
          </w:tcPr>
          <w:p>
            <w:pPr>
              <w:spacing w:after="0"/>
              <w:rPr>
                <w:sz w:val="14"/>
                <w:szCs w:val="14"/>
                <w:color w:val="auto"/>
              </w:rPr>
            </w:pPr>
          </w:p>
        </w:tc>
        <w:tc>
          <w:tcPr>
            <w:tcW w:w="148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For the Six Months</w:t>
            </w:r>
          </w:p>
        </w:tc>
      </w:tr>
      <w:tr>
        <w:trPr>
          <w:trHeight w:val="192"/>
        </w:trPr>
        <w:tc>
          <w:tcPr>
            <w:tcW w:w="5660" w:type="dxa"/>
            <w:vAlign w:val="bottom"/>
          </w:tcPr>
          <w:p>
            <w:pPr>
              <w:spacing w:after="0"/>
              <w:rPr>
                <w:sz w:val="16"/>
                <w:szCs w:val="16"/>
                <w:color w:val="auto"/>
              </w:rPr>
            </w:pPr>
          </w:p>
        </w:tc>
        <w:tc>
          <w:tcPr>
            <w:tcW w:w="15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8"/>
              </w:rPr>
              <w:t>Ended June 26, 2011</w:t>
            </w:r>
          </w:p>
        </w:tc>
        <w:tc>
          <w:tcPr>
            <w:tcW w:w="200" w:type="dxa"/>
            <w:vAlign w:val="bottom"/>
          </w:tcPr>
          <w:p>
            <w:pPr>
              <w:spacing w:after="0"/>
              <w:rPr>
                <w:sz w:val="16"/>
                <w:szCs w:val="16"/>
                <w:color w:val="auto"/>
              </w:rPr>
            </w:pPr>
          </w:p>
        </w:tc>
        <w:tc>
          <w:tcPr>
            <w:tcW w:w="14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Ended June 26, 2011</w:t>
            </w:r>
          </w:p>
        </w:tc>
      </w:tr>
      <w:tr>
        <w:trPr>
          <w:trHeight w:val="25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6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interest expense</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Net change in income tax benefit (expense)</w:t>
            </w:r>
          </w:p>
        </w:tc>
        <w:tc>
          <w:tcPr>
            <w:tcW w:w="6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Increase in weighted average common shares outstanding for shares issued</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and not already included in the weighted average common shares outstanding</w:t>
            </w: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r>
      <w:tr>
        <w:trPr>
          <w:trHeight w:val="27"/>
        </w:trPr>
        <w:tc>
          <w:tcPr>
            <w:tcW w:w="5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connection with some of its acquisitions, the Company agreed to make additional future payments to the seller contingent upon achievement of specific performance-based milestones by the acquired entities.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xml:space="preserve"> the Company will re-measure these liabilities each reporting period and record changes in the fair value in its Condensed Consolidated Statement of Operations and Comprehensive Income. Increases or decreases in the fair value of the contingent consideration liability which is measured as the present value of expected future cash flows, a Level 3 measurement in the fair value hierarchy, can result from changes in discount periods and rates, as well as changes in the estimates on the achievement of the performance-based milestones.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Contingent acquisition consideration as of December 25, 2011 and June 24, 2012 is summarized in the following table (in millions):</w:t>
      </w:r>
    </w:p>
    <w:p>
      <w:pPr>
        <w:spacing w:after="0" w:line="375"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25, 2011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24, 2012</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of June 24, 2012, $2.5 million is reflected in other current liabilities and $1.1 million is reflected in other long-term liabilities in the condensed consolidated balance sheet. Other than the cash payments noted above, there were no changes in the fair value of contingent consideration for the three and six month periods ended June 24, 2012.</w:t>
      </w:r>
    </w:p>
    <w:p>
      <w:pPr>
        <w:spacing w:after="0" w:line="18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Pursuant to the terms of the agreement and plan of merger with DEI Services Corporation ("DEI") entered into on August 9, 2010 (“the DEI Agreement”), upon achievement of certain cash receipts, revenue, EBITDA and backlog amounts in 2010, 2011 and 2012, the Company will be obligated to pay certain additional contingent consideration (the “DEI Contingent Consideration”). The Company has paid $2.9 million related to the DEI Contingent Consideration of which $2.5 million was paid in April 2012. As of June 24, 2012, the potential undiscounted amount of future DEI Contingent Consideration that may be payable by the Company under the DEI Agreement is between $2.0 million and $4.5 million, subject to potential reductions if certain cash receipts are not collected. The DEI Contingent Consideration, which includes contingent consideration already paid and potential future contingent consideration, may be reduced in the event certain anticipated cash receipts are not collected within agreed upon time period, and could reduce the prior and future contingent consideration by approximately $6.0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as of the last day of each fiscal year or when evidence of potential impairment exists.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KGS and PSS operating segments.</w:t>
      </w:r>
    </w:p>
    <w:p>
      <w:pPr>
        <w:spacing w:after="0" w:line="15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(Level 3 hierarchy as defined by </w:t>
      </w:r>
      <w:r>
        <w:rPr>
          <w:rFonts w:ascii="Arial" w:cs="Arial" w:eastAsia="Arial" w:hAnsi="Arial"/>
          <w:sz w:val="16"/>
          <w:szCs w:val="16"/>
          <w:i w:val="1"/>
          <w:iCs w:val="1"/>
          <w:color w:val="auto"/>
        </w:rPr>
        <w:t>ASC Topic 820, Fair Value Measurements and Disclosures (“Topic 820”</w:t>
      </w:r>
      <w:r>
        <w:rPr>
          <w:rFonts w:ascii="Arial" w:cs="Arial" w:eastAsia="Arial" w:hAnsi="Arial"/>
          <w:sz w:val="16"/>
          <w:szCs w:val="16"/>
          <w:color w:val="auto"/>
        </w:rPr>
        <w:t xml:space="preserve">)). If the book value exceeds the estimated fair value for a reporting unit a potential impairment is indicated, and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prescribes the approach for determining the impairment amount, if any.</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as a result of the Company's decision in June 2012 to dispose of certain non-core businesses acquired in the Integral Systems acquisition, the Company allocated $1.5 million of goodwill to discontinued operations which resulted in an impairment charge (see Note 8). The Company then tested the goodwill remaining in the KGS reporting unit. The fair value of the KGS reporting unit exceeded its carrying value by 7.4% Considering the relatively small excess of fair value over carrying value for the KGS reporting unit and given the current market conditions and continued economic uncertainty in the U.S. defense industry as a result of the Budget Control Act of 2011 (the "Budget Control Act"), the fair value of the KGS reporting unit may deteriorate, resulting in an impairment of the goodwill in that unit. Due to continual changes in market and general business conditions, the Company cannot predict whether, and to what extent, its goodwill and long-lived intangible assets may be impaired in future periods. Any resulting impairment loss could harm the Company's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profitability and financial condition.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the carrying amount of goodwill for the six months ended June 24, 2012 are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w w:val="90"/>
              </w:rPr>
              <w:t>Public</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Kratos Government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96"/>
              </w:rPr>
              <w:t>Safety &amp;</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140" w:type="dxa"/>
            <w:vAlign w:val="bottom"/>
          </w:tcPr>
          <w:p>
            <w:pPr>
              <w:jc w:val="center"/>
              <w:ind w:left="401"/>
              <w:spacing w:after="0"/>
              <w:rPr>
                <w:sz w:val="20"/>
                <w:szCs w:val="20"/>
                <w:color w:val="auto"/>
              </w:rPr>
            </w:pPr>
            <w:r>
              <w:rPr>
                <w:rFonts w:ascii="Arial" w:cs="Arial" w:eastAsia="Arial" w:hAnsi="Arial"/>
                <w:sz w:val="14"/>
                <w:szCs w:val="14"/>
                <w:b w:val="1"/>
                <w:bCs w:val="1"/>
                <w:color w:val="auto"/>
                <w:w w:val="90"/>
              </w:rPr>
              <w:t>Security</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Retrospective adjustments</w:t>
            </w:r>
          </w:p>
        </w:tc>
        <w:tc>
          <w:tcPr>
            <w:tcW w:w="11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25, 2011 after retrospective adjustments</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Additions due to business combinations</w:t>
            </w:r>
          </w:p>
        </w:tc>
        <w:tc>
          <w:tcPr>
            <w:tcW w:w="1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24, 2012</w:t>
            </w: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accumulated impairment losses as of December 25, 2011 and June 24, 2012 were $165.4 million; $147.1 million associated with the KGS segment and $18.3 million associated with the PSS segment.</w:t>
      </w:r>
    </w:p>
    <w:p>
      <w:pPr>
        <w:spacing w:after="0" w:line="1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finite-lived intangible assets subject to amortization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25, 2011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24, 2012</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16.9</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In addition to the finite-lived intangible assets listed in the table above, the Company has $24.5 million of indefinite-lived intangible assets consisting of trade names at both December 25, 2011 and June 24, 2012.</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Consolidated amortization expense related to intangible assets subject to amortization was $9.2 million and $8.9 million for the three months ended June 26, 2011 and June 24, 2012, respectively, and $12.6 million and $19.4 million for the six months ended June 26, 2011 and June 24, 2012,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future amortization expense of purchased intangible assets with finite lives as of June 24, 2012 is as follows (in millions):</w:t>
      </w:r>
    </w:p>
    <w:p>
      <w:pPr>
        <w:spacing w:after="0" w:line="390" w:lineRule="exact"/>
        <w:rPr>
          <w:sz w:val="20"/>
          <w:szCs w:val="20"/>
          <w:color w:val="auto"/>
        </w:rPr>
      </w:pPr>
    </w:p>
    <w:tbl>
      <w:tblPr>
        <w:tblLayout w:type="fixed"/>
        <w:tblInd w:w="3460" w:type="dxa"/>
        <w:tblCellMar>
          <w:top w:w="0" w:type="dxa"/>
          <w:left w:w="0" w:type="dxa"/>
          <w:bottom w:w="0" w:type="dxa"/>
          <w:right w:w="0" w:type="dxa"/>
        </w:tblCellMar>
      </w:tblPr>
      <w:tr>
        <w:trPr>
          <w:trHeight w:val="19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 (remaining six months)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2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2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0"/>
        </w:trPr>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25,</w:t>
            </w:r>
          </w:p>
        </w:tc>
        <w:tc>
          <w:tcPr>
            <w:tcW w:w="280" w:type="dxa"/>
            <w:vAlign w:val="bottom"/>
          </w:tcPr>
          <w:p>
            <w:pPr>
              <w:spacing w:after="0"/>
              <w:rPr>
                <w:sz w:val="14"/>
                <w:szCs w:val="14"/>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24,</w:t>
            </w:r>
          </w:p>
        </w:tc>
      </w:tr>
      <w:tr>
        <w:trPr>
          <w:trHeight w:val="192"/>
        </w:trPr>
        <w:tc>
          <w:tcPr>
            <w:tcW w:w="5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Composite Engineering, Inc. ("CEI") in connection with the Company's acquisition thereof on July 2, 2012.</w:t>
      </w:r>
    </w:p>
    <w:p>
      <w:pPr>
        <w:spacing w:after="0" w:line="171"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52"/>
        </w:trPr>
        <w:tc>
          <w:tcPr>
            <w:tcW w:w="6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June 26,</w:t>
            </w:r>
          </w:p>
        </w:tc>
        <w:tc>
          <w:tcPr>
            <w:tcW w:w="260" w:type="dxa"/>
            <w:vAlign w:val="bottom"/>
          </w:tcPr>
          <w:p>
            <w:pPr>
              <w:spacing w:after="0"/>
              <w:rPr>
                <w:sz w:val="13"/>
                <w:szCs w:val="13"/>
                <w:color w:val="auto"/>
              </w:rPr>
            </w:pPr>
          </w:p>
        </w:tc>
        <w:tc>
          <w:tcPr>
            <w:tcW w:w="1080" w:type="dxa"/>
            <w:vAlign w:val="bottom"/>
          </w:tcPr>
          <w:p>
            <w:pPr>
              <w:jc w:val="center"/>
              <w:ind w:right="213"/>
              <w:spacing w:after="0" w:line="153" w:lineRule="exact"/>
              <w:rPr>
                <w:sz w:val="20"/>
                <w:szCs w:val="20"/>
                <w:color w:val="auto"/>
              </w:rPr>
            </w:pPr>
            <w:r>
              <w:rPr>
                <w:rFonts w:ascii="Arial" w:cs="Arial" w:eastAsia="Arial" w:hAnsi="Arial"/>
                <w:sz w:val="14"/>
                <w:szCs w:val="14"/>
                <w:b w:val="1"/>
                <w:bCs w:val="1"/>
                <w:color w:val="auto"/>
                <w:w w:val="89"/>
              </w:rPr>
              <w:t>June 24,</w:t>
            </w:r>
          </w:p>
        </w:tc>
      </w:tr>
      <w:tr>
        <w:trPr>
          <w:trHeight w:val="192"/>
        </w:trPr>
        <w:tc>
          <w:tcPr>
            <w:tcW w:w="6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662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Additional paid-in-capital from the issuance of common stock for cash</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97.0</w:t>
            </w:r>
          </w:p>
        </w:tc>
      </w:tr>
      <w:tr>
        <w:trPr>
          <w:trHeight w:val="27"/>
        </w:trPr>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Fair value of stock options assumed in acquisitions</w:t>
            </w:r>
          </w:p>
        </w:tc>
        <w:tc>
          <w:tcPr>
            <w:tcW w:w="1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391.5</w:t>
            </w: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prior reporting periods, the Company had two classes of outstanding stock, Series B Convertible Preferred Stock and common stock. On March 8, 2011, all of the 10,000 shares of the previously issued and outstanding shares of Series B Convertible Preferred Stock were redeemed for 100,000 shares of common stock. Common stock issued by the Company for the six months ended June 26, 2011 and June 24, 2012 was as follows (in millions):</w:t>
      </w:r>
    </w:p>
    <w:p>
      <w:pPr>
        <w:spacing w:after="0" w:line="368"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52"/>
        </w:trPr>
        <w:tc>
          <w:tcPr>
            <w:tcW w:w="6620" w:type="dxa"/>
            <w:vAlign w:val="bottom"/>
          </w:tcPr>
          <w:p>
            <w:pPr>
              <w:spacing w:after="0"/>
              <w:rPr>
                <w:sz w:val="13"/>
                <w:szCs w:val="13"/>
                <w:color w:val="auto"/>
              </w:rPr>
            </w:pPr>
          </w:p>
        </w:tc>
        <w:tc>
          <w:tcPr>
            <w:tcW w:w="15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June 26,</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June 24,</w:t>
            </w:r>
          </w:p>
        </w:tc>
      </w:tr>
      <w:tr>
        <w:trPr>
          <w:trHeight w:val="192"/>
        </w:trPr>
        <w:tc>
          <w:tcPr>
            <w:tcW w:w="66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32.4</w:t>
            </w:r>
          </w:p>
        </w:tc>
      </w:tr>
      <w:tr>
        <w:trPr>
          <w:trHeight w:val="229"/>
        </w:trPr>
        <w:tc>
          <w:tcPr>
            <w:tcW w:w="6620" w:type="dxa"/>
            <w:vAlign w:val="bottom"/>
          </w:tcPr>
          <w:p>
            <w:pPr>
              <w:ind w:left="40"/>
              <w:spacing w:after="0"/>
              <w:rPr>
                <w:sz w:val="20"/>
                <w:szCs w:val="20"/>
                <w:color w:val="auto"/>
              </w:rPr>
            </w:pPr>
            <w:r>
              <w:rPr>
                <w:rFonts w:ascii="Arial" w:cs="Arial" w:eastAsia="Arial" w:hAnsi="Arial"/>
                <w:sz w:val="18"/>
                <w:szCs w:val="18"/>
                <w:color w:val="auto"/>
                <w:w w:val="94"/>
              </w:rPr>
              <w:t>Stock issued for employee stock purchase plan, stock options and restricted stock units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6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of Series B Convertible Preferred Stock</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Common stock issued for cash</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20.0</w:t>
            </w:r>
          </w:p>
        </w:tc>
      </w:tr>
      <w:tr>
        <w:trPr>
          <w:trHeight w:val="27"/>
        </w:trPr>
        <w:tc>
          <w:tcPr>
            <w:tcW w:w="6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ASC </w:t>
      </w:r>
      <w:r>
        <w:rPr>
          <w:rFonts w:ascii="Arial" w:cs="Arial" w:eastAsia="Arial" w:hAnsi="Arial"/>
          <w:sz w:val="17"/>
          <w:szCs w:val="17"/>
          <w:i w:val="1"/>
          <w:iCs w:val="1"/>
          <w:color w:val="auto"/>
        </w:rPr>
        <w:t>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w:t>
      </w:r>
      <w:r>
        <w:rPr>
          <w:rFonts w:ascii="Arial" w:cs="Arial" w:eastAsia="Arial" w:hAnsi="Arial"/>
          <w:sz w:val="17"/>
          <w:szCs w:val="17"/>
          <w:i w:val="1"/>
          <w:iCs w:val="1"/>
          <w:color w:val="auto"/>
        </w:rPr>
        <w:t>Topic 260”</w:t>
      </w:r>
      <w:r>
        <w:rPr>
          <w:rFonts w:ascii="Arial" w:cs="Arial" w:eastAsia="Arial" w:hAnsi="Arial"/>
          <w:sz w:val="17"/>
          <w:szCs w:val="17"/>
          <w:color w:val="auto"/>
        </w:rPr>
        <w:t xml:space="preserve">). Under </w:t>
      </w:r>
      <w:r>
        <w:rPr>
          <w:rFonts w:ascii="Arial" w:cs="Arial" w:eastAsia="Arial" w:hAnsi="Arial"/>
          <w:sz w:val="17"/>
          <w:szCs w:val="17"/>
          <w:i w:val="1"/>
          <w:iCs w:val="1"/>
          <w:color w:val="auto"/>
        </w:rPr>
        <w:t>Topic 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38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4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52"/>
        </w:trPr>
        <w:tc>
          <w:tcPr>
            <w:tcW w:w="42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 except earnings per share)</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b w:val="1"/>
                <w:bCs w:val="1"/>
                <w:color w:val="auto"/>
              </w:rPr>
              <w:t>June 26,</w:t>
            </w:r>
          </w:p>
        </w:tc>
        <w:tc>
          <w:tcPr>
            <w:tcW w:w="1260" w:type="dxa"/>
            <w:vAlign w:val="bottom"/>
            <w:gridSpan w:val="2"/>
            <w:shd w:val="clear" w:color="auto" w:fill="CCEEFF"/>
          </w:tcPr>
          <w:p>
            <w:pPr>
              <w:ind w:left="300"/>
              <w:spacing w:after="0" w:line="153" w:lineRule="exact"/>
              <w:rPr>
                <w:sz w:val="20"/>
                <w:szCs w:val="20"/>
                <w:color w:val="auto"/>
              </w:rPr>
            </w:pPr>
            <w:r>
              <w:rPr>
                <w:rFonts w:ascii="Arial" w:cs="Arial" w:eastAsia="Arial" w:hAnsi="Arial"/>
                <w:sz w:val="14"/>
                <w:szCs w:val="14"/>
                <w:b w:val="1"/>
                <w:bCs w:val="1"/>
                <w:color w:val="auto"/>
              </w:rPr>
              <w:t>June 24,</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b w:val="1"/>
                <w:bCs w:val="1"/>
                <w:color w:val="auto"/>
              </w:rPr>
              <w:t>June 26,</w:t>
            </w:r>
          </w:p>
        </w:tc>
        <w:tc>
          <w:tcPr>
            <w:tcW w:w="1160" w:type="dxa"/>
            <w:vAlign w:val="bottom"/>
            <w:shd w:val="clear" w:color="auto" w:fill="CCEEFF"/>
          </w:tcPr>
          <w:p>
            <w:pPr>
              <w:jc w:val="right"/>
              <w:ind w:right="254"/>
              <w:spacing w:after="0" w:line="153" w:lineRule="exact"/>
              <w:rPr>
                <w:sz w:val="20"/>
                <w:szCs w:val="20"/>
                <w:color w:val="auto"/>
              </w:rPr>
            </w:pPr>
            <w:r>
              <w:rPr>
                <w:rFonts w:ascii="Arial" w:cs="Arial" w:eastAsia="Arial" w:hAnsi="Arial"/>
                <w:sz w:val="14"/>
                <w:szCs w:val="14"/>
                <w:b w:val="1"/>
                <w:bCs w:val="1"/>
                <w:color w:val="auto"/>
              </w:rPr>
              <w:t>June 24,</w:t>
            </w:r>
          </w:p>
        </w:tc>
        <w:tc>
          <w:tcPr>
            <w:tcW w:w="0" w:type="dxa"/>
            <w:vAlign w:val="bottom"/>
          </w:tcPr>
          <w:p>
            <w:pPr>
              <w:spacing w:after="0"/>
              <w:rPr>
                <w:sz w:val="1"/>
                <w:szCs w:val="1"/>
                <w:color w:val="auto"/>
              </w:rPr>
            </w:pPr>
          </w:p>
        </w:tc>
      </w:tr>
      <w:tr>
        <w:trPr>
          <w:trHeight w:val="198"/>
        </w:trPr>
        <w:tc>
          <w:tcPr>
            <w:tcW w:w="4200" w:type="dxa"/>
            <w:vAlign w:val="bottom"/>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9"/>
        </w:trPr>
        <w:tc>
          <w:tcPr>
            <w:tcW w:w="4200" w:type="dxa"/>
            <w:vAlign w:val="bottom"/>
          </w:tcPr>
          <w:p>
            <w:pPr>
              <w:ind w:left="40"/>
              <w:spacing w:after="0"/>
              <w:rPr>
                <w:sz w:val="20"/>
                <w:szCs w:val="20"/>
                <w:color w:val="auto"/>
              </w:rPr>
            </w:pPr>
            <w:r>
              <w:rPr>
                <w:rFonts w:ascii="Arial" w:cs="Arial" w:eastAsia="Arial" w:hAnsi="Arial"/>
                <w:sz w:val="18"/>
                <w:szCs w:val="18"/>
                <w:color w:val="auto"/>
                <w:w w:val="96"/>
              </w:rPr>
              <w:t>Loss from continuing operations available for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7"/>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shareholders (A)</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Weighted average outstanding shares of common stock</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w w:val="98"/>
              </w:rPr>
              <w:t>Dilutive effect of employee stock options and awards</w:t>
            </w:r>
          </w:p>
        </w:tc>
        <w:tc>
          <w:tcPr>
            <w:tcW w:w="2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and common stock equivalents (C)</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(A/B)</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Diluted (A/C)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125" w:right="2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shares were excluded from the calculation of diluted loss per share because their inclusion would have been anti-dilutive.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For the Six Months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ind w:left="400"/>
              <w:spacing w:after="0" w:line="153" w:lineRule="exact"/>
              <w:rPr>
                <w:sz w:val="20"/>
                <w:szCs w:val="20"/>
                <w:color w:val="auto"/>
              </w:rPr>
            </w:pPr>
            <w:r>
              <w:rPr>
                <w:rFonts w:ascii="Arial" w:cs="Arial" w:eastAsia="Arial" w:hAnsi="Arial"/>
                <w:sz w:val="14"/>
                <w:szCs w:val="14"/>
                <w:b w:val="1"/>
                <w:bCs w:val="1"/>
                <w:color w:val="auto"/>
                <w:w w:val="99"/>
              </w:rPr>
              <w:t>June 26,</w:t>
            </w:r>
          </w:p>
        </w:tc>
        <w:tc>
          <w:tcPr>
            <w:tcW w:w="1500" w:type="dxa"/>
            <w:vAlign w:val="bottom"/>
          </w:tcPr>
          <w:p>
            <w:pPr>
              <w:jc w:val="center"/>
              <w:ind w:left="782"/>
              <w:spacing w:after="0" w:line="153" w:lineRule="exact"/>
              <w:rPr>
                <w:sz w:val="20"/>
                <w:szCs w:val="20"/>
                <w:color w:val="auto"/>
              </w:rPr>
            </w:pPr>
            <w:r>
              <w:rPr>
                <w:rFonts w:ascii="Arial" w:cs="Arial" w:eastAsia="Arial" w:hAnsi="Arial"/>
                <w:sz w:val="14"/>
                <w:szCs w:val="14"/>
                <w:b w:val="1"/>
                <w:bCs w:val="1"/>
                <w:color w:val="auto"/>
                <w:w w:val="92"/>
              </w:rPr>
              <w:t>June 24,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9"/>
              </w:rPr>
              <w:t>June 26,</w:t>
            </w:r>
          </w:p>
        </w:tc>
        <w:tc>
          <w:tcPr>
            <w:tcW w:w="1460" w:type="dxa"/>
            <w:vAlign w:val="bottom"/>
          </w:tcPr>
          <w:p>
            <w:pPr>
              <w:jc w:val="center"/>
              <w:ind w:left="762"/>
              <w:spacing w:after="0" w:line="153" w:lineRule="exact"/>
              <w:rPr>
                <w:sz w:val="20"/>
                <w:szCs w:val="20"/>
                <w:color w:val="auto"/>
              </w:rPr>
            </w:pPr>
            <w:r>
              <w:rPr>
                <w:rFonts w:ascii="Arial" w:cs="Arial" w:eastAsia="Arial" w:hAnsi="Arial"/>
                <w:sz w:val="14"/>
                <w:szCs w:val="14"/>
                <w:b w:val="1"/>
                <w:bCs w:val="1"/>
                <w:color w:val="auto"/>
                <w:w w:val="89"/>
              </w:rPr>
              <w:t>June 24,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980" w:type="dxa"/>
            <w:vAlign w:val="bottom"/>
          </w:tcPr>
          <w:p>
            <w:pPr>
              <w:ind w:left="540"/>
              <w:spacing w:after="0"/>
              <w:rPr>
                <w:sz w:val="20"/>
                <w:szCs w:val="20"/>
                <w:color w:val="auto"/>
              </w:rPr>
            </w:pPr>
            <w:r>
              <w:rPr>
                <w:rFonts w:ascii="Arial" w:cs="Arial" w:eastAsia="Arial" w:hAnsi="Arial"/>
                <w:sz w:val="14"/>
                <w:szCs w:val="14"/>
                <w:b w:val="1"/>
                <w:bCs w:val="1"/>
                <w:color w:val="auto"/>
              </w:rPr>
              <w:t>2011</w:t>
            </w:r>
          </w:p>
        </w:tc>
        <w:tc>
          <w:tcPr>
            <w:tcW w:w="1500" w:type="dxa"/>
            <w:vAlign w:val="bottom"/>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14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2011</w:t>
            </w:r>
          </w:p>
        </w:tc>
        <w:tc>
          <w:tcPr>
            <w:tcW w:w="1460" w:type="dxa"/>
            <w:vAlign w:val="bottom"/>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from stock options and awards</w:t>
            </w:r>
          </w:p>
        </w:tc>
        <w:tc>
          <w:tcPr>
            <w:tcW w:w="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62"/>
              <w:spacing w:after="0"/>
              <w:rPr>
                <w:sz w:val="20"/>
                <w:szCs w:val="20"/>
                <w:color w:val="auto"/>
              </w:rPr>
            </w:pPr>
            <w:r>
              <w:rPr>
                <w:rFonts w:ascii="Arial" w:cs="Arial" w:eastAsia="Arial" w:hAnsi="Arial"/>
                <w:sz w:val="18"/>
                <w:szCs w:val="18"/>
                <w:color w:val="auto"/>
                <w:w w:val="95"/>
              </w:rPr>
              <w:t>2.2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5"/>
              </w:rPr>
              <w:t>3.1</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As of December 25, 2011, the Company had $10.2 million of unrecognized tax benefits that, if recognized, would affect the effective tax rate, subject to possible offset by an increase in the valuation allowance. During the six months ended June 24, 2012, this amount was reduced by $0.1 million relating to the expiration of statutes of limitations. This reduction in unrecognized tax benefits was recorded as a tax benefit from discontinued operations. Additionally, the unrecognized tax benefit amount was reduced by $0.3 million as a result of the completion of an Internal Revenue Service (“IRS”) audit. This reduction in unrecognized tax benefits was recorded as a benefit from continuing operations.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six months ended June 24, 2012, the Company decreased the unrecognized tax benefits of Integral by $0.2 million, which was recorded as an adjustment to goodwill. Integral's unrecognized tax benefits are related to various federal tax issues.</w:t>
      </w:r>
    </w:p>
    <w:p>
      <w:pPr>
        <w:spacing w:after="0" w:line="170"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There was no material expense recorded during the six months ended June 26, 2011. During the six months ended June 24, 2012, a $0.3 million expense was recorded related to interest and penalties. The Company recorded a benefit for interest and penalties related to the reversal of prior positions of $0.7 million and $0.1 million for the six months ended June 26, 2011 and June 24, 2012, respectively. The Company believes that it is reasonably possible that as much as $1.5 million of the liabilities for uncertain tax positions will expire within 12 months of June 24, 2012 due to the expiration of various applicable statutes of limitations.</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assets. A reconciliation of the total income tax provision to the amount computed by applying the statutory federal income tax rate of 35% to loss from continuing operations before income tax provision for the three and six months ended June 26, 2011 and June 24, 2012 is as follows (in millions):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9"/>
              </w:rPr>
              <w:t>For the 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5620" w:type="dxa"/>
            <w:vAlign w:val="bottom"/>
          </w:tcPr>
          <w:p>
            <w:pPr>
              <w:spacing w:after="0"/>
              <w:rPr>
                <w:sz w:val="13"/>
                <w:szCs w:val="13"/>
                <w:color w:val="auto"/>
              </w:rPr>
            </w:pPr>
          </w:p>
        </w:tc>
        <w:tc>
          <w:tcPr>
            <w:tcW w:w="960" w:type="dxa"/>
            <w:vAlign w:val="bottom"/>
          </w:tcPr>
          <w:p>
            <w:pPr>
              <w:ind w:left="420"/>
              <w:spacing w:after="0" w:line="153" w:lineRule="exact"/>
              <w:rPr>
                <w:sz w:val="20"/>
                <w:szCs w:val="20"/>
                <w:color w:val="auto"/>
              </w:rPr>
            </w:pPr>
            <w:r>
              <w:rPr>
                <w:rFonts w:ascii="Arial" w:cs="Arial" w:eastAsia="Arial" w:hAnsi="Arial"/>
                <w:sz w:val="14"/>
                <w:szCs w:val="14"/>
                <w:b w:val="1"/>
                <w:bCs w:val="1"/>
                <w:color w:val="auto"/>
                <w:w w:val="92"/>
              </w:rPr>
              <w:t>June 26,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26,</w:t>
            </w:r>
          </w:p>
        </w:tc>
        <w:tc>
          <w:tcPr>
            <w:tcW w:w="260" w:type="dxa"/>
            <w:vAlign w:val="bottom"/>
          </w:tcPr>
          <w:p>
            <w:pPr>
              <w:spacing w:after="0"/>
              <w:rPr>
                <w:sz w:val="13"/>
                <w:szCs w:val="13"/>
                <w:color w:val="auto"/>
              </w:rPr>
            </w:pPr>
          </w:p>
        </w:tc>
        <w:tc>
          <w:tcPr>
            <w:tcW w:w="110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June 24,</w:t>
            </w:r>
          </w:p>
        </w:tc>
      </w:tr>
      <w:tr>
        <w:trPr>
          <w:trHeight w:val="192"/>
        </w:trPr>
        <w:tc>
          <w:tcPr>
            <w:tcW w:w="56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4"/>
              </w:rPr>
              <w:t>State and foreign taxes, net of federal tax benefit and valuation allowance</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Impact of indefinite lived deferred tax liabilities and state law changes</w:t>
            </w:r>
          </w:p>
        </w:tc>
        <w:tc>
          <w:tcPr>
            <w:tcW w:w="9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with IRS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Increase/(decrease) in reserves for uncertain tax positions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Increase/(decrease) in federal valuation allowance</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of 1986, as amended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In March 2010, an “ownership change” occurred that will limit the utilization of the loss carryforwards. Additionally, in May 2012, another “ownership change” was triggered. As a result of this change in May, the Company's federal annual utilization of NOL carryforwards will be limited to $28.1 million a year for the five years succeeding the initial ownership change and $11.6 million per year thereafter. If the entire limitation amount is not utilized in a year, the excess can be carried forward and utilized in future years. For the six months ended June 24, 2012,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June of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8"/>
          <w:szCs w:val="18"/>
          <w:i w:val="1"/>
          <w:iCs w:val="1"/>
          <w:color w:val="auto"/>
        </w:rPr>
        <w:t>Topic 205 Presentation of Financial Statements ("Topic 205"),</w:t>
      </w:r>
      <w:r>
        <w:rPr>
          <w:rFonts w:ascii="Arial" w:cs="Arial" w:eastAsia="Arial" w:hAnsi="Arial"/>
          <w:sz w:val="18"/>
          <w:szCs w:val="18"/>
          <w:color w:val="auto"/>
        </w:rPr>
        <w:t xml:space="preserve"> these businesses have been classified as held for sale and reported in discontinued operations in the accompanying condensed consolidated financial statements. The Company recorded a $1.5 million impairment charge associated with the portion of goodwill that was allocated to the discontinued businesses based on management's estimate of the fair value of the business.</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August 2, 2010, the Company divested the southeast division of its PSS segment for approximately $0.1 million cash consideration and the assumption of certain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For the Six Months Ended</w:t>
            </w:r>
          </w:p>
        </w:tc>
        <w:tc>
          <w:tcPr>
            <w:tcW w:w="48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1160" w:type="dxa"/>
            <w:vAlign w:val="bottom"/>
          </w:tcPr>
          <w:p>
            <w:pPr>
              <w:jc w:val="right"/>
              <w:ind w:right="41"/>
              <w:spacing w:after="0" w:line="153" w:lineRule="exact"/>
              <w:rPr>
                <w:sz w:val="20"/>
                <w:szCs w:val="20"/>
                <w:color w:val="auto"/>
              </w:rPr>
            </w:pPr>
            <w:r>
              <w:rPr>
                <w:rFonts w:ascii="Arial" w:cs="Arial" w:eastAsia="Arial" w:hAnsi="Arial"/>
                <w:sz w:val="14"/>
                <w:szCs w:val="14"/>
                <w:b w:val="1"/>
                <w:bCs w:val="1"/>
                <w:color w:val="auto"/>
              </w:rPr>
              <w:t>June 26,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June 26,</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24,</w:t>
            </w:r>
          </w:p>
        </w:tc>
        <w:tc>
          <w:tcPr>
            <w:tcW w:w="480" w:type="dxa"/>
            <w:vAlign w:val="bottom"/>
          </w:tcPr>
          <w:p>
            <w:pPr>
              <w:spacing w:after="0"/>
              <w:rPr>
                <w:sz w:val="13"/>
                <w:szCs w:val="13"/>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6"/>
                <w:szCs w:val="16"/>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before taxes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after taxes</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benefit for income taxes for the six months ended June 26, 2011 and June 24, 2012 was primarily due to the expiration of the statute of limitations for certain foreign tax contingencies related to the Company’s discontinued wireless services business.</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following is a summary of the assets and liabilities of discontinued operations which are in other current assets, other current liabilities and other long-term liabilities in the accompanying condensed consolidated balance sheets as of December 25, 2011 and June 24, 2012 (in millions):</w:t>
      </w:r>
    </w:p>
    <w:p>
      <w:pPr>
        <w:spacing w:after="0" w:line="28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20" w:type="dxa"/>
            <w:vAlign w:val="bottom"/>
          </w:tcPr>
          <w:p>
            <w:pPr>
              <w:jc w:val="right"/>
              <w:ind w:right="14"/>
              <w:spacing w:after="0"/>
              <w:rPr>
                <w:sz w:val="20"/>
                <w:szCs w:val="20"/>
                <w:color w:val="auto"/>
              </w:rPr>
            </w:pPr>
            <w:r>
              <w:rPr>
                <w:rFonts w:ascii="Arial" w:cs="Arial" w:eastAsia="Arial" w:hAnsi="Arial"/>
                <w:sz w:val="14"/>
                <w:szCs w:val="14"/>
                <w:b w:val="1"/>
                <w:bCs w:val="1"/>
                <w:color w:val="auto"/>
              </w:rPr>
              <w:t>December 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right"/>
              <w:ind w:right="593"/>
              <w:spacing w:after="0"/>
              <w:rPr>
                <w:sz w:val="20"/>
                <w:szCs w:val="20"/>
                <w:color w:val="auto"/>
              </w:rPr>
            </w:pPr>
            <w:r>
              <w:rPr>
                <w:rFonts w:ascii="Arial" w:cs="Arial" w:eastAsia="Arial" w:hAnsi="Arial"/>
                <w:sz w:val="14"/>
                <w:szCs w:val="14"/>
                <w:b w:val="1"/>
                <w:bCs w:val="1"/>
                <w:color w:val="auto"/>
              </w:rPr>
              <w:t>June 24,</w:t>
            </w:r>
          </w:p>
        </w:tc>
      </w:tr>
      <w:tr>
        <w:trPr>
          <w:trHeight w:val="192"/>
        </w:trPr>
        <w:tc>
          <w:tcPr>
            <w:tcW w:w="53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2012</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9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2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9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Non-current liabilities of discontinued operations</w:t>
            </w:r>
          </w:p>
        </w:tc>
        <w:tc>
          <w:tcPr>
            <w:tcW w:w="1420" w:type="dxa"/>
            <w:vAlign w:val="bottom"/>
            <w:tcBorders>
              <w:top w:val="single" w:sz="8" w:color="auto"/>
              <w:bottom w:val="single" w:sz="8" w:color="auto"/>
            </w:tcBorders>
          </w:tcPr>
          <w:p>
            <w:pPr>
              <w:jc w:val="right"/>
              <w:ind w:right="121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5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May 19, 2010, the Company entered into an indenture with the guarantors set forth therein and Wilmington Trust FSB, as trustee and collateral agent (the “Indenture”), to issue the Notes. As of June 24, 2012, the Company has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senior secured borrowings have a second priority lien to the $110.0 million credit facility described below.</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24, 2012, the Company was in compliance with the covenants contained in the indentures related to the Notes.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Notes at 110% of the aggregate principal amount of the Notes, plus accrued and unpaid interest to the date of redemption ,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2011, the Company entered into a first amendment (the “First Amendment Agreement”) with certain lenders and with KeyBank which amended the 2011 Credit Agreement. Among other things, the First Amendment :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71"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On May 4, 2012, the Company entered into a second amendment (the "Second Amendment") to the 2001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2001 Credit Agreement, (iv) increased the maximum available to be borrowed under the 2011 Credit Agreement to $135.0 million subject to KeyBank approval, and (v) updated certain schedules to the Credit Agreement.</w:t>
      </w:r>
    </w:p>
    <w:p>
      <w:pPr>
        <w:spacing w:after="0" w:line="18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(See Note 15). The Company used the net proceeds from the sale of 20.0 million shares of its common stock, together with the borrowings under its credit facility, to fund the purchase of CEI on July 2, 2012 and to pay related fees and expenses.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may borrow funds under the Amended Revolver at a rate based either on LIBOR or a base rate established by KeyBank. Base rate borrowings bear interest at an applicable margin of 1.00% to 1.75% over the base rate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June 24, 2012, there were no outstanding borrowings on the Amended Revolver and $12.3 million was outstanding on letters of credit resulting in net borrowing base availability of $85.0 million. The Company was in compliance with the financial covenants as of June 24, 2012.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assumed a $10.0 million 10-year term loan with a bank in Israel that Herley entered into on September 16, 2008 in connection with the acquisition of one of its wholly owned subsidiaries. The balance as of June 24, 2012 was $6.2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June 24, 2012.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25, 2011 and June 24, 2012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25, 2011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As of June 24,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631.8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$20.8 million as of June 24, 2012, which is the difference between the carrying amount of $652.0 million and the principal amount of $631.2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December 25, 2011 and June 24, 2012 are presented in Note 9. The carrying value of all other financial instruments, including cash and cash equivalents, accounts receivable, accounts payable and short-term debt, approximated their estimated fair values at December 25, 2011 and June 24,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Company’s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(i.e., changes in interest rate payments) attributable to fluctuations in the three month LIBOR on certain previously outstanding variable-rate debt.</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portion of the hedges, or of derivatives that are not considered to be highly effective hedges, if any, are immediately recognized in earnings. There were no interest rate swaps outstanding as of and for the six months ended June 24, 2012.</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derivative financial instruments, which are cash flow hedges, were considered ineffective as a result of the interest rate floor that occurred with the first amendment of the first credit facility with KeyBank of $85.0 million in March 2008. The effect of marking the derivative instruments to market for the six months ended June 26, 2011 was income of $0.3 million. There were no derivative liabilities outstanding as of December 25, 2011 or June 24, 2012.</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$122.3 million and $140.0 million, or 71% and 64%, of total revenue for the three months ended June 26, 2011 and June 24, 2012, respectively, and approximately $216.4 million and $280.9 million, or 74% and 65%, of total revenue for the six months ended June 26, 2011 and June 24, 2012, respectively.</w:t>
      </w:r>
    </w:p>
    <w:p>
      <w:pPr>
        <w:spacing w:after="0" w:line="17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next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that will start in 2013 and be split between defense and non-defense programs and continue over a nine-year period. Any automatic reductions in national defense programs could impact the Company's significant customers. The impact of the Budget Control Act remains unknown, and the Company's business and industry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&amp;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shares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Revenues, operating income, and assets generated or held by the Company’s current reporting segments for the three and six months ended June 26, 2011 and June 24, 2012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26,</w:t>
            </w:r>
          </w:p>
        </w:tc>
        <w:tc>
          <w:tcPr>
            <w:tcW w:w="300" w:type="dxa"/>
            <w:vAlign w:val="bottom"/>
          </w:tcPr>
          <w:p>
            <w:pPr>
              <w:spacing w:after="0"/>
              <w:rPr>
                <w:sz w:val="13"/>
                <w:szCs w:val="13"/>
                <w:color w:val="auto"/>
              </w:rPr>
            </w:pP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24,</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26,</w:t>
            </w:r>
          </w:p>
        </w:tc>
        <w:tc>
          <w:tcPr>
            <w:tcW w:w="300" w:type="dxa"/>
            <w:vAlign w:val="bottom"/>
          </w:tcPr>
          <w:p>
            <w:pPr>
              <w:spacing w:after="0"/>
              <w:rPr>
                <w:sz w:val="13"/>
                <w:szCs w:val="13"/>
                <w:color w:val="auto"/>
              </w:rPr>
            </w:pPr>
          </w:p>
        </w:tc>
        <w:tc>
          <w:tcPr>
            <w:tcW w:w="118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June 24,</w:t>
            </w:r>
          </w:p>
        </w:tc>
      </w:tr>
      <w:tr>
        <w:trPr>
          <w:trHeight w:val="192"/>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429.3</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4"/>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2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6"/>
                <w:szCs w:val="16"/>
                <w:color w:val="auto"/>
              </w:rPr>
            </w:pPr>
          </w:p>
        </w:tc>
        <w:tc>
          <w:tcPr>
            <w:tcW w:w="120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As of</w:t>
            </w:r>
          </w:p>
        </w:tc>
      </w:tr>
      <w:tr>
        <w:trPr>
          <w:trHeight w:val="165"/>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25,</w:t>
            </w:r>
          </w:p>
        </w:tc>
        <w:tc>
          <w:tcPr>
            <w:tcW w:w="28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June 24,</w:t>
            </w:r>
          </w:p>
        </w:tc>
      </w:tr>
      <w:tr>
        <w:trPr>
          <w:trHeight w:val="192"/>
        </w:trPr>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2012</w:t>
            </w:r>
          </w:p>
        </w:tc>
      </w:tr>
      <w:tr>
        <w:trPr>
          <w:trHeight w:val="23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1,014.4</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57"/>
        </w:trPr>
        <w:tc>
          <w:tcPr>
            <w:tcW w:w="38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1,299.3</w:t>
            </w: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increase in assets in the PSS segment is primarily attributable to the purchase of the Critical Infrastructure Business on December 30, 2011. The increase in assets associated with Corporate activities is primarily due to the receipt of approximately $97.0 million in net proceeds from the sale of 20.0 million shares of the Company's common stock in May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additional information regarding the Company's legal proceedings, see Item 3, “Legal Proceedings” in the Form 10-K.</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Integral, which the Company acquired on July 27, 2011, was previously the subject of a SEC investigation. On July 30, 2009, the SEC and Integral each announced that a final administrative settlement had been reached concluding the SEC's investigation.</w:t>
      </w:r>
    </w:p>
    <w:p>
      <w:pPr>
        <w:spacing w:after="0" w:line="170"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In conjunction with its announcement of the administrative settlement, the SEC also disclosed that it was instituting separate civil actions against three former officers of Integral.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each provide that, subject to certain terms and conditions, Integral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2011, and the Company is advancing payment of indemnifiable costs pursuant to the indemnification agreements.</w:t>
      </w:r>
    </w:p>
    <w:p>
      <w:pPr>
        <w:spacing w:after="0" w:line="183" w:lineRule="exact"/>
        <w:rPr>
          <w:sz w:val="20"/>
          <w:szCs w:val="20"/>
          <w:color w:val="auto"/>
        </w:rPr>
      </w:pPr>
    </w:p>
    <w:p>
      <w:pPr>
        <w:ind w:right="20" w:firstLine="554"/>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16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26,</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24,</w:t>
            </w:r>
          </w:p>
        </w:tc>
        <w:tc>
          <w:tcPr>
            <w:tcW w:w="440" w:type="dxa"/>
            <w:vAlign w:val="bottom"/>
          </w:tcPr>
          <w:p>
            <w:pPr>
              <w:spacing w:after="0"/>
              <w:rPr>
                <w:sz w:val="13"/>
                <w:szCs w:val="13"/>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liabilities assumed from acquisitions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July 2, 2012, the Company completed the acquisition of CEI for approximately $161.3 million. The shareholders of CEI received $135.0 million in cash, which is subject to adjustments for working capital, and 4.0 million shares of the Company's common stock, valued at $5.94 per share on July 2, 2012, or $23.8 million. In addition, the Company eliminated accounts receivable from CEI and corresponding accounts payable by CEI of $2.3 million. The Company will cover an estimated $0.2 million additional tax liability incurred by the shareholders of CEI for making an election under Section 338(h)(10) of Internal Revenue Code which will result in tax deductible goodwill related to this transaction. The Company estimates that the tax deductible goodwill, which is subject to change based upon the final fair value of assets acquired and liabilities assumed, will be approximately $130.0 million and can be deducted for federal and California state income taxes over a 15-year period.</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Certain key CEI personnel have entered into long-term employment agreements with the Company. In addition, on July 2, 2012, the Company granted 2.0 million restricted stock units ("RSUs") as inducement grants to certain employees of CEI who have joined Kratos. The RSUs cliff vest on the fourth anniversary of the closing of the CEI acquisition and serve as long-term retention inducements for these key individuals.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per share in an underwritten public offering. The Company received gross proceeds of approximately $100.0 million and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$97.0 million after deducting underwriting fees and other offering expenses. The Company used the net proceeds from this offering to fund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for the acquisition of CEI. In addition, the Company used borrowings of $40.0 million from its revolving line of credit to fund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of CEI.</w:t>
      </w:r>
    </w:p>
    <w:p>
      <w:pPr>
        <w:spacing w:after="0" w:line="21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transaction will be accounted for using the acquisition method of accounting which requires, among other things, that the assets acquired and liabilities assumed be recognized at their fair values as of the acquisition date. The operating performance of CEI will be included in the Company's Condensed Consolidated Statement of Operations and Comprehensive Income in the third quarter of 2012 and will be part of the KGS segment.</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acquisition related disclosures required by </w:t>
      </w:r>
      <w:r>
        <w:rPr>
          <w:rFonts w:ascii="Arial" w:cs="Arial" w:eastAsia="Arial" w:hAnsi="Arial"/>
          <w:sz w:val="18"/>
          <w:szCs w:val="18"/>
          <w:i w:val="1"/>
          <w:iCs w:val="1"/>
          <w:color w:val="auto"/>
        </w:rPr>
        <w:t>Topic 805</w:t>
      </w:r>
      <w:r>
        <w:rPr>
          <w:rFonts w:ascii="Arial" w:cs="Arial" w:eastAsia="Arial" w:hAnsi="Arial"/>
          <w:sz w:val="18"/>
          <w:szCs w:val="18"/>
          <w:color w:val="auto"/>
        </w:rPr>
        <w:t xml:space="preserve"> cannot be made as the initial accounting for the business transaction is incomplete. In addition, the disclosure requirements of </w:t>
      </w:r>
      <w:r>
        <w:rPr>
          <w:rFonts w:ascii="Arial" w:cs="Arial" w:eastAsia="Arial" w:hAnsi="Arial"/>
          <w:sz w:val="18"/>
          <w:szCs w:val="18"/>
          <w:i w:val="1"/>
          <w:iCs w:val="1"/>
          <w:color w:val="auto"/>
        </w:rPr>
        <w:t>Topic 805,</w:t>
      </w:r>
      <w:r>
        <w:rPr>
          <w:rFonts w:ascii="Arial" w:cs="Arial" w:eastAsia="Arial" w:hAnsi="Arial"/>
          <w:sz w:val="18"/>
          <w:szCs w:val="18"/>
          <w:color w:val="auto"/>
        </w:rPr>
        <w:t xml:space="preserve"> when the initial accounting is incomplete, also cannot be made due to the timing of the acquisition and the related due date of this Form 10-Q. Key financial data such as the determination of the final acquisition price and the fair value of the assets acquired and liabilities assumed is not yet available.</w:t>
      </w:r>
    </w:p>
    <w:p>
      <w:pPr>
        <w:spacing w:after="0" w:line="187"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will be allocated to goodwill. The value of the goodwill represents the value the Company expects to be created by expanding its customer relationships and capabilities in the design, engineering, development, manufacturing and production of unmanned aerial targets and airframe structures. Additionally, certain CEI products and aerial systems support electronic warfare programs, increasing the Company's qualifications in this area.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This report contains forward-looking statements. These statements relate to future events or our future financial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w:t>
      </w:r>
    </w:p>
    <w:p>
      <w:pPr>
        <w:spacing w:after="0" w:line="1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(the“Form 10-Q”) to conform such statements to actual results or to changes in our expectations.</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amortization expense, may be considered non-GAAP (as defined below)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principles generally accepted in the U.S.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that affect our business, including without limitation our Annual Report on Form 10-K, filed with the U.S. Securities and Exchange Commission (the“SEC”) on March 7, 2012 (the “Form 10-K”), including the disclosures made in Item 1A “Risk Factors” and the audited consolidated financial statements and related notes included therein, and the disclosures made in Item 1A “Risk Factors” in this Form 10-Q. All references to “us,” “we,” “our,” the “Company” and “Kratos” refer to Kratos Defense &amp; Security Solutions, Inc., a Delaware corporation,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 specialized national security technology business providing mission critical products, services and solutions for U.S. national security priorities.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manufacture and design specialized electronic defense components, subsystems and systems for electronic attack, electronic warfare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(“IT”)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national security clearances, extensive list of past performance qualifications, and significant management and operational capabilities position us for continued growth.</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August 2011, Congress and the Administration enacted the Budget Control Act of 2011 (the “Budget Act”) in order to permit an increase in the federal government's borrowing limit while reducing projected net government spending over the next ten years. The Budget Act contains $900 billion in immediate cuts to discretionary spending for 2012-2021. It also established a bi-partisan congressional Joint Select Committee on Deficit Reduction (the “Joint Committee”), which is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that will start in 2013 and be split between defense and non-defense programs continuing over a nine-year period. Should Congress and the Administration fail to change or delay the pending sequestration imposed by the Budget Act, our customers could see their budgets dramatically reduced across the board with a corresponding impact upon procurement of products and services, and this could have significant consequences to our business and industry. Although it appears Congressional leadership and the Obama Administration are considering options to avoid such an outcome, it remains uncertain as to whether they will succeed in doing so.</w:t>
      </w:r>
    </w:p>
    <w:p>
      <w:pPr>
        <w:spacing w:after="0" w:line="183" w:lineRule="exact"/>
        <w:rPr>
          <w:sz w:val="20"/>
          <w:szCs w:val="20"/>
          <w:color w:val="auto"/>
        </w:rPr>
      </w:pPr>
    </w:p>
    <w:p>
      <w:pPr>
        <w:ind w:firstLine="702"/>
        <w:spacing w:after="0" w:line="257" w:lineRule="auto"/>
        <w:rPr>
          <w:sz w:val="20"/>
          <w:szCs w:val="20"/>
          <w:color w:val="auto"/>
        </w:rPr>
      </w:pPr>
      <w:r>
        <w:rPr>
          <w:rFonts w:ascii="Arial" w:cs="Arial" w:eastAsia="Arial" w:hAnsi="Arial"/>
          <w:sz w:val="18"/>
          <w:szCs w:val="18"/>
          <w:color w:val="auto"/>
        </w:rPr>
        <w:t>We believe that spending on modernization and maintenance of defense, intelligence and homeland security assets will continue to be a national priority. The vast majority of our programs are funded in the Department of Defense (“DoD”) Base budget and not the Overseas Contingency Operations budget. We also believe that our business is aligned with mission critical national security priorities, particularly in the areas of Unmanned Aerial Vehicles (“UAVs”), cybersecurity, ballistic missile defense, space programs and science and technology efforts, where the proposed defense budget for fiscal year 2013 has actually allocated increased funding.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supplemented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 Since March 2011, we have acquired four companies, each as discussed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3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July 2, 2012, we completed the acquisition of CEI for approximately $161.3 million. The shareholders of CEI received $135.0 million in cash, which is subject to adjustments for working capital, and 4.0 million shares of the Company's common stock, valued at $5.94 per share on July 2, 2012, or $23.8 million. In addition, we eliminated accounts receivable from CEI and corresponding accounts payable by CEI of $2.3 million. We will cover an estimated $0.2 million additional tax liability incurred by the shareholders of CEI for making an election under Section 338(h)(10) of Internal Revenue Code which will result in tax deductible goodwill related to this transaction. We estimate that the tax deductible goodwill, which is subject to change based upon the final fair value of assets acquired and liabilities assumed, will be approximately $130.0 million and can be deducted for federal and California state income taxes over a 15-year period.</w:t>
      </w:r>
    </w:p>
    <w:p>
      <w:pPr>
        <w:spacing w:after="0" w:line="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November 15, 2011, we acquired SecureInfo Corporation (“SecureInfo”) for $18.8 million in cash, which does not include a $1.5 million earn-out payment made in the first quarter of 2012.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DoD, the Department of Homeland Security ("DHS") and large commercial customers, including market-leading cloud computing service providers.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July 27, 2011, we acquired Integral Systems, Inc. (“Integral”) in a cash and stock transaction valued at $241.1 million. As consideration for the acquisition of Integral, each Integral stockholder (i) received $5.00 per share of Integral common stock, in cash, for an aggregate payment of approximately $131.4 million and (ii) was issued 0.588 shares of our common stock for each share of Integral common stock held by each such stockholder, for an aggregate of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 In addition, upon completion of the merger (i) each outstanding Integral stock option with an exercise price less than $13.00 per share was, if the holder thereof had so elected in writing, canceled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our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canceled and converted into the right to receive $13.00, less the amount of any tax withholding. 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 shares of Herley common stock were purchased at a price of $19.00 per share. Accordingly, we paid total aggregate cash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$270.7 million in respect of the shares of Herley common stock and certain in-the-money options, which were exercised upon the change in control of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completion of the merger, all unexercised options to purchase Herley common stock were assumed by us and converted into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our common stock, entitling the holders thereof to receive 1.3495 shares of our common stock for each share of Herley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options. Herley is a leading provider of microwave technologies for use in command and control systems, flight instrumentation, weapons sensors, radar,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electronic warfare and electronic attack systems. Herley has served the defense industry for approximately 45 years by designing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 microwave devices for use in high-technology defense electronics applications. It has established relationships, experience and expertise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military electronics, electronic warfare and electronic attack industry. Herley's products represent key components in the national security efforts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as they are employed in mission critical electronic warfare, electronic attack, electronic warfare threat and radar simulation, command and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 and cyber warfare/cybersecurity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December 30, 2011, we acquired selected assets of a critical infrastructure security and public safety system integration business (the “Critical Infrastructure Business”) for approximately $20.0 million. The asset purchase agreement provides that the purchase price will be (i) increased on a dollar for dollar basis if the working capital on the closing date (as defined in the asset agreement) exceeds $17.0 million or (ii) decreased on a dollar for dollar basis if the working capital is less than $17.0 million. We submitted our computation of the closing working capital to the seller on April 27, 2012, reporting a deficiency to the minimum required working capital. The seller had 60 days to object to our computation of the closing working capital. Recently, both parties have mutually agreed to extend the time to discuss our working capital computations and the Seller's objections to August 30, 2012. As we have not yet agreed on the working capital adjustment, we have not reflected an adjustment to the purchase price.</w:t>
      </w:r>
    </w:p>
    <w:p>
      <w:pPr>
        <w:spacing w:after="0" w:line="17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United States'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24, 2012, we consider the following factors to be important in understanding our financial statements.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 price contracts, we utilize both cost-to-cost and units produced measures under the percentage-of-completion method of accounting under the provisions of Financial Accounting Standards Board (“FASB”) Accounting Standards Codification (“ASC”)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26, 2011 to the Three Months Ended June 24, 2012</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$48.7 million from $171.1 million for the three months ended June 26, 2011 to $219.8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24, 2012. KGS segment revenue increased by $30.5 million. This increase was primarily due to the acquisitions of SecureInfo and Integral, which had combined revenues of $54.9 million, as well as organic growth in our businesses, offset in part by the timing of orders and shipments in our ground equipment business and legacy weapons systems sustainment business, resulting in an aggregate net reduction of approximately $10.0 million, and continued ongoing weakness and increased competition in our legacy government services businesses, including continued in-sourcing of our employees by the U.S. Government, resulting in an aggregate net reduction of approximately $12.4 million. PSS segment revenue increased by $18.2 million, primarily due to the acquisition of the Critical Infrastructure Business on December 30, 2011, which generated revenues of $16.6 million, as well as organic growth in our existing legacy PSS business of $1.6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for the three months ended June 26, 2011 and June 24, 2012 are as follows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26, 2011</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24, 2012</w:t>
            </w:r>
          </w:p>
        </w:tc>
        <w:tc>
          <w:tcPr>
            <w:tcW w:w="340" w:type="dxa"/>
            <w:vAlign w:val="bottom"/>
          </w:tcPr>
          <w:p>
            <w:pPr>
              <w:spacing w:after="0"/>
              <w:rPr>
                <w:sz w:val="16"/>
                <w:szCs w:val="16"/>
                <w:color w:val="auto"/>
              </w:rPr>
            </w:pPr>
          </w:p>
        </w:tc>
        <w:tc>
          <w:tcPr>
            <w:tcW w:w="1360" w:type="dxa"/>
            <w:vAlign w:val="bottom"/>
          </w:tcPr>
          <w:p>
            <w:pPr>
              <w:jc w:val="right"/>
              <w:ind w:right="494"/>
              <w:spacing w:after="0"/>
              <w:rPr>
                <w:sz w:val="20"/>
                <w:szCs w:val="20"/>
                <w:color w:val="auto"/>
              </w:rPr>
            </w:pPr>
            <w:r>
              <w:rPr>
                <w:rFonts w:ascii="Arial" w:cs="Arial" w:eastAsia="Arial" w:hAnsi="Arial"/>
                <w:sz w:val="14"/>
                <w:szCs w:val="14"/>
                <w:b w:val="1"/>
                <w:bCs w:val="1"/>
                <w:color w:val="auto"/>
              </w:rPr>
              <w:t>$ change</w:t>
            </w:r>
          </w:p>
        </w:tc>
        <w:tc>
          <w:tcPr>
            <w:tcW w:w="2000" w:type="dxa"/>
            <w:vAlign w:val="bottom"/>
          </w:tcPr>
          <w:p>
            <w:pPr>
              <w:jc w:val="right"/>
              <w:ind w:right="5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2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Public Safety &amp; Security</w:t>
            </w: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20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Product sales increased $11.9 million from $95.8 million for the three months ended June 26, 2011 to $107.7 million for the three months ended June 24, 2012. As a percentage of total revenue, product sales were 56.0% for the three months ended June 26, 2011 as compared to 49.0% for the three months ended June 24, 2012. This decrease was primarily related to the timing of orders and shipments in our ground equipment business noted previously. Service revenues increased by $36.8 million from $75.3 million for the three months ended June 26, 2011 to $112.1 million for the three months ended June 24, 2012. The increase was primarily related to the acquisitions of Integral, SecureInfo and the Critical Infrastructure Business, partially offset by the reductions in the traditional government service revenue in other business units in the KGS segment as discussed above.</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$125.7 million for the three months ended June 26, 2011 to $162.1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24, 2012. The $36.4 million increase in cost of revenues was primarily a result of the acquisitions of SecureInfo, Integral, and the Critical Infrastructure Business, which had combined cost of revenues of $51.9 million, offset by reductions in cost of revenues in our KGS segment as a result of decreased revenue as discussed above.</w:t>
      </w:r>
    </w:p>
    <w:p>
      <w:pPr>
        <w:spacing w:after="0" w:line="18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Gross margin decreased slightly from 26.5% for the three months ended June 26, 2011 to 26.3% for the three months ended June 24, 2012. Margins on services decreased for the three months ended June 26, 2011 as compared to June 24, 2012, from 23.0% to 22.7%, respectively, due primarily to the acquisitions of Integral and the Critical Infrastructure Business, as well as the continued margin pressure experienced in our traditional service business in our KGS segment. Margins on products increased for the three months ended June 26, 2011 as compared to June 24, 2012 from 29.3% to 30.0%, respectively, as a result of the acquisition of Integral. Margins in the KGS segment decreased from 26.2% for the three months ended June 26, 2011 to 25.9% for the three months ended June 24, 2012, primarily as a result of lower gross margins from service revenue in our legacy business units. Margins in the PSS segment decreased from 28.3% for the three months ended June 26, 2011 to 27.7% for the three months ended June 24, 2012 as a result of the mix of revenue and due to the acquisition of the Critical Infrastructure Business, for which cost reduction actions have not yet been fully implemented.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$8.9 million from $33.7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26, 2011 to $42.6 million for the three months ended June 24, 2012. The increase was primarily a result of the acquisitions of SecureInfo, Integral, and the Critical Infrastructure Business.</w:t>
      </w:r>
    </w:p>
    <w:p>
      <w:pPr>
        <w:spacing w:after="0" w:line="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As a percentage of revenues, SG&amp;A decreased from 19.7% to 19.4%. Excluding amortization of intangibles of $9.2 million for the three months ended June 26, 2011 and amortization of intangibles of $8.9 million for the three months ended June 24, 2012, SG&amp;A increased as a percentage of revenues from 14.3% to 15.3% for the three months ended June 26, 2011 and June 24, 2012, respectively, reflecting the SG&amp;A of our acquisitions of SecureInfo, Integral, and the Critical Infrastructure Business, which have higher SG&amp;A as a percentage of revenues and corresponding higher gross margin percentages.</w:t>
      </w:r>
    </w:p>
    <w:p>
      <w:pPr>
        <w:spacing w:after="0" w:line="1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for the three months ended June 26, 2011 were $1.8 million,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the acquisition of Integral Systems. Merger and acquisition expenses for the three months ended June 24, 2012 were $1.5 million, which were primarily related to our acquisition of CEI, which closed in the third quarter of 2012.</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$1.2 million for the three months ended June 26, 2011 to</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for the three months ended June 24, 2012, primarily related to the acquisition of Integral and due to select investments we are making to enhance certain satellite and electronic warfare/electronic attack products.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$13.1 million to $15.7 million for the three months ended June 26, 2011 and June 24, 2012,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$2.6 million is primarily related to a $3.1 million increase in interest expense as a result of the 10% Senior Secured Notes issued in March 2011 and July 2011, primarily to fund the Herley and Integral acquisitions. We had other income of $0.5 million in 2012 primarily related to foreign currency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transaction gains.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Income tax expense for the three months ended June 26, 2011 and June 24, 2012 was $0.9 million and $6.6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on a loss before income taxes of $4.4 million and $8.3 million, respectively. The expense for both periods was primarily related to state and foreign taxes.</w:t>
      </w:r>
    </w:p>
    <w:p>
      <w:pPr>
        <w:spacing w:after="0" w:line="181" w:lineRule="exact"/>
        <w:rPr>
          <w:sz w:val="20"/>
          <w:szCs w:val="20"/>
          <w:color w:val="auto"/>
        </w:rPr>
      </w:pPr>
    </w:p>
    <w:p>
      <w:pPr>
        <w:ind w:right="220" w:firstLine="693"/>
        <w:spacing w:after="0" w:line="293"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There was no revenue and income from discontinued operations was $0.1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26, 2011. The income of $0.1 million for the three months ended June 26, 2011 was primarily related to the expiration of the statute of limitations for items that had previously been reserved. Revenue was $1.8 million and loss from discontinued operations was $2.3 million for the three months ended June 24, 2012. The revenue and loss for the three months ended June 24, 2012 was primarily related to operations of the non-core businesses from the Integral acquisition that have been classified as held for sale as of June 2012. We recorded a $1.5 million impairment charge associated with the portion of goodwill that was allocated to the discontinued businesses based on our estimate of the fair value of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26, 2011 to the Six Months Ended June 24, 2012</w:t>
      </w:r>
    </w:p>
    <w:p>
      <w:pPr>
        <w:spacing w:after="0" w:line="229"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$135.4 million from $293.9 million for the six months ended June 26, 2011 to $429.3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24, 2012. KGS segment revenue increased by $102.0 million. This increase was primarily due to the acquisitions of SecureInfo, Integral and Herley which had combined revenues of $198.5 million, as well as organic growth in our ballistic missile defense and learning, performance and training businesses, offset by the completion of acquired small business contracts in the first quarter of 2011, ongoing weakness and increased competition in our legacy services businesses, and continued in-sourcing of our employees by the U.S. Government, resulting in an aggregate net reduction of approximately $25.0 million, and the timing of orders and shipments in our ground equipment business and legacy weapons systems sustainment business, resulting in an aggregate net reduction of approximately $21.6 million. PSS segment revenue increased by $33.4 million which was primarily due to the acquisition of the Critical Infrastructure Business on December 30, 2011, which generated revenues of $30.4 million, as well as organic growth in our existing legacy PSS business of $3.0 million. Revenues by operating segment for the six months ended June 26, 2011 and June 24, 2012 are as follows (dollars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24,</w:t>
            </w: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22"/>
        </w:trPr>
        <w:tc>
          <w:tcPr>
            <w:tcW w:w="4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5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900" w:type="dxa"/>
            <w:vAlign w:val="bottom"/>
          </w:tcPr>
          <w:p>
            <w:pPr>
              <w:jc w:val="right"/>
              <w:ind w:right="5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Public Safety &amp; Security</w:t>
            </w: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4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4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increased $76.3 million from $138.8 million for the six months ended June 26, 2011 to $215.1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24, 2012. As a percentage of total revenue, product sales were 47.2% for the six months ended June 26, 2011 as compared to 50.1%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24, 2012. This increase was primarily related to the acquisitions of Integral and Herley, partially offset by the timing of orders and shipments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ground equipment business. Service revenues increased by $59.1 million from $155.1 million for the six months ended June 26, 2011 to $214.2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24, 2012. The increase was primarily related to the acquisitions of Integral, SecureInfo and the Critical Infrastructure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the reductions in service revenue in other business units in the KGS segment as discussed above.</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$221.1 million for the six months ended June 26, 2011 to $314.2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24, 2012. The $93.1 million increase in cost of revenues was primarily a result of the acquisitions of SecureInfo, Integral, Herley and the Critical Infrastructure Business, which had combined cost of revenues of $157.1 million, offset by reductions in cost of revenues in our KGS segment as a result of decreased revenue as discussed above.</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Gross margin increased from 24.8% for the six months ended June 26, 2011 to 26.8% for the six months ended June 24, 2012. Margins on services decreased from 23.7% for the six months ended June 26, 2011 to 22.3% for the six months ended June 24, 2012, due primarily to the acquisitions of Integral and the Critical Infrastructure Business, as well as the continued margin pressure experienced in our service business. Margins on products increased for the six months ended June 26, 2011 as compared to June 24, 2012 from 25.9% to 31.3%, respectively, as a result of the acquisitions of Integral and Herley. Margins in the KGS segment increased from 24.0% for the six months ended June 26, 2011 to 26.8% for the six</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months ended June 24, 2012 primarily as a result of the higher gross margins from our Integral, Herley, and SecureInfo acquisitions. Margins in the PSS segment decreased from 28.3% for the six months ended June 26, 2011 to 26.7% for the six months ended June 24, 2012 as a result of the mix of revenue and due to the acquisition of the Critical Infrastructure Business, for which cost reduction actions have not yet been fully implemented.</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increased $33.1 million from $53.3 million for the six months ended June 26, 2011 to $86.4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24, 2012. The increase was primarily a result of the acquisitions of SecureInfo, Integral, Herley and the Critical Infrastructure Business. As a percentage of revenues, SG&amp;A increased from 18.1% to 20.1%. Excluding amortization of intangibles of $12.6 million for the six months ended June 26, 2011 and amortization of intangibles of $19.4 million for the six months ended June 24, 2012, SG&amp;A increased as a percentage of revenues from 13.8% to 15.6% for the six months ended June 26, 2011 and June 24, 2012, respectively, reflecting the SG&amp;A of our acquisitions of SecureInfo, Integral, Herley and the Critical Infrastructure Business, which have higher SG&amp;A as a percentage of revenues and corresponding higher gross margin percentages.</w:t>
      </w:r>
    </w:p>
    <w:p>
      <w:pPr>
        <w:spacing w:after="0" w:line="18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i w:val="1"/>
          <w:iCs w:val="1"/>
          <w:color w:val="auto"/>
        </w:rPr>
        <w:t xml:space="preserve">Merger and Acquisition Expenses. </w:t>
      </w:r>
      <w:r>
        <w:rPr>
          <w:rFonts w:ascii="Arial" w:cs="Arial" w:eastAsia="Arial" w:hAnsi="Arial"/>
          <w:sz w:val="17"/>
          <w:szCs w:val="17"/>
          <w:color w:val="auto"/>
        </w:rPr>
        <w:t>Merger and acquisition expenses decreased $5.2 million from $7.6 million to $2.4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26, 2011 and June 24, 2012, respectively. Acquisition expenses in 2011 related primarily to our acquisitions of Herley and Integral. Merger and acquisition expenses in 2012 are primarily related to the acquisitions of the Critical Infrastructure Business and CEI.</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$1.8 million for the six months ended June 26, 2011 to</w:t>
      </w:r>
      <w:r>
        <w:rPr>
          <w:rFonts w:ascii="Arial" w:cs="Arial" w:eastAsia="Arial" w:hAnsi="Arial"/>
          <w:sz w:val="18"/>
          <w:szCs w:val="18"/>
          <w:i w:val="1"/>
          <w:iCs w:val="1"/>
          <w:color w:val="auto"/>
        </w:rPr>
        <w:t xml:space="preserve"> </w:t>
      </w:r>
      <w:r>
        <w:rPr>
          <w:rFonts w:ascii="Arial" w:cs="Arial" w:eastAsia="Arial" w:hAnsi="Arial"/>
          <w:sz w:val="18"/>
          <w:szCs w:val="18"/>
          <w:color w:val="auto"/>
        </w:rPr>
        <w:t>$8.4 million for the six months ended June 24, 2012 primarily related to the acquisitions of Integral and Herley, as well as due to select investments we are making to enhance certain satellite and electronic warfare/electronic attack products.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$19.5 million to $31.4 million for the six months ended June 26, 2011 and June 24, 2012,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$11.9 million is primarily related to an increase in interest expense as a result of the Additional Notes issued in March 2011 and July 2011, primarily to fund the Herley and Integral acquisitions. We had other income of $0.9 million in 2012 primarily related to foreign currency transaction gains as well as a favorable contractual settlement.</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We recorded an income tax benefit of $0.3 million on a loss of $9.4 million before income taxes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26, 2011. The benefit of $0.3 million was primarily related to an income tax refund claim of $2.1 million that was settled with the IRS offset by state and foreign income taxes of $1.6 million, which cannot be offset by our net operating losses. We recorded an income tax expense of $2.5 million on a loss of $14.9 million before income taxes for the six months ended June 26, 2012. The expense was primarily related to state and foreign taxes.</w:t>
      </w:r>
    </w:p>
    <w:p>
      <w:pPr>
        <w:spacing w:after="0" w:line="15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There was no revenue and income from discontinued operations was $0.4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26, 2011. The income of $0.4 million for the six months ended June 26, 2011 was primarily related to the expiration of the statute of limitations for items that had previously been reserved. Revenue was $7.4 million and loss from discontinued operations was $2.8 million for the six months ended June 24, 2012. The revenue and loss for the six months ended June 24, 2012 was primarily related to operations of the non-core businesses from the Integral acquisition that have been classified as held for sale as of June 2012. We recorded a $1.5 million impairment charge associated with the portion of goodwill that was allocated to the discontinued businesses based on our estimate of the fair value of the businesses. For the six months ended June 26, 2011 and June 24, 2012, we recognized a tax benefit of $0.3 million and $0.1 million, respectively, primarily related to the expiration of the statute of limitations for certain foreign tax contingencies from our discontinued wireless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of June 26, 2011 and June 24, 2012, our backlog was approximately $932 million and $1.1 billion, respectively, of which $383 million was funded in 2011 and $546.0 million was funded in 2012.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unless and until Congress makes subsequent appropriation and the procuring agency allocates funding to the contract.</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June 24, 2012, we had cash and cash equivalents of $145.7 million compared with cash and cash equivalents of $69.6 million as of December 25, 2011, which includes $18.3 million and $14.2 million, respectively, of cash and cash equivalents held by our foreign subsidiaries. We are not presently aware of any restrictions on the repatriation of these funds, although a portion may be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$20.8 million received on Notes issued, decreased by $2.8 million from $655.9 million on December 25, 2011 to $653.1 million on June 24, 2012. The decrease in debt was primarily the result of the amortization of the premium on the Notes of approximately $2.1 million and a $0.5 million principal payment on a ten-year term loan with a bank in Israel.</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operating cash flow is used to finance trade accounts receivable, fund capital expenditures and our ongoing operations,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 Our accounts receivable balance of $256.8 million at June 24, 2012 includes $0.7 million of receivables due from a Greek customer under a subcontract arrangement Gichner Holdings, Inc. ("Gichner") entered into with the Greek Ministry of Defense (GMoD) in 2004 prior to our acquisition of Gichner in 2010. After numerous delays by our customer and the GMoD, activity has recently resumed on the project. We currently expect product shipments to continue throughout 2012 with final shipment by mid-2013. We do not have any significant direct exposure to European government receivables, and our customers do not rely heavily on European government subsidies or other European government support. We will continue to monitor our exposure to risks relating to European sovereign debt.</w:t>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condensed consolidated statements of cash flows is as follows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400" w:type="dxa"/>
            <w:vAlign w:val="bottom"/>
          </w:tcPr>
          <w:p>
            <w:pPr>
              <w:spacing w:after="0"/>
              <w:rPr>
                <w:sz w:val="16"/>
                <w:szCs w:val="16"/>
                <w:color w:val="auto"/>
              </w:rPr>
            </w:pPr>
          </w:p>
        </w:tc>
        <w:tc>
          <w:tcPr>
            <w:tcW w:w="2120" w:type="dxa"/>
            <w:vAlign w:val="bottom"/>
          </w:tcPr>
          <w:p>
            <w:pPr>
              <w:jc w:val="center"/>
              <w:ind w:right="302"/>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58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0"/>
              </w:rPr>
              <w:t>June 26, 2011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92"/>
              </w:rPr>
              <w:t>June 24, 2012</w:t>
            </w: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Net cash provided by (used in) operating activities from continuing operations  $</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9.8</w:t>
            </w:r>
          </w:p>
        </w:tc>
      </w:tr>
      <w:tr>
        <w:trPr>
          <w:trHeight w:val="27"/>
        </w:trPr>
        <w:tc>
          <w:tcPr>
            <w:tcW w:w="5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Cash provided by (used in) operating activities from continuing operations for the six months ended June 26, 2011 and June 24, 2012 includes the semi-annual interest payment of $25.5 million and $31.2 million, respectively, on the Notes and $13.9 million and $2.9 million, respectively, in transaction costs paid related to our acquisitions.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340" w:type="dxa"/>
            <w:vAlign w:val="bottom"/>
          </w:tcPr>
          <w:p>
            <w:pPr>
              <w:spacing w:after="0"/>
              <w:rPr>
                <w:sz w:val="16"/>
                <w:szCs w:val="16"/>
                <w:color w:val="auto"/>
              </w:rPr>
            </w:pPr>
          </w:p>
        </w:tc>
        <w:tc>
          <w:tcPr>
            <w:tcW w:w="1860" w:type="dxa"/>
            <w:vAlign w:val="bottom"/>
          </w:tcPr>
          <w:p>
            <w:pPr>
              <w:jc w:val="right"/>
              <w:ind w:right="436"/>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26, 2011</w:t>
            </w:r>
          </w:p>
        </w:tc>
        <w:tc>
          <w:tcPr>
            <w:tcW w:w="340" w:type="dxa"/>
            <w:vAlign w:val="bottom"/>
          </w:tcPr>
          <w:p>
            <w:pPr>
              <w:spacing w:after="0"/>
              <w:rPr>
                <w:sz w:val="24"/>
                <w:szCs w:val="24"/>
                <w:color w:val="auto"/>
              </w:rPr>
            </w:pPr>
          </w:p>
        </w:tc>
        <w:tc>
          <w:tcPr>
            <w:tcW w:w="1860" w:type="dxa"/>
            <w:vAlign w:val="bottom"/>
          </w:tcPr>
          <w:p>
            <w:pPr>
              <w:jc w:val="right"/>
              <w:ind w:right="596"/>
              <w:spacing w:after="0"/>
              <w:rPr>
                <w:sz w:val="20"/>
                <w:szCs w:val="20"/>
                <w:color w:val="auto"/>
              </w:rPr>
            </w:pPr>
            <w:r>
              <w:rPr>
                <w:rFonts w:ascii="Arial" w:cs="Arial" w:eastAsia="Arial" w:hAnsi="Arial"/>
                <w:sz w:val="14"/>
                <w:szCs w:val="14"/>
                <w:b w:val="1"/>
                <w:bCs w:val="1"/>
                <w:color w:val="auto"/>
              </w:rPr>
              <w:t>June 24, 2012</w:t>
            </w:r>
          </w:p>
        </w:tc>
      </w:tr>
      <w:tr>
        <w:trPr>
          <w:trHeight w:val="236"/>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paid for acquisitions accounted for the most significant outlays for investing activities for the six months ended June 26, 2011 and June 24, 2012, in each case as a result of the implementation of our strategy to diversify our business through strategic acquisitions.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March 25, 2011, we completed our initial tender offer for all outstanding shares of Herley common stock, par value $0.001 per share, of Herley. On that day, we paid $245.5 million for approximately 12.9 million shares of Herley common stock, which excluded 0.3 million shares that had been tendered via a notice of guaranteed delivery. Through purchases in a subsequent offering period and a short-form merger, we completed our acquisition of Herley on March 30, 2011 and paid an additional $25.1 million in April 2011 for the balance of the outstanding shares of 1.2 million and the Herley Options that were exercised as a result of the change in control. In December 2010, we acquired Southside Container &amp; Trailer, LLC (“SCT”) and in March 2011, we paid $0.3 million to the SCT shareholders as SCT's indemnification obligations as set forth in the applicable acquisition agreement were met.</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December 30, 2011, we acquired selected assets of the Critical Infrastructure Business for approximately $20.0 million. In March 2012, we paid $1.5 million related to the contingent acquisition consideration for SecureInfo for performance milestones achieved in 2011.</w:t>
      </w:r>
    </w:p>
    <w:p>
      <w:pPr>
        <w:spacing w:after="0" w:line="170" w:lineRule="exact"/>
        <w:rPr>
          <w:sz w:val="20"/>
          <w:szCs w:val="20"/>
          <w:color w:val="auto"/>
        </w:rPr>
      </w:pPr>
    </w:p>
    <w:p>
      <w:pPr>
        <w:ind w:right="60" w:firstLine="693"/>
        <w:spacing w:after="0" w:line="312" w:lineRule="auto"/>
        <w:rPr>
          <w:sz w:val="20"/>
          <w:szCs w:val="20"/>
          <w:color w:val="auto"/>
        </w:rPr>
      </w:pPr>
      <w:r>
        <w:rPr>
          <w:rFonts w:ascii="Arial" w:cs="Arial" w:eastAsia="Arial" w:hAnsi="Arial"/>
          <w:sz w:val="16"/>
          <w:szCs w:val="16"/>
          <w:color w:val="auto"/>
        </w:rPr>
        <w:t>Capital expenditures consist primarily of investment in machinery, computer hardware and software, and improvement of our physical properties in order to maintain suitable conditions in which to conduct our business. The increase in capital expenditures of $3.5 million from $2.7 million for the six months ended June 26, 2011 to $6.2 million for the six months ended June 24, 2012 was primarily a result of the capital expenditures of Herley and Integral.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300" w:type="dxa"/>
            <w:vAlign w:val="bottom"/>
          </w:tcPr>
          <w:p>
            <w:pPr>
              <w:spacing w:after="0"/>
              <w:rPr>
                <w:sz w:val="16"/>
                <w:szCs w:val="16"/>
                <w:color w:val="auto"/>
              </w:rPr>
            </w:pPr>
          </w:p>
        </w:tc>
        <w:tc>
          <w:tcPr>
            <w:tcW w:w="1800" w:type="dxa"/>
            <w:vAlign w:val="bottom"/>
          </w:tcPr>
          <w:p>
            <w:pPr>
              <w:jc w:val="right"/>
              <w:ind w:right="3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June 26, 2011</w:t>
            </w:r>
          </w:p>
        </w:tc>
        <w:tc>
          <w:tcPr>
            <w:tcW w:w="300" w:type="dxa"/>
            <w:vAlign w:val="bottom"/>
          </w:tcPr>
          <w:p>
            <w:pPr>
              <w:spacing w:after="0"/>
              <w:rPr>
                <w:sz w:val="24"/>
                <w:szCs w:val="24"/>
                <w:color w:val="auto"/>
              </w:rPr>
            </w:pPr>
          </w:p>
        </w:tc>
        <w:tc>
          <w:tcPr>
            <w:tcW w:w="1800" w:type="dxa"/>
            <w:vAlign w:val="bottom"/>
          </w:tcPr>
          <w:p>
            <w:pPr>
              <w:jc w:val="right"/>
              <w:ind w:right="554"/>
              <w:spacing w:after="0"/>
              <w:rPr>
                <w:sz w:val="20"/>
                <w:szCs w:val="20"/>
                <w:color w:val="auto"/>
              </w:rPr>
            </w:pPr>
            <w:r>
              <w:rPr>
                <w:rFonts w:ascii="Arial" w:cs="Arial" w:eastAsia="Arial" w:hAnsi="Arial"/>
                <w:sz w:val="14"/>
                <w:szCs w:val="14"/>
                <w:b w:val="1"/>
                <w:bCs w:val="1"/>
                <w:color w:val="auto"/>
              </w:rPr>
              <w:t>June 24, 2012</w:t>
            </w:r>
          </w:p>
        </w:tc>
        <w:tc>
          <w:tcPr>
            <w:tcW w:w="0" w:type="dxa"/>
            <w:vAlign w:val="bottom"/>
          </w:tcPr>
          <w:p>
            <w:pPr>
              <w:spacing w:after="0"/>
              <w:rPr>
                <w:sz w:val="1"/>
                <w:szCs w:val="1"/>
                <w:color w:val="auto"/>
              </w:rPr>
            </w:pPr>
          </w:p>
        </w:tc>
      </w:tr>
      <w:tr>
        <w:trPr>
          <w:trHeight w:val="236"/>
        </w:trPr>
        <w:tc>
          <w:tcPr>
            <w:tcW w:w="5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the issuance of 10% Senior Secured Notes</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Repayments under credit facility</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Arial" w:cs="Arial" w:eastAsia="Arial" w:hAnsi="Arial"/>
                <w:sz w:val="18"/>
                <w:szCs w:val="18"/>
                <w:color w:val="auto"/>
                <w:w w:val="94"/>
              </w:rPr>
              <w:t>Net cash provided by financing activities from continuing operations</w:t>
            </w:r>
          </w:p>
        </w:tc>
        <w:tc>
          <w:tcPr>
            <w:tcW w:w="12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80" w:type="dxa"/>
            <w:vAlign w:val="bottom"/>
            <w:vMerge w:val="restart"/>
          </w:tcPr>
          <w:p>
            <w:pPr>
              <w:jc w:val="right"/>
              <w:ind w:right="87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six months ended June 26, 2011, cash provided by financing activities was primarily related to proceeds from equity and debt offerings that we used to finance our acquisition of Herley. In March 2011, we issued Notes in the aggregate principal amount of $285.0 million at a premium of 107% for an effective interest rate of 8.5%. The gross proceeds were approximately $314.0 million, which includes approximately $9.0 million in accrued interest and $20.0 million in issuance premium. We paid $14.6 million in debt issuance costs related to this offering. On February 11,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we received approximately $61.1 million in net proceeds.</w:t>
      </w:r>
    </w:p>
    <w:p>
      <w:pPr>
        <w:spacing w:after="0" w:line="189"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to fund a portion of the cash consideration paid to the stockholders of CEI in connection with our acquisition of CEI on July 2, 2012.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2012, we paid $2.5 million in contingent acquisition consideration related to the DEI performance milestones achieved in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“Contractual Obligations and Commitments” for a further discussion of the Notes and our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700" w:type="dxa"/>
            <w:vAlign w:val="bottom"/>
          </w:tcPr>
          <w:p>
            <w:pPr>
              <w:jc w:val="center"/>
              <w:ind w:left="322"/>
              <w:spacing w:after="0"/>
              <w:rPr>
                <w:sz w:val="20"/>
                <w:szCs w:val="20"/>
                <w:color w:val="auto"/>
              </w:rPr>
            </w:pPr>
            <w:r>
              <w:rPr>
                <w:rFonts w:ascii="Arial" w:cs="Arial" w:eastAsia="Arial" w:hAnsi="Arial"/>
                <w:sz w:val="14"/>
                <w:szCs w:val="14"/>
                <w:b w:val="1"/>
                <w:bCs w:val="1"/>
                <w:color w:val="auto"/>
                <w:w w:val="93"/>
              </w:rPr>
              <w:t>Six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center"/>
              <w:ind w:right="222"/>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676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0"/>
              </w:rPr>
              <w:t>June 26, 2011</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0"/>
              </w:rPr>
              <w:t>June 24, 2012</w:t>
            </w: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provided by discontinued operations</w:t>
            </w:r>
          </w:p>
        </w:tc>
        <w:tc>
          <w:tcPr>
            <w:tcW w:w="1700" w:type="dxa"/>
            <w:vAlign w:val="bottom"/>
            <w:shd w:val="clear" w:color="auto" w:fill="CCEEFF"/>
          </w:tcPr>
          <w:p>
            <w:pPr>
              <w:jc w:val="right"/>
              <w:ind w:right="150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w:t>
            </w:r>
          </w:p>
        </w:tc>
      </w:tr>
      <w:tr>
        <w:trPr>
          <w:trHeight w:val="27"/>
        </w:trPr>
        <w:tc>
          <w:tcPr>
            <w:tcW w:w="67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fund our acquisitions in 2011 and 2012, we issued equity and increased our leverage through a series of financing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(the “Indenture”), to issue the Notes. As of June 24, 2012, we have issued Notes in the aggregate principal amount of $625.0 million under the Indenture, of which $225.0 million were issued on May 19, 2010, $285.0 million were issued on March 25, 2011 at a $20.0 million premium and an effective interest rate of 8.5</w:t>
      </w:r>
    </w:p>
    <w:p>
      <w:pPr>
        <w:ind w:right="280" w:firstLine="8"/>
        <w:spacing w:after="0" w:line="295" w:lineRule="auto"/>
        <w:tabs>
          <w:tab w:leader="none" w:pos="1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and $115.0 million were issued on July 27, 2011 at a $5.8 million premium and an effective interest rate of 8.9%. These Notes have been used to fund acquisitions and for general corporate purposes. 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62"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24, 2012, we were in compliance with the covenants contained in the Indenture governing the Notes.</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date of redemption, with the net cash proceeds of certain equity offerings. In addition, we may, at our option, redeem some or all of the Notes at any time prior to June 1, 2014, by paying a “make whole”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premium, plus accrued and unpaid interest, if any, to the date of redemption. The Company may also at any time purchase outstanding Notes traded on the open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and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November 14, 2011, we entered into a first amendment (the “First Amendment Agreement”) with certain lenders and with KeyBank,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amended the 2011 Credit Agreement. Among other things, the First Amendment: (i) increased the amount of the Amended Revolver from $65.0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 million; (ii) added to and modified the definitions of certain terms contained in the 2011 Credit Agreement; (iii) added PNC Bank, National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lender under the 2011 Credit Agreement; and (iv) updated certain schedules to the 2011 Credit Agreement.</w:t>
      </w:r>
    </w:p>
    <w:p>
      <w:pPr>
        <w:spacing w:after="0" w:line="292" w:lineRule="exact"/>
        <w:rPr>
          <w:sz w:val="20"/>
          <w:szCs w:val="20"/>
          <w:color w:val="auto"/>
        </w:rPr>
      </w:pPr>
    </w:p>
    <w:p>
      <w:pPr>
        <w:ind w:right="14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May 8, 2012, we entered into a third amendment (the "Third Amendment") to the 2011 Credit Agreement. Under the terms of the Third Amendment, the definitions of certain terms of the 2011 Credit Agreement were modified and the acquisition of CEI was approved. We expect to use the net proceeds from the sale of 20.0 million shares of our common stock, together with the borrowings under our credit facility, to fund the purchase of the CEI and to pay related fees and expenses.</w:t>
      </w:r>
    </w:p>
    <w:p>
      <w:pPr>
        <w:spacing w:after="0" w:line="26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June 24, 2012, there were no outstanding borrowings on the Amended Revolver and $12.3 million was outstanding on letters of credit resulting in net borrowing base availability of $85.0 million. We were in compliance with the financial covenants as of June 24, 2012. In conjunction with the closing of the CEI acquisition on July 2, 2012, we borrowed $40.0 million on our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to fund a portion of the acquisition. As of August 1, 2012, $25.0 million remains outstanding on our revolving credit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We assumed a $10.0 million ten-year term loan with a bank in Israel that Herley entered into on September 16, 2008 in connection with the acquisition of one of its wholly owned subsidiaries. The balance as of June 24, 2012 was $6.2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June 24, 2012.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the Company will be obligated to pay certain additional contingent consideration (the “DEI Contingent Consideration”). We have paid $2.9 million related to the DEI Contingent Consideration of which $2.5 million was paid in April 2012. As of June 24, 2012, the potential undiscounted amount of future DEI Contingent Consideration that may be payable by us under the DEI Agreement is between $2.0 million and $4.5 million, subject to potential reductions if certain cash receipts are not collected. The DEI Contingent Consideration, which includes contingent consideration already paid and potential future contingent consideration, may be reduced in the event certain anticipated cash receipts are not collected within an agreed upon time period and could reduce the prior and future contingent consideration by approximately $6.0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may also pursue business acquisitions and other transactions designed to expand our business, which we would expect to fund from borrowings under the Amended Revolver, other future indebtedness or, if appropriate, the private and/or public sale or exchange of our debt or equity securities.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six months ended June 24, 2012, there have been no significant changes to our Critical Accounting Policies or Estimates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New accounting pronouncements issued or effective during the six month period ended June 24, 2012 have not had or are not expected to have a material impact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June 24, 2012 were $145.7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June 24,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24,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June 24, 2012 that has materially affected, or is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additional information regarding our legal proceedings, see Item 3, “Legal Proceedings” in the Form 10-K. As of June 24, 2012, there have been no material developments in our historical legal proceedings since December 25, 2011 except as described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Integral, which we acquired on July 27, 2011, was previously the subject of an SEC investigation and inquiry by The NASDAQ Stock Market LLC (“NASDAQ”). On July 30, 2009, the SEC and Integral each announced that a final administrative settlement had been reached concluding the SEC’s investigation. Shortly after the settlement with the SEC, the NASDAQ inquiry was closed with no further action required by Integral.</w:t>
      </w:r>
    </w:p>
    <w:p>
      <w:pPr>
        <w:spacing w:after="0" w:line="166" w:lineRule="exact"/>
        <w:rPr>
          <w:sz w:val="20"/>
          <w:szCs w:val="20"/>
          <w:color w:val="auto"/>
        </w:rPr>
      </w:pPr>
    </w:p>
    <w:p>
      <w:pPr>
        <w:ind w:firstLine="554"/>
        <w:spacing w:after="0" w:line="269" w:lineRule="auto"/>
        <w:rPr>
          <w:sz w:val="20"/>
          <w:szCs w:val="20"/>
          <w:color w:val="auto"/>
        </w:rPr>
      </w:pPr>
      <w:r>
        <w:rPr>
          <w:rFonts w:ascii="Arial" w:cs="Arial" w:eastAsia="Arial" w:hAnsi="Arial"/>
          <w:sz w:val="17"/>
          <w:szCs w:val="17"/>
          <w:color w:val="auto"/>
        </w:rPr>
        <w:t>In conjunction with its announcement of the administrative settlement, the SEC also disclosed that it was instituting separate civil actions against three former officers of Integral.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each provide that, subject to certain terms and conditions, Integral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2011, and the Company is advancing payment of indemnifiable costs pursuant to the indemnification agreements.</w:t>
      </w:r>
    </w:p>
    <w:p>
      <w:pPr>
        <w:spacing w:after="0" w:line="183" w:lineRule="exact"/>
        <w:rPr>
          <w:sz w:val="20"/>
          <w:szCs w:val="20"/>
          <w:color w:val="auto"/>
        </w:rPr>
      </w:pPr>
    </w:p>
    <w:p>
      <w:pPr>
        <w:ind w:right="100" w:firstLine="554"/>
        <w:spacing w:after="0" w:line="259" w:lineRule="auto"/>
        <w:rPr>
          <w:sz w:val="20"/>
          <w:szCs w:val="20"/>
          <w:color w:val="auto"/>
        </w:rPr>
      </w:pPr>
      <w:r>
        <w:rPr>
          <w:rFonts w:ascii="Arial" w:cs="Arial" w:eastAsia="Arial" w:hAnsi="Arial"/>
          <w:sz w:val="18"/>
          <w:szCs w:val="18"/>
          <w:color w:val="auto"/>
        </w:rPr>
        <w:t>From time to time, we may become involved in various claims, lawsuits and legal proceedings that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operating results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of the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(File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No. 333-161340)).</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02/08/11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09/14/2007</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880" w:type="dxa"/>
            <w:vAlign w:val="bottom"/>
          </w:tcPr>
          <w:p>
            <w:pPr>
              <w:jc w:val="center"/>
              <w:ind w:right="330"/>
              <w:spacing w:after="0"/>
              <w:rPr>
                <w:sz w:val="20"/>
                <w:szCs w:val="20"/>
                <w:color w:val="auto"/>
              </w:rPr>
            </w:pPr>
            <w:r>
              <w:rPr>
                <w:rFonts w:ascii="Arial" w:cs="Arial" w:eastAsia="Arial" w:hAnsi="Arial"/>
                <w:sz w:val="18"/>
                <w:szCs w:val="18"/>
                <w:color w:val="auto"/>
              </w:rPr>
              <w:t>8-K/A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03/15/2011</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12/26/2010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02"/>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05/15/2012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5500" w:space="120"/>
            <w:col w:w="5800"/>
          </w:cols>
          <w:pgMar w:left="240" w:top="125"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thereto and Wilmington Trust FSB.</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Second Amendment to Credit and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Agreement, dated as of May 4, 2012,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Defense &amp; Security Solutions, Inc., the lenders named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KeyBank National Association.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02/07/2011</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918"/>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04/07/2011</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rPr>
              <w:t>S-4</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06/28/10</w:t>
            </w: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7"/>
              </w:rPr>
              <w:t>4.1</w:t>
            </w:r>
          </w:p>
        </w:tc>
      </w:tr>
      <w:tr>
        <w:trPr>
          <w:trHeight w:val="486"/>
        </w:trPr>
        <w:tc>
          <w:tcPr>
            <w:tcW w:w="740" w:type="dxa"/>
            <w:vAlign w:val="bottom"/>
          </w:tcPr>
          <w:p>
            <w:pPr>
              <w:ind w:left="20"/>
              <w:spacing w:after="0"/>
              <w:rPr>
                <w:sz w:val="20"/>
                <w:szCs w:val="20"/>
                <w:color w:val="auto"/>
              </w:rPr>
            </w:pPr>
            <w:r>
              <w:rPr>
                <w:rFonts w:ascii="Arial" w:cs="Arial" w:eastAsia="Arial" w:hAnsi="Arial"/>
                <w:sz w:val="18"/>
                <w:szCs w:val="18"/>
                <w:color w:val="auto"/>
              </w:rPr>
              <w:t>S-4</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06/07/2011</w:t>
            </w: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7"/>
              </w:rPr>
              <w:t>4.2</w:t>
            </w:r>
          </w:p>
        </w:tc>
      </w:tr>
      <w:tr>
        <w:trPr>
          <w:trHeight w:val="486"/>
        </w:trPr>
        <w:tc>
          <w:tcPr>
            <w:tcW w:w="740" w:type="dxa"/>
            <w:vAlign w:val="bottom"/>
          </w:tcPr>
          <w:p>
            <w:pPr>
              <w:ind w:left="20"/>
              <w:spacing w:after="0"/>
              <w:rPr>
                <w:sz w:val="20"/>
                <w:szCs w:val="20"/>
                <w:color w:val="auto"/>
              </w:rPr>
            </w:pPr>
            <w:r>
              <w:rPr>
                <w:rFonts w:ascii="Arial" w:cs="Arial" w:eastAsia="Arial" w:hAnsi="Arial"/>
                <w:sz w:val="18"/>
                <w:szCs w:val="18"/>
                <w:color w:val="auto"/>
              </w:rPr>
              <w:t>S-4</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760" w:type="dxa"/>
            <w:vAlign w:val="bottom"/>
          </w:tcPr>
          <w:p>
            <w:pPr>
              <w:jc w:val="center"/>
              <w:ind w:left="370"/>
              <w:spacing w:after="0"/>
              <w:rPr>
                <w:sz w:val="20"/>
                <w:szCs w:val="20"/>
                <w:color w:val="auto"/>
              </w:rPr>
            </w:pPr>
            <w:r>
              <w:rPr>
                <w:rFonts w:ascii="Arial" w:cs="Arial" w:eastAsia="Arial" w:hAnsi="Arial"/>
                <w:sz w:val="18"/>
                <w:szCs w:val="18"/>
                <w:color w:val="auto"/>
                <w:w w:val="87"/>
              </w:rPr>
              <w:t>4.2</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760" w:type="dxa"/>
            <w:vAlign w:val="bottom"/>
          </w:tcPr>
          <w:p>
            <w:pPr>
              <w:jc w:val="center"/>
              <w:ind w:left="350"/>
              <w:spacing w:after="0"/>
              <w:rPr>
                <w:sz w:val="20"/>
                <w:szCs w:val="20"/>
                <w:color w:val="auto"/>
              </w:rPr>
            </w:pPr>
            <w:r>
              <w:rPr>
                <w:rFonts w:ascii="Arial" w:cs="Arial" w:eastAsia="Arial" w:hAnsi="Arial"/>
                <w:sz w:val="18"/>
                <w:szCs w:val="18"/>
                <w:color w:val="auto"/>
                <w:w w:val="91"/>
              </w:rPr>
              <w:t>10.1</w:t>
            </w:r>
          </w:p>
        </w:tc>
      </w:tr>
    </w:tbl>
    <w:p>
      <w:pPr>
        <w:spacing w:after="0" w:line="848"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Third Amendment to Credit and Security Agreement,</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dated as of May 8, 2012, among Kratos Defense &amp;</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Security Solutions, Inc., the lenders named therein,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and KeyBank National Association.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Standstill Agreement, dated May 14, 2012, between</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Kratos Defense &amp; Security Solutions, Inc., Bandel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Carano, Oak Investment Partners IX, L.P., Oak IX</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Affiliates Fund, L.P., Oak IX Affiliates Fund-A, L.P.,</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Oak X Affiliates Fund, L.P., Oak Investment Partners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X, L.P., and Oak Investment Partners XIII, L.P.</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Executive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Eric M. DeMarco.</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Certification pursuant to 18 U.S.C. Section 1350, as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adopted pursuant to Section 906 of the Sarbanes-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Oxley 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101†</w:t>
            </w: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Solutions, Inc. for the three months ended June 24,</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8"/>
          <w:szCs w:val="18"/>
          <w:color w:val="auto"/>
        </w:rPr>
        <w:t>2012, formatted in XBRL: (i) the Condensed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Balance Sheets, (ii) the Condensed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Statements of Operations and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Comprehensive Income, (iii) the Condensed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Statements of Cash Flows, (iv) the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Notes to the Condensed Consolidated Financial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250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540" w:firstLine="8"/>
        <w:spacing w:after="0" w:line="308" w:lineRule="auto"/>
        <w:tabs>
          <w:tab w:leader="none" w:pos="2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93" w:lineRule="exact"/>
        <w:rPr>
          <w:sz w:val="20"/>
          <w:szCs w:val="20"/>
          <w:color w:val="auto"/>
        </w:rPr>
      </w:pPr>
    </w:p>
    <w:p>
      <w:pPr>
        <w:ind w:right="280" w:firstLine="8"/>
        <w:spacing w:after="0" w:line="264"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LAURA L. SIEGAL,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Laura L. Siegal</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August 2, 2012</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2012</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21"/>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2012</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24, 2012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24, 2012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2"/>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2"/>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2019-12-09T13:34:44Z</dcterms:created>
  <dcterms:modified xsi:type="dcterms:W3CDTF">2019-12-09T13:34:44Z</dcterms:modified>
</cp:coreProperties>
</file>