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166370</wp:posOffset>
            </wp:positionH>
            <wp:positionV relativeFrom="page">
              <wp:posOffset>594995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612140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163830</wp:posOffset>
            </wp:positionV>
            <wp:extent cx="3764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97155</wp:posOffset>
            </wp:positionV>
            <wp:extent cx="3764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1320"/>
        <w:spacing w:after="0"/>
        <w:rPr>
          <w:sz w:val="20"/>
          <w:szCs w:val="20"/>
          <w:color w:val="auto"/>
        </w:rPr>
      </w:pPr>
      <w:r>
        <w:rPr>
          <w:rFonts w:ascii="Arial" w:cs="Arial" w:eastAsia="Arial" w:hAnsi="Arial"/>
          <w:sz w:val="14"/>
          <w:szCs w:val="14"/>
          <w:b w:val="1"/>
          <w:bCs w:val="1"/>
          <w:color w:val="auto"/>
        </w:rPr>
        <w:t>(Mark One)</w:t>
      </w:r>
    </w:p>
    <w:p>
      <w:pPr>
        <w:spacing w:after="0" w:line="48"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1" w:lineRule="exact"/>
        <w:rPr>
          <w:sz w:val="24"/>
          <w:szCs w:val="24"/>
          <w:color w:val="auto"/>
        </w:rPr>
      </w:pPr>
    </w:p>
    <w:p>
      <w:pPr>
        <w:ind w:left="2220" w:hanging="1023"/>
        <w:spacing w:after="0"/>
        <w:tabs>
          <w:tab w:leader="none" w:pos="2220"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FOR THE FISCAL YEAR ENDED DECEMBER 29, 2019</w:t>
      </w:r>
    </w:p>
    <w:p>
      <w:pPr>
        <w:spacing w:after="0" w:line="31"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TRANSITION REPORT PURSUANT TO SECTION 13 OR 15(d) OF THE SECURITIES AND EXCHANGE ACT</w:t>
      </w:r>
    </w:p>
    <w:p>
      <w:pPr>
        <w:spacing w:after="0" w:line="26" w:lineRule="exact"/>
        <w:rPr>
          <w:sz w:val="24"/>
          <w:szCs w:val="24"/>
          <w:color w:val="auto"/>
        </w:rPr>
      </w:pPr>
    </w:p>
    <w:p>
      <w:pPr>
        <w:ind w:left="2220" w:hanging="1023"/>
        <w:spacing w:after="0"/>
        <w:tabs>
          <w:tab w:leader="none" w:pos="222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001-34460</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r>
        <w:rPr>
          <w:rFonts w:ascii="Arial" w:cs="Arial" w:eastAsia="Arial" w:hAnsi="Arial"/>
          <w:sz w:val="18"/>
          <w:szCs w:val="18"/>
          <w:color w:val="auto"/>
        </w:rPr>
        <w:t>)</w:t>
      </w:r>
    </w:p>
    <w:p>
      <w:pPr>
        <w:spacing w:after="0" w:line="165" w:lineRule="exact"/>
        <w:rPr>
          <w:sz w:val="24"/>
          <w:szCs w:val="24"/>
          <w:color w:val="auto"/>
        </w:rPr>
      </w:pPr>
    </w:p>
    <w:tbl>
      <w:tblPr>
        <w:tblLayout w:type="fixed"/>
        <w:tblInd w:w="2460" w:type="dxa"/>
        <w:tblCellMar>
          <w:top w:w="0" w:type="dxa"/>
          <w:left w:w="0" w:type="dxa"/>
          <w:bottom w:w="0" w:type="dxa"/>
          <w:right w:w="0" w:type="dxa"/>
        </w:tblCellMar>
      </w:tblPr>
      <w:tr>
        <w:trPr>
          <w:trHeight w:val="234"/>
        </w:trPr>
        <w:tc>
          <w:tcPr>
            <w:tcW w:w="1980" w:type="dxa"/>
            <w:vAlign w:val="bottom"/>
          </w:tcPr>
          <w:p>
            <w:pPr>
              <w:jc w:val="center"/>
              <w:ind w:right="162"/>
              <w:spacing w:after="0"/>
              <w:rPr>
                <w:sz w:val="20"/>
                <w:szCs w:val="20"/>
                <w:color w:val="auto"/>
              </w:rPr>
            </w:pPr>
            <w:r>
              <w:rPr>
                <w:rFonts w:ascii="Arial" w:cs="Arial" w:eastAsia="Arial" w:hAnsi="Arial"/>
                <w:sz w:val="18"/>
                <w:szCs w:val="18"/>
                <w:b w:val="1"/>
                <w:bCs w:val="1"/>
                <w:color w:val="auto"/>
                <w:w w:val="93"/>
              </w:rPr>
              <w:t>Delaware</w:t>
            </w:r>
          </w:p>
        </w:tc>
        <w:tc>
          <w:tcPr>
            <w:tcW w:w="4600" w:type="dxa"/>
            <w:vAlign w:val="bottom"/>
          </w:tcPr>
          <w:p>
            <w:pPr>
              <w:jc w:val="right"/>
              <w:ind w:right="514"/>
              <w:spacing w:after="0"/>
              <w:rPr>
                <w:sz w:val="20"/>
                <w:szCs w:val="20"/>
                <w:color w:val="auto"/>
              </w:rPr>
            </w:pPr>
            <w:r>
              <w:rPr>
                <w:rFonts w:ascii="Arial" w:cs="Arial" w:eastAsia="Arial" w:hAnsi="Arial"/>
                <w:sz w:val="18"/>
                <w:szCs w:val="18"/>
                <w:b w:val="1"/>
                <w:bCs w:val="1"/>
                <w:color w:val="auto"/>
              </w:rPr>
              <w:t>13-3818604</w:t>
            </w:r>
          </w:p>
        </w:tc>
        <w:tc>
          <w:tcPr>
            <w:tcW w:w="0" w:type="dxa"/>
            <w:vAlign w:val="bottom"/>
          </w:tcPr>
          <w:p>
            <w:pPr>
              <w:spacing w:after="0"/>
              <w:rPr>
                <w:sz w:val="1"/>
                <w:szCs w:val="1"/>
                <w:color w:val="auto"/>
              </w:rPr>
            </w:pPr>
          </w:p>
        </w:tc>
      </w:tr>
      <w:tr>
        <w:trPr>
          <w:trHeight w:val="184"/>
        </w:trPr>
        <w:tc>
          <w:tcPr>
            <w:tcW w:w="1980" w:type="dxa"/>
            <w:vAlign w:val="bottom"/>
          </w:tcPr>
          <w:p>
            <w:pPr>
              <w:jc w:val="center"/>
              <w:ind w:right="162"/>
              <w:spacing w:after="0"/>
              <w:rPr>
                <w:sz w:val="20"/>
                <w:szCs w:val="20"/>
                <w:color w:val="auto"/>
              </w:rPr>
            </w:pPr>
            <w:r>
              <w:rPr>
                <w:rFonts w:ascii="Arial" w:cs="Arial" w:eastAsia="Arial" w:hAnsi="Arial"/>
                <w:sz w:val="14"/>
                <w:szCs w:val="14"/>
                <w:color w:val="auto"/>
                <w:w w:val="94"/>
              </w:rPr>
              <w:t>(State or other jurisdiction of</w:t>
            </w:r>
          </w:p>
        </w:tc>
        <w:tc>
          <w:tcPr>
            <w:tcW w:w="4600" w:type="dxa"/>
            <w:vAlign w:val="bottom"/>
          </w:tcPr>
          <w:p>
            <w:pPr>
              <w:jc w:val="center"/>
              <w:ind w:left="2434"/>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82"/>
        </w:trPr>
        <w:tc>
          <w:tcPr>
            <w:tcW w:w="1980" w:type="dxa"/>
            <w:vAlign w:val="bottom"/>
          </w:tcPr>
          <w:p>
            <w:pPr>
              <w:jc w:val="center"/>
              <w:ind w:right="162"/>
              <w:spacing w:after="0"/>
              <w:rPr>
                <w:sz w:val="20"/>
                <w:szCs w:val="20"/>
                <w:color w:val="auto"/>
              </w:rPr>
            </w:pPr>
            <w:r>
              <w:rPr>
                <w:rFonts w:ascii="Arial" w:cs="Arial" w:eastAsia="Arial" w:hAnsi="Arial"/>
                <w:sz w:val="14"/>
                <w:szCs w:val="14"/>
                <w:color w:val="auto"/>
                <w:w w:val="95"/>
              </w:rPr>
              <w:t>incorporation or organization)</w:t>
            </w:r>
          </w:p>
        </w:tc>
        <w:tc>
          <w:tcPr>
            <w:tcW w:w="4600" w:type="dxa"/>
            <w:vAlign w:val="bottom"/>
            <w:vMerge w:val="restart"/>
          </w:tcPr>
          <w:p>
            <w:pPr>
              <w:jc w:val="center"/>
              <w:ind w:right="1954"/>
              <w:spacing w:after="0"/>
              <w:rPr>
                <w:sz w:val="20"/>
                <w:szCs w:val="20"/>
                <w:color w:val="auto"/>
              </w:rPr>
            </w:pPr>
            <w:r>
              <w:rPr>
                <w:rFonts w:ascii="Arial" w:cs="Arial" w:eastAsia="Arial" w:hAnsi="Arial"/>
                <w:sz w:val="18"/>
                <w:szCs w:val="18"/>
                <w:b w:val="1"/>
                <w:bCs w:val="1"/>
                <w:color w:val="auto"/>
                <w:w w:val="89"/>
              </w:rPr>
              <w:t>10680 Treena St., Suite 600</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4600" w:type="dxa"/>
            <w:vAlign w:val="bottom"/>
          </w:tcPr>
          <w:p>
            <w:pPr>
              <w:jc w:val="center"/>
              <w:ind w:right="1974"/>
              <w:spacing w:after="0"/>
              <w:rPr>
                <w:sz w:val="20"/>
                <w:szCs w:val="20"/>
                <w:color w:val="auto"/>
              </w:rPr>
            </w:pPr>
            <w:r>
              <w:rPr>
                <w:rFonts w:ascii="Arial" w:cs="Arial" w:eastAsia="Arial" w:hAnsi="Arial"/>
                <w:sz w:val="18"/>
                <w:szCs w:val="18"/>
                <w:b w:val="1"/>
                <w:bCs w:val="1"/>
                <w:color w:val="auto"/>
                <w:w w:val="90"/>
              </w:rPr>
              <w:t>San Diego, CA 92131</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(858) 812-7300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area code, of Registrant’s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1"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4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Trading Symbol(s)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79"/>
        </w:trPr>
        <w:tc>
          <w:tcPr>
            <w:tcW w:w="2820" w:type="dxa"/>
            <w:vAlign w:val="bottom"/>
            <w:gridSpan w:val="3"/>
          </w:tcPr>
          <w:p>
            <w:pPr>
              <w:jc w:val="center"/>
              <w:ind w:right="880"/>
              <w:spacing w:after="0"/>
              <w:rPr>
                <w:sz w:val="20"/>
                <w:szCs w:val="20"/>
                <w:color w:val="auto"/>
              </w:rPr>
            </w:pPr>
            <w:r>
              <w:rPr>
                <w:rFonts w:ascii="Arial" w:cs="Arial" w:eastAsia="Arial" w:hAnsi="Arial"/>
                <w:sz w:val="14"/>
                <w:szCs w:val="14"/>
                <w:color w:val="auto"/>
                <w:w w:val="93"/>
              </w:rPr>
              <w:t>Common Stock, $0.001 par value</w:t>
            </w:r>
          </w:p>
        </w:tc>
        <w:tc>
          <w:tcPr>
            <w:tcW w:w="880" w:type="dxa"/>
            <w:vAlign w:val="bottom"/>
          </w:tcPr>
          <w:p>
            <w:pPr>
              <w:spacing w:after="0"/>
              <w:rPr>
                <w:sz w:val="24"/>
                <w:szCs w:val="24"/>
                <w:color w:val="auto"/>
              </w:rPr>
            </w:pPr>
          </w:p>
        </w:tc>
        <w:tc>
          <w:tcPr>
            <w:tcW w:w="2440" w:type="dxa"/>
            <w:vAlign w:val="bottom"/>
            <w:gridSpan w:val="2"/>
          </w:tcPr>
          <w:p>
            <w:pPr>
              <w:jc w:val="center"/>
              <w:ind w:right="1280"/>
              <w:spacing w:after="0"/>
              <w:rPr>
                <w:sz w:val="20"/>
                <w:szCs w:val="20"/>
                <w:color w:val="auto"/>
              </w:rPr>
            </w:pPr>
            <w:r>
              <w:rPr>
                <w:rFonts w:ascii="Arial" w:cs="Arial" w:eastAsia="Arial" w:hAnsi="Arial"/>
                <w:sz w:val="14"/>
                <w:szCs w:val="14"/>
                <w:color w:val="auto"/>
                <w:w w:val="94"/>
              </w:rPr>
              <w:t>KTOS</w:t>
            </w:r>
          </w:p>
        </w:tc>
        <w:tc>
          <w:tcPr>
            <w:tcW w:w="2660" w:type="dxa"/>
            <w:vAlign w:val="bottom"/>
          </w:tcPr>
          <w:p>
            <w:pPr>
              <w:jc w:val="center"/>
              <w:spacing w:after="0"/>
              <w:rPr>
                <w:sz w:val="20"/>
                <w:szCs w:val="20"/>
                <w:color w:val="auto"/>
              </w:rPr>
            </w:pPr>
            <w:r>
              <w:rPr>
                <w:rFonts w:ascii="Arial" w:cs="Arial" w:eastAsia="Arial" w:hAnsi="Arial"/>
                <w:sz w:val="14"/>
                <w:szCs w:val="14"/>
                <w:color w:val="auto"/>
                <w:w w:val="96"/>
              </w:rPr>
              <w:t>The NASDAQ Global Select Market</w:t>
            </w:r>
          </w:p>
        </w:tc>
      </w:tr>
    </w:tbl>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ind w:left="340" w:right="3400"/>
        <w:spacing w:after="0" w:line="23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ind w:right="6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right="4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00" w:lineRule="exact"/>
        <w:rPr>
          <w:sz w:val="24"/>
          <w:szCs w:val="24"/>
          <w:color w:val="auto"/>
        </w:rPr>
      </w:pPr>
    </w:p>
    <w:p>
      <w:pPr>
        <w:ind w:right="280" w:firstLine="324"/>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071" w:right="239" w:bottom="1440" w:gutter="0" w:footer="0" w:header="0"/>
        </w:sectPr>
      </w:pPr>
    </w:p>
    <w:p>
      <w:pPr>
        <w:spacing w:after="0" w:line="65" w:lineRule="exact"/>
        <w:rPr>
          <w:sz w:val="24"/>
          <w:szCs w:val="24"/>
          <w:color w:val="auto"/>
        </w:rPr>
      </w:pPr>
    </w:p>
    <w:p>
      <w:pPr>
        <w:ind w:left="48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4"/>
          <w:szCs w:val="24"/>
          <w:color w:val="auto"/>
        </w:rPr>
      </w:pPr>
    </w:p>
    <w:p>
      <w:pPr>
        <w:sectPr>
          <w:pgSz w:w="11900" w:h="16838" w:orient="portrait"/>
          <w:cols w:equalWidth="0" w:num="2">
            <w:col w:w="9920" w:space="720"/>
            <w:col w:w="780"/>
          </w:cols>
          <w:pgMar w:left="240" w:top="1071" w:right="239" w:bottom="1440" w:gutter="0" w:footer="0" w:header="0"/>
          <w:type w:val="continuous"/>
        </w:sectPr>
      </w:pPr>
    </w:p>
    <w:p>
      <w:pPr>
        <w:spacing w:after="0" w:line="11" w:lineRule="exact"/>
        <w:rPr>
          <w:sz w:val="24"/>
          <w:szCs w:val="24"/>
          <w:color w:val="auto"/>
        </w:rPr>
      </w:pPr>
    </w:p>
    <w:p>
      <w:pPr>
        <w:ind w:left="160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Accelerated filer</w:t>
      </w:r>
    </w:p>
    <w:p>
      <w:pPr>
        <w:spacing w:after="0" w:line="200" w:lineRule="exact"/>
        <w:rPr>
          <w:sz w:val="24"/>
          <w:szCs w:val="24"/>
          <w:color w:val="auto"/>
        </w:rPr>
      </w:pPr>
    </w:p>
    <w:p>
      <w:pPr>
        <w:sectPr>
          <w:pgSz w:w="11900" w:h="16838" w:orient="portrait"/>
          <w:cols w:equalWidth="0" w:num="2">
            <w:col w:w="6740" w:space="720"/>
            <w:col w:w="3960"/>
          </w:cols>
          <w:pgMar w:left="240" w:top="1071" w:right="239" w:bottom="1440" w:gutter="0" w:footer="0" w:header="0"/>
          <w:type w:val="continuous"/>
        </w:sectPr>
      </w:pPr>
    </w:p>
    <w:p>
      <w:pPr>
        <w:spacing w:after="0" w:line="62" w:lineRule="exact"/>
        <w:rPr>
          <w:sz w:val="24"/>
          <w:szCs w:val="24"/>
          <w:color w:val="auto"/>
        </w:rPr>
      </w:pPr>
    </w:p>
    <w:p>
      <w:pPr>
        <w:ind w:left="48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4"/>
          <w:szCs w:val="24"/>
          <w:color w:val="auto"/>
        </w:rPr>
      </w:pPr>
    </w:p>
    <w:p>
      <w:pPr>
        <w:sectPr>
          <w:pgSz w:w="11900" w:h="16838" w:orient="portrait"/>
          <w:cols w:equalWidth="0" w:num="2">
            <w:col w:w="9920" w:space="720"/>
            <w:col w:w="780"/>
          </w:cols>
          <w:pgMar w:left="240" w:top="1071" w:right="239" w:bottom="1440" w:gutter="0" w:footer="0" w:header="0"/>
          <w:type w:val="continuous"/>
        </w:sectPr>
      </w:pPr>
    </w:p>
    <w:p>
      <w:pPr>
        <w:ind w:left="16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114" w:lineRule="exact"/>
        <w:rPr>
          <w:sz w:val="24"/>
          <w:szCs w:val="24"/>
          <w:color w:val="auto"/>
        </w:rPr>
      </w:pPr>
    </w:p>
    <w:p>
      <w:pPr>
        <w:sectPr>
          <w:pgSz w:w="11900" w:h="16838" w:orient="portrait"/>
          <w:cols w:equalWidth="0" w:num="2">
            <w:col w:w="6440" w:space="720"/>
            <w:col w:w="4260"/>
          </w:cols>
          <w:pgMar w:left="240" w:top="1071" w:right="239" w:bottom="1440" w:gutter="0" w:footer="0" w:header="0"/>
          <w:type w:val="continuous"/>
        </w:sectPr>
      </w:pPr>
    </w:p>
    <w:p>
      <w:pPr>
        <w:ind w:left="10640"/>
        <w:spacing w:after="0" w:line="161" w:lineRule="exact"/>
        <w:rPr>
          <w:sz w:val="20"/>
          <w:szCs w:val="20"/>
          <w:color w:val="auto"/>
        </w:rPr>
      </w:pPr>
      <w:r>
        <w:rPr>
          <w:rFonts w:ascii="MS PGothic" w:cs="MS PGothic" w:eastAsia="MS PGothic" w:hAnsi="MS PGothic"/>
          <w:sz w:val="16"/>
          <w:szCs w:val="16"/>
          <w:color w:val="auto"/>
        </w:rPr>
        <w:t>☐</w:t>
      </w:r>
    </w:p>
    <w:p>
      <w:pPr>
        <w:spacing w:after="0" w:line="83" w:lineRule="exact"/>
        <w:rPr>
          <w:sz w:val="24"/>
          <w:szCs w:val="24"/>
          <w:color w:val="auto"/>
        </w:rPr>
      </w:pPr>
    </w:p>
    <w:p>
      <w:pPr>
        <w:ind w:left="7160"/>
        <w:spacing w:after="0"/>
        <w:rPr>
          <w:sz w:val="20"/>
          <w:szCs w:val="20"/>
          <w:color w:val="auto"/>
        </w:rPr>
      </w:pPr>
      <w:r>
        <w:rPr>
          <w:rFonts w:ascii="Arial" w:cs="Arial" w:eastAsia="Arial" w:hAnsi="Arial"/>
          <w:sz w:val="14"/>
          <w:szCs w:val="14"/>
          <w:color w:val="auto"/>
        </w:rPr>
        <w:t>Emerging growth company</w:t>
      </w:r>
    </w:p>
    <w:p>
      <w:pPr>
        <w:sectPr>
          <w:pgSz w:w="11900" w:h="16838" w:orient="portrait"/>
          <w:cols w:equalWidth="0" w:num="1">
            <w:col w:w="11420"/>
          </w:cols>
          <w:pgMar w:left="240" w:top="1071" w:right="239" w:bottom="1440" w:gutter="0" w:footer="0" w:header="0"/>
          <w:type w:val="continuous"/>
        </w:sectPr>
      </w:pPr>
    </w:p>
    <w:p>
      <w:pPr>
        <w:spacing w:after="0" w:line="111" w:lineRule="exact"/>
        <w:rPr>
          <w:sz w:val="24"/>
          <w:szCs w:val="24"/>
          <w:color w:val="auto"/>
        </w:rPr>
      </w:pPr>
    </w:p>
    <w:p>
      <w:pPr>
        <w:ind w:right="420" w:firstLine="324"/>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5" w:lineRule="exact"/>
        <w:rPr>
          <w:sz w:val="24"/>
          <w:szCs w:val="24"/>
          <w:color w:val="auto"/>
        </w:rPr>
      </w:pPr>
    </w:p>
    <w:p>
      <w:pPr>
        <w:ind w:left="340"/>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8" w:lineRule="exact"/>
        <w:rPr>
          <w:sz w:val="24"/>
          <w:szCs w:val="24"/>
          <w:color w:val="auto"/>
        </w:rPr>
      </w:pPr>
    </w:p>
    <w:p>
      <w:pPr>
        <w:ind w:firstLine="324"/>
        <w:spacing w:after="0" w:line="277" w:lineRule="auto"/>
        <w:rPr>
          <w:sz w:val="20"/>
          <w:szCs w:val="20"/>
          <w:color w:val="auto"/>
        </w:rPr>
      </w:pPr>
      <w:r>
        <w:rPr>
          <w:rFonts w:ascii="Arial" w:cs="Arial" w:eastAsia="Arial" w:hAnsi="Arial"/>
          <w:sz w:val="13"/>
          <w:szCs w:val="13"/>
          <w:color w:val="auto"/>
        </w:rPr>
        <w:t>The aggregate market value of the registrant’s voting and non-voting common stock held by non-affiliates as of June 28, 2019, the last business day of the registrant’s most recently completed second fiscal quarter, was approximately $2,061.5 billion, based on the closing sale price for shares of the registrant’s common stock as reported by the NASDAQ Global Select Market on such date. This disclosure excludes shares of common stock held by executive officers, directors and stockholders whose individual ownership exceeds 10% of the common stock outstanding on June 28, 2019 because such persons may be deemed to be affiliates. This determination of affiliate status is not necessarily a conclusive determination for any other purpose.</w:t>
      </w:r>
    </w:p>
    <w:p>
      <w:pPr>
        <w:spacing w:after="0" w:line="6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20, 2020, 106,941,556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243840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260985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Items 10, 11, 12, 13 and 14 of Part III of this annual report on Form 10-K incorporate information by reference from the registrant’s definitive proxy statement to be filed pursuant to Regulation 14A in connection with the registrant’s 2020 Annual Meeting of Stockholders or an amendment to this annual report on Form 10-K to be filed with the Securities and Exchange Commission within 120 days after the close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553"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40" w:type="dxa"/>
            <w:vAlign w:val="bottom"/>
            <w:gridSpan w:val="11"/>
          </w:tcPr>
          <w:p>
            <w:pPr>
              <w:jc w:val="center"/>
              <w:ind w:right="186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40" w:type="dxa"/>
            <w:vAlign w:val="bottom"/>
            <w:gridSpan w:val="8"/>
          </w:tcPr>
          <w:p>
            <w:pPr>
              <w:jc w:val="center"/>
              <w:ind w:right="3120"/>
              <w:spacing w:after="0"/>
              <w:rPr>
                <w:sz w:val="20"/>
                <w:szCs w:val="20"/>
                <w:color w:val="auto"/>
              </w:rPr>
            </w:pPr>
            <w:r>
              <w:rPr>
                <w:rFonts w:ascii="Arial" w:cs="Arial" w:eastAsia="Arial" w:hAnsi="Arial"/>
                <w:sz w:val="18"/>
                <w:szCs w:val="18"/>
                <w:b w:val="1"/>
                <w:bCs w:val="1"/>
                <w:color w:val="auto"/>
              </w:rPr>
              <w:t>FORM 10-K</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11"/>
          </w:tcPr>
          <w:p>
            <w:pPr>
              <w:jc w:val="center"/>
              <w:ind w:right="1820"/>
              <w:spacing w:after="0"/>
              <w:rPr>
                <w:sz w:val="20"/>
                <w:szCs w:val="20"/>
                <w:color w:val="auto"/>
              </w:rPr>
            </w:pPr>
            <w:r>
              <w:rPr>
                <w:rFonts w:ascii="Arial" w:cs="Arial" w:eastAsia="Arial" w:hAnsi="Arial"/>
                <w:sz w:val="18"/>
                <w:szCs w:val="18"/>
                <w:b w:val="1"/>
                <w:bCs w:val="1"/>
                <w:color w:val="auto"/>
                <w:w w:val="98"/>
              </w:rPr>
              <w:t>FOR THE FISCAL YEAR ENDED DECEMBER 29, 2019</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40" w:type="dxa"/>
            <w:vAlign w:val="bottom"/>
            <w:gridSpan w:val="8"/>
          </w:tcPr>
          <w:p>
            <w:pPr>
              <w:jc w:val="center"/>
              <w:ind w:right="3140"/>
              <w:spacing w:after="0"/>
              <w:rPr>
                <w:sz w:val="20"/>
                <w:szCs w:val="20"/>
                <w:color w:val="auto"/>
              </w:rPr>
            </w:pPr>
            <w:r>
              <w:rPr>
                <w:rFonts w:ascii="Arial" w:cs="Arial" w:eastAsia="Arial" w:hAnsi="Arial"/>
                <w:sz w:val="18"/>
                <w:szCs w:val="18"/>
                <w:b w:val="1"/>
                <w:bCs w:val="1"/>
                <w:color w:val="auto"/>
                <w:w w:val="98"/>
              </w:rPr>
              <w:t>TABLE OF CONTENTS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140" w:type="dxa"/>
            <w:vAlign w:val="bottom"/>
            <w:gridSpan w:val="6"/>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40" w:type="dxa"/>
            <w:vAlign w:val="bottom"/>
            <w:gridSpan w:val="6"/>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80" w:type="dxa"/>
            <w:vAlign w:val="bottom"/>
            <w:tcBorders>
              <w:top w:val="single" w:sz="8" w:color="0000EE"/>
            </w:tcBorders>
          </w:tcPr>
          <w:p>
            <w:pPr>
              <w:spacing w:after="0"/>
              <w:rPr>
                <w:sz w:val="21"/>
                <w:szCs w:val="21"/>
                <w:color w:val="auto"/>
              </w:rPr>
            </w:pPr>
          </w:p>
        </w:tc>
        <w:tc>
          <w:tcPr>
            <w:tcW w:w="560" w:type="dxa"/>
            <w:vAlign w:val="bottom"/>
            <w:gridSpan w:val="4"/>
          </w:tcPr>
          <w:p>
            <w:pPr>
              <w:spacing w:after="0"/>
              <w:rPr>
                <w:sz w:val="21"/>
                <w:szCs w:val="21"/>
                <w:color w:val="auto"/>
              </w:rPr>
            </w:pPr>
          </w:p>
        </w:tc>
        <w:tc>
          <w:tcPr>
            <w:tcW w:w="88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4">
              <w:r>
                <w:rPr>
                  <w:rFonts w:ascii="Arial" w:cs="Arial" w:eastAsia="Arial" w:hAnsi="Arial"/>
                  <w:sz w:val="18"/>
                  <w:szCs w:val="18"/>
                  <w:color w:val="0000EE"/>
                  <w:w w:val="80"/>
                </w:rPr>
                <w:t>Item 1A.</w:t>
              </w:r>
            </w:hyperlink>
          </w:p>
        </w:tc>
        <w:tc>
          <w:tcPr>
            <w:tcW w:w="560" w:type="dxa"/>
            <w:vAlign w:val="bottom"/>
            <w:gridSpan w:val="4"/>
          </w:tcPr>
          <w:p>
            <w:pPr>
              <w:spacing w:after="0"/>
              <w:rPr>
                <w:sz w:val="21"/>
                <w:szCs w:val="21"/>
                <w:color w:val="auto"/>
              </w:rPr>
            </w:pPr>
          </w:p>
        </w:tc>
        <w:tc>
          <w:tcPr>
            <w:tcW w:w="888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34">
              <w:r>
                <w:rPr>
                  <w:rFonts w:ascii="Arial" w:cs="Arial" w:eastAsia="Arial" w:hAnsi="Arial"/>
                  <w:sz w:val="18"/>
                  <w:szCs w:val="18"/>
                  <w:color w:val="0000EE"/>
                  <w:w w:val="80"/>
                </w:rPr>
                <w:t>Item 1B.</w:t>
              </w:r>
            </w:hyperlink>
          </w:p>
        </w:tc>
        <w:tc>
          <w:tcPr>
            <w:tcW w:w="560" w:type="dxa"/>
            <w:vAlign w:val="bottom"/>
            <w:gridSpan w:val="4"/>
          </w:tcPr>
          <w:p>
            <w:pPr>
              <w:spacing w:after="0"/>
              <w:rPr>
                <w:sz w:val="21"/>
                <w:szCs w:val="21"/>
                <w:color w:val="auto"/>
              </w:rPr>
            </w:pPr>
          </w:p>
        </w:tc>
        <w:tc>
          <w:tcPr>
            <w:tcW w:w="888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4">
              <w:r>
                <w:rPr>
                  <w:rFonts w:ascii="Arial" w:cs="Arial" w:eastAsia="Arial" w:hAnsi="Arial"/>
                  <w:sz w:val="18"/>
                  <w:szCs w:val="18"/>
                  <w:color w:val="0000EE"/>
                  <w:w w:val="83"/>
                </w:rPr>
                <w:t>Item 2.</w:t>
              </w:r>
            </w:hyperlink>
          </w:p>
        </w:tc>
        <w:tc>
          <w:tcPr>
            <w:tcW w:w="80" w:type="dxa"/>
            <w:vAlign w:val="bottom"/>
          </w:tcPr>
          <w:p>
            <w:pPr>
              <w:spacing w:after="0"/>
              <w:rPr>
                <w:sz w:val="21"/>
                <w:szCs w:val="21"/>
                <w:color w:val="auto"/>
              </w:rPr>
            </w:pPr>
          </w:p>
        </w:tc>
        <w:tc>
          <w:tcPr>
            <w:tcW w:w="560" w:type="dxa"/>
            <w:vAlign w:val="bottom"/>
            <w:gridSpan w:val="4"/>
          </w:tcPr>
          <w:p>
            <w:pPr>
              <w:spacing w:after="0"/>
              <w:rPr>
                <w:sz w:val="21"/>
                <w:szCs w:val="21"/>
                <w:color w:val="auto"/>
              </w:rPr>
            </w:pPr>
          </w:p>
        </w:tc>
        <w:tc>
          <w:tcPr>
            <w:tcW w:w="740" w:type="dxa"/>
            <w:vAlign w:val="bottom"/>
            <w:gridSpan w:val="2"/>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6840" w:type="dxa"/>
            <w:vAlign w:val="bottom"/>
            <w:gridSpan w:val="11"/>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Item 3.</w:t>
              </w:r>
            </w:hyperlink>
          </w:p>
        </w:tc>
        <w:tc>
          <w:tcPr>
            <w:tcW w:w="640" w:type="dxa"/>
            <w:vAlign w:val="bottom"/>
            <w:gridSpan w:val="5"/>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7560" w:type="dxa"/>
            <w:vAlign w:val="bottom"/>
            <w:gridSpan w:val="15"/>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Item 4.</w:t>
              </w:r>
            </w:hyperlink>
          </w:p>
        </w:tc>
        <w:tc>
          <w:tcPr>
            <w:tcW w:w="640" w:type="dxa"/>
            <w:vAlign w:val="bottom"/>
            <w:gridSpan w:val="5"/>
          </w:tcPr>
          <w:p>
            <w:pPr>
              <w:spacing w:after="0"/>
              <w:rPr>
                <w:sz w:val="21"/>
                <w:szCs w:val="21"/>
                <w:color w:val="auto"/>
              </w:rPr>
            </w:pPr>
          </w:p>
        </w:tc>
        <w:tc>
          <w:tcPr>
            <w:tcW w:w="888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PART II</w:t>
              </w:r>
            </w:hyperlink>
          </w:p>
        </w:tc>
        <w:tc>
          <w:tcPr>
            <w:tcW w:w="48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Item 5.</w:t>
              </w:r>
            </w:hyperlink>
          </w:p>
        </w:tc>
        <w:tc>
          <w:tcPr>
            <w:tcW w:w="640" w:type="dxa"/>
            <w:vAlign w:val="bottom"/>
            <w:gridSpan w:val="5"/>
          </w:tcPr>
          <w:p>
            <w:pPr>
              <w:spacing w:after="0"/>
              <w:rPr>
                <w:sz w:val="21"/>
                <w:szCs w:val="21"/>
                <w:color w:val="auto"/>
              </w:rPr>
            </w:pPr>
          </w:p>
        </w:tc>
        <w:tc>
          <w:tcPr>
            <w:tcW w:w="8880" w:type="dxa"/>
            <w:vAlign w:val="bottom"/>
            <w:gridSpan w:val="19"/>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Market for the Registrant’s Common Equity, Related Stockholder Matters and Issuer Purchases of Equity Securities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Item 6.</w:t>
              </w:r>
            </w:hyperlink>
          </w:p>
        </w:tc>
        <w:tc>
          <w:tcPr>
            <w:tcW w:w="640" w:type="dxa"/>
            <w:vAlign w:val="bottom"/>
            <w:gridSpan w:val="5"/>
          </w:tcPr>
          <w:p>
            <w:pPr>
              <w:spacing w:after="0"/>
              <w:rPr>
                <w:sz w:val="21"/>
                <w:szCs w:val="21"/>
                <w:color w:val="auto"/>
              </w:rPr>
            </w:pPr>
          </w:p>
        </w:tc>
        <w:tc>
          <w:tcPr>
            <w:tcW w:w="1720" w:type="dxa"/>
            <w:vAlign w:val="bottom"/>
            <w:gridSpan w:val="6"/>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Selected Financial Data</w:t>
              </w:r>
            </w:hyperlink>
          </w:p>
        </w:tc>
        <w:tc>
          <w:tcPr>
            <w:tcW w:w="6620" w:type="dxa"/>
            <w:vAlign w:val="bottom"/>
            <w:gridSpan w:val="12"/>
          </w:tcPr>
          <w:p>
            <w:pPr>
              <w:spacing w:after="0"/>
              <w:rPr>
                <w:sz w:val="21"/>
                <w:szCs w:val="21"/>
                <w:color w:val="auto"/>
              </w:rPr>
            </w:pPr>
          </w:p>
        </w:tc>
        <w:tc>
          <w:tcPr>
            <w:tcW w:w="540" w:type="dxa"/>
            <w:vAlign w:val="bottom"/>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8">
              <w:r>
                <w:rPr>
                  <w:rFonts w:ascii="Arial" w:cs="Arial" w:eastAsia="Arial" w:hAnsi="Arial"/>
                  <w:sz w:val="18"/>
                  <w:szCs w:val="18"/>
                  <w:color w:val="0000EE"/>
                  <w:w w:val="83"/>
                </w:rPr>
                <w:t>Item 7.</w:t>
              </w:r>
            </w:hyperlink>
          </w:p>
        </w:tc>
        <w:tc>
          <w:tcPr>
            <w:tcW w:w="640" w:type="dxa"/>
            <w:vAlign w:val="bottom"/>
            <w:gridSpan w:val="5"/>
          </w:tcPr>
          <w:p>
            <w:pPr>
              <w:spacing w:after="0"/>
              <w:rPr>
                <w:sz w:val="21"/>
                <w:szCs w:val="21"/>
                <w:color w:val="auto"/>
              </w:rPr>
            </w:pPr>
          </w:p>
        </w:tc>
        <w:tc>
          <w:tcPr>
            <w:tcW w:w="888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52">
              <w:r>
                <w:rPr>
                  <w:rFonts w:ascii="Arial" w:cs="Arial" w:eastAsia="Arial" w:hAnsi="Arial"/>
                  <w:sz w:val="18"/>
                  <w:szCs w:val="18"/>
                  <w:color w:val="0000EE"/>
                  <w:w w:val="80"/>
                </w:rPr>
                <w:t>Item 7A.</w:t>
              </w:r>
            </w:hyperlink>
          </w:p>
        </w:tc>
        <w:tc>
          <w:tcPr>
            <w:tcW w:w="560" w:type="dxa"/>
            <w:vAlign w:val="bottom"/>
            <w:gridSpan w:val="4"/>
          </w:tcPr>
          <w:p>
            <w:pPr>
              <w:spacing w:after="0"/>
              <w:rPr>
                <w:sz w:val="21"/>
                <w:szCs w:val="21"/>
                <w:color w:val="auto"/>
              </w:rPr>
            </w:pPr>
          </w:p>
        </w:tc>
        <w:tc>
          <w:tcPr>
            <w:tcW w:w="888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52">
              <w:r>
                <w:rPr>
                  <w:rFonts w:ascii="Arial" w:cs="Arial" w:eastAsia="Arial" w:hAnsi="Arial"/>
                  <w:sz w:val="18"/>
                  <w:szCs w:val="18"/>
                  <w:color w:val="0000EE"/>
                  <w:w w:val="83"/>
                </w:rPr>
                <w:t>Item 8.</w:t>
              </w:r>
            </w:hyperlink>
          </w:p>
        </w:tc>
        <w:tc>
          <w:tcPr>
            <w:tcW w:w="80" w:type="dxa"/>
            <w:vAlign w:val="bottom"/>
          </w:tcPr>
          <w:p>
            <w:pPr>
              <w:spacing w:after="0"/>
              <w:rPr>
                <w:sz w:val="21"/>
                <w:szCs w:val="21"/>
                <w:color w:val="auto"/>
              </w:rPr>
            </w:pPr>
          </w:p>
        </w:tc>
        <w:tc>
          <w:tcPr>
            <w:tcW w:w="560" w:type="dxa"/>
            <w:vAlign w:val="bottom"/>
            <w:gridSpan w:val="4"/>
          </w:tcPr>
          <w:p>
            <w:pPr>
              <w:spacing w:after="0"/>
              <w:rPr>
                <w:sz w:val="21"/>
                <w:szCs w:val="21"/>
                <w:color w:val="auto"/>
              </w:rPr>
            </w:pPr>
          </w:p>
        </w:tc>
        <w:tc>
          <w:tcPr>
            <w:tcW w:w="3340" w:type="dxa"/>
            <w:vAlign w:val="bottom"/>
            <w:gridSpan w:val="11"/>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Financial Statements and Supplementary Data</w:t>
              </w:r>
            </w:hyperlink>
          </w:p>
        </w:tc>
        <w:tc>
          <w:tcPr>
            <w:tcW w:w="1020" w:type="dxa"/>
            <w:vAlign w:val="bottom"/>
            <w:gridSpan w:val="2"/>
          </w:tcPr>
          <w:p>
            <w:pPr>
              <w:spacing w:after="0"/>
              <w:rPr>
                <w:sz w:val="21"/>
                <w:szCs w:val="21"/>
                <w:color w:val="auto"/>
              </w:rPr>
            </w:pPr>
          </w:p>
        </w:tc>
        <w:tc>
          <w:tcPr>
            <w:tcW w:w="4520" w:type="dxa"/>
            <w:vAlign w:val="bottom"/>
            <w:gridSpan w:val="6"/>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52">
              <w:r>
                <w:rPr>
                  <w:rFonts w:ascii="Arial" w:cs="Arial" w:eastAsia="Arial" w:hAnsi="Arial"/>
                  <w:sz w:val="18"/>
                  <w:szCs w:val="18"/>
                  <w:color w:val="0000EE"/>
                  <w:w w:val="83"/>
                </w:rPr>
                <w:t>Item 9.</w:t>
              </w:r>
            </w:hyperlink>
          </w:p>
        </w:tc>
        <w:tc>
          <w:tcPr>
            <w:tcW w:w="640" w:type="dxa"/>
            <w:vAlign w:val="bottom"/>
            <w:gridSpan w:val="5"/>
          </w:tcPr>
          <w:p>
            <w:pPr>
              <w:spacing w:after="0"/>
              <w:rPr>
                <w:sz w:val="21"/>
                <w:szCs w:val="21"/>
                <w:color w:val="auto"/>
              </w:rPr>
            </w:pPr>
          </w:p>
        </w:tc>
        <w:tc>
          <w:tcPr>
            <w:tcW w:w="888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Changes in and Disagreements with Accountants on Accounting and Financial Disclosure</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52">
              <w:r>
                <w:rPr>
                  <w:rFonts w:ascii="Arial" w:cs="Arial" w:eastAsia="Arial" w:hAnsi="Arial"/>
                  <w:sz w:val="18"/>
                  <w:szCs w:val="18"/>
                  <w:color w:val="0000EE"/>
                  <w:w w:val="80"/>
                </w:rPr>
                <w:t>Item 9A.</w:t>
              </w:r>
            </w:hyperlink>
          </w:p>
        </w:tc>
        <w:tc>
          <w:tcPr>
            <w:tcW w:w="560" w:type="dxa"/>
            <w:vAlign w:val="bottom"/>
            <w:gridSpan w:val="4"/>
          </w:tcPr>
          <w:p>
            <w:pPr>
              <w:spacing w:after="0"/>
              <w:rPr>
                <w:sz w:val="21"/>
                <w:szCs w:val="21"/>
                <w:color w:val="auto"/>
              </w:rPr>
            </w:pPr>
          </w:p>
        </w:tc>
        <w:tc>
          <w:tcPr>
            <w:tcW w:w="1720" w:type="dxa"/>
            <w:vAlign w:val="bottom"/>
            <w:gridSpan w:val="6"/>
          </w:tcPr>
          <w:p>
            <w:pPr>
              <w:spacing w:after="0"/>
              <w:rPr>
                <w:rFonts w:ascii="Arial" w:cs="Arial" w:eastAsia="Arial" w:hAnsi="Arial"/>
                <w:sz w:val="18"/>
                <w:szCs w:val="18"/>
                <w:color w:val="0000EE"/>
                <w:w w:val="84"/>
              </w:rPr>
            </w:pPr>
            <w:hyperlink w:anchor="page52">
              <w:r>
                <w:rPr>
                  <w:rFonts w:ascii="Arial" w:cs="Arial" w:eastAsia="Arial" w:hAnsi="Arial"/>
                  <w:sz w:val="18"/>
                  <w:szCs w:val="18"/>
                  <w:color w:val="0000EE"/>
                  <w:w w:val="84"/>
                </w:rPr>
                <w:t>Controls and Procedures</w:t>
              </w:r>
            </w:hyperlink>
          </w:p>
        </w:tc>
        <w:tc>
          <w:tcPr>
            <w:tcW w:w="7160" w:type="dxa"/>
            <w:vAlign w:val="bottom"/>
            <w:gridSpan w:val="1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53">
              <w:r>
                <w:rPr>
                  <w:rFonts w:ascii="Arial" w:cs="Arial" w:eastAsia="Arial" w:hAnsi="Arial"/>
                  <w:sz w:val="18"/>
                  <w:szCs w:val="18"/>
                  <w:color w:val="0000EE"/>
                  <w:w w:val="80"/>
                </w:rPr>
                <w:t>Item 9B.</w:t>
              </w:r>
            </w:hyperlink>
          </w:p>
        </w:tc>
        <w:tc>
          <w:tcPr>
            <w:tcW w:w="560" w:type="dxa"/>
            <w:vAlign w:val="bottom"/>
            <w:gridSpan w:val="4"/>
          </w:tcPr>
          <w:p>
            <w:pPr>
              <w:spacing w:after="0"/>
              <w:rPr>
                <w:sz w:val="21"/>
                <w:szCs w:val="21"/>
                <w:color w:val="auto"/>
              </w:rPr>
            </w:pPr>
          </w:p>
        </w:tc>
        <w:tc>
          <w:tcPr>
            <w:tcW w:w="1720" w:type="dxa"/>
            <w:vAlign w:val="bottom"/>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7160" w:type="dxa"/>
            <w:vAlign w:val="bottom"/>
            <w:gridSpan w:val="1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III</w:t>
              </w:r>
            </w:hyperlink>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3">
              <w:r>
                <w:rPr>
                  <w:rFonts w:ascii="Arial" w:cs="Arial" w:eastAsia="Arial" w:hAnsi="Arial"/>
                  <w:sz w:val="18"/>
                  <w:szCs w:val="18"/>
                  <w:color w:val="0000EE"/>
                  <w:w w:val="82"/>
                </w:rPr>
                <w:t>Item 10.</w:t>
              </w:r>
            </w:hyperlink>
          </w:p>
        </w:tc>
        <w:tc>
          <w:tcPr>
            <w:tcW w:w="560" w:type="dxa"/>
            <w:vAlign w:val="bottom"/>
            <w:gridSpan w:val="4"/>
          </w:tcPr>
          <w:p>
            <w:pPr>
              <w:spacing w:after="0"/>
              <w:rPr>
                <w:sz w:val="21"/>
                <w:szCs w:val="21"/>
                <w:color w:val="auto"/>
              </w:rPr>
            </w:pPr>
          </w:p>
        </w:tc>
        <w:tc>
          <w:tcPr>
            <w:tcW w:w="4100" w:type="dxa"/>
            <w:vAlign w:val="bottom"/>
            <w:gridSpan w:val="1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Directors, Executive Officers and Corporate Governance</w:t>
              </w:r>
            </w:hyperlink>
          </w:p>
        </w:tc>
        <w:tc>
          <w:tcPr>
            <w:tcW w:w="4780" w:type="dxa"/>
            <w:vAlign w:val="bottom"/>
            <w:gridSpan w:val="7"/>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3">
              <w:r>
                <w:rPr>
                  <w:rFonts w:ascii="Arial" w:cs="Arial" w:eastAsia="Arial" w:hAnsi="Arial"/>
                  <w:sz w:val="18"/>
                  <w:szCs w:val="18"/>
                  <w:color w:val="0000EE"/>
                  <w:w w:val="82"/>
                </w:rPr>
                <w:t>Item 11.</w:t>
              </w:r>
            </w:hyperlink>
          </w:p>
        </w:tc>
        <w:tc>
          <w:tcPr>
            <w:tcW w:w="560" w:type="dxa"/>
            <w:vAlign w:val="bottom"/>
            <w:gridSpan w:val="4"/>
          </w:tcPr>
          <w:p>
            <w:pPr>
              <w:spacing w:after="0"/>
              <w:rPr>
                <w:sz w:val="21"/>
                <w:szCs w:val="21"/>
                <w:color w:val="auto"/>
              </w:rPr>
            </w:pPr>
          </w:p>
        </w:tc>
        <w:tc>
          <w:tcPr>
            <w:tcW w:w="4100" w:type="dxa"/>
            <w:vAlign w:val="bottom"/>
            <w:gridSpan w:val="1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Executive Compensation</w:t>
              </w:r>
            </w:hyperlink>
          </w:p>
        </w:tc>
        <w:tc>
          <w:tcPr>
            <w:tcW w:w="4780" w:type="dxa"/>
            <w:vAlign w:val="bottom"/>
            <w:gridSpan w:val="7"/>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4">
              <w:r>
                <w:rPr>
                  <w:rFonts w:ascii="Arial" w:cs="Arial" w:eastAsia="Arial" w:hAnsi="Arial"/>
                  <w:sz w:val="18"/>
                  <w:szCs w:val="18"/>
                  <w:color w:val="0000EE"/>
                  <w:w w:val="82"/>
                </w:rPr>
                <w:t>Item 12.</w:t>
              </w:r>
            </w:hyperlink>
          </w:p>
        </w:tc>
        <w:tc>
          <w:tcPr>
            <w:tcW w:w="560" w:type="dxa"/>
            <w:vAlign w:val="bottom"/>
            <w:gridSpan w:val="4"/>
          </w:tcPr>
          <w:p>
            <w:pPr>
              <w:spacing w:after="0"/>
              <w:rPr>
                <w:sz w:val="21"/>
                <w:szCs w:val="21"/>
                <w:color w:val="auto"/>
              </w:rPr>
            </w:pPr>
          </w:p>
        </w:tc>
        <w:tc>
          <w:tcPr>
            <w:tcW w:w="7300" w:type="dxa"/>
            <w:vAlign w:val="bottom"/>
            <w:gridSpan w:val="17"/>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Security Ownership of Certain Beneficial Owners and Management and Related Stockholder Matters</w:t>
              </w:r>
            </w:hyperlink>
          </w:p>
        </w:tc>
        <w:tc>
          <w:tcPr>
            <w:tcW w:w="1580" w:type="dxa"/>
            <w:vAlign w:val="bottom"/>
            <w:gridSpan w:val="2"/>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4">
              <w:r>
                <w:rPr>
                  <w:rFonts w:ascii="Arial" w:cs="Arial" w:eastAsia="Arial" w:hAnsi="Arial"/>
                  <w:sz w:val="18"/>
                  <w:szCs w:val="18"/>
                  <w:color w:val="0000EE"/>
                  <w:w w:val="82"/>
                </w:rPr>
                <w:t>Item 13.</w:t>
              </w:r>
            </w:hyperlink>
          </w:p>
        </w:tc>
        <w:tc>
          <w:tcPr>
            <w:tcW w:w="560" w:type="dxa"/>
            <w:vAlign w:val="bottom"/>
            <w:gridSpan w:val="4"/>
          </w:tcPr>
          <w:p>
            <w:pPr>
              <w:spacing w:after="0"/>
              <w:rPr>
                <w:sz w:val="21"/>
                <w:szCs w:val="21"/>
                <w:color w:val="auto"/>
              </w:rPr>
            </w:pPr>
          </w:p>
        </w:tc>
        <w:tc>
          <w:tcPr>
            <w:tcW w:w="5460" w:type="dxa"/>
            <w:vAlign w:val="bottom"/>
            <w:gridSpan w:val="14"/>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580" w:type="dxa"/>
            <w:vAlign w:val="bottom"/>
            <w:gridSpan w:val="2"/>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4">
              <w:r>
                <w:rPr>
                  <w:rFonts w:ascii="Arial" w:cs="Arial" w:eastAsia="Arial" w:hAnsi="Arial"/>
                  <w:sz w:val="18"/>
                  <w:szCs w:val="18"/>
                  <w:color w:val="0000EE"/>
                  <w:w w:val="82"/>
                </w:rPr>
                <w:t>Item 14.</w:t>
              </w:r>
            </w:hyperlink>
          </w:p>
        </w:tc>
        <w:tc>
          <w:tcPr>
            <w:tcW w:w="560" w:type="dxa"/>
            <w:vAlign w:val="bottom"/>
            <w:gridSpan w:val="4"/>
          </w:tcPr>
          <w:p>
            <w:pPr>
              <w:spacing w:after="0"/>
              <w:rPr>
                <w:sz w:val="21"/>
                <w:szCs w:val="21"/>
                <w:color w:val="auto"/>
              </w:rPr>
            </w:pPr>
          </w:p>
        </w:tc>
        <w:tc>
          <w:tcPr>
            <w:tcW w:w="2880" w:type="dxa"/>
            <w:vAlign w:val="bottom"/>
            <w:gridSpan w:val="9"/>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Principal Accounting Fees and Services</w:t>
              </w:r>
            </w:hyperlink>
          </w:p>
        </w:tc>
        <w:tc>
          <w:tcPr>
            <w:tcW w:w="2580" w:type="dxa"/>
            <w:vAlign w:val="bottom"/>
            <w:gridSpan w:val="5"/>
          </w:tcPr>
          <w:p>
            <w:pPr>
              <w:spacing w:after="0"/>
              <w:rPr>
                <w:sz w:val="21"/>
                <w:szCs w:val="21"/>
                <w:color w:val="auto"/>
              </w:rPr>
            </w:pPr>
          </w:p>
        </w:tc>
        <w:tc>
          <w:tcPr>
            <w:tcW w:w="3420" w:type="dxa"/>
            <w:vAlign w:val="bottom"/>
            <w:gridSpan w:val="5"/>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54">
              <w:r>
                <w:rPr>
                  <w:rFonts w:ascii="Arial" w:cs="Arial" w:eastAsia="Arial" w:hAnsi="Arial"/>
                  <w:sz w:val="18"/>
                  <w:szCs w:val="18"/>
                  <w:b w:val="1"/>
                  <w:bCs w:val="1"/>
                  <w:color w:val="0000EE"/>
                  <w:w w:val="98"/>
                </w:rPr>
                <w:t>PART IV</w:t>
              </w:r>
            </w:hyperlink>
          </w:p>
        </w:tc>
        <w:tc>
          <w:tcPr>
            <w:tcW w:w="42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4">
              <w:r>
                <w:rPr>
                  <w:rFonts w:ascii="Arial" w:cs="Arial" w:eastAsia="Arial" w:hAnsi="Arial"/>
                  <w:sz w:val="18"/>
                  <w:szCs w:val="18"/>
                  <w:color w:val="0000EE"/>
                  <w:w w:val="82"/>
                </w:rPr>
                <w:t>Item 15.</w:t>
              </w:r>
            </w:hyperlink>
          </w:p>
        </w:tc>
        <w:tc>
          <w:tcPr>
            <w:tcW w:w="560" w:type="dxa"/>
            <w:vAlign w:val="bottom"/>
            <w:gridSpan w:val="4"/>
          </w:tcPr>
          <w:p>
            <w:pPr>
              <w:spacing w:after="0"/>
              <w:rPr>
                <w:sz w:val="21"/>
                <w:szCs w:val="21"/>
                <w:color w:val="auto"/>
              </w:rPr>
            </w:pPr>
          </w:p>
        </w:tc>
        <w:tc>
          <w:tcPr>
            <w:tcW w:w="888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 Financial Statement Schedules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598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8">
              <w:r>
                <w:rPr>
                  <w:rFonts w:ascii="Arial" w:cs="Arial" w:eastAsia="Arial" w:hAnsi="Arial"/>
                  <w:sz w:val="18"/>
                  <w:szCs w:val="18"/>
                  <w:color w:val="0000EE"/>
                  <w:w w:val="82"/>
                </w:rPr>
                <w:t>Item 16.</w:t>
              </w:r>
            </w:hyperlink>
          </w:p>
        </w:tc>
        <w:tc>
          <w:tcPr>
            <w:tcW w:w="560" w:type="dxa"/>
            <w:vAlign w:val="bottom"/>
            <w:gridSpan w:val="4"/>
          </w:tcPr>
          <w:p>
            <w:pPr>
              <w:spacing w:after="0"/>
              <w:rPr>
                <w:sz w:val="21"/>
                <w:szCs w:val="21"/>
                <w:color w:val="auto"/>
              </w:rPr>
            </w:pPr>
          </w:p>
        </w:tc>
        <w:tc>
          <w:tcPr>
            <w:tcW w:w="1560" w:type="dxa"/>
            <w:vAlign w:val="bottom"/>
            <w:gridSpan w:val="5"/>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Form 10-K Summary</w:t>
              </w:r>
            </w:hyperlink>
          </w:p>
        </w:tc>
        <w:tc>
          <w:tcPr>
            <w:tcW w:w="1340" w:type="dxa"/>
            <w:vAlign w:val="bottom"/>
            <w:gridSpan w:val="5"/>
          </w:tcPr>
          <w:p>
            <w:pPr>
              <w:spacing w:after="0"/>
              <w:rPr>
                <w:sz w:val="21"/>
                <w:szCs w:val="21"/>
                <w:color w:val="auto"/>
              </w:rPr>
            </w:pPr>
          </w:p>
        </w:tc>
        <w:tc>
          <w:tcPr>
            <w:tcW w:w="5980" w:type="dxa"/>
            <w:vAlign w:val="bottom"/>
            <w:gridSpan w:val="9"/>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48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Borders>
              <w:top w:val="single" w:sz="8" w:color="0000EE"/>
            </w:tcBorders>
            <w:gridSpan w:val="5"/>
          </w:tcPr>
          <w:p>
            <w:pPr>
              <w:spacing w:after="0"/>
              <w:rPr>
                <w:sz w:val="24"/>
                <w:szCs w:val="24"/>
                <w:color w:val="auto"/>
              </w:rPr>
            </w:pPr>
          </w:p>
        </w:tc>
        <w:tc>
          <w:tcPr>
            <w:tcW w:w="3900" w:type="dxa"/>
            <w:vAlign w:val="bottom"/>
            <w:gridSpan w:val="9"/>
          </w:tcPr>
          <w:p>
            <w:pPr>
              <w:jc w:val="center"/>
              <w:ind w:left="195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53" w:right="239" w:bottom="1440" w:gutter="0" w:footer="0" w:header="0"/>
        </w:sectPr>
      </w:pPr>
    </w:p>
    <w:bookmarkStart w:id="3" w:name="page4"/>
    <w:bookmarkEnd w:id="3"/>
    <w:p>
      <w:pPr>
        <w:ind w:firstLine="648"/>
        <w:spacing w:after="0" w:line="277" w:lineRule="auto"/>
        <w:rPr>
          <w:sz w:val="20"/>
          <w:szCs w:val="20"/>
          <w:color w:val="auto"/>
        </w:rPr>
      </w:pPr>
      <w:r>
        <w:rPr>
          <w:rFonts w:ascii="Arial" w:cs="Arial" w:eastAsia="Arial" w:hAnsi="Arial"/>
          <w:sz w:val="18"/>
          <w:szCs w:val="18"/>
          <w:color w:val="auto"/>
        </w:rPr>
        <w:t>All references to “us,” “we,” “our,” the “Company” and “Kratos” refer to Kratos Defense &amp; Security Solutions, Inc., a Delaware corporation, and its subsidiaries.</w:t>
      </w:r>
    </w:p>
    <w:p>
      <w:pPr>
        <w:spacing w:after="0" w:line="166" w:lineRule="exact"/>
        <w:rPr>
          <w:sz w:val="20"/>
          <w:szCs w:val="20"/>
          <w:color w:val="auto"/>
        </w:rPr>
      </w:pPr>
    </w:p>
    <w:p>
      <w:pPr>
        <w:jc w:val="center"/>
        <w:ind w:right="-59"/>
        <w:spacing w:after="0" w:line="207" w:lineRule="exact"/>
        <w:rPr>
          <w:sz w:val="20"/>
          <w:szCs w:val="20"/>
          <w:color w:val="auto"/>
        </w:rPr>
      </w:pPr>
      <w:r>
        <w:rPr>
          <w:rFonts w:ascii="Arial" w:cs="Arial" w:eastAsia="Arial" w:hAnsi="Arial"/>
          <w:sz w:val="18"/>
          <w:szCs w:val="18"/>
          <w:b w:val="1"/>
          <w:bCs w:val="1"/>
          <w:color w:val="auto"/>
        </w:rPr>
        <w:t>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This Annual Report on Form 10-K (this “Annual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risks and uncertainties that could cause our actual results or achievements to differ materially from the results or achievements expressed in or implied by our forward-looking statements, include, but are not limited to those specifically addressed in Item 1A “Risk Factors” in this Annual Report, as well as those discussed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Kratos is a government contractor at the forefront of the U.S. Department of Defense’s (the “DoD”)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Kratos’ primary focus areas are unmanned systems, space and satellite communications, microwave electronics, cyber security/warfare, training systems, missile defense, turbine technologies, and C5ISR (as defined below).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or in a secure manufacturing facility. Our primary end customers are national security related agencies. Our entire organization is focused on executing our strategy of becoming the leading technology and intellectual property based product and system company in our industry.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On December 18, 2019, President Trump signed two 2020 spending bills totaling $1.4 trillion. The bills allocate $738 billion to the military and $632 billion to non-defense agencies, representing increases over FY 2019 of $22 billion for the Pentagon and $27 billion for non-defense agencies. The National Defense Authorization Act (“NDAA”) grants a base budget of approximately $666.5 billion (including the establishment of a new, sixth armed service for space) and an additional $71.5 billion for overseas contingency operations funding, a.k.a. the war budget. The federal budget and debt ceiling are expected to continue to be the subject of considerable debate, which could have a significant impact on defense spending broadly and the Company’s programs in particular. The U.S. Government’s fiscal year (“FY”) ends September 30.</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budget environment, including budget caps mandated by the Budget Control Act of 2011 (“BCA”) for fiscal years 2020 and 2021, and uncertainty surrounding the debt ceiling and the appropriations process, remain significant short and long-term risks. Considerable uncertainty exists regarding how future budget and program decisions will unfold, including the defense spending priorities of the Administration and Congress and what challenges budget reductions (required by the BCA and otherwise) will present for the defense industry. If annual appropriations bills are not timely enacted for FY 2021 or beyond, the U.S. Government may again operate under a continuing resolution, restricting new contract or program starts, presenting resource allocation challenges and placing limitations on some planned program budgets, and we may face another government shutdown of unknown duration. If a prolonged government shutdown of the DoD were to occur, it could result in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773" w:right="299" w:bottom="1440" w:gutter="0" w:footer="0" w:header="0"/>
        </w:sectPr>
      </w:pPr>
    </w:p>
    <w:bookmarkStart w:id="4" w:name="page5"/>
    <w:bookmarkEnd w:id="4"/>
    <w:p>
      <w:pPr>
        <w:ind w:right="20"/>
        <w:spacing w:after="0" w:line="277" w:lineRule="auto"/>
        <w:rPr>
          <w:sz w:val="20"/>
          <w:szCs w:val="20"/>
          <w:color w:val="auto"/>
        </w:rPr>
      </w:pPr>
      <w:r>
        <w:rPr>
          <w:rFonts w:ascii="Arial" w:cs="Arial" w:eastAsia="Arial" w:hAnsi="Arial"/>
          <w:sz w:val="18"/>
          <w:szCs w:val="18"/>
          <w:color w:val="auto"/>
        </w:rPr>
        <w:t>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Additionally, funding for certain programs in which we participate may be reduced, delayed or cancelled, and global budget cuts could adversely affect the viability of our subcontractors, suppliers, and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Reporting Segments</w:t>
      </w:r>
    </w:p>
    <w:p>
      <w:pPr>
        <w:spacing w:after="0" w:line="229"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The Company currently operates in two reportable segments. The Kratos Government Solutions (“KGS”) reportable segment is comprised of an aggregation of KGS operating segments, including our microwave electronic products, space, training and cybersecurity, C5ISR/modular systems, turbine technologies, and defense and rocket support services operating segments. The Unmanned Systems (“US”) reportable segment consists of our unmanned aerial system and unmanned ground and seaborne system products.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organize our operating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14 of the Notes to Consolidated Financial Statements contained within this Annual Report. From a customer and solutions perspective, we view our business as an integrated whole, leveraging skills and assets wherever possible.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27, 2019, the Company acquired 80.1% of the issued and outstanding shares of capital stock of Florida</w:t>
      </w:r>
    </w:p>
    <w:p>
      <w:pPr>
        <w:spacing w:after="0" w:line="23"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Turbine Technologies Inc., a Florida corporation (“FTT Inc.”), and 80.1% of the membership interests in FTT CORE, LLC, a Delaware limited liability company (“FTT Core” and, together with FTT Inc. and their respective subsidiaries, “FTT”), for an aggregate purchase price of approximately $60 million. FTT is a leading turbomachinery design and manufacturing company specializing in engineering, development, and testing of gas turbines, propulsion components, engine and other systems for military and commercial applications. FTT is now the KTT Division, which is focused on the development and production of small, affordable, high-performance jet engines for the next generation of tactical weapon systems and tactical jet Unmanned Aerial Systems (“UAS”). The KTT Division is included in the KGS segment. For additional information regarding the acquisition of FTT, see Note 2 of the Notes to Consolidated Financial Statements contained within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believe that our intellectual property, proprietary products, and technology are strongly aligned with certain of the highest priority spending areas of the DoD including the 2018 National Defense Strategy document, and the DoD’s focus on leveraging technology to defeat or deter peer and near-peer adversaries. We also believe that our proven ability to rapidly design, develop, demonstrate and field leading technology products and systems at an affordable cost differentiates us from our competitors. We believe that our longstanding customer relationships, and the designed-in position of our systems, technology and products into our customers’ platforms, programs and systems, provide a unique competitive advantage and position us well for accelerated growth.</w:t>
      </w:r>
    </w:p>
    <w:p>
      <w:pPr>
        <w:spacing w:after="0" w:line="19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i w:val="1"/>
          <w:iCs w:val="1"/>
          <w:color w:val="auto"/>
        </w:rPr>
        <w:t xml:space="preserve">Specialized national security focus aligned with mission-critical national security priorities. </w:t>
      </w:r>
      <w:r>
        <w:rPr>
          <w:rFonts w:ascii="Arial" w:cs="Arial" w:eastAsia="Arial" w:hAnsi="Arial"/>
          <w:sz w:val="17"/>
          <w:szCs w:val="17"/>
          <w:color w:val="auto"/>
        </w:rPr>
        <w:t>Continued concerns related to the threats posed by</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foreign nations, including nations with peer or near peer capabilities have caused the U.S. Government to identify national security as an area of functional and spending priority. Budget pressures, particularly related to DoD spending, have placed a premium on developing and fielding low-cost, high-technology solutions to assist in national security missions. While recent budget pressures have at times caused delays in orders for our business, current budget projections, including the recently enacted fiscal 2020 DoD budget, the Pentagon’s fiscal 2021 DoD budget request which was released on February 10, 2020 and the Fiscal Year Defense Plan (“FYDP”), suggest defense spending will increase over the next few years. The improving outlook for defense spending is primarily focused on enhanced power projection, warfighting readiness, lethality, and recapitalization of key strategic defense systems to address peer and near peer threats. Our primary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7" w:right="239" w:bottom="1440" w:gutter="0" w:footer="0" w:header="0"/>
        </w:sectPr>
      </w:pPr>
    </w:p>
    <w:bookmarkStart w:id="5" w:name="page6"/>
    <w:bookmarkEnd w:id="5"/>
    <w:p>
      <w:pPr>
        <w:ind w:right="600"/>
        <w:spacing w:after="0" w:line="277" w:lineRule="auto"/>
        <w:rPr>
          <w:sz w:val="20"/>
          <w:szCs w:val="20"/>
          <w:color w:val="auto"/>
        </w:rPr>
      </w:pPr>
      <w:r>
        <w:rPr>
          <w:rFonts w:ascii="Arial" w:cs="Arial" w:eastAsia="Arial" w:hAnsi="Arial"/>
          <w:sz w:val="18"/>
          <w:szCs w:val="18"/>
          <w:color w:val="auto"/>
        </w:rPr>
        <w:t>capabilities and areas of focus, listed below, are strongly aligned with the objectives of the U.S. Government as outlined in the 2018 National Defense Strategy document:</w:t>
      </w:r>
    </w:p>
    <w:p>
      <w:pPr>
        <w:spacing w:after="0" w:line="170"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Unmanned aerial drone, unmanned ground and unmanned seaborne systems and artificial intelligence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Satellite communications and radio frequency interference detection location and mitigation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Microwave electronics supporting warfare, missile, radar and communication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Electronic warfare, attack, missile, and radar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Intelligence, surveillance and reconnaissance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Ballistic missile defense and hypersonic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C5ISR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security and information assurance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Specialized training systems and operational readiness</w:t>
      </w:r>
    </w:p>
    <w:p>
      <w:pPr>
        <w:spacing w:after="0" w:line="211"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i w:val="1"/>
          <w:iCs w:val="1"/>
          <w:color w:val="auto"/>
        </w:rPr>
        <w:t xml:space="preserve">IP-centric defense company with proprietary products and technology which address critical current and emerging threats faced by U.S. and allied militaries. </w:t>
      </w:r>
      <w:r>
        <w:rPr>
          <w:rFonts w:ascii="Arial" w:cs="Arial" w:eastAsia="Arial" w:hAnsi="Arial"/>
          <w:sz w:val="16"/>
          <w:szCs w:val="16"/>
          <w:color w:val="auto"/>
        </w:rPr>
        <w:t>As a technology-focused defense company at the forefront of the DoD’s strategy for technology rich and affordable systems, our current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growing portfolio of proprietary systems, products, solutions, and related intellectual property addresses some of the most critical needs of U.S. and allied militaries in the fields of unmanned systems, space &amp; satellite communications, microwave electronics, cyber security/warfare, missile defense, combat and training systems. A key element of our customers’ strategy, and where we have invested significantly, is the development of capabilities and intellectual property addressing the recent challenges faced by U.S. and allied militaries in Anti-Access and Aerial-Denial (“A2/AD”) environments. This is evidenced by our significant investment in high-performance Unmanned Aerial Drone System (“UADS”) platforms and technology, which has culminated in a series of Unmanned Combat Aerial System (“UCAS”) contract wins. Additionally, with our space &amp; satellite and terrestrial ground segment command, control, radio frequency interference monitoring, geolocation and mitigation products and capabilities, we believe we are well-positioned to capitalize on the 2020 DoD budget for space investments, a significant portion of which is for the development and protection of U.S. national security space assets and infrastructure. Accordingly, our proprietary products, systems and technologies are developed and refined with the goal of enabling our customers to maintain an advantage over the advanced and constantly evolving threats of adversaries, at an affordable cost. In many instances, we are one of the few companies that produce the mission-critical technology our customers require, or we outperformed our peers in a competitive bidding process. We maintain a strategy of internally funding research and development and owning the intellectual property of many of these high-performance capabilities and systems.</w:t>
      </w:r>
    </w:p>
    <w:p>
      <w:pPr>
        <w:spacing w:after="0" w:line="172" w:lineRule="exact"/>
        <w:rPr>
          <w:sz w:val="20"/>
          <w:szCs w:val="20"/>
          <w:color w:val="auto"/>
        </w:rPr>
      </w:pPr>
    </w:p>
    <w:p>
      <w:pPr>
        <w:ind w:right="60" w:firstLine="567"/>
        <w:spacing w:after="0" w:line="270" w:lineRule="auto"/>
        <w:rPr>
          <w:sz w:val="20"/>
          <w:szCs w:val="20"/>
          <w:color w:val="auto"/>
        </w:rPr>
      </w:pPr>
      <w:r>
        <w:rPr>
          <w:rFonts w:ascii="Arial" w:cs="Arial" w:eastAsia="Arial" w:hAnsi="Arial"/>
          <w:sz w:val="17"/>
          <w:szCs w:val="17"/>
          <w:i w:val="1"/>
          <w:iCs w:val="1"/>
          <w:color w:val="auto"/>
        </w:rPr>
        <w:t xml:space="preserve">Technology-driven company aligned with and supporting our customers’ increased innovation, technology, and strategic national security initiatives, with focus on speed and affordability. </w:t>
      </w:r>
      <w:r>
        <w:rPr>
          <w:rFonts w:ascii="Arial" w:cs="Arial" w:eastAsia="Arial" w:hAnsi="Arial"/>
          <w:sz w:val="17"/>
          <w:szCs w:val="17"/>
          <w:color w:val="auto"/>
        </w:rPr>
        <w:t>As the DoD works to increase or maintain its technological advantage over adversaries, it has continued its efforts to</w:t>
      </w:r>
      <w:r>
        <w:rPr>
          <w:rFonts w:ascii="Arial" w:cs="Arial" w:eastAsia="Arial" w:hAnsi="Arial"/>
          <w:sz w:val="17"/>
          <w:szCs w:val="17"/>
          <w:i w:val="1"/>
          <w:iCs w:val="1"/>
          <w:color w:val="auto"/>
        </w:rPr>
        <w:t xml:space="preserve"> </w:t>
      </w:r>
      <w:r>
        <w:rPr>
          <w:rFonts w:ascii="Arial" w:cs="Arial" w:eastAsia="Arial" w:hAnsi="Arial"/>
          <w:sz w:val="17"/>
          <w:szCs w:val="17"/>
          <w:color w:val="auto"/>
        </w:rPr>
        <w:t>create breakthrough technologies for national security, accelerate innovation to the warfighter, and repurpose current capabilities to create cost-effective, disruptive technology advances. With our focus on delivering proven leading edge systems, products and technologies that address the most critical current and emerging threats, our customers include some of the most technologically advanced organizations of the defense establishment, including the Defense Innovation Unit (“DIU”) (formerly the Defense Innovation Unit Experimental (“DIUx”)), Defense Advanced Research Projects Agency (“DARPA”), Air Force Research Laboratory (“AFRL”), the Strategic Capabilities Office (SCO), the Strategic Command (STRATCOM), the National Aeronautics and Space Administration, the U.S. intelligence community, and other confidential customers. We believe our focus on constant innovation, capability improvements across our product and solutions portfolio, speed of development, and production and affordability are key differentiators that align us with and address our customers’ key initiatives.</w:t>
      </w:r>
    </w:p>
    <w:p>
      <w:pPr>
        <w:spacing w:after="0" w:line="178"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i w:val="1"/>
          <w:iCs w:val="1"/>
          <w:color w:val="auto"/>
        </w:rPr>
        <w:t xml:space="preserve">In-depth understanding of customer missions. </w:t>
      </w:r>
      <w:r>
        <w:rPr>
          <w:rFonts w:ascii="Arial" w:cs="Arial" w:eastAsia="Arial" w:hAnsi="Arial"/>
          <w:sz w:val="16"/>
          <w:szCs w:val="16"/>
          <w:color w:val="auto"/>
        </w:rPr>
        <w:t>We have a reputation for successfully and rapidly designing, developing, demonstrating and fielding</w:t>
      </w:r>
      <w:r>
        <w:rPr>
          <w:rFonts w:ascii="Arial" w:cs="Arial" w:eastAsia="Arial" w:hAnsi="Arial"/>
          <w:sz w:val="16"/>
          <w:szCs w:val="16"/>
          <w:i w:val="1"/>
          <w:iCs w:val="1"/>
          <w:color w:val="auto"/>
        </w:rPr>
        <w:t xml:space="preserve"> </w:t>
      </w:r>
      <w:r>
        <w:rPr>
          <w:rFonts w:ascii="Arial" w:cs="Arial" w:eastAsia="Arial" w:hAnsi="Arial"/>
          <w:sz w:val="16"/>
          <w:szCs w:val="16"/>
          <w:color w:val="auto"/>
        </w:rPr>
        <w:t>mission-critical products, solutions and services to our customers, at an affordable cost. Our long-term relationships with the U.S. Air Force, U.S. Army, U.S. Navy and other national security related customers and agencies enable us to develop an in-depth understanding of their missions, problems and technical requirements. In addition, a substantial number of our employees are located at our customer locations, or at secure manufacturing facilities, all of which provides Kratos with valuable strategic insight into our customers’ ongoing missions and future program and mission requirements. This understanding of our customers’ missions, requirements, and needs, in conjunction with the strategic location of our employees, enables us to offer technical solutions tailored to our customers’ specific requirements and evolving mission objectives. In addition, once our products are “designed in” and we are on-site with a customer and providing our products and solutions, we have historically been successful in winning new and recompete business.</w:t>
      </w:r>
    </w:p>
    <w:p>
      <w:pPr>
        <w:spacing w:after="0" w:line="166" w:lineRule="exact"/>
        <w:rPr>
          <w:sz w:val="20"/>
          <w:szCs w:val="20"/>
          <w:color w:val="auto"/>
        </w:rPr>
      </w:pPr>
    </w:p>
    <w:p>
      <w:pPr>
        <w:ind w:firstLine="567"/>
        <w:spacing w:after="0" w:line="264" w:lineRule="auto"/>
        <w:rPr>
          <w:sz w:val="20"/>
          <w:szCs w:val="20"/>
          <w:color w:val="auto"/>
        </w:rPr>
      </w:pPr>
      <w:r>
        <w:rPr>
          <w:rFonts w:ascii="Arial" w:cs="Arial" w:eastAsia="Arial" w:hAnsi="Arial"/>
          <w:sz w:val="18"/>
          <w:szCs w:val="18"/>
          <w:color w:val="auto"/>
        </w:rPr>
        <w:t>Kratos is an industry leader in high performance, jet powered, unmanned aerial target drone systems which are designed to replicate state of the art adversarial fighter aircraft, missiles and other threats. Kratos is the sole source or primary unmanned aerial target drone system provider to the U.S. Air Force, Navy, Army, and numerous allied foreign defense agencies.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57" w:right="259" w:bottom="1440" w:gutter="0" w:footer="0" w:header="0"/>
        </w:sectPr>
      </w:pPr>
    </w:p>
    <w:bookmarkStart w:id="6" w:name="page7"/>
    <w:bookmarkEnd w:id="6"/>
    <w:p>
      <w:pPr>
        <w:ind w:right="200"/>
        <w:spacing w:after="0" w:line="257" w:lineRule="auto"/>
        <w:rPr>
          <w:sz w:val="20"/>
          <w:szCs w:val="20"/>
          <w:color w:val="auto"/>
        </w:rPr>
      </w:pPr>
      <w:r>
        <w:rPr>
          <w:rFonts w:ascii="Arial" w:cs="Arial" w:eastAsia="Arial" w:hAnsi="Arial"/>
          <w:sz w:val="18"/>
          <w:szCs w:val="18"/>
          <w:color w:val="auto"/>
        </w:rPr>
        <w:t>Leveraging off of this technology, for which Kratos owns the intellectual property, we made a significant investment over the past six years developing Kratos’ first UCAS, our Unmanned Tactical Aerial Platform (“UTAP-22”), now formally called “Mako.” After successfully achieving the Mako’s first concept flights at the end of 2015, in 2016 we received a $12.6 million single-award contract to demonstrate certain payload integration and loyal wingman teaming with manned aircraft in a major military exercise. At the time, this contract was one of the largest awarded contracts by the DIUx. We are currently under contract with several additional customers related to Kratos’ Mako.</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select sample of Kratos’ other key UAS products and contracts includes:</w:t>
      </w:r>
    </w:p>
    <w:p>
      <w:pPr>
        <w:spacing w:after="0" w:line="225" w:lineRule="exact"/>
        <w:rPr>
          <w:sz w:val="20"/>
          <w:szCs w:val="20"/>
          <w:color w:val="auto"/>
        </w:rPr>
      </w:pPr>
    </w:p>
    <w:p>
      <w:pPr>
        <w:ind w:left="1300" w:right="120" w:hanging="320"/>
        <w:spacing w:after="0" w:line="297"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2017, we successfully advanced to Phase II of the Gremlins program, awarded by DARPA, the U.S. Government’s leader in breakthrough technologies for national security, teamed with our partner company, Dynetics. In 2018, as part of the Dynetics led team, we were selected for award on Phase III of the Gremlins program to demonstrate safe and reliable launch and aerial recovery of multiple unmanned drone system aircraft, capable of employing and recovering diverse distributed payloads in volley quantities. In January 2020, DARPA and Dynetics announced that the successful first flight of the X-61A Gremlins Air Vehicle was completed on November 23, 2019.</w:t>
      </w:r>
    </w:p>
    <w:p>
      <w:pPr>
        <w:spacing w:after="0" w:line="77" w:lineRule="exact"/>
        <w:rPr>
          <w:rFonts w:ascii="Arial" w:cs="Arial" w:eastAsia="Arial" w:hAnsi="Arial"/>
          <w:sz w:val="16"/>
          <w:szCs w:val="16"/>
          <w:color w:val="auto"/>
        </w:rPr>
      </w:pPr>
    </w:p>
    <w:p>
      <w:pPr>
        <w:ind w:left="1300" w:right="60" w:hanging="320"/>
        <w:spacing w:after="0" w:line="276"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2016, we were awarded the AFRL Low Cost Attritable Strike Demonstration (“LCASD”) UCAS single-award cost share contract. The LCASD, or Valkyrie, is an approximately 30 foot by 22 foot unmanned strike aerial drone system. During 2019, the Company announced that the Kratos/AFRL team successfully completed three flights for the Valkyrie, or the XQ-58A. In January 2020, the Company completed its fourth demonstration flight, including the successful deployment of its parachutes, and landed normally, validating the design changes incorporated for the test flight airbag system following the third flight in 2019.</w:t>
      </w:r>
    </w:p>
    <w:p>
      <w:pPr>
        <w:spacing w:after="0" w:line="91" w:lineRule="exact"/>
        <w:rPr>
          <w:rFonts w:ascii="Arial" w:cs="Arial" w:eastAsia="Arial" w:hAnsi="Arial"/>
          <w:sz w:val="17"/>
          <w:szCs w:val="17"/>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2019, the Kratos XQ-58A Valkyrie was awarded Aviation Week’s Laureate Award for Defense Technology and Innovation.</w:t>
      </w:r>
    </w:p>
    <w:p>
      <w:pPr>
        <w:spacing w:after="0" w:line="144" w:lineRule="exact"/>
        <w:rPr>
          <w:rFonts w:ascii="Arial" w:cs="Arial" w:eastAsia="Arial" w:hAnsi="Arial"/>
          <w:sz w:val="18"/>
          <w:szCs w:val="18"/>
          <w:color w:val="auto"/>
        </w:rPr>
      </w:pPr>
    </w:p>
    <w:p>
      <w:pPr>
        <w:ind w:left="1300" w:hanging="320"/>
        <w:spacing w:after="0" w:line="293"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redeveloped our Air Force Subscale Aerial Target BQM-167 into what we believe to be the highest performance unmanned aircraft in the world, the U.S. Navy Sub-Sonic Aerial Target (“SSAT”) Drone BQM-177A, with low rate initial production awarded to Kratos in June 2017. In 2018, delivery of the first production aerial targets was made to the U.S. Navy, and achievement of Initial Operational Capability (IOC) was reported by the U.S. Navy in February 2019. In 2019, the Company was awarded a $25.4 million contract for Lot 3 of low rate initial production for 34 BQM-177A aerial targets. To date, the Company has been awarded production orders for 105 BQM-177A aerial targets. We expect the SSAT program to become one of the largest and most important to Kratos in the near term.</w:t>
      </w:r>
    </w:p>
    <w:p>
      <w:pPr>
        <w:spacing w:after="0" w:line="83" w:lineRule="exact"/>
        <w:rPr>
          <w:rFonts w:ascii="Arial" w:cs="Arial" w:eastAsia="Arial" w:hAnsi="Arial"/>
          <w:sz w:val="16"/>
          <w:szCs w:val="16"/>
          <w:color w:val="auto"/>
        </w:rPr>
      </w:pPr>
    </w:p>
    <w:p>
      <w:pPr>
        <w:ind w:left="1300" w:right="60" w:hanging="320"/>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2018, we received a single award $109 million maximum value three year production contract for Air Force Subscale Aerial Target BQM-167A, with $27 million being initially obligated at the time of award for 30 Lot 14 BQM-167A aerial targets and production support, and an additional $31.9 million being obligated for 35 Lot 15 BQM-167A targets in 2019.</w:t>
      </w:r>
    </w:p>
    <w:p>
      <w:pPr>
        <w:spacing w:after="0" w:line="100" w:lineRule="exact"/>
        <w:rPr>
          <w:rFonts w:ascii="Arial" w:cs="Arial" w:eastAsia="Arial" w:hAnsi="Arial"/>
          <w:sz w:val="18"/>
          <w:szCs w:val="18"/>
          <w:color w:val="auto"/>
        </w:rPr>
      </w:pPr>
    </w:p>
    <w:p>
      <w:pPr>
        <w:ind w:left="1300" w:right="60" w:hanging="320"/>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2018, we received a ten-year, sole source, single award framework contract from QinetiQ UK for Kratos’ MQM-178 Firejet aerial targets, spares, ground support equipment, technical services, and training. In 2018, we were awarded a prime contract for the Aerial Target Systems 2 (ATS-2), Multiple Award Indefinite Delivery Indefinite Quantity (“IDIQ”) Contract with a ceiling value of $93.3 million, and a five year period of performance.</w:t>
      </w:r>
    </w:p>
    <w:p>
      <w:pPr>
        <w:spacing w:after="0" w:line="105" w:lineRule="exact"/>
        <w:rPr>
          <w:rFonts w:ascii="Arial" w:cs="Arial" w:eastAsia="Arial" w:hAnsi="Arial"/>
          <w:sz w:val="18"/>
          <w:szCs w:val="18"/>
          <w:color w:val="auto"/>
        </w:rPr>
      </w:pPr>
    </w:p>
    <w:p>
      <w:pPr>
        <w:ind w:left="1300" w:right="220" w:hanging="320"/>
        <w:spacing w:after="0" w:line="279"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2018, we received a sole source, single award multi-year IDIQ contract from the Swedish Defence Materiel Administration for our MQM-178 Firejet aerial target aircraft and associated ground support equipment, spares, payloads, components, expendables and support services. The first order under the three-year IDIQ contract was received in the first half of 2019. Additionally, there are two three-year exercisable option periods for a total potential contract performance term of nine years.</w:t>
      </w:r>
    </w:p>
    <w:p>
      <w:pPr>
        <w:spacing w:after="0" w:line="90" w:lineRule="exact"/>
        <w:rPr>
          <w:rFonts w:ascii="Arial" w:cs="Arial" w:eastAsia="Arial" w:hAnsi="Arial"/>
          <w:sz w:val="17"/>
          <w:szCs w:val="17"/>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2019, the Company produced its first MQM-178 Firejet target drones at its new production facility in Oklahoma City.</w:t>
      </w:r>
    </w:p>
    <w:p>
      <w:pPr>
        <w:spacing w:after="0" w:line="144" w:lineRule="exact"/>
        <w:rPr>
          <w:sz w:val="20"/>
          <w:szCs w:val="20"/>
          <w:color w:val="auto"/>
        </w:rPr>
      </w:pPr>
    </w:p>
    <w:p>
      <w:pPr>
        <w:ind w:right="60" w:firstLine="567"/>
        <w:spacing w:after="0" w:line="302" w:lineRule="auto"/>
        <w:rPr>
          <w:sz w:val="20"/>
          <w:szCs w:val="20"/>
          <w:color w:val="auto"/>
        </w:rPr>
      </w:pPr>
      <w:r>
        <w:rPr>
          <w:rFonts w:ascii="Arial" w:cs="Arial" w:eastAsia="Arial" w:hAnsi="Arial"/>
          <w:sz w:val="16"/>
          <w:szCs w:val="16"/>
          <w:color w:val="auto"/>
        </w:rPr>
        <w:t>We believe that our internally developed and owned intellectual property allows us to provide more capable jet powered, unmanned aircraft, designed to fly in A2/AD environments and with performance capabilities equal to or greater than fourth generation manned jet fighter aircraft, at an affordable cost. Kratos’ tactical UAS provide force multiplication and augmentation for manned high performance fighter aircraft. We believe that there are very few high-performance UAS that are affordable and as advanced as our technologies addressing the A2/AD environment, which the DoD has identified as a U.S.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7" w:right="239" w:bottom="1440" w:gutter="0" w:footer="0" w:header="0"/>
        </w:sectPr>
      </w:pPr>
    </w:p>
    <w:bookmarkStart w:id="7" w:name="page8"/>
    <w:bookmarkEnd w:id="7"/>
    <w:p>
      <w:pPr>
        <w:ind w:right="300"/>
        <w:spacing w:after="0" w:line="308" w:lineRule="auto"/>
        <w:rPr>
          <w:sz w:val="20"/>
          <w:szCs w:val="20"/>
          <w:color w:val="auto"/>
        </w:rPr>
      </w:pPr>
      <w:r>
        <w:rPr>
          <w:rFonts w:ascii="Arial" w:cs="Arial" w:eastAsia="Arial" w:hAnsi="Arial"/>
          <w:sz w:val="17"/>
          <w:szCs w:val="17"/>
          <w:color w:val="auto"/>
        </w:rPr>
        <w:t>capabilities gap. As such, consistent with the needs and requirements of the U.S. and allied militaries, we believe that our leadership in these types of high performance unmanned aircraft provides us with a future market opportunity of these types of low-cost, high-performance systems.</w:t>
      </w:r>
    </w:p>
    <w:p>
      <w:pPr>
        <w:spacing w:after="0" w:line="147"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We are also an industry leader in ground-based command, control and communications systems for satellites, and a leader in related radio frequency interference identification, geolocation and mitigation, or Space Situational Awareness (SSA). Our primary customers include the U.S. Air Force, Space Command and other agencies. Our microwave electronics business products have designed-in positions on critical combat system programs, including Barak, Gripen, Iron Dome, Sling of David, F-15, F-16, Gripen, and Arrow. Our advanced capabilities in the training systems and solutions market, including for aircraft and combat vehicles, have allowed us to successfully remain at the forefront of defense industry readiness initiatives. We believe our strategy of internally funding the research and development of many of our systems, products, solutions and capabilities will continue to solidify our position in high growth markets, such as high performance UADS, satellite communications, microwave electronics and training systems, and allow us to grow, over the long-term, at a rate greater than that of the industry.</w:t>
      </w:r>
    </w:p>
    <w:p>
      <w:pPr>
        <w:spacing w:after="0" w:line="179"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i w:val="1"/>
          <w:iCs w:val="1"/>
          <w:color w:val="auto"/>
        </w:rPr>
        <w:t xml:space="preserve">Diverse base of key contracts with low concentration. </w:t>
      </w:r>
      <w:r>
        <w:rPr>
          <w:rFonts w:ascii="Arial" w:cs="Arial" w:eastAsia="Arial" w:hAnsi="Arial"/>
          <w:sz w:val="18"/>
          <w:szCs w:val="18"/>
          <w:color w:val="auto"/>
        </w:rPr>
        <w:t>Many of our contracts are single-award and/or sole source in nature, where we are the only</w:t>
      </w:r>
      <w:r>
        <w:rPr>
          <w:rFonts w:ascii="Arial" w:cs="Arial" w:eastAsia="Arial" w:hAnsi="Arial"/>
          <w:sz w:val="18"/>
          <w:szCs w:val="18"/>
          <w:i w:val="1"/>
          <w:iCs w:val="1"/>
          <w:color w:val="auto"/>
        </w:rPr>
        <w:t xml:space="preserve"> </w:t>
      </w:r>
      <w:r>
        <w:rPr>
          <w:rFonts w:ascii="Arial" w:cs="Arial" w:eastAsia="Arial" w:hAnsi="Arial"/>
          <w:sz w:val="18"/>
          <w:szCs w:val="18"/>
          <w:color w:val="auto"/>
        </w:rPr>
        <w:t>awardee by the customer. In many cases, our ability to obtain single award, sole source contracts is due to our intellectual property, proprietary products, historical performance qualifications, relative experience and affordability. Additionally, as a result of our business development focus on securing key contracts, we are also a preferred contractor on numerous multi-year, government-wide acquisition contracts (“GWACs”) and multiple award contracts. Our preferred contractor status provides us with the opportunity to bid on billions of dollars of business each year against a discrete number of other pre-qualified companies.</w:t>
      </w:r>
    </w:p>
    <w:p>
      <w:pPr>
        <w:spacing w:after="0" w:line="193"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have a highly diverse base of customers and contracts with no contract representing more than 8% of 2019 revenue. Our fixed-price contracts, the majority of which are production contracts, represent approximately 83% of our 2019 revenue. Our cost-plus-fee contracts and time and materials contracts represent approximately 12% and 5%, respectively, of our 2019 revenue. We believe our diverse base of key contracts and low reliance on any one contract provides us with a stable, balanced revenue stream. Our recent major contract awards, including a single award $223 million U.S. Navy contract for short and medium range suborbital flight vehicles (for which Kratos has teamed with Corvid Technologies), a $31.8 million funding award for production Lot 15 for the Air Force Subscale Aerial Target program, a $35.0 million IDIQ contract for Air Force subscale aerial target peculiar spares, $32.0 million in additional task orders awarded on Foreign Military Sales (“FMS”) to support the Royal Saudi Naval Forces, a prime contract award to deliver up to 33 Oriole Rocket motors to a U.S. Government customer, a $17.6 million contract award for new tactical drone system research, development and initial production, a $24 million microwave electronic products contract in support of a missile system program, a C5ISR $50 million single award production contract in support of a National Security Program, a $39 million contract for 24-hour space-based RF signal communication (SSA) services, a $25.4 million contract for Lot 3 for BQM-177A aerial targets, and multiple space and satellite communications awards have continued to allow us to grow the business while maintaining a diverse contract base.</w:t>
      </w:r>
    </w:p>
    <w:p>
      <w:pPr>
        <w:spacing w:after="0" w:line="18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 xml:space="preserve">Significant cash flow visibility driven by stable backlog. </w:t>
      </w:r>
      <w:r>
        <w:rPr>
          <w:rFonts w:ascii="Arial" w:cs="Arial" w:eastAsia="Arial" w:hAnsi="Arial"/>
          <w:sz w:val="16"/>
          <w:szCs w:val="16"/>
          <w:color w:val="auto"/>
        </w:rPr>
        <w:t>As of December 29, 2019 and December 30, 2018, our total backlog (see Backlog below)</w:t>
      </w:r>
      <w:r>
        <w:rPr>
          <w:rFonts w:ascii="Arial" w:cs="Arial" w:eastAsia="Arial" w:hAnsi="Arial"/>
          <w:sz w:val="16"/>
          <w:szCs w:val="16"/>
          <w:i w:val="1"/>
          <w:iCs w:val="1"/>
          <w:color w:val="auto"/>
        </w:rPr>
        <w:t xml:space="preserve"> </w:t>
      </w:r>
      <w:r>
        <w:rPr>
          <w:rFonts w:ascii="Arial" w:cs="Arial" w:eastAsia="Arial" w:hAnsi="Arial"/>
          <w:sz w:val="16"/>
          <w:szCs w:val="16"/>
          <w:color w:val="auto"/>
        </w:rPr>
        <w:t>was approximately $601.2 million and $620.7 million respectively, of which approximately $501.3 million was funded in 2019 and $537.2 million was funded in 2018. The majority of our sales are from awards issued under long-term contracts, typically three to five years in duration. Our contract backlog provides visibility into stable future revenue and cash flow over a diverse set of contracts. Importantly, a number of our systems and products are designed-in on and support long term, multi-year/multi-decade programs, which provides significant operational and financial visibility to our Company.</w:t>
      </w:r>
    </w:p>
    <w:p>
      <w:pPr>
        <w:spacing w:after="0" w:line="15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Highly skilled employees and an experienced management team. </w:t>
      </w:r>
      <w:r>
        <w:rPr>
          <w:rFonts w:ascii="Arial" w:cs="Arial" w:eastAsia="Arial" w:hAnsi="Arial"/>
          <w:sz w:val="17"/>
          <w:szCs w:val="17"/>
          <w:color w:val="auto"/>
        </w:rPr>
        <w:t>We deliver our systems, products and services through a skilled and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and technically oriented workforce of approximately 3,000 employees. Our senior managers have significant experience with U.S. Government agencies, the U.S. military and U.S. Government contractors. A significant number of Kratos employees hold national security clearances. Members of our management team have experience growing businesses both organically and through acquisitions and delivering significant value to stakeholders. We believe that the cumulative experience and differentiated expertise of our personnel in our core focus areas, coupled with our sizable and technically oriented employee base, allow us to qualify for and bid on larger programs and contracts in a prime contracting role.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strategy is to focus on our core business areas, including unmanned systems, space and satellite communications, cyber security, microwave electronics, missile defense and hypersonic systems, turbine technologies, training and C5ISR systems, which are closely aligned with the DoD’s mission and funding priorities. We will continue to invest in differentiating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7" w:right="239" w:bottom="1440" w:gutter="0" w:footer="0" w:header="0"/>
        </w:sectPr>
      </w:pPr>
    </w:p>
    <w:bookmarkStart w:id="8" w:name="page9"/>
    <w:bookmarkEnd w:id="8"/>
    <w:p>
      <w:pPr>
        <w:ind w:right="460"/>
        <w:spacing w:after="0" w:line="277" w:lineRule="auto"/>
        <w:rPr>
          <w:sz w:val="20"/>
          <w:szCs w:val="20"/>
          <w:color w:val="auto"/>
        </w:rPr>
      </w:pPr>
      <w:r>
        <w:rPr>
          <w:rFonts w:ascii="Arial" w:cs="Arial" w:eastAsia="Arial" w:hAnsi="Arial"/>
          <w:sz w:val="18"/>
          <w:szCs w:val="18"/>
          <w:color w:val="auto"/>
        </w:rPr>
        <w:t>systems, products, technology and intellectual property. We intend to be the leader in rapidly developing, demonstrating and delivering to the warfighter proven leading technology systems, at an affordable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Growth</w:t>
      </w:r>
    </w:p>
    <w:p>
      <w:pPr>
        <w:spacing w:after="0" w:line="1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focused on generating internal growth by capitalizing on our ability to rapidly develop, demonstrate and field leading technology systems and products at an affordable cost. We will make targeted discretionary investments in mission critical DoD priority areas, including unmanned systems, space and satellite communications, cyber security, microwave electronics, missile defense and training systems, which have the highest potential for growth based on recent DoD funding requests, and in which we will retain the intellectual property rights.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Expand technology product, solution and service offerings provided to existing customers. </w:t>
      </w:r>
      <w:r>
        <w:rPr>
          <w:rFonts w:ascii="Arial" w:cs="Arial" w:eastAsia="Arial" w:hAnsi="Arial"/>
          <w:sz w:val="18"/>
          <w:szCs w:val="18"/>
          <w:color w:val="auto"/>
        </w:rPr>
        <w:t>We are focused on expanding the technology,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and solutions we provide to our current customers by leveraging our strong relationships, technical capabilities, intellectual property and past performance qualifications as well as by offering a wider range of comprehensive low-cost technology leading and proven products and solutions. In regard to areas of specialization, our product and solution offerings include the manufacturing of specialized defense electronics; integrated technology solutions for satellite command, control and communications; specialized high performance UADS and drone aircraft for tactical and threat representation target purposes; and Unmanned Ground Systems (“UGS”) and Unmanned Seaborne Systems. We believe our understanding of customer needs, missions, requirements and processes, and our ability to rapidly deliver low cost, technology leading systems, products and solutions, position us well for success in the current national security environment.</w:t>
      </w:r>
    </w:p>
    <w:p>
      <w:pPr>
        <w:spacing w:after="0" w:line="1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Capitalize on current contract base. </w:t>
      </w:r>
      <w:r>
        <w:rPr>
          <w:rFonts w:ascii="Arial" w:cs="Arial" w:eastAsia="Arial" w:hAnsi="Arial"/>
          <w:sz w:val="18"/>
          <w:szCs w:val="18"/>
          <w:color w:val="auto"/>
        </w:rPr>
        <w:t>We are pursuing new program and contract opportunities and awards as we build the business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expanding technology base, intellectual property ownership, contract portfolio, and product, solution and service offerings. We are also aggressively pursuing several national security priority areas, including high performance UADS, satellite communications command, control, communication and signal monitoring products (SSA), microwave electronics for missiles, radars, electronic warfare and communications, cyber security solutions, specialized training systems, autonomy and artificial intelligence systems, robotics, directed energy systems, hypersonic systems, electromagnetic rail gun systems and next generation ballistic missile targets. We are also assessing new tactical program areas and platforms to pursue that are consistent with our core capabilities, technology and intellectual property.</w:t>
      </w:r>
    </w:p>
    <w:p>
      <w:pPr>
        <w:spacing w:after="0" w:line="10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Expand customer and contract base. </w:t>
      </w:r>
      <w:r>
        <w:rPr>
          <w:rFonts w:ascii="Arial" w:cs="Arial" w:eastAsia="Arial" w:hAnsi="Arial"/>
          <w:sz w:val="17"/>
          <w:szCs w:val="17"/>
          <w:color w:val="auto"/>
        </w:rPr>
        <w:t>We are focused on expanding our customer base into areas with significant growth opportunities as indicated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FY 2020 DoD budget, the 2021 DoD budget requests and FYDP, and the 2018 National Defense Strategy document, by leveraging our technology, intellectual property, proprietary products, capabilities, industry reputation, long-term customer relationships and diverse contract base. We also believe that our ability to rapidly develop, demonstrate and field high technology systems and products at an affordable cost is a clear competitive differentiator for our Company. We anticipate that this overall expansion in our capabilities will enable us both to pursue larger program opportunities, higher value work and to further diversify our revenue base across additional U.S. Government, international and commercial customers.</w:t>
      </w:r>
    </w:p>
    <w:p>
      <w:pPr>
        <w:spacing w:after="0" w:line="9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 xml:space="preserve">Improve operating margins. </w:t>
      </w:r>
      <w:r>
        <w:rPr>
          <w:rFonts w:ascii="Arial" w:cs="Arial" w:eastAsia="Arial" w:hAnsi="Arial"/>
          <w:sz w:val="17"/>
          <w:szCs w:val="17"/>
          <w:color w:val="auto"/>
        </w:rPr>
        <w:t>We believe that we have opportunities to increase our operating margins and improve profitability by capitalizing on our</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infrastructure investments as our business grows, production of our products and systems increases and related revenues increase. We are proactively focused on continuously improving efficiencies, reducing costs, and concentrating our efforts on operational excellence.</w:t>
      </w:r>
    </w:p>
    <w:p>
      <w:pPr>
        <w:spacing w:after="0" w:line="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Invest in strategic growth areas. </w:t>
      </w:r>
      <w:r>
        <w:rPr>
          <w:rFonts w:ascii="Arial" w:cs="Arial" w:eastAsia="Arial" w:hAnsi="Arial"/>
          <w:sz w:val="17"/>
          <w:szCs w:val="17"/>
          <w:color w:val="auto"/>
        </w:rPr>
        <w:t>Over the past several years, we have made significant internally funded investments in strategic growth areas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unmanned tactical aircraft drone systems. Specifically, we have increased internally funded research and development, capital expenditures and infrastructure investments, including executive management, bid, proposal and new business capture, pursuit and related expenses. We have made these investments with the intention of developing, demonstrating, fielding and bringing to production high performance jet powered unmanned aerial combat systems. These investments also allow us to retain the intellectual property rights, design and data packages for these platforms and systems, and to ultimately secure sole source production positions in these strategic growth areas. Specifically, since 2012, we have invested over $120 million in our UAS through internally funded research, development and contract design retrofit costs for new platforms under development and capital expenditures for aircraft and related equipment related to this strategic growth area.</w:t>
      </w:r>
    </w:p>
    <w:p>
      <w:pPr>
        <w:spacing w:after="0" w:line="98" w:lineRule="exact"/>
        <w:rPr>
          <w:sz w:val="20"/>
          <w:szCs w:val="20"/>
          <w:color w:val="auto"/>
        </w:rPr>
      </w:pPr>
    </w:p>
    <w:p>
      <w:pPr>
        <w:ind w:left="980" w:right="60" w:hanging="324"/>
        <w:spacing w:after="0" w:line="27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invested in internally funded research, development and capital expenditures to build our own UTAP-22 (Mako) UAS from 2012 to 2015, and demonstrated the capabilities of the UTAP-22 Mako in a flight demonstration in the fall of 2015 where Kratos Mako drones flew as an unmanned wingman to manned tactical fighter jet aircraft. As a result of these successful flights and capabilities demonstrations, we were awarded an initial $12.6 million prime contract from the DIUx for sensor integration and flight demonstration of our UTAP-22 Mako unmanned aerial system the following year. Under this effort, we integrated certain sensors into our</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7" w:right="239" w:bottom="1440" w:gutter="0" w:footer="0" w:header="0"/>
        </w:sectPr>
      </w:pPr>
    </w:p>
    <w:bookmarkStart w:id="9" w:name="page10"/>
    <w:bookmarkEnd w:id="9"/>
    <w:p>
      <w:pPr>
        <w:ind w:left="980" w:right="40"/>
        <w:spacing w:after="0" w:line="259" w:lineRule="auto"/>
        <w:rPr>
          <w:sz w:val="20"/>
          <w:szCs w:val="20"/>
          <w:color w:val="auto"/>
        </w:rPr>
      </w:pPr>
      <w:r>
        <w:rPr>
          <w:rFonts w:ascii="Arial" w:cs="Arial" w:eastAsia="Arial" w:hAnsi="Arial"/>
          <w:sz w:val="18"/>
          <w:szCs w:val="18"/>
          <w:color w:val="auto"/>
        </w:rPr>
        <w:t>UTAP-22 Mako and participated in a large, complex flight exercise in 2017. As a result of our development and demonstration of the Mako, we have been awarded several tactical and developmental awards, including an initial $17.6 million contract award in October 2019 for jet drone research, development and initial production efforts, with the scope of work and related funds under this program expected to increase as execution and performance milestones are successfully achieved.</w:t>
      </w:r>
    </w:p>
    <w:p>
      <w:pPr>
        <w:spacing w:after="0" w:line="106" w:lineRule="exact"/>
        <w:rPr>
          <w:sz w:val="20"/>
          <w:szCs w:val="20"/>
          <w:color w:val="auto"/>
        </w:rPr>
      </w:pPr>
    </w:p>
    <w:p>
      <w:pPr>
        <w:ind w:left="980" w:right="40" w:hanging="324"/>
        <w:spacing w:after="0" w:line="25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received a $40.8 million single award, cost-share contract from the AFRL for the LCASD. Under the LCASD contract award, we are designing, developing, and will deliver, demonstrate and test a technical baseline for a high-speed long-range, low-cost limited life-strike UAS. For our investment, we will retain hard (including two LCASD aircraft) and other assets, and important intellectual property, software, data, platform and system rights, which we believe will be critically important and valuable over the expected long-term life of this platform, including with respect to future production opportunities. During 2019, the Company announced that the Kratos/AFRL team successfully completed three flights for the Valkyrie, or the XQ-58A. In January 2020, the Company completed its fourth demonstration flight, including the successful deployment of its parachutes, and landed nominally, validating the design changes incorporated for the test flight airbag system following the third flight in 2019.</w:t>
      </w:r>
    </w:p>
    <w:p>
      <w:pPr>
        <w:spacing w:after="0" w:line="111" w:lineRule="exact"/>
        <w:rPr>
          <w:rFonts w:ascii="Arial" w:cs="Arial" w:eastAsia="Arial" w:hAnsi="Arial"/>
          <w:sz w:val="18"/>
          <w:szCs w:val="18"/>
          <w:color w:val="auto"/>
        </w:rPr>
      </w:pPr>
    </w:p>
    <w:p>
      <w:pPr>
        <w:ind w:left="980" w:hanging="324"/>
        <w:spacing w:after="0" w:line="25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were awarded one of four prime contract awards from DARPA for the Gremlins program. Under the Gremlins program, DARPA envisions a swarm of approximately 20 high performance unmanned aerial vehicles that are deployed by an inflight aircraft, and are later recovered, inflight, by an aircraft. The approximate $3.9 million Phase I contracts were awarded to four competing companies, with the intent to ultimately down select to one finalist company over a period of approximately 36 months. In 2017, we successfully advanced to Phase II of the Gremlin’s program, teamed with our partner company Dynetics. In 2018, as part of the Dynetics-led team, we were selected for award on Phase III of the Gremlins program to demonstrate safe and reliable launch and aerial recovery of multiple unmanned drone system aircraft, capable of employing and recovering diverse distributed payloads in volley quantities. In January 2020, DARPA and Dynetics announced that the successful first flight of the X-61A Gremlins Air Vehicle was completed on November 23, 2019. Kratos is a key subcontractor to Dynetics on the Gremlins program.</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Capitalize on corporate infrastructure investments. </w:t>
      </w:r>
      <w:r>
        <w:rPr>
          <w:rFonts w:ascii="Arial" w:cs="Arial" w:eastAsia="Arial" w:hAnsi="Arial"/>
          <w:sz w:val="17"/>
          <w:szCs w:val="17"/>
          <w:color w:val="auto"/>
        </w:rPr>
        <w:t>In recent periods, we have made significant investments in our senior management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related to cyber security threats to our Company, increased and changing regulations we are subject to, and the changing national security industry environment. These investments also included hiring senior executives with significant experience in the national security industry, hiring firms to support us on Capitol Hill, Congressionally and with our customers, strengthening our internal controls over financial reporting and accounting staff in support of increasing public company reporting requirements, expanding our infrastructure in response to increases in cyber security protection and related regulatory requirements, and expanding our backlog and bid and proposal pipeline. We expect to be allocating additional resources in our pursuit of new, larger and highly technical prime contract opportunities. We believe our management experience and corporate infrastructure can support a company with a much larger revenue base than ours. Accordingly, we believe that, to the extent our revenue grows, we will be able to leverage this infrastructure base and increase our operating margins.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A representative list of customers in our KGS and US segments during 2019 included the U.S. Air Force, U.S. Army, U.S. Navy, U.S. Marines, Missile Defense Agency, Space Command, the National Aeronautics and Space Administration, FMS, the U.S. Southern Command, STRATCOM, the Strategic Capabilities Office (SCO), DIU or DIUx, the Rapid Capabilities Offices, the U.S. intelligence community and certain confidential customers.</w:t>
      </w:r>
    </w:p>
    <w:p>
      <w:pPr>
        <w:spacing w:after="0" w:line="6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Revenue from the U.S. Government (which includes FMS) includes revenue from contracts for which we are the prime contractor as well as those for which we are a subcontractor and the ultimate customer is the U.S. Government. Revenues from U.S. Government agency customers in aggregate accounted for approximately 71%, 72% and 75% of total revenues in 2019, 2018, and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Effective January 1, 2018, we adopted the requirements of Accounting Standards Codification 606, Revenue from Contracts with Customers (“ASC 606”), utilizing the modified retrospective method as discussed in Note 1 of the Notes to Consolidated Financial Statements contained within this Annual Report. Since our adoption of ASC 606, revenues from remaining performance obligations, also referred to as total backlog, are now calculated as the dollar value of our remaining performance obligations on executed contracts. As of December 29, 2019 and December 30, 2018, our backlog was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57" w:right="279" w:bottom="1440" w:gutter="0" w:footer="0" w:header="0"/>
        </w:sectPr>
      </w:pPr>
    </w:p>
    <w:bookmarkStart w:id="10" w:name="page11"/>
    <w:bookmarkEnd w:id="10"/>
    <w:p>
      <w:pPr>
        <w:ind w:right="380"/>
        <w:spacing w:after="0" w:line="342" w:lineRule="auto"/>
        <w:rPr>
          <w:sz w:val="20"/>
          <w:szCs w:val="20"/>
          <w:color w:val="auto"/>
        </w:rPr>
      </w:pPr>
      <w:r>
        <w:rPr>
          <w:rFonts w:ascii="Arial" w:cs="Arial" w:eastAsia="Arial" w:hAnsi="Arial"/>
          <w:sz w:val="16"/>
          <w:szCs w:val="16"/>
          <w:color w:val="auto"/>
        </w:rPr>
        <w:t>approximately $601.2 million and $620.7 million, respectively, of which $501.3 million was funded in 2019 and $537.2 million was funded in 2018. We expect to recognize approximately 62.0% of the remaining total backlog as revenue in 2020, an additional 21.0% in 2021 and the balance thereafter.</w:t>
      </w:r>
    </w:p>
    <w:p>
      <w:pPr>
        <w:spacing w:after="0" w:line="124"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the Company is expected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contract. For IDIQ contracts, only awarded or funded task orders are included for backlog purposes.</w:t>
      </w:r>
    </w:p>
    <w:p>
      <w:pPr>
        <w:spacing w:after="0" w:line="16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the Company’s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 significant number of the programs that Kratos’ systems, products and solutions support are multi-year/multi-decade in nature. Accordingly, based on historical customer usage or operational tempo, the Company has reasonable expectations or visibility of what ultimate orders for Kratos’ systems, products and solutions will be. The Company does not include these expected amounts in its backlog until a related contract award is received.</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29, 2019, we had a work force of approximately 3,000 full-time, part-time and on-call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market is competitive and includes a number of companies in the U.S. defense and national security industries. Most of the companies that we compete against have significantly greater financial, technical, marketing and other resources and generate greater revenues than we do. Competition in the KGS and US segments include tier one, large U.S. Government contractors and system integrators such as Northrop Grumman, Lockheed Martin, General Dynamics, Raytheon, BAE Systems, L3Harris, General Atomics and Boeing. While we view other government contractors as competitors, we also team with these same companies in joint proposals or in the delivery of our products, solutions and services for customers. Tier two competitors include smaller government contractors such as Mercury Systems, Qinetiq, Cobham, Aerojet Rocketdyne and AAR Corp. Intense competition and long operating cycles are key characteristics of our business within the defense industry. It is also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57" w:right="279" w:bottom="1440" w:gutter="0" w:footer="0" w:header="0"/>
        </w:sectPr>
      </w:pPr>
    </w:p>
    <w:bookmarkStart w:id="11" w:name="page12"/>
    <w:bookmarkEnd w:id="11"/>
    <w:p>
      <w:pPr>
        <w:jc w:val="both"/>
        <w:ind w:right="20"/>
        <w:spacing w:after="0" w:line="342" w:lineRule="auto"/>
        <w:rPr>
          <w:sz w:val="20"/>
          <w:szCs w:val="20"/>
          <w:color w:val="auto"/>
        </w:rPr>
      </w:pPr>
      <w:r>
        <w:rPr>
          <w:rFonts w:ascii="Arial" w:cs="Arial" w:eastAsia="Arial" w:hAnsi="Arial"/>
          <w:sz w:val="16"/>
          <w:szCs w:val="16"/>
          <w:color w:val="auto"/>
        </w:rPr>
        <w:t>and simultaneously perform as a supplier to or be a customer of that same competitor on other contracts, or vice versa. The nature of major defense programs, conducted under binding contracts, allows companies that perform well to benefit from a level of program continuity not frequently found in other industries.</w:t>
      </w:r>
    </w:p>
    <w:p>
      <w:pPr>
        <w:spacing w:after="0" w:line="4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the principal competitive factors in our ability to win new business include our strategy of focusing on priority DoD requirements and funding areas, our intellectual property, proprietary products, technology and our ability to rapidly develop, demonstrate and deliver systems to the warfighter at an affordable cost. Also important is our past performance qualifications, customer relationships, domain and technology expertise, the ability to obtain and replace contract vehicles, the ability to deliver results within budget (time and cost), reputation, accountability, staffing flexibility, and project management expertise. Additionally, our ability to deliver cost effective systems, products, solutions and services that meet our customers’ requirements is also a key differentiator.</w:t>
      </w:r>
    </w:p>
    <w:p>
      <w:pPr>
        <w:spacing w:after="0" w:line="11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the U.S. defense, IT, and services markets, the U.S. Government has stressed competition and affordability or low cost in connection with its future procurement of products and services. This has led to fewer sole source awards, as well as more emphasis on cost competitiveness, with contract awards issued on a Low Price Technically Acceptable (“LPTA”) basis rather than a best value basis, which has negatively impacted our Defense and Rocket Support Services (“DRSS”) business in our KGS segment. In addition, competitor bid protests have become more prevalent in the current competitive environment, resulting in further delay of contract procurement activity.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believe that our future success depends upon our ability to continue to rapidly develop new products and services, and enhancements to and applications for our existing products and services, to be delivered at an affordable cost. Our research and development expenses were $18.0 million, $15.6 million and $17.8 million in 2019, 2018, and 2017, respectively. We intend to continue our focus on research and development as a key strategy for growth, which will focus on investments in those fields that we believe will offer the greatest opportunity for growth and profitability. Our current primary internal research and development (“IR&amp;D”) focus areas include satellite communications and signal monitoring, unmanned systems, electronic products, and turbine technologies.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believe that our continued success depends in large part on our proprietary technology, the intellectual skills of our employees and the ability of our employees to continue to innovate. We rely on a combination of patent, copyright, trademark and trade secret laws, as well as confidentiality agreements, to establish and protect our proprietary rights.</w:t>
      </w:r>
    </w:p>
    <w:p>
      <w:pPr>
        <w:spacing w:after="0" w:line="100"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As of December 29, 2019, we held a number of U.S. and foreign patents. We do not consider our business to be materially dependent upon any individual patent. We will continue to file and pursue patent applications when and where appropriate to attempt to protect our rights in our proprietary technologies. We also encourage our employees to continue to invent and develop new technologies so as to maintain our competitiveness in the marketplace.</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or have rights to use certain trademarks, service marks and trade names that we use in conjunction with the operation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trademarks have also been registered in selected foreign countries.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are subject to various government regulations, including various U.S. Government regulations as a contractor and subcontractor to the agencies of the U.S. Government. Among the most significant U.S. Government regulations affecting our business are:</w:t>
      </w:r>
    </w:p>
    <w:p>
      <w:pPr>
        <w:spacing w:after="0" w:line="89" w:lineRule="exact"/>
        <w:rPr>
          <w:sz w:val="20"/>
          <w:szCs w:val="20"/>
          <w:color w:val="auto"/>
        </w:rPr>
      </w:pPr>
    </w:p>
    <w:p>
      <w:pPr>
        <w:ind w:left="1300" w:right="16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Federal Acquisition Regulations and supplemental agency regulations, which comprehensively regulate the formation, administration, and performance under government contracts;</w:t>
      </w:r>
    </w:p>
    <w:p>
      <w:pPr>
        <w:spacing w:after="0" w:line="89"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Truthful Cost or Pricing Data Statute (formerly the Truth in Negotiations Act), which requires certification and disclosure of all cost and pricing data in connection with contract negotiations;</w:t>
      </w:r>
    </w:p>
    <w:p>
      <w:pPr>
        <w:spacing w:after="0" w:line="89" w:lineRule="exact"/>
        <w:rPr>
          <w:rFonts w:ascii="Arial" w:cs="Arial" w:eastAsia="Arial" w:hAnsi="Arial"/>
          <w:sz w:val="18"/>
          <w:szCs w:val="18"/>
          <w:color w:val="auto"/>
        </w:rPr>
      </w:pPr>
    </w:p>
    <w:p>
      <w:pPr>
        <w:ind w:left="1300" w:right="84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Accounting Standards, which impose accounting requirements that govern our right to reimbursement under cost-based government contracts;</w:t>
      </w:r>
    </w:p>
    <w:p>
      <w:pPr>
        <w:spacing w:after="0" w:line="89" w:lineRule="exact"/>
        <w:rPr>
          <w:rFonts w:ascii="Arial" w:cs="Arial" w:eastAsia="Arial" w:hAnsi="Arial"/>
          <w:sz w:val="18"/>
          <w:szCs w:val="18"/>
          <w:color w:val="auto"/>
        </w:rPr>
      </w:pPr>
    </w:p>
    <w:p>
      <w:pPr>
        <w:ind w:left="1300" w:right="32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Foreign Corrupt Practices Act, which prohibits U.S. companies from providing anything of value to a foreign official to help obtain, retain or direct business, or obtain any unfair advantages;</w:t>
      </w:r>
    </w:p>
    <w:p>
      <w:pPr>
        <w:spacing w:after="0" w:line="89" w:lineRule="exact"/>
        <w:rPr>
          <w:rFonts w:ascii="Arial" w:cs="Arial" w:eastAsia="Arial" w:hAnsi="Arial"/>
          <w:sz w:val="18"/>
          <w:szCs w:val="18"/>
          <w:color w:val="auto"/>
        </w:rPr>
      </w:pPr>
    </w:p>
    <w:p>
      <w:pPr>
        <w:ind w:left="1300" w:right="400" w:hanging="320"/>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False Claims Act and the False Statements Act, which, respectively, impose penalties for payments made on the basis of false facts provided to the government and impose penalties on the basis of false statements, even if they do not result in a payment; and</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57" w:right="259" w:bottom="1440" w:gutter="0" w:footer="0" w:header="0"/>
        </w:sectPr>
      </w:pPr>
    </w:p>
    <w:bookmarkStart w:id="12" w:name="page13"/>
    <w:bookmarkEnd w:id="12"/>
    <w:p>
      <w:pPr>
        <w:ind w:left="1300" w:right="1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89"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We also need special security clearances to continue working on and advancing certain of our programs and contracts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to obtain government clearances.</w:t>
      </w:r>
    </w:p>
    <w:p>
      <w:pPr>
        <w:spacing w:after="0" w:line="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nature of the work we do for the federal government may also limit the parties who may invest in or acquire us. Export laws may keep us from providing potential foreign acquirers with a review of the technical data they would be acquiring. In addition, there are special requirements for foreign parties who wish to buy or acquire control or influence over companies that control technology or produce goods in the security interests of the U.S. There may need to be a review under the Exon-Florio provisions of the Defense Production Act. Finally, the government may require a prospective foreign owner to establish intermediaries to actually run that part of the company that does classified work, and establishing a subsidiary and its separate operation may make such an acquisition less appealing to such potential acquirers.</w:t>
      </w:r>
    </w:p>
    <w:p>
      <w:pPr>
        <w:spacing w:after="0" w:line="11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addition, the export from the U.S. of certain of our products may require the issuance of a license by the U.S. Department of Commerce under the Export Administration Act, as amended, and its implementing regulations as kept in force by the International Emergency Economic Powers Act of 1977, as amended. Some of our products may require the issuance of a license by the U.S. Department of State under the Arms Export Control Act and its implementing regulations, which licenses are generally harder to obtain and take longer to obtain than do Export Administration Act licenses.</w:t>
      </w:r>
    </w:p>
    <w:p>
      <w:pPr>
        <w:spacing w:after="0" w:line="7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business may require compliance with state or local laws designed to limit the uses of personal user information gathered online or require online services to establish privacy policies.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Availability</w:t>
      </w:r>
    </w:p>
    <w:p>
      <w:pPr>
        <w:spacing w:after="0" w:line="14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procure critical material, components, products and subsystems from both domestic and global supply partners. These supply sources may be single sources for certain components and the material provided may have extended lead times. To support our continuing customer needs, we have taken steps to mitigate sourcing risks. This includes working closely with our suppliers to ensure future material and subsystem availability to support our manufacturing plans. In some cases, we have elected to stock reserve material to ensure future availability.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4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Our manufacturing operations are subject to many requirements under environmental laws. In the U.S., the U.S. Environmental Protection Agency and similar state agencies administer laws that restrict the emission of pollutants into the air, discharges of pollutants into bodies of water and disposal of pollutants in the ground. Violations of these laws can result in significant civil and criminal penalties and incarceration. The failure to obtain a permit for certain activities may be a violation of environmental law and subject the owner and operator to civil and criminal sanctions. Most environmental agencies also have the power to shut down an operation if it is operating in violation of environmental law. U.S. laws also allow citizens to bring private enforcement actions in some situations. Outside the U.S., the environmental laws and their enforcement vary and may be more burdensome. We have management programs and processes in place that are intended to minimize the potential for violations of these laws.</w:t>
      </w:r>
    </w:p>
    <w:p>
      <w:pPr>
        <w:spacing w:after="0" w:line="9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Other environmental laws, primarily in the U.S., address the contamination of land and groundwater and require the clean-up of such contamination. These laws may apply not only to the owner or operator of an on-going business, but also to the owner of land contaminated by a prior owner or operator. In addition, if a parcel is contaminated by the release of a hazardous substance, such as through its historic use as a disposal site, any person or company that has contributed to that contamination, whether or not it has a legal interest in the land, may be subject to a requirement to clean up the parcel.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We file reports with the Securities and Exchange Commission (“SEC”). We make available on our website under “Investor Relations/Financial Information/SEC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8"/>
          <w:szCs w:val="18"/>
          <w:i w:val="1"/>
          <w:iCs w:val="1"/>
          <w:color w:val="auto"/>
        </w:rPr>
        <w:t>www.kratosdefense.com</w:t>
      </w:r>
      <w:r>
        <w:rPr>
          <w:rFonts w:ascii="Arial" w:cs="Arial" w:eastAsia="Arial" w:hAnsi="Arial"/>
          <w:sz w:val="18"/>
          <w:szCs w:val="18"/>
          <w:color w:val="auto"/>
        </w:rPr>
        <w:t>. The SEC also maintains an Internet site that contains our reports, proxy and information statements, and other information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www.sec.gov.</w:t>
      </w:r>
    </w:p>
    <w:p>
      <w:pPr>
        <w:spacing w:after="0" w:line="10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57"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Such information should not be considered a part of this report, unless otherwise expressly incorporated by reference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the related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U.S. Government provides a significant portion of our revenue, and our business could be adversely affected by changes in the fiscal policies of the U.S. Government and governmental entities.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fiscal 2019, 2018 and 2017, we generated 71%, 72% and 75%, respectively, of our total revenues from contracts with the U.S. Government (including all branches of the U.S. military and FMS), either as a prime contractor or a subcontractor. We expect to continue to derive most of our revenues from work performed under U.S. Government contracts. See the Industry Update section in Item 1 “Business” contained within this Annual Report for a discussion of the current budgetary and funding constraints on U.S. Government spending and legislation enacted to reduce the U.S. federal deficit. As a result, we have experienced and expect to continue to experience reduced or delayed awards on some of our programs, with a related negative impact to our revenues, earnings and cash flows. Competitor bid protests also have become more prevalent in the current competitive environment resulting from decreased government spending, which has led to further contract award delays. In addition, any future changes to the fiscal policies of the U.S. Government and foreign governmental entities may decrease overall government funding for defense and homeland security, result in delays in the procurement of our products and services due to lack of funding, cause the U.S. Government and government agencies to reduce their purchases under existing contracts, or cause them to exercise their rights to terminate contracts at-will or to abstain from exercising options to renew contracts, any of which would have an adverse effect on our business, financial condition, results of operations and/or cash flows.</w:t>
      </w:r>
    </w:p>
    <w:p>
      <w:pPr>
        <w:spacing w:after="0" w:line="18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4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U.S. Government programs are subject to annual congressional budget authorization and appropriation processes. For many programs, Congress appropriates funds on a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 We cannot predict the extent to which total funding and/or funding for individual programs will be included, increased or reduced as part of the annual budget process ultimately approved by Congress and the President or in separate supplemental appropriations or continuing resolutions, as applicable. Laws and plans adopted by the U.S. Government relating to, along with pressures on and uncertainty surrounding the federal budget, potential changes in priorities and defense spending levels, sequestration, the appropriations process, use of continuing resolutions (with restrictions, e.g., on new starts) and the permissible federal debt limit,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under such programs may be terminated or adjusted by the U.S. Government or the prime contractor.</w:t>
      </w:r>
    </w:p>
    <w:p>
      <w:pPr>
        <w:spacing w:after="0" w:line="18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federal budget and debt ceiling are expected to continue to be the subject of considerable debate, which could have a significant impact on defense spending broadly and our programs in particular.</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budget environment, including budget caps mandated by the BCA for fiscal years 2020 and 2021, and uncertainty surrounding the debt ceiling and the appropriations process, remain significant short and long-term risks. Considerable uncertainty exists regarding how future budget and program decisions will unfold, including the defense spending priorities of the Administration and Congress, what challenges budget reductions (required by the BCA and otherwise) will present for the defense industry and whether annual appropriations bills for all agencies will be enacted in a timely manner. If annual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7" w:right="239" w:bottom="1440" w:gutter="0" w:footer="0" w:header="0"/>
        </w:sectPr>
      </w:pPr>
    </w:p>
    <w:bookmarkStart w:id="14" w:name="page15"/>
    <w:bookmarkEnd w:id="14"/>
    <w:p>
      <w:pPr>
        <w:ind w:right="80"/>
        <w:spacing w:after="0" w:line="257" w:lineRule="auto"/>
        <w:rPr>
          <w:sz w:val="20"/>
          <w:szCs w:val="20"/>
          <w:color w:val="auto"/>
        </w:rPr>
      </w:pPr>
      <w:r>
        <w:rPr>
          <w:rFonts w:ascii="Arial" w:cs="Arial" w:eastAsia="Arial" w:hAnsi="Arial"/>
          <w:sz w:val="18"/>
          <w:szCs w:val="18"/>
          <w:color w:val="auto"/>
        </w:rPr>
        <w:t>appropriations bills are not timely enacted, the U.S. Government may again operate under a continuing resolution, restricting new contract or program starts, presenting resource allocation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believe continued budget pressures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this environment would have long-term implications for us and the entire defense industry.</w:t>
      </w:r>
    </w:p>
    <w:p>
      <w:pPr>
        <w:spacing w:after="0" w:line="16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Additionally, funding for certain programs in which we participate may be reduced, delayed or cancelled, and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adversely affect our ability to maintain our existing business and compete successfully for new business.</w:t>
      </w:r>
    </w:p>
    <w:p>
      <w:pPr>
        <w:spacing w:after="0" w:line="72"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our results of operations.</w:t>
      </w:r>
    </w:p>
    <w:p>
      <w:pPr>
        <w:spacing w:after="0" w:line="13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design, develop, and manufacture technologically advanced and innovative products and services, which are applied by our customers in a variety of environments. Problems and delays in development or delivery as a result of issues with respect to design, technology, licensing and intellectual property rights, labor, inability to achieve learning curve assumptions, manufacturing materials or components could prevent us from meeting requirements. Either we or the customer may generally terminate a contract as a result of a material uncured breach by the other. If we breach a contract or fail to perform in accordance with contractual service levels, delivery schedules, performance specifications, or other contractual requirements set forth therein, the other party thereto may terminate such contract for default, and we may be required to refund money previously paid to us by the customer or to pay penalties or other damages. Even if we have not breached, we may deal with various situations from time to time that may result in the amendment or termination of a contract. These steps can result in significant current period charges and/or reductions in current or future revenue, and/or delays in collection of outstanding receivables and costs incurred on the contract. Other factors that may affect revenue and profitability include inaccurate cost estimates, design issues, unforeseen costs and expenses not covered by insurance or indemnification from the customer, diversion of management focus in responding to unforeseen problems, and loss of follow-on work.</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57" w:right="279" w:bottom="144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a prime contractor, we often rely upon other companies as subcontractors to perform work we are obligated to perform for our customers. As we secure more work under certain of our contracts, we expect to require an increasing level of support from subcontractors that provide complementary and supplementary services to our offerings. We are responsible for the work performed by our subcontractors, even though in some cases we have limited involvement in that work. If one or more of our subcontractors fails to satisfactorily perform the agreed-upon services on a timely basis or violates U.S. Government contracting policies, laws or regulations, our ability to perform our obligations as a prime contractor or meet our customers’ expectations may be compromised. In extreme cases, performance or other deficiencies on the part of our subcontractors could result in a customer terminating our contract for default. A termination for default could expose us to liability, including liability for the agency’s costs of re-procurement, could damage our reputation and could hurt our ability to compete for future contracts.</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also are required to procure certain materials and parts from supply sources approved by the U.S. Government. The inability of a supplier to meet our needs or the appearance of counterfeit parts in our products could have a material adverse effect on our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profitability depend, in part, on subcontractor and supplier performance and product availability.</w:t>
      </w:r>
    </w:p>
    <w:p>
      <w:pPr>
        <w:spacing w:after="0" w:line="225"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We rely on other companies to provide major components for our products. For instance, we build the airframe, electronics and flight control systems for our unmanned aerial systems. We primarily rely on our suppliers to provide the engines and parachutes for landing the aircraft. Disruptions or performance problems caused by our subcontractors and suppliers, or a misalignment between our contractual obligations to our customers and our agreements with our subcontractors and suppliers, could have an adverse effect on our ability to meet our commitments to customers.</w:t>
      </w:r>
    </w:p>
    <w:p>
      <w:pPr>
        <w:spacing w:after="0" w:line="154"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Our ability to perform our obligations on time could be adversely affected if one or more of our subcontractors or suppliers were unable to provide the agreed-upon products or materials or perform the agreed-upon services in a timely, compliant and cost-effective manner or otherwise to meet the requirements of the contract. Changes in economic conditions, including changes in defense budgets or credit availability, or other changes impacting a subcontractor or supplier (including changes in ownership or operations) could adversely affect the financial stability of our subcontractors and suppliers and/or their ability to perform.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our U.S. Government contracts, we are required to procure certain materials, components and parts from supply sources approved by the customer. We also are facing increased and changing regulatory requirements, many of which apply to our subcontractors and suppliers. In some cases, there may be only one supplier for certain components. If a sole source supplier cannot meet our needs or is otherwise unavailable, we may be unable to find a suitable alternative.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procurement practices are intended to reduce the likelihood of our procurement of counterfeit, unauthorized or otherwise non-compliant parts or materials. We rely on our subcontractors and suppliers to comply with applicable laws and regulations, including regarding the parts or materials we procure from them; in some circumstances, we rely on certifications provided by our subcontractors and suppliers regarding their compliance. We also rely on our subcontractors and suppliers to effectively mitigate the risk of cyber and security threats or other disruptions with respect to the products and components they deliver to us and the information entrusted to them by us or our customers.</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If we are unable to procure, or experience significant delays in subcontractor or supplier deliveries of, needed materials, components, intellectual property or parts; if our subcontractors or suppliers do not comply with all applicable laws and regulations; if the certifications we receive from them are inaccurate; or if what we receive is counterfeit or otherwise improper, it could have a material adverse effect on our financial position, results of operations and/or cash flows.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large defense contractors and IT service providers. Competition in our markets may increase as a result of a number of factors, such as the entrance of new or larger competitors, including those formed through alliances or consolidation, or the reduction in the overall number of government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7" w:right="239" w:bottom="1440" w:gutter="0" w:footer="0" w:header="0"/>
        </w:sectPr>
      </w:pPr>
    </w:p>
    <w:bookmarkStart w:id="16" w:name="page17"/>
    <w:bookmarkEnd w:id="16"/>
    <w:p>
      <w:pPr>
        <w:ind w:right="120"/>
        <w:spacing w:after="0" w:line="286" w:lineRule="auto"/>
        <w:rPr>
          <w:sz w:val="20"/>
          <w:szCs w:val="20"/>
          <w:color w:val="auto"/>
        </w:rPr>
      </w:pPr>
      <w:r>
        <w:rPr>
          <w:rFonts w:ascii="Arial" w:cs="Arial" w:eastAsia="Arial" w:hAnsi="Arial"/>
          <w:sz w:val="17"/>
          <w:szCs w:val="17"/>
          <w:color w:val="auto"/>
        </w:rPr>
        <w:t>contracts. We may also face competition from prime contractors for whom we currently serve as subcontractors or teammates if those prime contractors choose to offer customer services of the type that we are currently providing. In addition, we may face competition from our subcontractors who, from time-to-time, seek to obtain prime contractor status on contracts for which they currently serve as a subcontractor to us.</w:t>
      </w:r>
    </w:p>
    <w:p>
      <w:pPr>
        <w:spacing w:after="0" w:line="16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Many of our competitors have greater financial, technical, marketing and public relations resources, larger customer bases and greater brand or name recognition than we do. Such competitors may be able to utilize their substantially greater resources and economies of scale to, among other things:</w:t>
      </w:r>
    </w:p>
    <w:p>
      <w:pPr>
        <w:spacing w:after="0" w:line="124" w:lineRule="exact"/>
        <w:rPr>
          <w:sz w:val="20"/>
          <w:szCs w:val="20"/>
          <w:color w:val="auto"/>
        </w:rPr>
      </w:pPr>
    </w:p>
    <w:p>
      <w:pPr>
        <w:ind w:left="1300" w:right="540" w:hanging="320"/>
        <w:spacing w:after="0" w:line="224" w:lineRule="exact"/>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divert sales from us by winning very large</w:t>
      </w:r>
      <w:r>
        <w:rPr>
          <w:rFonts w:ascii="MS PGothic" w:cs="MS PGothic" w:eastAsia="MS PGothic" w:hAnsi="MS PGothic"/>
          <w:sz w:val="16"/>
          <w:szCs w:val="16"/>
          <w:color w:val="auto"/>
        </w:rPr>
        <w:t>‑</w:t>
      </w:r>
      <w:r>
        <w:rPr>
          <w:rFonts w:ascii="Arial" w:cs="Arial" w:eastAsia="Arial" w:hAnsi="Arial"/>
          <w:sz w:val="16"/>
          <w:szCs w:val="16"/>
          <w:color w:val="auto"/>
        </w:rPr>
        <w:t>scale government contracts, a risk that is enhanced by the recent trend in government procurement practices to bundle services into larger contracts and the recent trend of making award determinations on a LPTA basis;</w:t>
      </w:r>
    </w:p>
    <w:p>
      <w:pPr>
        <w:ind w:left="1300" w:hanging="320"/>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divert sales from us by the award of government contracts to our competitors who may be willing to bid at substantially lower prices;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9" w:lineRule="exact"/>
        <w:rPr>
          <w:rFonts w:ascii="Arial" w:cs="Arial" w:eastAsia="Arial" w:hAnsi="Arial"/>
          <w:sz w:val="18"/>
          <w:szCs w:val="18"/>
          <w:color w:val="auto"/>
        </w:rPr>
      </w:pPr>
    </w:p>
    <w:p>
      <w:pPr>
        <w:ind w:left="1300" w:right="240" w:hanging="320"/>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adversely affect our relationships with current customers, including our ability to continue to win competitively awarded engagements in which we are the incumbent.</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event that the market for products in our US segment expands, we expect that competition will intensify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If we lose business to our competitors or are forced to lower our prices, our revenue and operating profits could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customer preferences.</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believe that, in order to remain competitive in the future, we will need to continue to invest significant financial resources to develop new offerings and technologies or to adapt or modify our existing offerings and technologies, including through internal research and development, acquisitions and joint ventures or other teaming arrangements. These expenditures could divert our attention and resources from other projects, and we cannot be sure that these expenditures will ultimately lead to the timely development of new offerings and technologies or identification of and expansion into new markets. Due to the design complexity of our products, we may, in the future, experience delays in completing the development and introduction of new products. Any delays could result in increased costs of development or deflect resources from other projects. In addition, there can be no assurance that the market for our products will develop or continue to expand or that we will be successful in newly identified markets as we currently anticipate. The failure of our technology to gain market acceptance could significantly reduce our revenues and harm our business. Furthermore, we cannot be sure that our competitors will not develop competing technologies that gain market acceptance in advance of our products.</w:t>
      </w:r>
    </w:p>
    <w:p>
      <w:pPr>
        <w:spacing w:after="0" w:line="18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Additionally, the possibility exists that our competitors might develop new technology or offerings that might cause our existing technology and offerings to become obsolete. If we fail in our new product development efforts or our products or services fail to achieve market acceptance more rapidly as compared to our competitors, our ability to procure new contracts could be negatively impacted, which could negatively impact our results of operations and financial condition.</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the UAS and UGS markets do not experience significant growth, if we cannot expand our customer base or if our products do not achieve broad acceptance, then we may not be able to achieve our anticipated level of growth.</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the fiscal year ended December 29, 2019, our US segment accounted for 22.5% of our total revenue. We cannot accurately predict the future growth rate or size of this market. Demand for our products may not increase, or may decrease, either generally or in specific markets, for particular types of products or during particular time periods. There are only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57" w:right="259" w:bottom="1440" w:gutter="0" w:footer="0" w:header="0"/>
        </w:sectPr>
      </w:pPr>
    </w:p>
    <w:bookmarkStart w:id="17" w:name="page18"/>
    <w:bookmarkEnd w:id="17"/>
    <w:p>
      <w:pPr>
        <w:ind w:right="220"/>
        <w:spacing w:after="0" w:line="259" w:lineRule="auto"/>
        <w:rPr>
          <w:sz w:val="20"/>
          <w:szCs w:val="20"/>
          <w:color w:val="auto"/>
        </w:rPr>
      </w:pPr>
      <w:r>
        <w:rPr>
          <w:rFonts w:ascii="Arial" w:cs="Arial" w:eastAsia="Arial" w:hAnsi="Arial"/>
          <w:sz w:val="18"/>
          <w:szCs w:val="18"/>
          <w:color w:val="auto"/>
        </w:rPr>
        <w:t>limited number of programs under which the U.S. military, our primary customer, is currently funding the development or purchase of our UAS and UGS products. Although we are seeking to expand our US customer base to include foreign governments, domestic non-military agencies and commercial customers, we cannot assure that our efforts will be successful. The expansion of the UAS and UGS markets in general, and the market for our products in particular, depends on a number of factors, including the following:</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satisfaction with these types of systems as solutions;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performance and reliability of our products and products offered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perceptions regarding the effectiveness and value of these types of systems;</w:t>
      </w:r>
    </w:p>
    <w:p>
      <w:pPr>
        <w:spacing w:after="0" w:line="9" w:lineRule="exact"/>
        <w:rPr>
          <w:rFonts w:ascii="Arial" w:cs="Arial" w:eastAsia="Arial" w:hAnsi="Arial"/>
          <w:sz w:val="18"/>
          <w:szCs w:val="18"/>
          <w:color w:val="auto"/>
        </w:rPr>
      </w:pPr>
    </w:p>
    <w:p>
      <w:pPr>
        <w:ind w:left="660" w:right="398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ability to market our US products and services outside the U.S. due to U.S. government regulations;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efforts and publicity regarding these types of systems.</w:t>
      </w:r>
    </w:p>
    <w:p>
      <w:pPr>
        <w:spacing w:after="0" w:line="21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Even if UAS and UGS gain wide market acceptance in general, our specific products may not adequately address market requirements or may not gain market acceptance. If these types of systems generally, or our products specifically, do not gain wide market acceptance, then we may not be able to achieve our anticipated level of growth and our revenue and results of operations may suffer.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General Services Administration (“GSA”) contracts or GWACs could impair our ability to attract new business.</w:t>
      </w:r>
    </w:p>
    <w:p>
      <w:pPr>
        <w:spacing w:after="0" w:line="13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are a prime contractor under several GSA contracts and GWAC vehicles.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customer’s discretion to extend the contract for one or more years. We cannot be assured that our government customers will continue to exercise the options remaining on our current contracts, nor can we be assured that our future customers will exercise options on any contracts we may receive in the future.</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Government contracts differ materially from standard commercial contracts, involve competitive bidding and may be subject to cancellation or delay without penalty.</w:t>
      </w:r>
    </w:p>
    <w:p>
      <w:pPr>
        <w:spacing w:after="0" w:line="8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29"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U.S. Government or with any specific government agency;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suspend work under existing multiple year contracts and related task orders if the necessary funds are not appropriated by Congress;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government agency. Competitive procurements impose substantial costs and managerial time and effort in order to prepare bids and proposals for contracts that may not be awarded to us. In many cases, unsuccessful bidders for government contracts are provided the opportunity to formally protest certain contract awards through various agencies, administrative and judicial channels. We have experienced an increase in competitor bid protests on contracts on which we were the successful bidder due to the competitive environment resulting from decreased government spending. In addition, we have formally protested procurement awards in which we were not the initial successful bidder, but believed that the source selection process was flawed.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 We believe that this environment of protracted competitive bidding processes and competitor bid protests will continue.</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557" w:right="299" w:bottom="1440" w:gutter="0" w:footer="0" w:header="0"/>
        </w:sectPr>
      </w:pPr>
    </w:p>
    <w:bookmarkStart w:id="18" w:name="page19"/>
    <w:bookmarkEnd w:id="18"/>
    <w:p>
      <w:pPr>
        <w:ind w:firstLine="648"/>
        <w:spacing w:after="0" w:line="259" w:lineRule="auto"/>
        <w:rPr>
          <w:sz w:val="20"/>
          <w:szCs w:val="20"/>
          <w:color w:val="auto"/>
        </w:rPr>
      </w:pPr>
      <w:r>
        <w:rPr>
          <w:rFonts w:ascii="Arial" w:cs="Arial" w:eastAsia="Arial" w:hAnsi="Arial"/>
          <w:sz w:val="18"/>
          <w:szCs w:val="18"/>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receive the full amounts estimated under the contracts in our backlog, which could reduce our revenue in future periods below the levels anticipated. This makes backlog an uncertain indicator of future operating results.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The failure to realize all amounts in our backlog could adversely affect our revenues and gross margins. As a result, our funded, unfunded and total backlog as of any particular date may not be an accurate indicator of our future earnings.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preference for minority-owned, small and small disadvantaged businesses could impact our ability to be a prime contractor and limit our opportunity to work as a subcontractor on certain governmental procurements.</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As a result of the Small Business Administration (“SBA”) set-aside program, the federal government may decide to restrict certain procurements only to bidders that qualify as minority-owned, small, or small disadvantaged businesses. As a result,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limit our opportunity to work as a subcontractor or restrict our ability to compete on incumbent work that is placed in the set-aside program.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in-sourcing could result in loss of business opportunities and personnel.</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U.S. Government has continued to reduce the percentage of contracted services in favor of more federal employees through an initiative called “in-sourcing.” Over time, in-sourcing could have an adverse effect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could also be hired by the government. This loss of our employees would necessitate the need to retain and train new employees. Accordingly, the effect of in-sourcing or the continuation of in-sourcing at a faster-than-expected rate could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cyber and other security threats or disruptions.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defense contractor, we face various cyber and other security threats, including attempts to gain unauthorized access to and to harm sensitive information and networks; insider threats; threats to the safety of our directors, officers and employees; threats to the security and viability of our facilities, infrastructure and supply chain; and threats from terrorist acts or other acts of aggression. Our customers and partners (including our supply chain and joint ventures) face similar threats and growing requirements. Although we utilize various procedures and controls to monitor and mitigate the risk of these threats, there can be no assurance that these procedures and controls will be sufficient. These threats could lead to losses or misuse of sensitive information or capabilities; theft of data; harm to personnel, infrastructure or products; and financial liabilities, as well as damage to our reputation as a government contractor and provider of cyber-related or cyber-protected goods and services.</w:t>
      </w:r>
    </w:p>
    <w:p>
      <w:pPr>
        <w:spacing w:after="0" w:line="17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Cyber threats are evolving and include, but are not limited to: malicious software, destructive malware, attempts to gain unauthorized access to data, disruption or denial of service attacks, and other electronic security breaches that could lead to disruptions in mission critical systems; unauthorized release of confidential, personal or otherwise protected information (ours or that of our employees, customers or partners); corruption of data, networks or systems; harm to individuals; and loss of assets. In addition, we could be impacted by cyber threats or other disruptions or vulnerabilities found in products we use or in our partners’ or customers’ systems that are used in connection with our business. These events, if not prevented or effectively mitigated, could damage our reputation, require remedial actions and lead to loss of business, regulatory actions, potential liability and other financial losses.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7" w:right="239" w:bottom="1440" w:gutter="0" w:footer="0" w:header="0"/>
        </w:sectPr>
      </w:pPr>
    </w:p>
    <w:bookmarkStart w:id="19" w:name="page20"/>
    <w:bookmarkEnd w:id="19"/>
    <w:p>
      <w:pPr>
        <w:ind w:firstLine="648"/>
        <w:spacing w:after="0" w:line="264" w:lineRule="auto"/>
        <w:rPr>
          <w:sz w:val="20"/>
          <w:szCs w:val="20"/>
          <w:color w:val="auto"/>
        </w:rPr>
      </w:pPr>
      <w:r>
        <w:rPr>
          <w:rFonts w:ascii="Arial" w:cs="Arial" w:eastAsia="Arial" w:hAnsi="Arial"/>
          <w:sz w:val="18"/>
          <w:szCs w:val="18"/>
          <w:color w:val="auto"/>
        </w:rPr>
        <w:t>We provide systems, products and services to various customers (government and commercial) who also face cyber threats. Our systems, products and services may themselves be subject to cyber threats and/or they may not be able to detect or deter threats, or effectively to mitigate resulting losses. These losses could adversely affect our customers and our Company.</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impact of these various factors is difficult to predict, but one or more of them could result in the loss of information or capabilities, harm to individuals or property, damage to our reputation, loss of business, contractual or regulatory actions and potential liabilities, any one of which could have a material adverse effect on our financial position, results of operations and/or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systems or service failure, our reputation could be harmed and our customers could assert claims against us for damages or refunds.</w:t>
      </w:r>
    </w:p>
    <w:p>
      <w:pPr>
        <w:spacing w:after="0" w:line="26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create, implement and maintain IT solutions that are often critical to our customers’ operations. We have experienced, and may in the future experience, some systems and service failures, schedule or delivery delays and other problems in connection with our work. If we experience these problems, we may:</w:t>
      </w:r>
    </w:p>
    <w:p>
      <w:pPr>
        <w:spacing w:after="0" w:line="181"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lose revenue due to adverse customer reaction;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required to provide additional services to a customer at no charge;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cause customers to postpone, cancel or fail to renew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receive negative publicity, which could damage our reputation and adversely affect our ability to attract or retain customers; and</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cannot ensure that provisions in our customer contracts will be legally sufficient to protect us if we are sued.</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may result in significant legal and other costs, be a distraction to our management and harm our reputation.</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products are complex and could have unknown defects or errors, which may increase our costs, harm our reputation with customers, give rise to costly litigation, or divert our resources from other purposes</w:t>
      </w:r>
      <w:r>
        <w:rPr>
          <w:rFonts w:ascii="Arial" w:cs="Arial" w:eastAsia="Arial" w:hAnsi="Arial"/>
          <w:sz w:val="18"/>
          <w:szCs w:val="18"/>
          <w:b w:val="1"/>
          <w:bCs w:val="1"/>
          <w:color w:val="auto"/>
        </w:rPr>
        <w:t>.</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products, including but not limited to unmanned vehicles, aerial targets, UAS and ballistic missile targets, are extremely complex and must operate successfully with complex products from other vendors. Despite testing, our products have contained defects and errors and may in the future contain defects or errors, or experience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diversion of our personnel’s attention from our product development efforts, exposure to liability for damages, damaged customer relationships, and harm to our reputation, any of which could materially harm our results of operations. In addition, increased development and warranty costs could be substantial and could reduce our operating margins.</w:t>
      </w:r>
    </w:p>
    <w:p>
      <w:pPr>
        <w:spacing w:after="0" w:line="19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existence of any defects, errors, or failures in our products or the misuse of our products could also lead to lawsuits against us, result in injury, death, or property damage, and significantly damage our reputation and support for our products in general.</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54" w:lineRule="exact"/>
        <w:rPr>
          <w:sz w:val="20"/>
          <w:szCs w:val="20"/>
          <w:color w:val="auto"/>
        </w:rPr>
      </w:pPr>
    </w:p>
    <w:p>
      <w:pPr>
        <w:ind w:right="2500"/>
        <w:spacing w:after="0" w:line="342" w:lineRule="auto"/>
        <w:rPr>
          <w:sz w:val="20"/>
          <w:szCs w:val="20"/>
          <w:color w:val="auto"/>
        </w:rPr>
      </w:pPr>
      <w:r>
        <w:rPr>
          <w:rFonts w:ascii="Arial" w:cs="Arial" w:eastAsia="Arial" w:hAnsi="Arial"/>
          <w:sz w:val="16"/>
          <w:szCs w:val="16"/>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development and manufacture of certain of our products involves the handling of a variety of explosive and flammable materials as well as high power equipment. From time to time, these activities may result in incidents that could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57" w:right="259" w:bottom="1440" w:gutter="0" w:footer="0" w:header="0"/>
        </w:sectPr>
      </w:pPr>
    </w:p>
    <w:bookmarkStart w:id="20" w:name="page21"/>
    <w:bookmarkEnd w:id="20"/>
    <w:p>
      <w:pPr>
        <w:spacing w:after="0" w:line="255" w:lineRule="auto"/>
        <w:rPr>
          <w:sz w:val="20"/>
          <w:szCs w:val="20"/>
          <w:color w:val="auto"/>
        </w:rPr>
      </w:pPr>
      <w:r>
        <w:rPr>
          <w:rFonts w:ascii="Arial" w:cs="Arial" w:eastAsia="Arial" w:hAnsi="Arial"/>
          <w:sz w:val="18"/>
          <w:szCs w:val="18"/>
          <w:color w:val="auto"/>
        </w:rPr>
        <w:t>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we cannot ensure that we will not experience such incidents in the future or that any such incidents will not result in production delays or otherwise have a material adverse effect on our business and financial condition. In addition, our microwave electronics business which is based in Israel may suffer disruption or damage from acts of terrorism, or other conflicts in that geographic region.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18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year. The U.S. Government’s fiscal year end can also trigger increased purchase requests from customers for equipment and materials. 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factors that may cause our financial results to fluctuate from quarter to quarter include those addressed elsewhere in this Item 1A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Factors” and the following factors, among others:</w:t>
      </w:r>
    </w:p>
    <w:p>
      <w:pPr>
        <w:spacing w:after="0" w:line="211"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shipments and product deliveries;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remediating unknown defects, errors or performance problems of our product offerings;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variable purchasing patterns under GSA contracts, GWACs, blanket purchase agreements and other IDIQ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related to government inquiries;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9" w:lineRule="exact"/>
        <w:rPr>
          <w:rFonts w:ascii="Arial" w:cs="Arial" w:eastAsia="Arial" w:hAnsi="Arial"/>
          <w:sz w:val="18"/>
          <w:szCs w:val="18"/>
          <w:color w:val="auto"/>
        </w:rPr>
      </w:pPr>
    </w:p>
    <w:p>
      <w:pPr>
        <w:ind w:left="1300" w:right="420" w:hanging="320"/>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 under our $90.0 million Amended and Restated Credit and Security Agreement, dated November 20, 2017 (as amended, the “Credit Agreement”), by and among the Company, the lenders named therein, SunTrust Bank, as Agent (the “Agent”), and SunTrust Robinson Humphrey, Inc. as Lead Arranger and Sole Book Runner. In addition, fluctuations in our financial results could cause our stock price to decline. See the risks and uncertainties related to our ability to raise additional capital below in </w:t>
      </w:r>
      <w:r>
        <w:rPr>
          <w:rFonts w:ascii="Arial" w:cs="Arial" w:eastAsia="Arial" w:hAnsi="Arial"/>
          <w:sz w:val="16"/>
          <w:szCs w:val="16"/>
          <w:i w:val="1"/>
          <w:iCs w:val="1"/>
          <w:color w:val="auto"/>
        </w:rPr>
        <w:t>“We may need additional capital to fund the growth of our business, and financing may not be available on favorable terms or at all.”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57" w:right="239" w:bottom="1440" w:gutter="0" w:footer="0" w:header="0"/>
        </w:sectPr>
      </w:pPr>
    </w:p>
    <w:bookmarkStart w:id="21" w:name="page22"/>
    <w:bookmarkEnd w:id="21"/>
    <w:p>
      <w:pPr>
        <w:spacing w:after="0" w:line="223" w:lineRule="exact"/>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price contracts in our total contract mix.</w:t>
      </w:r>
    </w:p>
    <w:p>
      <w:pPr>
        <w:spacing w:after="0" w:line="20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and operating efficiencies. In contrast, cost-plus-fee contracts are subject to statutory limits on profit margins and generally are the least profitable of our contract types. Our U.S. Government customers typically determine what type of contract we enter into. Cost-plus-fee and fixed-price contracts in our federal business accounted for approximately 17% and 79%, respectively, of our federal business revenues for the year ended December 29, 2019. To the extent that we enter into more cost-plus-fee or less fixed-price contracts in proportion to our total contract mix in the future, our margins and operating results may suffer. Our operating results may also suffer to the extent we have a contract mix that is focused on developmental projects, which are typically at lower profit margins as compared to margins on production projects.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provide various professional services, specialized products, and sometimes procure equipment and materials on behalf of our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In addition, from time to time, we may build production units such as unmanned aerial vehicles in advance of receiving an anticipated contract award. If our government or prime contractor customer’s requirements should change or if the government or the prime contractor should direct the anticipated procurement to another contractor, or if the anticipated contract award does not materialize,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and may continue to incur goodwill impairment charges in our reporting entities, which could harm our profitability.</w:t>
      </w:r>
    </w:p>
    <w:p>
      <w:pPr>
        <w:spacing w:after="0" w:line="23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December 29, 2019, goodwill represented approximately 38% of our total assets. We test for impairment annually.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test goodwill for impairment by performing a qualitative assessment or using a two-step impairment process. If we choose to perform a qualitative assessment and determine it is more likely than not that an impairment may exist, the two-step impairment process is then performed. For operations where the two-step process is used, the identification and measurement of impairment involves the estimation of the fair value of reporting units. If the fair value is determined to be less than the carrying value, a second step is performed to determine the amount of the impairment. Accounting for impairment contains uncertainty because management must make judgments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Given the current market conditions and continued economic uncertainty in the U.S. defense industry, including sequestration and issues surrounding the national debt ceiling, our future revenues, profits and cash flows could be substantially lower than our current projections. Current market conditions including increased price competitiveness specifically in the government services space, and procurements awarded on an LPTA rather than best value basis, can significantly impact our current projections, which specifically resulted in an impairment of the carrying value in 2017 of our goodwill balance in our DRSS reporting unit within our KGS reportable segment. In addition, our ability to penetrate new international markets could also impact our current projections. Additional market factors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on a technical basis as well as from a political and government budgetary standpoint. In addition, market-based inputs to the calculations in the impairment test, such as weighted average cost of capital, and market multiples, could also be negatively impacted. Such circumstances may result in the future deterioration of the fair value of our reporting units and an impairment of our goodwill.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5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customers’ expectations could result in claims for substantial damages against us. Our contracts generally limit our liability for damages that arise from negligent acts, errors, mistakes or omissions in rendering services to our customers.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adversely affected.</w:t>
      </w:r>
    </w:p>
    <w:p>
      <w:pPr>
        <w:spacing w:after="0" w:line="1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use estimates when accounting for contracts, and any changes in such estimates could have an adverse effect on our profitability and our overall financial performance.</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8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 or more of the affected contracts, future period financial reporting and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We believe we underwent an ownership change in March 2010 that limited the Company’s federal annual utilization of NOL carryforwards. If the entire limitation amount is not utilized in a year, the excess can be carried forward and utilized in future years. For the year ended December 29, 2019, there was no impact of such limitations on the income tax provision since the amount of taxable income did not exceed the cumulative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expect to incur substantial research and development costs and devote significant resources to identifying and developing new products and services, which could significantly reduce our profitability and may never result in revenue to us.</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Our future growth depends on penetrating new markets, adapting existing products to new applications, and introducing new products and services that achieve market acceptance. We plan to incur substantial research and development costs as part of our efforts to design, develop and commercialize new products and services and enhance existing products. We spent $18.0 million, or 2.5% of our revenue, in our fiscal year ended December 29, 2019 on internally funded research and development activities. We believe that there are significant investment opportunities in a number of business areas. Because we account for research and development as an operating expense, these expenditures will adversely affect our earnings in the future.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7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to fund the growth of our business, and financing may not be available on favorable terms or at all.</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We currently anticipate that our available capital resources, including the cash we raised in our recent equity offerings, the net proceeds from the divestiture of our PSS business, amounts available under our Credit Agreement and operating cash flow will be sufficient to meet our expected working capital and capital expenditure requirements for at least the next 12 months. However, these resources may not be sufficient to fund the long-term growth of our business, especially in the event that we are awarded future multiple sizable production awards related to our tactical drone programs which require significant amounts of working capital to fund such growth. If we determine that it is necessary to raise additional funds, either through an expansion or refinancing of our Credit Agreement or through public or private debt offerings or additional equity financings, additional financing may not be available on terms favorable to us, or at all. Disruptions in the capital and credit markets could adversely affect our ability to access these markets. Limitations on our borrowing base contained in our Credit Agreement may limit our access to capital, and we could fall out of compliance with financial and other covenants contained in our Credit Agreement which, if not waived, would restrict our access to capital and could require us to pay down any then-existing debt under the Credit Agreement. Our lenders may not agree to extend additional or continuing credit under our Credit Agreement or waive restrictions on our access to capital.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acquisitions and future acquisitions could prove difficult to integrate, disrupt our business, dilute stockholder value and strain our resources.</w:t>
      </w:r>
    </w:p>
    <w:p>
      <w:pPr>
        <w:spacing w:after="0" w:line="24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have in the past and may, in the future, acquire additional businesses that we believe could complement or expand our business or increase our customer base. For example, in 2019 we completed the acquisition of FTT, a leading turbomachinery design and manufacturing company. Whether we realize the anticipated benefits from these acquisitions and related activities depends, in part, upon our ability to integrate the operations of the acquired business, the performance of the underlying product and service portfolio, and the performance of the management team and other personnel of the acquired operations.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166"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achieve the operating synergies anticipated in the acquisitions;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consolidating and rationalizing IT platforms and administrative infrastructures;</w:t>
      </w:r>
    </w:p>
    <w:p>
      <w:pPr>
        <w:spacing w:after="0" w:line="9" w:lineRule="exact"/>
        <w:rPr>
          <w:rFonts w:ascii="Arial" w:cs="Arial" w:eastAsia="Arial" w:hAnsi="Arial"/>
          <w:sz w:val="18"/>
          <w:szCs w:val="18"/>
          <w:color w:val="auto"/>
        </w:rPr>
      </w:pPr>
    </w:p>
    <w:p>
      <w:pPr>
        <w:ind w:left="1300" w:right="8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complexities associated with managing the geographic separation of the combined businesses and consolidating multiple physical locations where management may determine consolidation is desirable;</w:t>
      </w:r>
    </w:p>
    <w:p>
      <w:pPr>
        <w:ind w:left="130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personnel from different corporate cultures while maintaining focus on providing consistent, high quality customer service;</w:t>
      </w: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or delays in transitioning U.S. Government contracts pursuant to federal acquisition regulations;</w:t>
      </w:r>
    </w:p>
    <w:p>
      <w:pPr>
        <w:spacing w:after="0" w:line="9" w:lineRule="exact"/>
        <w:rPr>
          <w:rFonts w:ascii="Arial" w:cs="Arial" w:eastAsia="Arial" w:hAnsi="Arial"/>
          <w:sz w:val="18"/>
          <w:szCs w:val="18"/>
          <w:color w:val="auto"/>
        </w:rPr>
      </w:pPr>
    </w:p>
    <w:p>
      <w:pPr>
        <w:ind w:left="1300" w:right="24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 demonstrating to customers of Kratos and to customers of acquired businesses that the acquisition will not result in adverse changes in customer service standards or business focus;</w:t>
      </w: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transitional matters;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11"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Acquired businesses may have liabilities or adverse operating issues that we fail to discover through due diligence prior to the acquisition, including cyber and other security vulnerabilities. In particular, to the extent that prior owners of any acquired businesses or properties failed to comply with or otherwise violated applicable laws or regulations, or failed to fulfill their contractual obligations to the U.S. Government or other customers, we, as the successor owner, may be financially responsible for these violations and failures and may suffer reputational harm or otherwise be adversely affected. Acquisitions also frequently result in the recording of goodwill and other intangible assets that are subject to potential impairment in the future that could harm our financial results. In addition, if we finance acquisitions by issuing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53" w:right="239" w:bottom="1440" w:gutter="0" w:footer="0" w:header="0"/>
        </w:sectPr>
      </w:pPr>
    </w:p>
    <w:bookmarkStart w:id="24" w:name="page25"/>
    <w:bookmarkEnd w:id="24"/>
    <w:p>
      <w:pPr>
        <w:ind w:right="80"/>
        <w:spacing w:after="0" w:line="259" w:lineRule="auto"/>
        <w:rPr>
          <w:sz w:val="20"/>
          <w:szCs w:val="20"/>
          <w:color w:val="auto"/>
        </w:rPr>
      </w:pPr>
      <w:r>
        <w:rPr>
          <w:rFonts w:ascii="Arial" w:cs="Arial" w:eastAsia="Arial" w:hAnsi="Arial"/>
          <w:sz w:val="18"/>
          <w:szCs w:val="18"/>
          <w:color w:val="auto"/>
        </w:rPr>
        <w:t>excess of what we anticipate. Acquisitions frequently involve benefits related to integration of operations. The failure to successfully integrate the operations or to otherwise realize any of the anticipated benefits of the acquisition could seriously harm our financial condition and results of operations. While we believe that we have established appropriate and adequate procedures and processes to mitigate these risks, there is no assurance that these transactions will be successful.</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also evaluate from time to time the potential disposition of assets or business that may no longer meet our growth, return and/or strategic objectives. Divestitures have inherent risks, including the possibility that any anticipated sale will be delayed or will not occur, the potential failure to realize the perceived strategic or financial merits of the divestment, difficulties in the separation of operations, services, information technology, products and personnel, unexpected costs associated with such separation, diversion of management’s attention from other business concerns and potential post-closing claims for alleged breaches of related agreements, indemnification or other disputes. A failure to successfully complete a disposition or to otherwise realize any of the anticipated benefits of a disposition could seriously harm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and financial results could suffer.</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Additionally, our future financial results depend in part on our ability to profitably manage our growth on a combined basis with the businesses we have acquired and those we may acquire in the future.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U.S. Government customers and disrupt the management of our business.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U.S. Government personnel contribute to our ability to maintain strong customer relationships and to identify new business opportunities. The loss of any member of our senior management could impair our ability to identify and secure new contracts, to maintain good customer relations and to otherwise manage our business.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growth of our business and revenue depends in large part upon our ability to attract and retain sufficient numbers of highly qualified individuals who have advanced technical and/or engineering skills. These employees are in great demand and are likely to remain a limited resource in the foreseeable future. In addition, certain U.S. Government contracts require us, and some of our employees, to maintain national security clearances. Obtaining and maintaining national security clearances for employees involves a lengthy process, and it is difficult to identify, recruit and retain employees who already hold national security clearances. Further, some of our contracts contain provisions requiring us to staff an engagement with personnel that the customer considers key to our successful performance under the contract. In the event we are unable to provide these key personnel or acceptable substitutions, the customer may terminate the contract. As a result, if we are unable to recruit and retain a sufficient number of qualified employees, we may lose revenue and our ability to maintain and grow our business could be limited.</w:t>
      </w:r>
    </w:p>
    <w:p>
      <w:pPr>
        <w:spacing w:after="0" w:line="17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Moreover,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8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are subject to the requirements of the National Industrial Security Program Operating Manual for our facility security clearance, which is a prerequisite to our ability to perform on classified contracts for the U.S. Government.</w:t>
      </w:r>
    </w:p>
    <w:p>
      <w:pPr>
        <w:spacing w:after="0" w:line="13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A facility security clearance is required for a company to perform on classified contracts for the DoD and certain other agencies of the U.S. Government. Security clearances are subject to regulations and requirements including the National</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57" w:right="259" w:bottom="1440" w:gutter="0" w:footer="0" w:header="0"/>
        </w:sectPr>
      </w:pPr>
    </w:p>
    <w:bookmarkStart w:id="25" w:name="page26"/>
    <w:bookmarkEnd w:id="25"/>
    <w:p>
      <w:pPr>
        <w:ind w:right="640"/>
        <w:spacing w:after="0" w:line="277" w:lineRule="auto"/>
        <w:rPr>
          <w:sz w:val="20"/>
          <w:szCs w:val="20"/>
          <w:color w:val="auto"/>
        </w:rPr>
      </w:pPr>
      <w:r>
        <w:rPr>
          <w:rFonts w:ascii="Arial" w:cs="Arial" w:eastAsia="Arial" w:hAnsi="Arial"/>
          <w:sz w:val="18"/>
          <w:szCs w:val="18"/>
          <w:color w:val="auto"/>
        </w:rPr>
        <w:t>Industrial Security Program Operating Manual (“NISPOM”), which specifies the requirements for the protection of classified information released or disclosed in connection with classified U.S. Government contracts.</w:t>
      </w:r>
    </w:p>
    <w:p>
      <w:pPr>
        <w:spacing w:after="0" w:line="130"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We require certain facility and personnel security clearances to perform our classified U.S. Government related business. As such, we must comply with the requirements of the NISPOM and any other applicable U.S. Government industrial security regulations. If we were to violate the terms and requirements of the NISPOM or any other applicable U.S. Government industrial security regulations (which apply to us under the terms of classified contracts), any of our cleared facilities could lose its facility security clearance. We cannot be certain that we will be able to maintain our facility security clearances. If for some reason one or more of our facility security clearances is invalidated or terminated, we would not be able to continue to perform on classified contracts at that facility and would not be able to enter into new classified contracts, which could adversely affect our revenues. Failure to comply with the NISPOM or other security requirements may subject us to civil or criminal penalties, loss of access to classified information, loss of a U.S. Government contract, or potentially debarment as a government contractor.</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be subject to the new DoD Cybersecurity Maturity Model Certification (“CMMC”) requirement recently issued by the Pentagon which may limit our ability to bid and win projects. The cost for the new CMMC requirement may be significant.</w:t>
      </w:r>
    </w:p>
    <w:p>
      <w:pPr>
        <w:spacing w:after="0" w:line="13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Pentagon, on January 31, 2020, released the official version of its unified Cybersecurity standard that all contractors must meet by 2026. This standard, the CMMC, will apply to any company that does business with the Department of Defense. CMMC will also apply to subcontractors as well as prime contractors. The DoD has stated that it expects a roll-out of this requirement over a five-year timeline. CMMC borrows heavily from the existing NIST Cybersecurity Framework, and intends to rely heavily on a CMMC accrediting body. The DoD is currently drafting a memorandum of understanding to establish rules, roles and responsibilities between it and the accrediting body. Once up and running, companies will be able to apply for certification through a portal run by the accrediting body. The CMMC certification will be good for three years; with it, companies will be able to bid on contracts across the DoD and military services. There will be five levels of certification, Level 1 through Level 5. The new certification will not be required for existing contracts already signed, only on new contracts. The first “pathfinder” solicitations mandating CMMC are expected to come out in the fall of 2020. It is expected to take until 2026 to bring all contractors into compliance, since five years is the typical duration of a government contract.</w:t>
      </w:r>
    </w:p>
    <w:p>
      <w:pPr>
        <w:spacing w:after="0" w:line="16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Under CMMC, contractors will no longer “self-attest” they meet a given standard. Instead, Pentagon approved third parties will assess each company, at the company’s expense. There will be no fines for non-compliance, however contractors will not be able to be awarded new contracts that require a particular level of certification.</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may be unable to bid on new contract awards or on follow-on awards for existing work, depending on the level of standard as required for each solicitation, which could adversely impact our revenues, operating margins and cash flows. The cost to comply with the new CMMC requirement may be significant.</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unable to realize any benefit from our cost reduction and restructuring efforts and our profitability may be hurt or our business otherwise might be adversely affected.</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engaged in cost reduction and restructuring activities in the past, including recent restructuring actions in our modular systems business and our divestiture of the Public Safety &amp; Security business, and we may engage in other cost reduction restructuring activities in the future. These types of cost reduction and restructuring activities are complex. If we do not successfully manage our current cost reduction and restructuring activities, or any other cost reduction and restructuring activities that we may take in the future, any expected efficiencies and benefits might be delayed or not realized, and our operations and business could be disrupted. In addition, the costs associated with implementing cost reduction and restructuring activities might exceed expectations, which could result in additional future charges.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expose us to the risk of material environmental liabilities.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are subject to various U.S. federal, state, local and non-U.S. laws and regulations related to environmental protection, including the discharge, treatment, storage, disposal and remediation of hazardous substances and wastes. We could incur substantial costs, including cleanup costs, fines and civil or criminal sanctions, as well as third-party claims for property damage or personal injury, if we were to violate or become liable under environmental laws or regulations. In some cases, we may be subject to such costs due to environmental impacts attributable to our current or past manufacturing operations or the operations of companies we have acquired. In other cases, we may become subject to such costs due to an indemnification agreement between us and a third party relating to such environmental liabilities. In addition, new laws and regulations, more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57" w:right="259" w:bottom="1440" w:gutter="0" w:footer="0" w:header="0"/>
        </w:sectPr>
      </w:pPr>
    </w:p>
    <w:bookmarkStart w:id="26" w:name="page27"/>
    <w:bookmarkEnd w:id="26"/>
    <w:p>
      <w:pPr>
        <w:ind w:right="940"/>
        <w:spacing w:after="0" w:line="277" w:lineRule="auto"/>
        <w:rPr>
          <w:sz w:val="20"/>
          <w:szCs w:val="20"/>
          <w:color w:val="auto"/>
        </w:rPr>
      </w:pPr>
      <w:r>
        <w:rPr>
          <w:rFonts w:ascii="Arial" w:cs="Arial" w:eastAsia="Arial" w:hAnsi="Arial"/>
          <w:sz w:val="18"/>
          <w:szCs w:val="18"/>
          <w:color w:val="auto"/>
        </w:rPr>
        <w:t>stringent enforcement of existing laws and regulations, the discovery of previously unknown contamination or the imposition of new remediation requirements could result in additional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derived from our international business could be subject to global economic downturn and hardship.</w:t>
      </w:r>
    </w:p>
    <w:p>
      <w:pPr>
        <w:spacing w:after="0" w:line="347" w:lineRule="exact"/>
        <w:rPr>
          <w:sz w:val="20"/>
          <w:szCs w:val="20"/>
          <w:color w:val="auto"/>
        </w:rPr>
      </w:pPr>
    </w:p>
    <w:p>
      <w:pPr>
        <w:ind w:left="80" w:right="100" w:firstLine="648"/>
        <w:spacing w:after="0" w:line="293" w:lineRule="auto"/>
        <w:rPr>
          <w:sz w:val="20"/>
          <w:szCs w:val="20"/>
          <w:color w:val="auto"/>
        </w:rPr>
      </w:pPr>
      <w:r>
        <w:rPr>
          <w:rFonts w:ascii="Arial" w:cs="Arial" w:eastAsia="Arial" w:hAnsi="Arial"/>
          <w:sz w:val="16"/>
          <w:szCs w:val="16"/>
          <w:color w:val="auto"/>
        </w:rPr>
        <w:t>Our international business represents 18% of our total revenue for the year ended December 29, 2019, which may be impacted by changes in foreign national priorities and government budgets and may be further impacted by global economic conditions and fluctuations in foreign currency exchange rates. Continued international economic uncertainty and reductions in consumer spending may result in reductions in our revenue. In particular, recent events have caused increased attention on U.S. defense sales to the Kingdom of Saudi Arabia (“KSA”). Although we currently do not expect to be prevented from doing business in KSA, which represents nearly 8% of our sales (which are through FMS), if government action impairs our ability to fulfill our contractual obligations or otherwise to continue to do business in KSA, it could have an adverse effect on our financial results.</w:t>
      </w:r>
    </w:p>
    <w:p>
      <w:pPr>
        <w:spacing w:after="0" w:line="70" w:lineRule="exact"/>
        <w:rPr>
          <w:sz w:val="20"/>
          <w:szCs w:val="20"/>
          <w:color w:val="auto"/>
        </w:rPr>
      </w:pPr>
    </w:p>
    <w:p>
      <w:pPr>
        <w:ind w:left="80" w:right="60" w:firstLine="648"/>
        <w:spacing w:after="0" w:line="286" w:lineRule="auto"/>
        <w:rPr>
          <w:sz w:val="20"/>
          <w:szCs w:val="20"/>
          <w:color w:val="auto"/>
        </w:rPr>
      </w:pPr>
      <w:r>
        <w:rPr>
          <w:rFonts w:ascii="Arial" w:cs="Arial" w:eastAsia="Arial" w:hAnsi="Arial"/>
          <w:sz w:val="17"/>
          <w:szCs w:val="17"/>
          <w:color w:val="auto"/>
        </w:rPr>
        <w:t>Additionally, disruptions in international credit markets may materially limit consumer credit availability and restrict credit availability of our customers. Any reduction in international sales of our solutions resulting from reductions in consumer spending or continued disruption in the availability of credit to retailers or consumers, could materially and adversely affect our business, results of operations and financial condition.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business exposes us to additional risks.</w:t>
      </w:r>
    </w:p>
    <w:p>
      <w:pPr>
        <w:spacing w:after="0" w:line="3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operations outside of the U.S. are subject to risks that are inherent in conducting business under non-U.S. laws, regulations and customs, including those related to:</w:t>
      </w:r>
    </w:p>
    <w:p>
      <w:pPr>
        <w:spacing w:after="0" w:line="251"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foreign currency exchange rate fluctuations, potentially reducing the U.S. dollars we receive for sales denominated in foreign currency;</w:t>
      </w:r>
    </w:p>
    <w:p>
      <w:pPr>
        <w:spacing w:after="0" w:line="34" w:lineRule="exact"/>
        <w:rPr>
          <w:rFonts w:ascii="Arial" w:cs="Arial" w:eastAsia="Arial" w:hAnsi="Arial"/>
          <w:sz w:val="17"/>
          <w:szCs w:val="17"/>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unfriendly nations or groups could boycott our solutions;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conditions in the markets in which we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increased costs associated with overlapping tax structures;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import-export control;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obtain required U.S. government agency issued export licenses to ship our product overseas;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and costs associated with staffing and managing foreign operations;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difficulties of compliance with a wide variety of foreign laws and regulations;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longer accounts receivable cycles in certain foreign countries, whether due to cultural differences, exchange rate fluctuation or other factors;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 transfer restrictions;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our distribution networks;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employees;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war and terrorist events, including impacts to our international operations such as Microwave Electronics, which is headquartered in Israel.</w:t>
      </w:r>
    </w:p>
    <w:p>
      <w:pPr>
        <w:spacing w:after="0" w:line="234" w:lineRule="exact"/>
        <w:rPr>
          <w:sz w:val="20"/>
          <w:szCs w:val="20"/>
          <w:color w:val="auto"/>
        </w:rPr>
      </w:pPr>
    </w:p>
    <w:p>
      <w:pPr>
        <w:ind w:left="80" w:right="120" w:firstLine="648"/>
        <w:spacing w:after="0" w:line="269" w:lineRule="auto"/>
        <w:rPr>
          <w:sz w:val="20"/>
          <w:szCs w:val="20"/>
          <w:color w:val="auto"/>
        </w:rPr>
      </w:pPr>
      <w:r>
        <w:rPr>
          <w:rFonts w:ascii="Arial" w:cs="Arial" w:eastAsia="Arial" w:hAnsi="Arial"/>
          <w:sz w:val="17"/>
          <w:szCs w:val="17"/>
          <w:color w:val="auto"/>
        </w:rPr>
        <w:t>These risks, individually or in the aggregate, could have an adverse effect on our results of operations and financial condition. For example, we are subject to compliance with the Foreign Corrupt Practices Act and similar anti-bribery laws, which generally prohibit companies and their intermediaries from making improper payments to foreign government officials for the purpose of obtaining or retaining business. While our employees and agents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 In addition, our international contracts may include industrial cooperation agreements requiring specific in-country purchases, investments, manufacturing agreements or other financial obligations, known as offset obligations, and provide for penalties if we fail to meet such requirements. In addition, due to the nature of our products, we must obtain licenses and authorizations from various U.S. government agencies before selling our products outside of the U.S. Our ability to obtain these licenses and authorizations timely or at all is subject to risks and uncertainties, including changing U.S. government policies or laws or delays in Congressional action due to geopolitical and other factors. The impact of these factors is difficult to predict, but one or more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7" w:right="239" w:bottom="1440" w:gutter="0" w:footer="0" w:header="0"/>
        </w:sectPr>
      </w:pPr>
    </w:p>
    <w:bookmarkStart w:id="27" w:name="page28"/>
    <w:bookmarkEnd w:id="27"/>
    <w:p>
      <w:pPr>
        <w:ind w:left="80"/>
        <w:spacing w:after="0"/>
        <w:rPr>
          <w:sz w:val="20"/>
          <w:szCs w:val="20"/>
          <w:color w:val="auto"/>
        </w:rPr>
      </w:pPr>
      <w:r>
        <w:rPr>
          <w:rFonts w:ascii="Arial" w:cs="Arial" w:eastAsia="Arial" w:hAnsi="Arial"/>
          <w:sz w:val="18"/>
          <w:szCs w:val="18"/>
          <w:color w:val="auto"/>
        </w:rPr>
        <w:t>them could adversely affect our financial position, results of operations, or cash flows.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Violations of the International Traffic in Arms Regulations (“ITAR”) or other applicable trade compliance regulations could result in significant sanctions including fines, more onerous compliance requirements and debarments from export privileges or loss of authorizations needed to conduct aspects of our international business. A violation of ITAR or other applicable trade regulations could have a materially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Long-term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long-term borrowings, which could adversely affect our cash flow, financial condition and business.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of December 29, 2019, we had approximately $295.1 million of long-term borrowings outstanding, which is net of $4.9 million of unamortized debt issuance costs. As a result of this indebtedness, our interest payment obligations are significant. The degree to which we are leveraged could have adverse effects on our business, including the following:</w:t>
      </w:r>
    </w:p>
    <w:p>
      <w:pPr>
        <w:spacing w:after="0" w:line="181"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23" w:lineRule="exact"/>
        <w:rPr>
          <w:rFonts w:ascii="Arial" w:cs="Arial" w:eastAsia="Arial" w:hAnsi="Arial"/>
          <w:sz w:val="18"/>
          <w:szCs w:val="18"/>
          <w:color w:val="auto"/>
        </w:rPr>
      </w:pPr>
    </w:p>
    <w:p>
      <w:pPr>
        <w:ind w:left="1300" w:right="180" w:hanging="320"/>
        <w:spacing w:after="0" w:line="265"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9" w:lineRule="exact"/>
        <w:rPr>
          <w:rFonts w:ascii="Arial" w:cs="Arial" w:eastAsia="Arial" w:hAnsi="Arial"/>
          <w:sz w:val="18"/>
          <w:szCs w:val="18"/>
          <w:color w:val="auto"/>
        </w:rPr>
      </w:pPr>
    </w:p>
    <w:p>
      <w:pPr>
        <w:jc w:val="both"/>
        <w:ind w:left="1300" w:right="100" w:hanging="320"/>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our outstanding 6.5% Notes (as defined below) tendered to us if there is a change of control, which would constitute a default under the Indenture (as defined below) governing our 6.5% Notes and under our Credit Agreement;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level of long-term borrowings increases the risk that we may default on our debt obligations. We may be unable to generate sufficient cash flow to pay the interest on our debt. If we are unable to service our indebtedness, we will be forced to adopt an alternative strategy that may include actions such as reducing capital expenditures, reducing internal investments in research and development efforts, selling assets, restructuring or refinancing our indebtedness or seeking additional equity capital. These alternative strategies may not be affected on satisfactory terms, if at all, and they may not yield sufficient funds to make required payments on our indebtedness.</w:t>
      </w:r>
    </w:p>
    <w:p>
      <w:pPr>
        <w:spacing w:after="0" w:line="188"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w:t>
      </w:r>
      <w:r>
        <w:rPr>
          <w:rFonts w:ascii="MS PGothic" w:cs="MS PGothic" w:eastAsia="MS PGothic" w:hAnsi="MS PGothic"/>
          <w:sz w:val="16"/>
          <w:szCs w:val="16"/>
          <w:color w:val="auto"/>
        </w:rPr>
        <w:t>‑</w:t>
      </w:r>
      <w:r>
        <w:rPr>
          <w:rFonts w:ascii="Arial" w:cs="Arial" w:eastAsia="Arial" w:hAnsi="Arial"/>
          <w:sz w:val="16"/>
          <w:szCs w:val="16"/>
          <w:color w:val="auto"/>
        </w:rPr>
        <w:t>acceleration or cross</w:t>
      </w:r>
      <w:r>
        <w:rPr>
          <w:rFonts w:ascii="MS PGothic" w:cs="MS PGothic" w:eastAsia="MS PGothic" w:hAnsi="MS PGothic"/>
          <w:sz w:val="16"/>
          <w:szCs w:val="16"/>
          <w:color w:val="auto"/>
        </w:rPr>
        <w:t>‑</w:t>
      </w:r>
      <w:r>
        <w:rPr>
          <w:rFonts w:ascii="Arial" w:cs="Arial" w:eastAsia="Arial" w:hAnsi="Arial"/>
          <w:sz w:val="16"/>
          <w:szCs w:val="16"/>
          <w:color w:val="auto"/>
        </w:rPr>
        <w:t>default rights between the relevant agreements. In addition, the holders of our 6.5% Notes could foreclose against the assets securing the 6.5% Notes and we could be forced into bankruptcy or liquidation and/or our lenders could compel us to apply all of our available cash to repay our borrowings or they could prevent us from making payments on our indebtedness. If the amounts outstanding under any of our indebtedness were to be accelerated, our assets may not be sufficient to repay in full the money owed to the lenders or to our other debt holders.</w:t>
      </w:r>
    </w:p>
    <w:p>
      <w:pPr>
        <w:spacing w:after="0" w:line="206"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b w:val="1"/>
          <w:bCs w:val="1"/>
          <w:i w:val="1"/>
          <w:iCs w:val="1"/>
          <w:color w:val="auto"/>
        </w:rPr>
        <w:t>We and our subsidiaries may incur more debt, which may increase the risks associated with our leverage, including our ability to service our indebtedness.</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agreements governing our debt permit us, under some circumstances, to incur certain additional indebtedness or obligations. To the extent that we incur additional indebtedness or such other obligations, the risks associated with our leverage described above, including our possible inability to service our debt, would increase.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credit ratings or macroeconomic conditions may affect our liquidity, increasing borrowing costs and limiting our financing options.</w:t>
      </w:r>
    </w:p>
    <w:p>
      <w:pPr>
        <w:spacing w:after="0" w:line="20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Macroeconomic conditions, such as increased volatility or disruption in the credit markets, could adversely affect our ability to refinance existing debt or obtain additional financing at terms satisfactory to us, thereby affecting our resources to support operations or to fund new initiatives. In addition, if our credit ratings are lowered, borrowing costs for future long-term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7" w:right="239" w:bottom="1440" w:gutter="0" w:footer="0" w:header="0"/>
        </w:sectPr>
      </w:pPr>
    </w:p>
    <w:bookmarkStart w:id="28" w:name="page29"/>
    <w:bookmarkEnd w:id="28"/>
    <w:p>
      <w:pPr>
        <w:ind w:right="40"/>
        <w:spacing w:after="0" w:line="277" w:lineRule="auto"/>
        <w:rPr>
          <w:sz w:val="20"/>
          <w:szCs w:val="20"/>
          <w:color w:val="auto"/>
        </w:rPr>
      </w:pPr>
      <w:r>
        <w:rPr>
          <w:rFonts w:ascii="Arial" w:cs="Arial" w:eastAsia="Arial" w:hAnsi="Arial"/>
          <w:sz w:val="18"/>
          <w:szCs w:val="18"/>
          <w:color w:val="auto"/>
        </w:rPr>
        <w:t>debt or short-term credit facilities may increase and our financing options, including our access to the unsecured credit market, could be limited. We may also be subject to restrictive covenants that would reduce our flexibility.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December 29, 2019, approximately 11% of our consolidated assets, based on book value, and 16% of our consolidated revenues for the year ended December 29, 2019, were held by foreign subsidiaries, which do not guarantee the 6.5% Notes. Our ability to meet our debt service obligations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Therefore, to the extent that we must use cash generated in foreign jurisdictions to make principal or interest payments on our debt, there may be a cost associated with repatriating the cash to the U.S.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7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Indenture and the Credit Agreement subject us, and our subsidiaries, to several financial and other restrictive covenants, including limitations on liens or indebtedness, payment of dividends, transactions with affiliates, and mergers, sales or other dispositions of our assets.</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Credit Agreement also requires us to comply with specified financial ratios, including a borrowing base availability and minimum fixed charge coverage ratio which is required to be maintained if borrowing levels, as defined, under the Credit Agreement, occur under the line of credit. Many factors, including events beyond our control, may affect our ability to comply with these covenants and financial ratios. We cannot be sure we will meet our debt-related obligations or that lenders will waive any failure to meet those obligations. Any failure to meet those debt-related obligations could result in an event of default under our other indebtedness and the acceleration of such indebtedness.</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restrictions contained in the Indenture and in our Credit Agreement could also limit our ability to plan for or react to market conditions, meet capital needs or otherwise restrict our activities or business plans and adversely affect our ability to finance operations, enter into acquisitions or to engage in other business activities that would be in the Company’s interest.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Changes in the method for determining LIBOR and the potential replacement of LIBOR may affect interest rates on our credit facilities and interest rate swaps.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LIBOR, the London interbank offered rate, is the basic rate of interest used in lending between banks on the London interbank market and is widely used as a reference for setting the interest rate on loans globally. Interest rates under our Credit Agreement are based partly on the LIBOR. On July 27, 2017, the United Kingdom’s Financial Conduct Authority, which regulates LIBOR, announced that it intends to phase out LIBOR by the end of 2021. It is unclear if at that time LIBOR will cease to exist or if new methods of calculating LIBOR will be established such that it continues to exist after 2021. If the method for calculation of LIBOR changes, if LIBOR is no longer available or if lenders have increased costs due to changes in LIBOR, we may suffer from potential increases in interest rates on our borrowings under the Credit Agreement. Further, we may need to renegotiate our credit facilities or any other borrowings that utilize LIBOR as a factor in determining the interest rate to replace LIBOR with the new standard that is established.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rights.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remain valid or sufficiently broad to preclude our competitors from introducing technologies similar to those covered by our patents and patent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57" w:right="259" w:bottom="1440" w:gutter="0" w:footer="0" w:header="0"/>
        </w:sectPr>
      </w:pPr>
    </w:p>
    <w:bookmarkStart w:id="29" w:name="page30"/>
    <w:bookmarkEnd w:id="29"/>
    <w:p>
      <w:pPr>
        <w:ind w:right="60"/>
        <w:spacing w:after="0" w:line="276" w:lineRule="auto"/>
        <w:rPr>
          <w:sz w:val="20"/>
          <w:szCs w:val="20"/>
          <w:color w:val="auto"/>
        </w:rPr>
      </w:pPr>
      <w:r>
        <w:rPr>
          <w:rFonts w:ascii="Arial" w:cs="Arial" w:eastAsia="Arial" w:hAnsi="Arial"/>
          <w:sz w:val="17"/>
          <w:szCs w:val="17"/>
          <w:color w:val="auto"/>
        </w:rPr>
        <w:t>applications. In addition, our ability to enforce and protect our intellectual property rights may be limited in certain countries outside the U.S.,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harmed by intellectual property infringement claims.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may become subject to claims from our employees or third parties who assert that software and other forms of intellectual property that we use in delivering services and solutions to our customers infringe upon intellectual property rights of such employees or third parties. Our employees develop some of the software and other forms of intellectual property that we use to provide our services and solutions to our customers, but we also license technology from other vendors. If our employees, vendors, or other third parties assert claims that we or our customers are infringing on their intellectual property rights, we could incur substantial costs to defend those claims. If any such infringement claims were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trade secrets could cause harm to our business.</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Environmental and Legal Issues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must comply with laws and regulations relating to the formation, administration and performance of U.S. Government contracts, which affect how we do business with our customers, prime contractors, subcontractors and vendors and may impose added costs on us. New regulations or procurement requirements (including, for example regulations regarding counterfeit and corrupt parts, supply chain diligence and cyber security)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procurement integrity, bid integrity and claim presentation, among others.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 agencies were impaired, or if the U.S. Government otherwise ceased doing business with us or significantly decreased the amount of business it does with us, our revenue and operating profit would decline.</w:t>
      </w:r>
    </w:p>
    <w:p>
      <w:pPr>
        <w:spacing w:after="0" w:line="1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our accounting and management of internal control systems, including our: control environment and overall accounting system; general IT system; budget and planning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57" w:right="239" w:bottom="1440" w:gutter="0" w:footer="0" w:header="0"/>
        </w:sectPr>
      </w:pPr>
    </w:p>
    <w:bookmarkStart w:id="30" w:name="page31"/>
    <w:bookmarkEnd w:id="30"/>
    <w:p>
      <w:pPr>
        <w:ind w:right="140"/>
        <w:spacing w:after="0" w:line="273" w:lineRule="auto"/>
        <w:rPr>
          <w:sz w:val="20"/>
          <w:szCs w:val="20"/>
          <w:color w:val="auto"/>
        </w:rPr>
      </w:pPr>
      <w:r>
        <w:rPr>
          <w:rFonts w:ascii="Arial" w:cs="Arial" w:eastAsia="Arial" w:hAnsi="Arial"/>
          <w:sz w:val="17"/>
          <w:szCs w:val="17"/>
          <w:color w:val="auto"/>
        </w:rPr>
        <w:t>system; purchasing system; material management and accounting system; compensation system; labor system; indirect and other direct costs system;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 During the course of its current audits, the DCAA is closely examining and questioning several of our established and disclosed practices that it had previously audited and accepted, increasing the uncertainty as to the ultimate conclusion that will be reached.</w:t>
      </w:r>
    </w:p>
    <w:p>
      <w:pPr>
        <w:spacing w:after="0" w:line="178"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 finding of significant control deficiencies in our system audits or other reviews can result in decremented billing rates to our U.S. Government customers until the control deficiencies are corrected and our corrections are accepted by Defense Contract Management Agency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accounting and management internal control systems, including our changes to indirect cost and direct labor estimating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16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submitted incurred cost claims through fiscal year 2018. The actual indirect cost audits by the DCAA have been completed for our subsidiaries through fiscal year 2017. Although we have recorded contract revenues subsequent to fiscal year 2017 based upon costs that we believe will be approved upon final audit or review, we do not know the outcome of any ongoing or future audits or reviews and, if future adjustments exceed our estimates, our profitability would be adversely affected.</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employees or others acting on our behalf may engage in misconduct or other improper activities, which could cause us to lose contracts or cause us to incur costs.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insider threats to our cybersecurity, or falsifying time records. Misconduct by our employees or others acting on our behalf could also involve the improper use of our customers’ sensitive or classified information, which could result in regulatory sanctions against us, serious harm to our reputation, a loss of contracts and a reduction in revenues, or cause us to incur costs to respond to any related governmental inquiries.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8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We have in the past experienced and may in the future experience such misconduct, despite our various compliance programs. Misconduct or improper actions by our employees, agents, subcontractors, suppliers, business partners and/or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our financial results or prevent fraud.</w:t>
      </w:r>
    </w:p>
    <w:p>
      <w:pPr>
        <w:spacing w:after="0" w:line="2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29, 2019. However, although we continue to devote substantial time and resources to the documentation and testing of our controls, there can be no assurance that our controls over financial processes and reporting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57" w:right="259" w:bottom="1440" w:gutter="0" w:footer="0" w:header="0"/>
        </w:sectPr>
      </w:pPr>
    </w:p>
    <w:bookmarkStart w:id="31" w:name="page32"/>
    <w:bookmarkEnd w:id="31"/>
    <w:p>
      <w:pPr>
        <w:ind w:right="20"/>
        <w:spacing w:after="0" w:line="257" w:lineRule="auto"/>
        <w:rPr>
          <w:sz w:val="20"/>
          <w:szCs w:val="20"/>
          <w:color w:val="auto"/>
        </w:rPr>
      </w:pPr>
      <w:r>
        <w:rPr>
          <w:rFonts w:ascii="Arial" w:cs="Arial" w:eastAsia="Arial" w:hAnsi="Arial"/>
          <w:sz w:val="18"/>
          <w:szCs w:val="18"/>
          <w:color w:val="auto"/>
        </w:rPr>
        <w:t>will be effective in the future or that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stock.</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use hazardous materials common to the industries in which we operate.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8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are subject to regulations requiring disclosures of specified minerals, known as conflict minerals, that are necessary to the functionality or production of products manufactured or contracted to be manufactured by public companies. The rule requires companies to perform due diligence, disclose and report whether or not such minerals originate from the Democratic Republic of the Congo or an adjoining country. The rule can affect sourcing at competitive prices and availability in sufficient quantities of certain minerals used in the manufacture of our products, including tantalum, tin, gold and tungsten. The number of suppliers who provide conflict-free minerals is limited. In addition, there are costs associated with complying with the disclosure requirements, such as costs related to determining the source of certain minerals used in our products, as well as costs of changes to products, processes, or sources of supply as a consequence of such verification activities. Since our supply chain is complex, we are not always able to sufficiently verify the origins of the relevant minerals used in our products through the due diligence procedures we implemented, which may harm our reputation. In addition, we may encounter challenges to satisfy those customers who require that all of the components of our products be certified as conflict-free, which could place us at a competitive disadvantage if we are unable to do so.</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Litigation may distract us from operating our business, and adverse judgments or settlements could adversely affect our financial results and operations.</w:t>
      </w:r>
    </w:p>
    <w:p>
      <w:pPr>
        <w:spacing w:after="0" w:line="26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 See Note 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57"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of the Notes to Consolidated Financial Statements contained within this Annual Report for a further discussion of our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severe weather conditions could disrupt our business and result in loss of revenue or higher expenses.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 our business and financial results. While we insure against certain business interruption risks, such insurance may not adequately compensate us for any losses incurred as a result of natural or other disasters.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contracts with the U.S. Government are classified, which may limit investor insight into portions of our business.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derive a portion of our revenues from programs with the U.S. Government that are subject to security restrictions (classified programs) that preclude the dissemination of information that is classified for national security purposes. We are limited in our ability to provide details about these classified programs, their risks or any disputes or claims relating to such programs. As a result, investors and others might have less insight into our classified programs than our other businesses and, therefore, less ability to fully evaluate the risks related to our classified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price of our stock has been in the past, and will continue to be, subject to fluctuations as a result of a number of factors, most of which we cannot control, including: failure of our operating results to meet market or analysts’ expectations; general fluctuations in the stock market; actual or anticipated fluctuations in our operating results based on reduced and/or delayed government spending or the threat thereof; fluctuations in the stock prices of companies in our industry; changes in earnings estimated by securities analysts or our ability to meet those estimates; rumors or dissemination of false information; litigation and government inquiries; political and/or military events associated with current worldwide conflicts; and domestic and foreign economic conditions. Such volatility has had a significant effect on the market prices of many companies’ securities for reasons unrelated to their operating performance and, in the past, has led to securities class action litigation. Securities litigation against us could result in substantial costs and a diversion of our management’s attention and resources, which could have an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us may be diluted in the future.</w:t>
      </w:r>
    </w:p>
    <w:p>
      <w:pPr>
        <w:spacing w:after="0" w:line="171"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cause the market price for our common stock to decline</w:t>
      </w:r>
      <w:r>
        <w:rPr>
          <w:rFonts w:ascii="Arial" w:cs="Arial" w:eastAsia="Arial" w:hAnsi="Arial"/>
          <w:sz w:val="18"/>
          <w:szCs w:val="18"/>
          <w:color w:val="auto"/>
        </w:rPr>
        <w:t>.</w:t>
      </w:r>
    </w:p>
    <w:p>
      <w:pPr>
        <w:spacing w:after="0" w:line="17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cannot predict the effect, if any, that market sales of shares of our common stock or the availability of shares of our common stock for sale will have on the market price of our common stock prevailing from time to time. Sales of substantial amounts of shares of our common stock in the public market, or the perception that those sales will occur, could cause the market price of our common stock to decline or be depressed.</w:t>
      </w:r>
    </w:p>
    <w:p>
      <w:pPr>
        <w:spacing w:after="0" w:line="11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the future, we may issue our securities if we need to raise capital in connection with a capital expenditure, working capital requirement or acquisition. The amount of shares of our common stock issued in connection with a capital expenditure, working capital requirement or acquisition could constitute a material portion of our then-outstanding shares of common stock. Any perceived excess in the supply of our shares in the market could negatively impact our share price and any issuance of additional securities in connection with investments or acquisitions may result in additional dilution to you.</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or buyback any Kratos stock for the foreseeable future</w:t>
      </w:r>
      <w:r>
        <w:rPr>
          <w:rFonts w:ascii="Arial" w:cs="Arial" w:eastAsia="Arial" w:hAnsi="Arial"/>
          <w:sz w:val="18"/>
          <w:szCs w:val="18"/>
          <w:color w:val="auto"/>
        </w:rPr>
        <w:t>.</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not declared any cash dividends since becoming a public company. We currently intend to retain any future earnings to finance the growth and development of the business and, therefore, we do not anticipate that we will pay any cash dividends on shares of our common stock in the foreseeable future. In addition, our ability to pay dividends and buyback Kratos stock is restricted by both the Indenture and the Credit Agreement. Any determination to pay dividends or stock buybacks in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57" w:right="239" w:bottom="1440" w:gutter="0" w:footer="0" w:header="0"/>
        </w:sectPr>
      </w:pPr>
    </w:p>
    <w:bookmarkStart w:id="33" w:name="page34"/>
    <w:bookmarkEnd w:id="33"/>
    <w:p>
      <w:pPr>
        <w:ind w:right="780"/>
        <w:spacing w:after="0" w:line="308" w:lineRule="auto"/>
        <w:rPr>
          <w:sz w:val="20"/>
          <w:szCs w:val="20"/>
          <w:color w:val="auto"/>
        </w:rPr>
      </w:pPr>
      <w:r>
        <w:rPr>
          <w:rFonts w:ascii="Arial" w:cs="Arial" w:eastAsia="Arial" w:hAnsi="Arial"/>
          <w:sz w:val="17"/>
          <w:szCs w:val="17"/>
          <w:color w:val="auto"/>
        </w:rPr>
        <w:t>future will be at the discretion of our board of directors and will be dependent upon our future financial condition, results of operations and capital requirements, general business conditions and other relevant factors as determined by our board of directors. See “Dividend Policy.”</w:t>
      </w:r>
    </w:p>
    <w:p>
      <w:pPr>
        <w:spacing w:after="0" w:line="14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Certain provisions in our amended and restated certificate of incorporation and second amended and restated bylaws, as amended, and of Delaware law, may prevent or delay an acquisition of our Company, which could decrease the trading price of our common stock.</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amended and restated certificate of incorporation, our second amended and restated bylaws, as amended, and Delaware law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147" w:lineRule="exact"/>
        <w:rPr>
          <w:sz w:val="20"/>
          <w:szCs w:val="20"/>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of our stockholders to call a special meeting;</w:t>
      </w:r>
    </w:p>
    <w:p>
      <w:pPr>
        <w:spacing w:after="0" w:line="23" w:lineRule="exact"/>
        <w:rPr>
          <w:rFonts w:ascii="Arial" w:cs="Arial" w:eastAsia="Arial" w:hAnsi="Arial"/>
          <w:sz w:val="18"/>
          <w:szCs w:val="18"/>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right of our board of directors to issue preferred stock without stockholder approval;</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super-majority requirement to amend our certificate of incorporation or bylaws; and</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directors, and not stockholders, to fill vacancies on our board of directors.</w:t>
      </w:r>
    </w:p>
    <w:p>
      <w:pPr>
        <w:spacing w:after="0" w:line="21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Delaware law also imposes some restrictions on mergers and other business combinations between us and any holder of 15% or more of our outstanding common stock.</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believe these provisions may help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our Company immune from takeovers. In addition, although we believe these provisions collectively provide for an opportunity to receive higher bids by requiring potential acquirers to negotiate with our board, they would apply even if the offer may be considered beneficial by some stockholders. These provisions may also frustrate or prevent any attempts by our stockholders to replace or remove our current management team by making it more difficult for stockholders to replace members of our board, which is responsible for appointing the members of our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At December 29, 2019, we owned or leased approximately 1.7 million square feet of floor space at 42 separate locations, primarily in the U.S., for manufacturing, warehousing, research and development, administration and various other uses. At December 29, 2019, we leased to third parties 131,451 square feet of our leased facilities, and had no vacant floor space. We continually evaluate our current and future space capacity in relation to 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major operations at the following locations:</w:t>
      </w:r>
    </w:p>
    <w:p>
      <w:pPr>
        <w:spacing w:after="0" w:line="140"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Kratos Government Solutions</w:t>
      </w:r>
      <w:r>
        <w:rPr>
          <w:rFonts w:ascii="Arial" w:cs="Arial" w:eastAsia="Arial" w:hAnsi="Arial"/>
          <w:sz w:val="18"/>
          <w:szCs w:val="18"/>
          <w:color w:val="auto"/>
        </w:rPr>
        <w:t>: Huntsville, AL; San Diego, CA; Colorado Springs, CO; Jupiter and Orlando, FL; Baltimore and Lanham, MD;</w:t>
      </w:r>
      <w:r>
        <w:rPr>
          <w:rFonts w:ascii="Arial" w:cs="Arial" w:eastAsia="Arial" w:hAnsi="Arial"/>
          <w:sz w:val="18"/>
          <w:szCs w:val="18"/>
          <w:b w:val="1"/>
          <w:bCs w:val="1"/>
          <w:color w:val="auto"/>
        </w:rPr>
        <w:t xml:space="preserve"> </w:t>
      </w:r>
      <w:r>
        <w:rPr>
          <w:rFonts w:ascii="Arial" w:cs="Arial" w:eastAsia="Arial" w:hAnsi="Arial"/>
          <w:sz w:val="18"/>
          <w:szCs w:val="18"/>
          <w:color w:val="auto"/>
        </w:rPr>
        <w:t>Bristow, OK; Dallastown, PA; and Alexandria and Chantilly, VA. Locations outside the U.S. include Australia, Canada, England, France, Germany, Israel, Norway, and the United Kingdom.</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Unmanned Systems: </w:t>
      </w:r>
      <w:r>
        <w:rPr>
          <w:rFonts w:ascii="Arial" w:cs="Arial" w:eastAsia="Arial" w:hAnsi="Arial"/>
          <w:sz w:val="18"/>
          <w:szCs w:val="18"/>
          <w:color w:val="auto"/>
        </w:rPr>
        <w:t>Roseville and Sacramento, CA; Fort Walton Beach, FL, and Oklahoma City, OK.</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and other locations</w:t>
      </w:r>
      <w:r>
        <w:rPr>
          <w:rFonts w:ascii="Arial" w:cs="Arial" w:eastAsia="Arial" w:hAnsi="Arial"/>
          <w:sz w:val="18"/>
          <w:szCs w:val="18"/>
          <w:color w:val="auto"/>
        </w:rPr>
        <w:t>: San Diego, CA.</w:t>
      </w: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719"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The following is a summary of our floor space at December 29, 2019:</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Square feet (in thousands)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Owned</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Leased</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1,231</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Unmanned Systems</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408</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(includes San Diego, operations of KGS and US segments)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r>
      <w:tr>
        <w:trPr>
          <w:trHeight w:val="257"/>
        </w:trPr>
        <w:tc>
          <w:tcPr>
            <w:tcW w:w="904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1,665</w:t>
            </w:r>
          </w:p>
        </w:tc>
      </w:tr>
      <w:tr>
        <w:trPr>
          <w:trHeight w:val="20"/>
        </w:trPr>
        <w:tc>
          <w:tcPr>
            <w:tcW w:w="8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6 of the Notes to Consolidated Financial Statements contained within this Annual Report for information regarding commitments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15 of the Notes to Consolidated Financial Statements contained within this Annual Report for a further discussion of our legal proceedings.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and is traded under the symbol “KTOS”.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20, 2020, there were 350 shareholders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ability to pay dividends is restricted by both the Indenture and the Credit Agreement, each as discussed in the section entitled “Liquidity and Capital Resources” in Item 7 “Management’s Discussion and Analysis of Financial Condition and Results of Operations” and Note 5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5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following performance graph presents a comparison of the five year cumulative stockholder return on our common stock against the cumulative total return of a broad equity market index, the Russell 2000 Stock Index, and one customized peer group consisting of the companies listed below, for the period commencing December 31, 2014 and ending December 31, 2019. The performance graph assumes an initial investment of $100 in our common stock and in each of the Russell 2000 Stock Index and the peer group, and further assumes that all dividends were reinvested and all returns are market-cap weighted. The historical information set forth below is not necessarily indicative of future stock price performance.</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5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Among Kratos Defense &amp; Security Solutions, Inc., the Russell 2000 Index,</w:t>
      </w:r>
    </w:p>
    <w:p>
      <w:pPr>
        <w:jc w:val="center"/>
        <w:ind w:right="-79"/>
        <w:spacing w:after="0"/>
        <w:rPr>
          <w:sz w:val="20"/>
          <w:szCs w:val="20"/>
          <w:color w:val="auto"/>
        </w:rPr>
      </w:pPr>
      <w:r>
        <w:rPr>
          <w:rFonts w:ascii="Arial" w:cs="Arial" w:eastAsia="Arial" w:hAnsi="Arial"/>
          <w:sz w:val="13"/>
          <w:szCs w:val="13"/>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12065</wp:posOffset>
            </wp:positionV>
            <wp:extent cx="5145405" cy="3430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*$100 invested on 12/31/14 in stock or index, including reinvestment of dividends.</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Fiscal year ending December 31.</w:t>
      </w:r>
    </w:p>
    <w:p>
      <w:pPr>
        <w:spacing w:after="0" w:line="200" w:lineRule="exact"/>
        <w:rPr>
          <w:sz w:val="20"/>
          <w:szCs w:val="20"/>
          <w:color w:val="auto"/>
        </w:rPr>
      </w:pPr>
    </w:p>
    <w:p>
      <w:pPr>
        <w:spacing w:after="0" w:line="349"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color w:val="auto"/>
        </w:rPr>
        <w:t>The companies included in the Company’s Peer Group are: AAR Corp., Aerojet Rocketdyne Holdings, Inc., AeroVironment Inc., Comtech Telecommunications Corp., CPI Aerostructures Inc., Ducommun Inc., Frequency Electronics Inc., and Mercury Systems Inc. Arotech Corp., which was included in the 2018 Peer Group has been excluded from the current Peer Group as it is no longer publicly traded.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985" w:right="2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related notes thereto and with Item 7 “Management’s Discussion and Analysis of Financial Condition and Results of Operations” contained within this Annual Report. Our historical results are not necessarily indicative of operating results to be expected in the future.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in millions except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29, 2019</w:t>
            </w:r>
          </w:p>
        </w:tc>
        <w:tc>
          <w:tcPr>
            <w:tcW w:w="1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30, 2018</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2017</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25, 2016</w:t>
            </w:r>
          </w:p>
        </w:tc>
        <w:tc>
          <w:tcPr>
            <w:tcW w:w="13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8"/>
              </w:rPr>
              <w:t>December 27, 2015</w:t>
            </w:r>
          </w:p>
        </w:tc>
      </w:tr>
      <w:tr>
        <w:trPr>
          <w:trHeight w:val="26"/>
        </w:trPr>
        <w:tc>
          <w:tcPr>
            <w:tcW w:w="4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Consolidated Statements of Operations Data:</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512.5</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10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169.7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157.6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124.2</w:t>
            </w: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Provision (benefit) for income taxes</w:t>
            </w:r>
          </w:p>
        </w:tc>
        <w:tc>
          <w:tcPr>
            <w:tcW w:w="10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0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55.6</w:t>
            </w: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Less: Net income attributable to noncontrolling interest</w:t>
            </w:r>
          </w:p>
        </w:tc>
        <w:tc>
          <w:tcPr>
            <w:tcW w:w="10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Kratos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37"/>
        </w:trPr>
        <w:tc>
          <w:tcPr>
            <w:tcW w:w="5640" w:type="dxa"/>
            <w:vAlign w:val="bottom"/>
            <w:gridSpan w:val="5"/>
          </w:tcPr>
          <w:p>
            <w:pPr>
              <w:ind w:left="40"/>
              <w:spacing w:after="0"/>
              <w:rPr>
                <w:sz w:val="20"/>
                <w:szCs w:val="20"/>
                <w:color w:val="auto"/>
              </w:rPr>
            </w:pPr>
            <w:r>
              <w:rPr>
                <w:rFonts w:ascii="Arial" w:cs="Arial" w:eastAsia="Arial" w:hAnsi="Arial"/>
                <w:sz w:val="16"/>
                <w:szCs w:val="16"/>
                <w:color w:val="auto"/>
                <w:w w:val="95"/>
              </w:rPr>
              <w:t>Income (loss) from continuing operations per common share attributable to Kratos: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(0.61)</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Diluted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(0.94)</w:t>
            </w:r>
          </w:p>
        </w:tc>
        <w:tc>
          <w:tcPr>
            <w:tcW w:w="100" w:type="dxa"/>
            <w:vAlign w:val="bottom"/>
          </w:tcPr>
          <w:p>
            <w:pPr>
              <w:spacing w:after="0"/>
              <w:rPr>
                <w:sz w:val="20"/>
                <w:szCs w:val="20"/>
                <w:color w:val="auto"/>
              </w:rPr>
            </w:pP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(0.61)</w:t>
            </w: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1"/>
              </w:rPr>
              <w:t>Income (loss) from discontinued operations per common share:</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0.95</w:t>
            </w: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0.95</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w w:val="97"/>
              </w:rPr>
              <w:t>Net income (loss) per common share attributable to Kratos: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0.34</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Diluted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(0.99)</w:t>
            </w:r>
          </w:p>
        </w:tc>
        <w:tc>
          <w:tcPr>
            <w:tcW w:w="100" w:type="dxa"/>
            <w:vAlign w:val="bottom"/>
          </w:tcPr>
          <w:p>
            <w:pPr>
              <w:spacing w:after="0"/>
              <w:rPr>
                <w:sz w:val="20"/>
                <w:szCs w:val="20"/>
                <w:color w:val="auto"/>
              </w:rPr>
            </w:pP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0.34</w:t>
            </w: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Basic</w:t>
            </w:r>
          </w:p>
        </w:tc>
        <w:tc>
          <w:tcPr>
            <w:tcW w:w="10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58.7</w:t>
            </w: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r>
      <w:tr>
        <w:trPr>
          <w:trHeight w:val="569"/>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29, 2019</w:t>
            </w:r>
          </w:p>
        </w:tc>
        <w:tc>
          <w:tcPr>
            <w:tcW w:w="1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30, 2018</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2017</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25, 2016</w:t>
            </w:r>
          </w:p>
        </w:tc>
        <w:tc>
          <w:tcPr>
            <w:tcW w:w="13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8"/>
              </w:rPr>
              <w:t>December 27, 2015</w:t>
            </w:r>
          </w:p>
        </w:tc>
      </w:tr>
      <w:tr>
        <w:trPr>
          <w:trHeight w:val="26"/>
        </w:trPr>
        <w:tc>
          <w:tcPr>
            <w:tcW w:w="4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Consolidated Balance Sheet Data:</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Working capital</w:t>
            </w:r>
          </w:p>
        </w:tc>
        <w:tc>
          <w:tcPr>
            <w:tcW w:w="10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339.5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330.0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282.5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148.0</w:t>
            </w: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903.3</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Short-term debt</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444.1</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Total stockholders’ equity</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574.1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519.3</w:t>
            </w:r>
          </w:p>
        </w:tc>
        <w:tc>
          <w:tcPr>
            <w:tcW w:w="120" w:type="dxa"/>
            <w:vAlign w:val="bottom"/>
          </w:tcPr>
          <w:p>
            <w:pPr>
              <w:spacing w:after="0"/>
              <w:rPr>
                <w:sz w:val="20"/>
                <w:szCs w:val="20"/>
                <w:color w:val="auto"/>
              </w:rPr>
            </w:pP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511.5</w:t>
            </w:r>
          </w:p>
        </w:tc>
        <w:tc>
          <w:tcPr>
            <w:tcW w:w="12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276.4</w:t>
            </w:r>
          </w:p>
        </w:tc>
        <w:tc>
          <w:tcPr>
            <w:tcW w:w="100" w:type="dxa"/>
            <w:vAlign w:val="bottom"/>
          </w:tcPr>
          <w:p>
            <w:pPr>
              <w:spacing w:after="0"/>
              <w:rPr>
                <w:sz w:val="20"/>
                <w:szCs w:val="20"/>
                <w:color w:val="auto"/>
              </w:rPr>
            </w:pP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254.2</w:t>
            </w:r>
          </w:p>
        </w:tc>
      </w:tr>
    </w:tbl>
    <w:p>
      <w:pPr>
        <w:spacing w:after="0" w:line="23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2015 Consolidated Statement of Operations Data includes an $80.8 million gain on the disposal of discontinued operations before taxes and a loss of $3.4 million on extinguishment of debt. The 2015 Consolidated Balance Sheet Data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3" w:right="239" w:bottom="1440" w:gutter="0" w:footer="0" w:header="0"/>
        </w:sectPr>
      </w:pPr>
    </w:p>
    <w:bookmarkStart w:id="37" w:name="page38"/>
    <w:bookmarkEnd w:id="37"/>
    <w:p>
      <w:pPr>
        <w:ind w:right="180"/>
        <w:spacing w:after="0" w:line="277" w:lineRule="auto"/>
        <w:rPr>
          <w:sz w:val="20"/>
          <w:szCs w:val="20"/>
          <w:color w:val="auto"/>
        </w:rPr>
      </w:pPr>
      <w:r>
        <w:rPr>
          <w:rFonts w:ascii="Arial" w:cs="Arial" w:eastAsia="Arial" w:hAnsi="Arial"/>
          <w:sz w:val="18"/>
          <w:szCs w:val="18"/>
          <w:color w:val="auto"/>
        </w:rPr>
        <w:t>includes repayment of $41.0 million outstanding on our Credit Agreement and the repurchase of $175.0 million of our previously outstanding 7.00% Senior Secured Notes due 2019 (the “7% Notes”) at par.</w:t>
      </w:r>
    </w:p>
    <w:p>
      <w:pPr>
        <w:spacing w:after="0" w:line="170"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The 2016 Consolidated Balance Sheet Data includes our equity offering of 13.4 million shares of common stock, which generated net proceeds of $76.2 million and our use of $14.1 million of the net proceeds from the offering to buy back and redeem approximately $14.5 million of our 7% Notes. The 2016 Consolidated Statement of Operations Data and Consolidated Balance Sheet Data were impacted by an $18.7 million loss accrual recorded in 2016 on the LCASD cost share contract, which is expected to be incurred by us over the period of performance of the contract, and was incurred in order to retain the intellectual property rights for the new LCASD platform.</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2017 Consolidated Statement of Operations Data and Consolidated Balance Sheet Data includes a $24.2 million impairment of the carrying value of the goodwill of our DRSS reporting unit within our KGS segment and a $17.3 million loss on extinguishment of debt related to the refinancing of the remaining $372.8 million outstanding balance of the 7% Notes. The 2017 Consolidated Balance Sheet Data also includes our equity offerings of approximately 28.0 million shares of common stock, which generated net proceeds of $269.1 million and our use of $64.0 million of the net proceeds from the offering to buy back and redeem approximately $62.7 million of our 7% Notes. The 2017 Consolidated Balance Sheet Data also reflects the refinancing of the remaining $372.8 million of our 7% Notes with $300.0 million of 6.5% Notes. We incurred debt issuance costs of $6.6 million associated with the new 6.5% Notes. We utilized the net proceeds from the 6.5% Notes, along with cash of $89.7 million to extinguish the 7% Notes.</w:t>
      </w:r>
    </w:p>
    <w:p>
      <w:pPr>
        <w:spacing w:after="0" w:line="16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 xml:space="preserve">The 2018 Consolidated Statement of Operations Data and Consolidated Balance Sheet Data includes the disposition of the PSS business which was disposed of on June 11, 2018 and is reflected as a discontinued operation. The 2018 Consolidated Statement of Operations Data and Consolidated Balance Sheet Data also reflects the adoption of FASB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effective January 1, 2018.</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2019 Consolidated Statement of Operations Data and Consolidated Balance Sheet Data includes the February 2019 acquisition of FTT as well as the adoption of FASB ASC 842, </w:t>
      </w:r>
      <w:r>
        <w:rPr>
          <w:rFonts w:ascii="Arial" w:cs="Arial" w:eastAsia="Arial" w:hAnsi="Arial"/>
          <w:sz w:val="18"/>
          <w:szCs w:val="18"/>
          <w:i w:val="1"/>
          <w:iCs w:val="1"/>
          <w:color w:val="auto"/>
        </w:rPr>
        <w:t>Leases</w:t>
      </w:r>
      <w:r>
        <w:rPr>
          <w:rFonts w:ascii="Arial" w:cs="Arial" w:eastAsia="Arial" w:hAnsi="Arial"/>
          <w:sz w:val="18"/>
          <w:szCs w:val="18"/>
          <w:color w:val="auto"/>
        </w:rPr>
        <w:t>, on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i w:val="1"/>
          <w:iCs w:val="1"/>
          <w:color w:val="auto"/>
        </w:rPr>
        <w:t xml:space="preserve">In addition to historical information, the following discussion contains forward-looking statements that are subject to risks and uncertainties. Our actual results may differ substantially from those expressed in or implied by any forward-looking statements herein due to a number of factors, including but not limited to the risks and uncertainties described in this Item 7, in Item 1A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and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3"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Kratos is a government contractor at the forefront of the DoD’s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Kratos’ primary focus areas are unmanned systems, space and satellite communications, microwave electronics, cyber security/warfare, training systems, missile defense, turbine technologies, C5ISR and training systems.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 force is primarily technically oriented and highly skilled with a significant number of employees holding national security clearances. Our entire organization is focused on executing our strategy of becoming the leading technology and intellectual property based company in our industry.</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primary end customers are U.S. Government agencies, including the DoD, intelligence agencies, and other national and homeland security related agencies. We also conduct business with local, state and foreign governments and domestic and international commercial customers. In fiscal 2019, 2018 and 2017, we generated 71%, 72% and 75%, respectively, of our total revenues from contracts with the U.S. Government (including all branches of the U.S. military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57" w:right="239" w:bottom="1440" w:gutter="0" w:footer="0" w:header="0"/>
        </w:sectPr>
      </w:pPr>
    </w:p>
    <w:bookmarkStart w:id="38" w:name="page39"/>
    <w:bookmarkEnd w:id="38"/>
    <w:p>
      <w:pPr>
        <w:ind w:right="300"/>
        <w:spacing w:after="0" w:line="302" w:lineRule="auto"/>
        <w:rPr>
          <w:sz w:val="20"/>
          <w:szCs w:val="20"/>
          <w:color w:val="auto"/>
        </w:rPr>
      </w:pPr>
      <w:r>
        <w:rPr>
          <w:rFonts w:ascii="Arial" w:cs="Arial" w:eastAsia="Arial" w:hAnsi="Arial"/>
          <w:sz w:val="16"/>
          <w:szCs w:val="16"/>
          <w:color w:val="auto"/>
        </w:rPr>
        <w:t>including FMS), either as a prime contractor or a subcontractor. We believe our stable customer base, strong customer relationships, intellectual property, specialized and differentiated products, broad array of contract vehicles, “designed in” positions on strategic national security platforms, our targeted investments in strategic growth areas, large employee base possessing specialized skills, security clearances, specialized manufacturing facilities and equipment, extensive list of past performance qualifications, and significant management and operational capabilities position us for success.</w:t>
      </w:r>
    </w:p>
    <w:p>
      <w:pPr>
        <w:spacing w:after="0" w:line="15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On December 18, 2019, President Trump signed two 2020 spending bills totaling $1.4 trillion. The bills allocate $738 billion to the military and $632 billion to non-defense agencies, representing increases over fiscal 2019 of $22 billion for the Pentagon and $27 billion for non-defense agencies. The NDAA grants a base budget of approximately $666.5 billion (including the establishment of a new, sixth armed service for space) and an additional $71.5 billion for overseas contingency operations funding, a.k.a. the war budget. The federal budget and debt ceiling are expected to continue to be the subject of considerable debate, which could have a significant impact on defense spending broadly and the Company’s programs in particular.</w:t>
      </w:r>
    </w:p>
    <w:p>
      <w:pPr>
        <w:spacing w:after="0" w:line="1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budget environment, including budget caps mandated by the BCA for fiscal years 2020 and 2021, and uncertainty surrounding the debt ceiling and the appropriations process, remain significant short and long-term risks. Considerable uncertainty exists regarding how future budget and program decisions will unfold, including the defense spending priorities of the Administration and Congress and what challenges budget reductions (required by the BCA and otherwise) will present for the defense industry. If annual appropriations bills are not timely enacted for FY 2021 or beyond, the U.S. Government may again operate under a continuing resolution, restricting new contract or program starts, presenting resource allocation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believe continued budget pressures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this environment would have long-term implications for our Company and the entire defense industry.</w:t>
      </w:r>
    </w:p>
    <w:p>
      <w:pPr>
        <w:spacing w:after="0" w:line="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Additionally, funding for certain programs in which we participate may be reduced, delayed or cancelled, and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2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operate in two reportable segments. The KGS reportable segment is comprised of an aggregation of KGS operating segments, including microwave electronic products, space, training and cybersecurity, training systems, modular systems, turbine technologies, and defense and rocket support services. The US reportable segment consists of our unmanned aerial, unmanned ground and unmanned seaborne system products. Our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 We organize our operating segments based primarily on the nature of the products, solutions and services offered. For additional information regarding our reportable segments, see Note 14 of the Notes to Consolidated Financial Statements. From a customer and solutions perspective, we view our business as an integrated whole, leveraging skills and assets wherever possible.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28, 2018, the Company entered into a Stock Purchase Agreement to sell the operations of Kratos Public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557" w:right="319" w:bottom="1440" w:gutter="0" w:footer="0" w:header="0"/>
        </w:sectPr>
      </w:pPr>
    </w:p>
    <w:bookmarkStart w:id="39" w:name="page40"/>
    <w:bookmarkEnd w:id="39"/>
    <w:p>
      <w:pPr>
        <w:spacing w:after="0" w:line="269" w:lineRule="auto"/>
        <w:rPr>
          <w:sz w:val="20"/>
          <w:szCs w:val="20"/>
          <w:color w:val="auto"/>
        </w:rPr>
      </w:pPr>
      <w:r>
        <w:rPr>
          <w:rFonts w:ascii="Arial" w:cs="Arial" w:eastAsia="Arial" w:hAnsi="Arial"/>
          <w:sz w:val="17"/>
          <w:szCs w:val="17"/>
          <w:color w:val="auto"/>
        </w:rPr>
        <w:t>Safety &amp; Security Solutions, Inc., a Delaware corporation and wholly owned subsidiary of the Company (“PSS”), to Securitas Electronic Security, Inc., a Delaware corporation (“Buyer”). On June 11, 2018, we completed the sale of all of the issued and outstanding capital stock of PSS to Buyer for a purchase price of $69 million in cash, subject to a closing net working capital adjustment (the “Transaction”). We currently expect to receive approximately $70 million of aggregate net cash proceeds from the Transaction, after taking into account amounts to be paid by us pursuant to a negotiated transaction services agreement between us and the Buyer, receipt of approximately $7.0 million in net working capital retained by the Company, and associated transaction fees and expenses, excluding the impact of the final settlement and determination of the closing net working capital adjustment. To date, we have collected approximately $3.7 million of the retained net working capital. We currently expect that the remaining net working capital retained by the Company will be collected during 2020 once certain legacy projects are completed and the project close-out process has been completed. We are currently in dispute with the Buyer regarding the closing net working capital adjustment. The amount in dispute is approximately $8 million. The Company currently expects to recognize a net break-even on the sale of the PSS business once the aggregate net proceeds described above have been collected, excluding the impact of the final settlement and determination of the closing net working capital adjustment. Any changes or adjustments to the expected net proceeds will be reflected in future periods.</w:t>
      </w:r>
    </w:p>
    <w:p>
      <w:pPr>
        <w:spacing w:after="0" w:line="18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additional information regarding discontinued operations, see Note 9 of the Notes to Consolidated Financial Statements contained within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29, 2019, we consider the following factors to be important in understanding our financial statements.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Company’s business with the U.S. Government and prime contractors is generally performed under fixed-price, cost reimbursable, or time and materials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Effective January 1, 2018, we adopted the requirements of ASC 606, utilizing the modified retrospective method as discussed in Note 1 of the Notes to Consolidated Financial Statements contained within this Annual Report</w:t>
      </w:r>
    </w:p>
    <w:p>
      <w:pPr>
        <w:spacing w:after="0" w:line="17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The reported results for 2018 and 2019 reflect the application of ASC 606 guidance while the reported results for periods prior to January 1, 2018 were prepared under the guidance of Financial Accounting Standards Board (“FASB”) ASC 605, </w:t>
      </w:r>
      <w:r>
        <w:rPr>
          <w:rFonts w:ascii="Arial" w:cs="Arial" w:eastAsia="Arial" w:hAnsi="Arial"/>
          <w:sz w:val="18"/>
          <w:szCs w:val="18"/>
          <w:i w:val="1"/>
          <w:iCs w:val="1"/>
          <w:color w:val="auto"/>
        </w:rPr>
        <w:t>Revenue Recognition (“ASC 605”).</w:t>
      </w:r>
      <w:r>
        <w:rPr>
          <w:rFonts w:ascii="Arial" w:cs="Arial" w:eastAsia="Arial" w:hAnsi="Arial"/>
          <w:sz w:val="18"/>
          <w:szCs w:val="18"/>
          <w:color w:val="auto"/>
        </w:rPr>
        <w:t xml:space="preserve"> The adoption of ASC 606 represents a change in accounting principle. In accordance with ASC 606, revenue is recognized when a customer obtains control of promised services and products. The amount of revenue recognized reflects the consideration that we expect to be entitled to receive in exchange for these services and products.</w:t>
      </w:r>
    </w:p>
    <w:p>
      <w:pPr>
        <w:spacing w:after="0" w:line="18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Prior to the adoption of ASC 606, we recognized the majority of our revenues using the percentage-of-completion method of accounting. Based on the nature of products provided or services performed, revenue was recorded as costs were incurred (the “percentage-of-completion cost-to-cost method”) or as units were delivered (the “percentage-of-completion units-of-delivery method”). For the majority of contracts, we satisfy the underlying performance obligations over time as the customer obtains control or receives benefits as work is performed on the contract. As a result, under ASC 606 revenue is recognized over a period of time utilizing the percentage-of-completion cost-to-cost method. This change generally results in an acceleration of revenue for contracts that were historically accounted for using the percentage-of-completion units-of-delivery method as revenues are now recognized earlier in the performance period as costs are incurred rather than as the products are delivered.</w:t>
      </w:r>
    </w:p>
    <w:p>
      <w:pPr>
        <w:spacing w:after="0" w:line="178"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In accordance with ASC 606, we evaluate whether a contract with a customer exists by evaluating a number of criteria including whether collection of consideration is reasonably assured; comprehensive collection history; results of our communications with customers; the current financial position of the customer; and the relevant economic conditions in the customer’s country. If we have had no prior experience with the customer, we may review reports from various credit organizations to ensure that the customer has a history of paying its creditors in a reliable and effective manner. If the financial condition of our customers were to deteriorate and adversely affect their financial ability to make payments, allowances would be required.</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DCAA.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7" w:right="239" w:bottom="1440" w:gutter="0" w:footer="0" w:header="0"/>
        </w:sectPr>
      </w:pPr>
    </w:p>
    <w:bookmarkStart w:id="40" w:name="page41"/>
    <w:bookmarkEnd w:id="40"/>
    <w:p>
      <w:pPr>
        <w:ind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our “Critical Accounting Principles and Estimates” discussed below.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accounting principles generally accepted in the U.S. (“GAAP”). Significant management judgments and estimates, including the estimated costs to complete the project, which determine the project’s percentage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Effective December 31, 2018, we adopted the requirements of ASU 2016-02, </w:t>
      </w:r>
      <w:r>
        <w:rPr>
          <w:rFonts w:ascii="Arial" w:cs="Arial" w:eastAsia="Arial" w:hAnsi="Arial"/>
          <w:sz w:val="18"/>
          <w:szCs w:val="18"/>
          <w:i w:val="1"/>
          <w:iCs w:val="1"/>
          <w:color w:val="auto"/>
        </w:rPr>
        <w:t>Leases</w:t>
      </w:r>
      <w:r>
        <w:rPr>
          <w:rFonts w:ascii="Arial" w:cs="Arial" w:eastAsia="Arial" w:hAnsi="Arial"/>
          <w:sz w:val="18"/>
          <w:szCs w:val="18"/>
          <w:color w:val="auto"/>
        </w:rPr>
        <w:t>, also referred to as</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“ASC 842”, utilizing the optional transition method, as discussed in Note 1 to the accompanying Consolidated Financial Statements. ASC 842 requires that lessees recognize assets and liabilities for the rights and obligations underlying leases with a lease term of more than one year. The reported results for 2019 reflect the application of ASC 842 guidance while the reported results for periods prior to December 31, 2018 were prepared under the guidance of FASB Topic 840, </w:t>
      </w:r>
      <w:r>
        <w:rPr>
          <w:rFonts w:ascii="Arial" w:cs="Arial" w:eastAsia="Arial" w:hAnsi="Arial"/>
          <w:sz w:val="18"/>
          <w:szCs w:val="18"/>
          <w:i w:val="1"/>
          <w:iCs w:val="1"/>
          <w:color w:val="auto"/>
        </w:rPr>
        <w:t>Leases</w:t>
      </w:r>
      <w:r>
        <w:rPr>
          <w:rFonts w:ascii="Arial" w:cs="Arial" w:eastAsia="Arial" w:hAnsi="Arial"/>
          <w:sz w:val="18"/>
          <w:szCs w:val="18"/>
          <w:color w:val="auto"/>
        </w:rPr>
        <w:t>. The adoption of ASC 842 represents a change in accounting principle.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29, 2019 to the Year Ended December 30, 2018</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reportable segment for the years ended December 29, 2019 and December 30, 2018 are as follows (in millions):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1"/>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5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Service revenues</w:t>
            </w:r>
          </w:p>
        </w:tc>
        <w:tc>
          <w:tcPr>
            <w:tcW w:w="840" w:type="dxa"/>
            <w:vAlign w:val="bottom"/>
          </w:tcPr>
          <w:p>
            <w:pPr>
              <w:jc w:val="right"/>
              <w:ind w:right="63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272.6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35.8 %</w:t>
            </w:r>
          </w:p>
        </w:tc>
      </w:tr>
      <w:tr>
        <w:trPr>
          <w:trHeight w:val="27"/>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sales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283.5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556.1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14.6 %</w:t>
            </w:r>
          </w:p>
        </w:tc>
      </w:tr>
      <w:tr>
        <w:trPr>
          <w:trHeight w:val="27"/>
        </w:trPr>
        <w:tc>
          <w:tcPr>
            <w:tcW w:w="5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 product sales</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161.4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21.4 %</w:t>
            </w:r>
          </w:p>
        </w:tc>
      </w:tr>
      <w:tr>
        <w:trPr>
          <w:trHeight w:val="297"/>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717.5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618.0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99.5</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16.1 %</w:t>
            </w:r>
          </w:p>
        </w:tc>
      </w:tr>
      <w:tr>
        <w:trPr>
          <w:trHeight w:val="284"/>
        </w:trPr>
        <w:tc>
          <w:tcPr>
            <w:tcW w:w="5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Total service revenues</w:t>
            </w:r>
          </w:p>
        </w:tc>
        <w:tc>
          <w:tcPr>
            <w:tcW w:w="840" w:type="dxa"/>
            <w:vAlign w:val="bottom"/>
          </w:tcPr>
          <w:p>
            <w:pPr>
              <w:jc w:val="right"/>
              <w:ind w:right="63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272.6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35.8 %</w:t>
            </w:r>
          </w:p>
        </w:tc>
      </w:tr>
      <w:tr>
        <w:trPr>
          <w:trHeight w:val="27"/>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sales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444.9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57"/>
        </w:trPr>
        <w:tc>
          <w:tcPr>
            <w:tcW w:w="55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717.5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16.1 %</w:t>
            </w: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Revenues increased $99.5 million to $717.5 million for the year ended December 29, 2019 from $618.0 million for the year ended December 30, 2018. Revenues in our KGS segment increased $71.0 million due to the FTT acquisition which contributed $52.5 million in revenues, along with increases in our satellite communications, modular systems, training systems, microwave products, and our ballistic missile target businesses which contributed increased revenues of $30.5 million, partially offset by reductions of approximately $7.7 million resulting from reduced revenues in our legacy government services business which has been impacted by continued commoditization and price competitiveness in the government services industry due to contract awards on a lowest price technically acceptable basis rather than on a best value basis. Revenues in our US segment increased due to increased execution on low rate initial production of our SSAT/177 aerial targets for the U.S. Navy, and production on our AFSAT 167 aerial targets for the U.S. Air Force, which resulted in increased revenues of $23.3 million.</w:t>
      </w:r>
    </w:p>
    <w:p>
      <w:pPr>
        <w:spacing w:after="0" w:line="17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Product sales increased $27.6 million to $444.9 million for the year ended December 29, 2019 from $417.3 million for the year ended December 30, 2018, primarily as a result of increased production activity in our US segment and our modular systems business. As a percentage of total revenue, product sales were 62.0% for the year ended December 29, 2019, as compared to 67.5% for the year ended December 30, 2018. Service revenues increased by $71.9 million to $272.6 million for the year ended December 29, 2019, from $200.7 million for the year ended December 30, 2018.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57" w:right="239" w:bottom="1440" w:gutter="0" w:footer="0" w:header="0"/>
        </w:sectPr>
      </w:pPr>
    </w:p>
    <w:bookmarkStart w:id="41" w:name="page42"/>
    <w:bookmarkEnd w:id="41"/>
    <w:p>
      <w:pPr>
        <w:ind w:right="50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to $527.5 million for the year ended December 29, 2019, from $448.3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30, 2018. The $79.2 million increase in cost of revenues was primarily a result of increased revenue discussed above.</w:t>
      </w:r>
    </w:p>
    <w:p>
      <w:pPr>
        <w:spacing w:after="0" w:line="14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Gross margin percentage decreased to 26.5% for the year ended December 29, 2019, compared to 27.5% for the year ended December 30, 2018. Margins on services decreased to 29.6% for the year ended December 29, 2019 from 31.3% for the year ended December 30, 2018. Margins on product sales decreased for the year ended December 29, 2019, as compared to December 30, 2018 to 24.6% from 25.6%, respectively, primarily as a result of a change in the mix of products. Margins in the KGS segment decreased to 28.3% for the year ended December 29, 2019 from 29.1% for the year ended December 30, 2018. Margins in the US segment decreased to 20.4% for the year ended December 29, 2019 from 21.3% for the year ended December 30, 2018, primarily due to a less favorable mix of products sold in the year ended December 29, 2019.</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(SG&amp;A). </w:t>
      </w:r>
      <w:r>
        <w:rPr>
          <w:rFonts w:ascii="Arial" w:cs="Arial" w:eastAsia="Arial" w:hAnsi="Arial"/>
          <w:sz w:val="18"/>
          <w:szCs w:val="18"/>
          <w:color w:val="auto"/>
        </w:rPr>
        <w:t>SG&amp;A increased $11.0 million to $130.8 million for the year ended December 29, 2019,</w:t>
      </w:r>
      <w:r>
        <w:rPr>
          <w:rFonts w:ascii="Arial" w:cs="Arial" w:eastAsia="Arial" w:hAnsi="Arial"/>
          <w:sz w:val="18"/>
          <w:szCs w:val="18"/>
          <w:i w:val="1"/>
          <w:iCs w:val="1"/>
          <w:color w:val="auto"/>
        </w:rPr>
        <w:t xml:space="preserve"> </w:t>
      </w:r>
      <w:r>
        <w:rPr>
          <w:rFonts w:ascii="Arial" w:cs="Arial" w:eastAsia="Arial" w:hAnsi="Arial"/>
          <w:sz w:val="18"/>
          <w:szCs w:val="18"/>
          <w:color w:val="auto"/>
        </w:rPr>
        <w:t>from $119.8 million for the year ended December 30, 2018. As a percentage of revenues, SG&amp;A decreased to 18.2% for the year ended December 29, 2019 from 19.4% for the year ended December 30, 2018. Excluding amortization of intangibles of $7.4 million for the year ended December 29, 2019, and amortization of intangibles of $5.9 million for the year ended December 30, 2018, SG&amp;A decreased as a percentage of revenues to 17.2% from 18.4% for the year ended December 29, 2019 and December 30, 2018, respectively, which is primarily due to the leverage on the fixed SG&amp;A infrastructure as revenues have increased, as well as the impact of cost reduction actions taken by us.</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Research and development (R&amp;D) expenses. </w:t>
      </w:r>
      <w:r>
        <w:rPr>
          <w:rFonts w:ascii="Arial" w:cs="Arial" w:eastAsia="Arial" w:hAnsi="Arial"/>
          <w:sz w:val="17"/>
          <w:szCs w:val="17"/>
          <w:color w:val="auto"/>
        </w:rPr>
        <w:t>R&amp;D expenses were $18.0 million for the year ended December 29, 2019 and $15.6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30, 2018. As a percentage of revenues, R&amp;D remained consistent at 2.5% of revenues for the years ended December 29, 2019 and December 30, 2018. R&amp;D expenditures are primarily related to investments we are making in coordination with our customers, as we work towards our objectives which include having our products designated as the new platform for, or “designed-in” to, certain new long-term program opportunities , our ownership of certain intellectual property rights for products that support these programs, and technology upgrades and refresh activities that are necessary for the next generation of our existing product lines specifically in our space and satellite communications business.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Restructuring Expenses and Other. </w:t>
      </w:r>
      <w:r>
        <w:rPr>
          <w:rFonts w:ascii="Arial" w:cs="Arial" w:eastAsia="Arial" w:hAnsi="Arial"/>
          <w:sz w:val="18"/>
          <w:szCs w:val="18"/>
          <w:color w:val="auto"/>
        </w:rPr>
        <w:t>The expense of $0.9 million for the year ended December 29, 2019, primarily consisted of approximately $0.6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legal costs related to an ongoing dispute with an international aerial targets customer and employee termination costs of approximately $0.3 million associated with personnel reduction actions taken during the year. The expense of $3.8 million for the year ended December 30, 2018, consisted primarily of a litigation settlement and related legal costs of approximately $2.8 million, and employee termination costs of approximately $1.0 million related to personnel reduction actions taken in 2018.</w:t>
      </w:r>
    </w:p>
    <w:p>
      <w:pPr>
        <w:spacing w:after="0" w:line="188"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increased to $22.3 million from $21.8 million for the years ended December 29, 2019 and December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respectively, primarily as a result of a net increase in interest expense of $0.8 million related to finance type lease liabilities.</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Provision for income taxes from continuing operations. </w:t>
      </w:r>
      <w:r>
        <w:rPr>
          <w:rFonts w:ascii="Arial" w:cs="Arial" w:eastAsia="Arial" w:hAnsi="Arial"/>
          <w:sz w:val="17"/>
          <w:szCs w:val="17"/>
          <w:color w:val="auto"/>
        </w:rPr>
        <w:t>The provision for income taxes from continuing operations increased to $4.8 million on</w:t>
      </w:r>
      <w:r>
        <w:rPr>
          <w:rFonts w:ascii="Arial" w:cs="Arial" w:eastAsia="Arial" w:hAnsi="Arial"/>
          <w:sz w:val="17"/>
          <w:szCs w:val="17"/>
          <w:i w:val="1"/>
          <w:iCs w:val="1"/>
          <w:color w:val="auto"/>
        </w:rPr>
        <w:t xml:space="preserve"> </w:t>
      </w:r>
      <w:r>
        <w:rPr>
          <w:rFonts w:ascii="Arial" w:cs="Arial" w:eastAsia="Arial" w:hAnsi="Arial"/>
          <w:sz w:val="17"/>
          <w:szCs w:val="17"/>
          <w:color w:val="auto"/>
        </w:rPr>
        <w:t>income from continuing operations before income taxes of $15.7 million for the year ended December 29, 2019 from a provision $4.6 million on income from continuing operations before income taxes of $8.7 million for the year ended December 30, 2018. The tax provision for the year ended December 29, 2019 was primarily comprised of an increase in uncertain tax positions of $7.5 million, in addition to current state and foreign taxes of $2.5 million, and partially offset by a benefit of $5.2 million related to the release of a valuation allowance due to the FTT acquisition. In accordance with ASC 805, we established deferred tax liabilities for the increase in the financial statement basis of the acquired assets of FTT. As a result of our ability to recognize deferred tax assets for some of these deferred tax liabilities, we released the valuation allowance against our deferred tax assets and recognized an income tax benefit of $5.2 million for the year ended December 29, 2019. The tax provision for the year ended December 30, 2018 was primarily comprised of an increase in uncertain tax positions of $4.0 million, in addition to state and foreign taxes.</w:t>
      </w:r>
    </w:p>
    <w:p>
      <w:pPr>
        <w:spacing w:after="0" w:line="18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The income from discontinued operations was $1.7 million for the year ended December 29, 2019 and</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a $3.6 million gain as a result of the release of an indemnification liability following the lapse of the statute of limitations associated with a potential tax liability that was recorded in 2015 as part of the previous sale of our Electronics Products Division. This gain was offset by a loss of $1.7 million from operating activities primarily reflecting the work performed in relation to outstanding tasks on legacy projects retained by us following the sale of the PSS business and legal expenses related to the closing net working capital dispute with the buyer of the PSS business. The loss from discontinued operations was $7.6 million for the year ended December 30, 2018, which includes a loss of $6.7 million from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57" w:right="239" w:bottom="1440" w:gutter="0" w:footer="0" w:header="0"/>
        </w:sectPr>
      </w:pPr>
    </w:p>
    <w:bookmarkStart w:id="42" w:name="page43"/>
    <w:bookmarkEnd w:id="42"/>
    <w:p>
      <w:pPr>
        <w:ind w:right="540"/>
        <w:spacing w:after="0" w:line="277" w:lineRule="auto"/>
        <w:rPr>
          <w:sz w:val="20"/>
          <w:szCs w:val="20"/>
          <w:color w:val="auto"/>
        </w:rPr>
      </w:pPr>
      <w:r>
        <w:rPr>
          <w:rFonts w:ascii="Arial" w:cs="Arial" w:eastAsia="Arial" w:hAnsi="Arial"/>
          <w:sz w:val="18"/>
          <w:szCs w:val="18"/>
          <w:color w:val="auto"/>
        </w:rPr>
        <w:t>operating activities through the completion of the divestiture of our PSS subsidiary in June 2018 and approximately $2.7 million of transaction-related expenses offset by related tax benefits of $1.8 million.</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For a comparison of the Company’s results of operations for the fiscal year ended December 31, 2017 to the fiscal year ended December 30, 2018, see Item 7, Management’s Discussion and Analysis of Financial Condition and Results of Operations in the Company’s Annual Report on Form 10-K for the year ended December 30, 2018, which was filed with the U.S. Securities and Exchange Commission on February 28,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As of December 29, 2019, we had cash and cash equivalents of $172.6 million compared with cash and cash equivalents of $182.7 million as of December 30, 2018, which includes $24.6 million and $12.0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5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Our total debt, including principal due on the 6.5% Notes, net of debt issuance costs of $4.9 million, increased by $0.9 million to $295.1 million as of December 29, 2019 from $294.2 million as of December 30, 2018. The increase in total debt was due to the amortization of debt issuance costs.</w:t>
      </w:r>
    </w:p>
    <w:p>
      <w:pPr>
        <w:spacing w:after="0" w:line="12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use our operating cash flow to finance trade accounts receivable, fund necessary increases in inventory, which may include leaning forward to procure long-lead materials for certain of our unmanned systems programs at our customers’ request, prior to receipt of customer contractual funding documents, fund capital expenditures, our IR&amp;D investments, other product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certain of which are not achieved until final shipment and acceptance of our products.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decreased to 134 days as of December 29, 2019 from 140 days as of December 30, 2018. Our DSOs can fluctuate from period to period, primarily as a result of certain contractual billing milestones that have not yet been attained, such as equipment shipments and deliveries on certain products, and for certain flight requirements that must be fulfilled on certain aerial target programs, or final billings which are not due until completion on certain of our large training systems deliveries, and therefore we are unable to contractually bill for amounts outstanding related to those milestones at this time. For instance, many of our programs, including in our training solutions business, include progress payments for which the last 10 to 20 percent of our costs incurred are withheld, and not payable until the acceptance and delivery of the system. 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and its costs incurred in settling with subcontractors and preparing and settling the termination proposal. However, we will not be able to collect the total withheld amounts until the settlement terms of the T for C have been negotiated and agreed to with the customer. At December 29, 2019, approximately $11.5 million in unbilled receivables remain outstanding on this project. In addition, we are currently in dispute with an international customer in our US segment over approximately $10.0 million in unbilled receivables outstanding as of December 29, 2019. The dispute concerns the completion of certain system requirements and contractual milestones. Although there could be a delay in billing and collecting amounts due to us under the aforementioned contracts, we have evaluated the present facts of the matters and performed a reassessment of the contractual amounts due and have determined that no adjustment to previously recognized revenue, or the corresponding unbilled receivables, is necessary at December 29, 2019.</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557" w:right="279" w:bottom="1440" w:gutter="0" w:footer="0" w:header="0"/>
        </w:sectPr>
      </w:pPr>
    </w:p>
    <w:bookmarkStart w:id="43" w:name="page44"/>
    <w:bookmarkEnd w:id="43"/>
    <w:p>
      <w:pPr>
        <w:ind w:right="520"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from our Consolidated Statements of Cash Flows is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199"/>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 2019</w:t>
            </w:r>
          </w:p>
        </w:tc>
        <w:tc>
          <w:tcPr>
            <w:tcW w:w="18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December 30, 2018</w:t>
            </w: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18.1</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cash provided by operating activities from continuing operations for the year ended December 29, 2019 was positively impacted by increased operating income as compared to the year ended December 30, 2018. Net cash provided by operating activities from continuing operations was also impacted by interest expense we paid related to our 6.5% Notes. We paid $19.9 million and $20.5 million in interest expense in 2019 and 2018, respectively. Cash provided by operating activities in 2019 and 2018 was also negatively impacted by discretionary investments we have made in internally funded research and development of $18.0 million in 2019 and $15.6 million in 2018, contract development costs on new platforms in our US segment, and increased SG&amp;A expenditures primarily related to business capture pursuits in the tactical unmanned aircraft systems initiatives, as well as changes in working capital accounts. The net use in working capital accounts for 2019 and 2018 includes approximately $0.9 and $3.6 million, respectively, of internal development product development investments that are non-capital expenditures we are making related to the LCASD or “Valkyrie”.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provided by (used in) investing activities from continuing operations is summarized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194"/>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 2019</w:t>
            </w:r>
          </w:p>
        </w:tc>
        <w:tc>
          <w:tcPr>
            <w:tcW w:w="180" w:type="dxa"/>
            <w:vAlign w:val="bottom"/>
          </w:tcPr>
          <w:p>
            <w:pPr>
              <w:spacing w:after="0"/>
              <w:rPr>
                <w:sz w:val="22"/>
                <w:szCs w:val="22"/>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30, 2018</w:t>
            </w:r>
          </w:p>
        </w:tc>
      </w:tr>
      <w:tr>
        <w:trPr>
          <w:trHeight w:val="236"/>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investing activities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Net cash used in investing activities from continuing operations for year ended December 29, 2019 is comprised of the acquisition of FTT and capital expenditures which consist primarily of investments in machinery, computer hardware and software and improvement of our physical properties in order to maintain suitable conditions in which to conduct our business. Net cash provided by investing activities from continuing operations for year ended December 30, 2018 was positively impacted by the approximately $66.0 million net proceeds, net of related transaction expenses, received from the sale of PSS. These proceeds were partially offset by capital expenditures of $22.6 million, which consist of investments in machinery, computer hardware and software and improvement of our physical properties in order to maintain suitable conditions in which to conduct our business. During the year ended December 29, 2019, capital expenditures of approximately $13.9 million were incurred in our US business, primarily related to our unmanned combat target initiative.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financing activities from continuing operations is summarized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 2019</w:t>
            </w:r>
          </w:p>
        </w:tc>
        <w:tc>
          <w:tcPr>
            <w:tcW w:w="180" w:type="dxa"/>
            <w:vAlign w:val="bottom"/>
          </w:tcPr>
          <w:p>
            <w:pPr>
              <w:spacing w:after="0"/>
              <w:rPr>
                <w:sz w:val="22"/>
                <w:szCs w:val="22"/>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30,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Expenses from the issuance of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under credit facility and debt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under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w w:val="91"/>
              </w:rPr>
              <w:t>Proceeds from exercise of restricted stock units, employee stock options, and employee stock purchase plan</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3.7</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Net cash provided by financing activities from continuing operations was $3.5 million for the year ended December 29, 2019. Net cash provided by financing activities from continuing operations was $1.7 million for the year 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57"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December 30, 2018, which includes $1.1 million of fees paid in the beginning of 2018 related to the equity offerings that were completed in 2017.</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operating cash flows of discontinued operations is summarized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199"/>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 2019</w:t>
            </w:r>
          </w:p>
        </w:tc>
        <w:tc>
          <w:tcPr>
            <w:tcW w:w="18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December 30, 2018</w:t>
            </w: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cash flows of discontinued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net operating cash flow of discontinued operations for the year ended December 29, 2019 is substantially related to the discontinued operations of our PSS business unit. During 2019, approximately $3.7 million was collected on amounts due related to the legacy projects retained by us, less costs incurred to complete the legacy projects and legal costs related to the ongoing working capital dispute with the buyer of PSS. This was also partially offset by a reduction in other current liabilities of $1.8 million. The net operating cash flow of discontinued operations for the year ended December 30, 2018 is substantially related to the discontinued operations of our PSS business unit, which includes the payment of $3.5 million to the Buyer of the PSS business pursuant to a negotiated transaction services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Senior Secured Notes due 2025</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2017, we issued and sold $300 million aggregate principal amount of 6.5% Senior Secured Notes due 2025 (the “6.5% Notes”) in a private placement conducted pursuant to Rule 144A and Regulation S under the Securities Act of 1933, as amended (the “Act”). The net proceeds from the issuance of the 6.5% Notes were $295.5 million after expenses of $4.5 million. We utilized the net proceeds from the sale of the 6.5% Notes, as well as cash from our recent equity offering to extinguish our previously outstanding 7% Notes. The total reacquisition price of the 7% Notes was $385.2 million, including a $12.0 million call premium, and $0.3 million of accrued interest.</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(in such capacity, the “2017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(c) we exercise our legal defeasance option or our covenant defeasance option; or (d) upon satisfaction and discharge of the Indenture or payment in full in cash of the principal of, premium, if any, and accrued and unpaid interest on the 6.5% Notes.</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6.5% Notes and the guarantees (as set forth in the Indenture, the “Guarantees”)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6.5% Notes will be redeemable, in whole or in part, at any time on or after November 30, 2020 at the respective redemption prices specified in the Indenture. In addition, we may redeem up to 40% of the 6.5% Notes before November 30, 2020 with the net proceeds of certain equity offerings. We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we may redeem up to 10% of the original aggregate principal amount of the 6.5% Notes issued under the Indenture at a redemption price of 103.000% of the principal amount thereof, plus accrued and unpaid interest, to, but excluding, the date of redemption, if any. We may also be required to make an offer to purchase the 6.5% Notes upon a change of control and certain sales of our assets.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 contains covenants limiting, among other things, our ability and the Subsidiary Guarantors’ ability to: (a) pay dividends on or make distributions or repurchase or redeem the Company’s capital stock or make other restricted payments;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57" w:right="239" w:bottom="1440" w:gutter="0" w:footer="0" w:header="0"/>
        </w:sectPr>
      </w:pPr>
    </w:p>
    <w:bookmarkStart w:id="45" w:name="page46"/>
    <w:bookmarkEnd w:id="45"/>
    <w:p>
      <w:pPr>
        <w:jc w:val="both"/>
        <w:ind w:firstLine="8"/>
        <w:spacing w:after="0" w:line="257" w:lineRule="auto"/>
        <w:tabs>
          <w:tab w:leader="none" w:pos="2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debt and guarantee debt; (c) prepay, redeem or repurchase certain debt; (d) issue certain preferred stock or similar equity securities; (e) make loans and investments; (f) sell assets; (g) incur liens; (h) consolidate, merge, sell or otherwise dispose of all or substantially all of our assets; (i) enter into transactions with affiliates; and (j) enter into agreements restricting our ability and certain of our subsidiaries’ ability to pay dividends. These covenants are subject to a number of exceptions. As of December 29, 2019, we were in compliance with the covenants contained in the Indenture governing the 6.5% Notes.</w:t>
      </w:r>
    </w:p>
    <w:p>
      <w:pPr>
        <w:spacing w:after="0" w:line="18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(iii) a combination of (i), (ii) and (iii). To the extent there are any remaining net proceeds from the asset disposition after application of (i), (ii) and (iii), such amounts are required to be utilized to repurchase 6.5% Notes at par.</w:t>
      </w:r>
    </w:p>
    <w:p>
      <w:pPr>
        <w:spacing w:after="0" w:line="15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of them occurs, would permit or require the principal, premium, if any, interest, if any, and any other monetary obligations on all the then-outstanding 6.5% Notes to become or to be declared due and payable immediately.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14, 2014, we entered into a $110.0 million Credit and Security Agreement, dated May 14, 2014 (as amended from time to time,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a first priority lien on our accounts receivable, inventory, deposit accounts, securities accounts, cash, securities and general intangibles (other than intellectual property). The obligations under the Credit Agreement are secured by a second priority lien, junior to the lien securing our senior secured notes, on all of our other assets.</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November 20, 2017, we entered into an amended and restated Credit Agreement with the lenders from time to time party thereto, the Agent, PNC Bank, National Association, as Joint Lead Arranger and Documentation Agent, and SunTrust Robinson Humphrey, Inc., as Joint Lead Arranger and Sole Book Runner. As amended and restated, the Credit Agreement establishes a five 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 line loan. Base rate revolving loans and swing 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LIBOR Rate (as defined in the Credit Agreement) determined at such time for an interest period of one month, plus 1.00% per annum. Eurodollar revolving loans will bear interest a rate per annum equal to the sum of the Applicable Margin from time to time in effect plus the Adjusted LIBOR Rate. The Applicable Margin varies between 1.00%-1.50% for base rate revolving loans and swing line loans and</w:t>
      </w:r>
    </w:p>
    <w:p>
      <w:pPr>
        <w:spacing w:after="0" w:line="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receivables, then held eligible raw materials inventory, work-in-process inventory, and applicable reserves.</w:t>
      </w:r>
    </w:p>
    <w:p>
      <w:pPr>
        <w:spacing w:after="0" w:line="15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measurement of a minimum fixed charge coverage ratio is required to be measured if Excess Availability, as defined in the Credit Agreement, is less than fifty percent of the lesser of the Borrowing Base or the Total Commitment Amount, each as defined in the Credit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57" w:right="239" w:bottom="1440" w:gutter="0" w:footer="0" w:header="0"/>
        </w:sectPr>
      </w:pPr>
    </w:p>
    <w:bookmarkStart w:id="46" w:name="page47"/>
    <w:bookmarkEnd w:id="46"/>
    <w:p>
      <w:pPr>
        <w:ind w:right="20" w:firstLine="648"/>
        <w:spacing w:after="0" w:line="264" w:lineRule="auto"/>
        <w:rPr>
          <w:sz w:val="20"/>
          <w:szCs w:val="20"/>
          <w:color w:val="auto"/>
        </w:rPr>
      </w:pPr>
      <w:r>
        <w:rPr>
          <w:rFonts w:ascii="Arial" w:cs="Arial" w:eastAsia="Arial" w:hAnsi="Arial"/>
          <w:sz w:val="18"/>
          <w:szCs w:val="18"/>
          <w:color w:val="auto"/>
        </w:rPr>
        <w:t>As of December 29, 2019, there were no borrowings outstanding on the Credit Agreement and $5.4 million was outstanding on letters of credit, resulting in net borrowing base availability of $69.3 million. We were in compliance with the financial covenants of the Credit Agreement as of December 29, 2019.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in Regulation S-K, Item 303(a)(4)(ii).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and other commitments at December 29, 2019, and the effect such obligations could have on our liquidity and cash flow in future periods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2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Payments Due/Forecast by Period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6"/>
        </w:trPr>
        <w:tc>
          <w:tcPr>
            <w:tcW w:w="35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2021 - 2022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2023 - 2024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2025 and After</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 of interest(1)</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Estimated interest on debt(2)</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136.5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39.0</w:t>
            </w:r>
          </w:p>
        </w:tc>
      </w:tr>
      <w:tr>
        <w:trPr>
          <w:trHeight w:val="27"/>
        </w:trPr>
        <w:tc>
          <w:tcPr>
            <w:tcW w:w="3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orders(3)</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leases(4)</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11.6</w:t>
            </w:r>
          </w:p>
        </w:tc>
      </w:tr>
      <w:tr>
        <w:trPr>
          <w:trHeight w:val="27"/>
        </w:trPr>
        <w:tc>
          <w:tcPr>
            <w:tcW w:w="3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leases(4)</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8"/>
              </w:rPr>
              <w:t>Unrecognized tax benefits, including interest</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540" w:type="dxa"/>
            <w:vAlign w:val="bottom"/>
          </w:tcPr>
          <w:p>
            <w:pPr>
              <w:ind w:left="220"/>
              <w:spacing w:after="0"/>
              <w:rPr>
                <w:sz w:val="20"/>
                <w:szCs w:val="20"/>
                <w:color w:val="auto"/>
              </w:rPr>
            </w:pPr>
            <w:r>
              <w:rPr>
                <w:rFonts w:ascii="Arial" w:cs="Arial" w:eastAsia="Arial" w:hAnsi="Arial"/>
                <w:sz w:val="18"/>
                <w:szCs w:val="18"/>
                <w:color w:val="auto"/>
              </w:rPr>
              <w:t>and penalties(5)</w:t>
            </w:r>
          </w:p>
        </w:tc>
        <w:tc>
          <w:tcPr>
            <w:tcW w:w="9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Total commitments and recorded liabilities</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717.0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404.6</w:t>
            </w:r>
          </w:p>
        </w:tc>
      </w:tr>
      <w:tr>
        <w:trPr>
          <w:trHeight w:val="20"/>
        </w:trPr>
        <w:tc>
          <w:tcPr>
            <w:tcW w:w="3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92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6.5% Notes in the aggregate outstanding principal amount of $300.0 million are due November 30, 2025. See Note 5 in the Notes to Consolidated Financial Statements contained within this Annual Report for further details.</w:t>
      </w:r>
    </w:p>
    <w:p>
      <w:pPr>
        <w:spacing w:after="0" w:line="17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interest payments on the 6.5% Notes. See Note 5 in the Notes to Consolidated Financial Statements contained within in this Annual Report for further details.</w:t>
      </w:r>
    </w:p>
    <w:p>
      <w:pPr>
        <w:spacing w:after="0" w:line="170" w:lineRule="exact"/>
        <w:rPr>
          <w:rFonts w:ascii="Arial" w:cs="Arial" w:eastAsia="Arial" w:hAnsi="Arial"/>
          <w:sz w:val="18"/>
          <w:szCs w:val="18"/>
          <w:color w:val="auto"/>
        </w:rPr>
      </w:pPr>
    </w:p>
    <w:p>
      <w:pPr>
        <w:ind w:left="660" w:right="60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 orders include commitments in which a written purchase order has been issued to a vendor, but the goods have not been received or services have not been performed.</w:t>
      </w:r>
    </w:p>
    <w:p>
      <w:pPr>
        <w:spacing w:after="0" w:line="170" w:lineRule="exact"/>
        <w:rPr>
          <w:rFonts w:ascii="Arial" w:cs="Arial" w:eastAsia="Arial" w:hAnsi="Arial"/>
          <w:sz w:val="18"/>
          <w:szCs w:val="18"/>
          <w:color w:val="auto"/>
        </w:rPr>
      </w:pPr>
    </w:p>
    <w:p>
      <w:pPr>
        <w:ind w:left="660" w:right="42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entered into or acquired various non-cancelable operating and finance lease agreements that expire on various dates through 2038. See Note 6 in the Notes to Consolidated Financial Statements contained within this Annual Report for further details.</w:t>
      </w:r>
    </w:p>
    <w:p>
      <w:pPr>
        <w:spacing w:after="0" w:line="146" w:lineRule="exact"/>
        <w:rPr>
          <w:rFonts w:ascii="Arial" w:cs="Arial" w:eastAsia="Arial" w:hAnsi="Arial"/>
          <w:sz w:val="17"/>
          <w:szCs w:val="17"/>
          <w:color w:val="auto"/>
        </w:rPr>
      </w:pPr>
    </w:p>
    <w:p>
      <w:pPr>
        <w:jc w:val="both"/>
        <w:ind w:left="660" w:right="4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29, 2019, we have a $15.7 million noncurrent liability for uncertain tax positions and a $2.8 million guarantor liability, all of which may result in cash payments. The future payments related to uncertain tax positions have not been presented in the table above due to the uncertainty of the amounts and timing of cash settlements with the taxing authorities.</w:t>
      </w:r>
    </w:p>
    <w:p>
      <w:pPr>
        <w:spacing w:after="0" w:line="181"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As of December 29, 2019, we have $5.4 million of standby letters of credit outstanding. Our letters of credit are primarily related to milestone payments received from foreign customers for which the customer has not yet received the product. Additional information regarding our financial commitments at December 29, 2019 is provided in the Notes to Consolidated Financial Statements contained in this Annual Report, specifically Note 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believe our cash on hand, together with funds available under the Credit Agreement and cash expected to be generated from operating activities will be sufficient to fund our anticipated working capital and other cash needs for at least the next 12 months. As discussed in Item 1A “Risk Factors” contained within this Annual Report, our quarterly and annual operating results have fluctuated in the past and may vary in the future due to a variety of factors, many of which are external to our control. If the conditions in our industry deteriorate, our customers cancel or postpone projects or if we are unable to sufficiently increase our revenues or further reduce our expenses, we may experience, in the future, a significant long-term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7" w:right="239" w:bottom="1440" w:gutter="0" w:footer="0" w:header="0"/>
        </w:sectPr>
      </w:pPr>
    </w:p>
    <w:bookmarkStart w:id="47" w:name="page48"/>
    <w:bookmarkEnd w:id="47"/>
    <w:p>
      <w:pPr>
        <w:ind w:right="440"/>
        <w:spacing w:after="0" w:line="277" w:lineRule="auto"/>
        <w:rPr>
          <w:sz w:val="20"/>
          <w:szCs w:val="20"/>
          <w:color w:val="auto"/>
        </w:rPr>
      </w:pPr>
      <w:r>
        <w:rPr>
          <w:rFonts w:ascii="Arial" w:cs="Arial" w:eastAsia="Arial" w:hAnsi="Arial"/>
          <w:sz w:val="18"/>
          <w:szCs w:val="18"/>
          <w:color w:val="auto"/>
        </w:rPr>
        <w:t>negative impact to our financial results and cash flows from operations. In such a situation, we could fall out of compliance with our financial and other covenants which, if not waived, could limit our 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identified the following critical accounting policies that affect our more significant judgments and estimates used in the preparation of our Consolidated Financial Statements. The preparation of our Consolidated Financial Statements in conformity with GAAP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valuation of inventory including the reserves for excess and obsolete inventory, valuation of long-lived assets including identifiable intangibles and goodwill, accounting for income taxes including the related valuation allowance, warranties, contingencies and litigation, contingent acquisition consideration, and losses on unused office space. We explain these accounting policies in the Notes to Consolidated Financial Statements contained within this 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w:t>
      </w:r>
    </w:p>
    <w:p>
      <w:pPr>
        <w:spacing w:after="0" w:line="178"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Effective January 1, 2018, we adopted the Financial Accounting Standards Board (“FASB”) ASU 2014-09,</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and the related amendments, which are codified into Accounting Standards Codification (“ASC”) 606 (“ASC 606”), which</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establishes a broad principle that requires entities to assess the products or services promised in contracts with customers at contract inception to determine the appropriate unit at which to record revenues, which is referred to as a performance obligation. Revenue is recognized when control of the promised products or services is transferred to customers, at an amount that reflects the consideration to which the entity expects to be entitled in exchange for those products or services. The new standard requires disclosure of the nature, amount, timing, and uncertainty of revenue and cash flows arising from contracts with customers. We adopted the requirements of ASC 606, utilizing the modified retrospective method as discussed in Note 1 of the Notes to Consolidated Financial Statements contained within this Annual Report.</w:t>
      </w:r>
    </w:p>
    <w:p>
      <w:pPr>
        <w:spacing w:after="0" w:line="17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reported results for 2018 and 2019 reflect the application of ASC 606 guidance while the reported results for periods prior to January 1, 2018 were prepared under the guidance of ASC 605. The adoption of ASC 606 represents a change in accounting principle.</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6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ASC 606. The majority of our contracts have a single performance obligation as the promise to transfer the individual goods or services is not separately identifiable from other promises in the contracts and, therefore, not distinct. For contracts with multiple performance obligations, we allocate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we forecast the expected costs of satisfying a performance obligation and then add an appropriate margin for that distinct good or service.</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Prior to the adoption of ASC 606, we recognized the majority of our revenues using the percentage-of-completion method of accounting. Based on the nature of products provided or services performed, revenue was recorded as costs were incurred (the “percentage-of-completion cost-to-cost method”) or as units were delivered (the “percentage-of-completion units-of-delivery method”). For the majority of contracts, we satisfy the underlying performance obligations over time as the customer obtains control or receives benefits as work is performed on the contract. As a result, under ASC 606 revenue is recognized over a period of time utilizing the percentage-of-completion cost-to-cost method. This change generally results in an acceleration of revenue for contracts that were historically accounted for using the percentage-of-completion units-of-delivery method as revenues are now recognized earlier in the performance period as costs are incurred.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557" w:right="279" w:bottom="1440" w:gutter="0" w:footer="0" w:header="0"/>
        </w:sectPr>
      </w:pPr>
    </w:p>
    <w:bookmarkStart w:id="48" w:name="page49"/>
    <w:bookmarkEnd w:id="48"/>
    <w:p>
      <w:pPr>
        <w:ind w:firstLine="648"/>
        <w:spacing w:after="0" w:line="271" w:lineRule="auto"/>
        <w:rPr>
          <w:sz w:val="20"/>
          <w:szCs w:val="20"/>
          <w:color w:val="auto"/>
        </w:rPr>
      </w:pPr>
      <w:r>
        <w:rPr>
          <w:rFonts w:ascii="Arial" w:cs="Arial" w:eastAsia="Arial" w:hAnsi="Arial"/>
          <w:sz w:val="17"/>
          <w:szCs w:val="17"/>
          <w:color w:val="auto"/>
        </w:rPr>
        <w:t>For our federal contracts, we apply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79" w:lineRule="exact"/>
        <w:rPr>
          <w:sz w:val="20"/>
          <w:szCs w:val="20"/>
          <w:color w:val="auto"/>
        </w:rPr>
      </w:pPr>
    </w:p>
    <w:p>
      <w:pPr>
        <w:jc w:val="both"/>
        <w:ind w:right="140" w:firstLine="648"/>
        <w:spacing w:after="0" w:line="288" w:lineRule="auto"/>
        <w:rPr>
          <w:sz w:val="20"/>
          <w:szCs w:val="20"/>
          <w:color w:val="auto"/>
        </w:rPr>
      </w:pPr>
      <w:r>
        <w:rPr>
          <w:rFonts w:ascii="Arial" w:cs="Arial" w:eastAsia="Arial" w:hAnsi="Arial"/>
          <w:sz w:val="16"/>
          <w:szCs w:val="16"/>
          <w:i w:val="1"/>
          <w:iCs w:val="1"/>
          <w:color w:val="auto"/>
        </w:rPr>
        <w:t xml:space="preserve">Long-lived and Intangible Assets. </w:t>
      </w:r>
      <w:r>
        <w:rPr>
          <w:rFonts w:ascii="Arial" w:cs="Arial" w:eastAsia="Arial" w:hAnsi="Arial"/>
          <w:sz w:val="16"/>
          <w:szCs w:val="16"/>
          <w:color w:val="auto"/>
        </w:rPr>
        <w:t>We account for long-lived assets in accordance with the provisions of FASB ASC</w:t>
      </w:r>
      <w:r>
        <w:rPr>
          <w:rFonts w:ascii="Arial" w:cs="Arial" w:eastAsia="Arial" w:hAnsi="Arial"/>
          <w:sz w:val="16"/>
          <w:szCs w:val="16"/>
          <w:i w:val="1"/>
          <w:iCs w:val="1"/>
          <w:color w:val="auto"/>
        </w:rPr>
        <w:t xml:space="preserve"> Topic 360 Property, Plant, and Equipment </w:t>
      </w:r>
      <w:r>
        <w:rPr>
          <w:rFonts w:ascii="Arial" w:cs="Arial" w:eastAsia="Arial" w:hAnsi="Arial"/>
          <w:sz w:val="16"/>
          <w:szCs w:val="16"/>
          <w:color w:val="auto"/>
        </w:rPr>
        <w:t>(“Topic 360</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Topic 360 addresses financial accounting and reporting for the impairment or disposal of long-lived assets and requires that long-lived assets be reviewed for impairment whenever events or changes in circumstances indicate that the carrying amount of an asset may not be recoverable.</w:t>
      </w:r>
    </w:p>
    <w:p>
      <w:pPr>
        <w:spacing w:after="0" w:line="253" w:lineRule="auto"/>
        <w:rPr>
          <w:sz w:val="20"/>
          <w:szCs w:val="20"/>
          <w:color w:val="auto"/>
        </w:rPr>
      </w:pPr>
      <w:r>
        <w:rPr>
          <w:rFonts w:ascii="Arial" w:cs="Arial" w:eastAsia="Arial" w:hAnsi="Arial"/>
          <w:sz w:val="18"/>
          <w:szCs w:val="18"/>
          <w:color w:val="auto"/>
        </w:rPr>
        <w:t>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Topic 360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9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accordance with Topic 360,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18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1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24"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The purchase price of an acquired business is allocated to the underlying tangible and intangible assets acquired and liabilities assumed</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their respective fair values, with the excess recorded as goodwill. Such fair value assessments require judgments and estimates that can be affected by contract performance and other factors over time, which may cause final amounts to differ materially from original estimates.</w:t>
      </w:r>
    </w:p>
    <w:p>
      <w:pPr>
        <w:spacing w:after="0" w:line="14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We have established certain accruals in connection with indemnities and other contingencies from our acquisitions. These accruals and subsequent adjustments have been recorded during the purchase price allocation period for acquisitions. The accruals were determined based upon the terms of the purchase or sales agreements and, in most cases, involve a significant degree of judgment. Management has recorded these accruals in accordance with its interpretation of the terms of the purchase or sale agreements, known facts, and an estimation of probable future events based on management’s experience. Any changes to recorded estimates will be recognized through earnings.</w:t>
      </w:r>
    </w:p>
    <w:p>
      <w:pPr>
        <w:spacing w:after="0" w:line="173" w:lineRule="exact"/>
        <w:rPr>
          <w:sz w:val="20"/>
          <w:szCs w:val="20"/>
          <w:color w:val="auto"/>
        </w:rPr>
      </w:pPr>
    </w:p>
    <w:p>
      <w:pPr>
        <w:ind w:right="400" w:firstLine="648"/>
        <w:spacing w:after="0" w:line="276" w:lineRule="auto"/>
        <w:rPr>
          <w:sz w:val="20"/>
          <w:szCs w:val="20"/>
          <w:color w:val="auto"/>
        </w:rPr>
      </w:pPr>
      <w:r>
        <w:rPr>
          <w:rFonts w:ascii="Arial" w:cs="Arial" w:eastAsia="Arial" w:hAnsi="Arial"/>
          <w:sz w:val="17"/>
          <w:szCs w:val="17"/>
          <w:color w:val="auto"/>
        </w:rPr>
        <w:t xml:space="preserve">We perform our impairment test for goodwill in accordance with ASC Topic 350, </w:t>
      </w:r>
      <w:r>
        <w:rPr>
          <w:rFonts w:ascii="Arial" w:cs="Arial" w:eastAsia="Arial" w:hAnsi="Arial"/>
          <w:sz w:val="17"/>
          <w:szCs w:val="17"/>
          <w:i w:val="1"/>
          <w:iCs w:val="1"/>
          <w:color w:val="auto"/>
        </w:rPr>
        <w:t>Intangibles-Goodwill and Other (</w:t>
      </w:r>
      <w:r>
        <w:rPr>
          <w:rFonts w:ascii="Arial" w:cs="Arial" w:eastAsia="Arial" w:hAnsi="Arial"/>
          <w:sz w:val="17"/>
          <w:szCs w:val="17"/>
          <w:color w:val="auto"/>
        </w:rPr>
        <w:t>“Topic 350”</w:t>
      </w:r>
      <w:r>
        <w:rPr>
          <w:rFonts w:ascii="Arial" w:cs="Arial" w:eastAsia="Arial" w:hAnsi="Arial"/>
          <w:sz w:val="17"/>
          <w:szCs w:val="17"/>
          <w:i w:val="1"/>
          <w:iCs w:val="1"/>
          <w:color w:val="auto"/>
        </w:rPr>
        <w:t>)</w:t>
      </w:r>
      <w:r>
        <w:rPr>
          <w:rFonts w:ascii="Arial" w:cs="Arial" w:eastAsia="Arial" w:hAnsi="Arial"/>
          <w:sz w:val="17"/>
          <w:szCs w:val="17"/>
          <w:color w:val="auto"/>
        </w:rPr>
        <w:t>. We assess goodwill for impairment at the reporting unit level, which is defined as an operating segment or one level below an operating segment, referred to as a component. We determine our reporting units by first identifying our 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w:t>
      </w:r>
    </w:p>
    <w:p>
      <w:pPr>
        <w:spacing w:after="0" w:line="1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KGS has five operating segments: Defense Rocket Support Services (“DRSS”), Microwave Electronics (“ME”), Space, Training and Cybersecurity Solutions (“ST&amp;C”), Modular Systems (“MS”), and Kratos Turbine Technologies (“KTT”), that provide technology based defense solutions, involving products and services, primarily for mission critical U.S. national security priorities, with the primary focus relating to the nation’s Command, Control, Communications, Computing, Combat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57" w:right="259" w:bottom="1440" w:gutter="0" w:footer="0" w:header="0"/>
        </w:sectPr>
      </w:pPr>
    </w:p>
    <w:bookmarkStart w:id="49" w:name="page50"/>
    <w:bookmarkEnd w:id="49"/>
    <w:p>
      <w:pPr>
        <w:ind w:right="160"/>
        <w:spacing w:after="0" w:line="259" w:lineRule="auto"/>
        <w:rPr>
          <w:sz w:val="20"/>
          <w:szCs w:val="20"/>
          <w:color w:val="auto"/>
        </w:rPr>
      </w:pPr>
      <w:r>
        <w:rPr>
          <w:rFonts w:ascii="Arial" w:cs="Arial" w:eastAsia="Arial" w:hAnsi="Arial"/>
          <w:sz w:val="18"/>
          <w:szCs w:val="18"/>
          <w:color w:val="auto"/>
        </w:rPr>
        <w:t>Systems, Intelligence, Surveillance (“C5ISR”) and Reconnaissance requirements. The US reportable segment provides unmanned aerial systems, unmanned ground, and unmanned seaborne systems. We have identified our reporting units to be the DRSS, ME, ST&amp;C, MS, and KTT operating segments, within the KGS reportable segment, and the US reportable segment, each of which has been assessed and evaluated for potential impairment in our fiscal year 2019 annual test.</w:t>
      </w:r>
    </w:p>
    <w:p>
      <w:pPr>
        <w:spacing w:after="0" w:line="14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test goodwill for impairment by performing a qualitative assessment or using a two-step impairment process. If we choose to perform a qualitative assessment and determine it is more likely than not that an impairment may exist, the two-step impairment process is then performed. For operations where the two-step process is used, the identification and measurement of impairment involves the estimation of the fair value of reporting units. If the fair value is determined to be less than the carrying value, a second step is performed to determine the amount of the impairment. When any impairment has occurred, a charge to operations is recorded. In order to test for potential impairment, we estimate the fair value of each of the impacted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w:t>
      </w:r>
    </w:p>
    <w:p>
      <w:pPr>
        <w:spacing w:after="0" w:line="19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testing for impairment of our goodwill using a two-step impairment process at a particular reporting unit, we make assumptions about the amount and timing of future expected cash flows, terminal growth rates, appropriate discount rates, market multiples, and the control premium a controlling shareholder could be expected to pay:</w:t>
      </w:r>
    </w:p>
    <w:p>
      <w:pPr>
        <w:spacing w:after="0" w:line="181" w:lineRule="exact"/>
        <w:rPr>
          <w:sz w:val="20"/>
          <w:szCs w:val="20"/>
          <w:color w:val="auto"/>
        </w:rPr>
      </w:pPr>
    </w:p>
    <w:p>
      <w:pPr>
        <w:ind w:left="980" w:right="80" w:hanging="324"/>
        <w:spacing w:after="0" w:line="291"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w:t>
      </w:r>
    </w:p>
    <w:p>
      <w:pPr>
        <w:ind w:left="980" w:right="1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terminal growth rate is used to calculate the value of cash flows beyond the last projected period in our DCF analysis and reflects our best estimates for stable, perpetual growth of our reporting units.</w:t>
      </w:r>
    </w:p>
    <w:p>
      <w:pPr>
        <w:ind w:left="980" w:right="140" w:hanging="324"/>
        <w:spacing w:after="0" w:line="281"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3"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Recent historical market multiples are used to estimate future market pricing.</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fourth quarter of 2017, as a result of our annual impairment test of the carrying value of our goodwill balances, we recorded a non-cash impairment charge of $24.2 million against the carrying value of the goodwill of our DRSS reporting unit within the KGS segment, which includes our legacy government services business. In 2010, we changed our strategy to focus on being a systems, product, technology and intellectual property based company and deemphasized the legacy government services businesses. Over the past several years, similar to other businesses operating in the federal government technical services space, this business has been adversely impacted by competitive pressures and commoditization resulting from LPTA awards rather than awards based on best value or that are technologically or performance differentiated. Specifically, we lost two sizable five-year contract opportunities where Kratos was underbid on cost, which significantly impacted the expected future financial performance of this business.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value of goodwill of the US and KGS reportable segments, was $97.3 million and $358.3 million, respectively, at December 29, 2019.</w:t>
      </w:r>
    </w:p>
    <w:p>
      <w:pPr>
        <w:spacing w:after="0" w:line="2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determining the fair value of our reporting units, there are key assumptions related to our future operating performance and revenue growth. If the actual operating performance and financial results are not consistent with our assumptions, a further impairment in our $455.6 million goodwill and $39.5 million long-lived intangibles could occur in future periods. In particular, the US reporting unit fair value includes assumptions that the development of the high performance UCAS product is successful and we are awarded future contracts for the UCAS product and other new tactical unmanned aircraft systems. Additionally, the US reporting unit fair value assumes that the U.S. Navy will exercise options under the existing current contract and we will continue low rate initial production and commence full rate production for the Sub-Sonic Aerial Target. Our goodwill impairment assessment includes assumptions of the entry to new international markets for which we have not yet penetrated. Additional risks for goodwill across all reporting units include, but are not limited to, the risks discussed in Item 1A “Risk Factors” contained within this Annual Report and:</w:t>
      </w:r>
    </w:p>
    <w:p>
      <w:pPr>
        <w:spacing w:after="0" w:line="179" w:lineRule="exact"/>
        <w:rPr>
          <w:sz w:val="20"/>
          <w:szCs w:val="20"/>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decline in our stock price and resulting market capitalization, if we determine the decline is sustained and is indicative of a reduction in the fair value below the carrying value of our reporting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57" w:right="239" w:bottom="1440" w:gutter="0" w:footer="0" w:header="0"/>
        </w:sectPr>
      </w:pPr>
    </w:p>
    <w:bookmarkStart w:id="50" w:name="page51"/>
    <w:bookmarkEnd w:id="50"/>
    <w:p>
      <w:pPr>
        <w:ind w:left="980" w:right="720" w:hanging="324"/>
        <w:spacing w:after="0" w:line="25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available government funding, including budgetary constraints affecting U.S. Government spending generally, or specific departments or agencies;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U.S. Government programs or requirements, including the increased use of small business providers;</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to reach our internal forecasts could impact our ability to achieve our forecasted levels of cash flows and reduce the estimated discounted value of our reporting units;</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volatility in equity and debt markets resulting in higher discount rates;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and political factors that could impact the success of new products, especially related to new unmanned systems platforms.</w:t>
      </w:r>
    </w:p>
    <w:p>
      <w:pPr>
        <w:spacing w:after="0" w:line="21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Accounting for income taxes and tax contingencies. </w:t>
      </w:r>
      <w:r>
        <w:rPr>
          <w:rFonts w:ascii="Arial" w:cs="Arial" w:eastAsia="Arial" w:hAnsi="Arial"/>
          <w:sz w:val="17"/>
          <w:szCs w:val="17"/>
          <w:color w:val="auto"/>
        </w:rPr>
        <w:t>FASB ASC</w:t>
      </w:r>
      <w:r>
        <w:rPr>
          <w:rFonts w:ascii="Arial" w:cs="Arial" w:eastAsia="Arial" w:hAnsi="Arial"/>
          <w:sz w:val="17"/>
          <w:szCs w:val="17"/>
          <w:i w:val="1"/>
          <w:iCs w:val="1"/>
          <w:color w:val="auto"/>
        </w:rPr>
        <w:t xml:space="preserve"> Topic 740 Income Taxes </w:t>
      </w:r>
      <w:r>
        <w:rPr>
          <w:rFonts w:ascii="Arial" w:cs="Arial" w:eastAsia="Arial" w:hAnsi="Arial"/>
          <w:sz w:val="17"/>
          <w:szCs w:val="17"/>
          <w:color w:val="auto"/>
        </w:rPr>
        <w:t>(“</w:t>
      </w:r>
      <w:r>
        <w:rPr>
          <w:rFonts w:ascii="Arial" w:cs="Arial" w:eastAsia="Arial" w:hAnsi="Arial"/>
          <w:sz w:val="17"/>
          <w:szCs w:val="17"/>
          <w:i w:val="1"/>
          <w:iCs w:val="1"/>
          <w:color w:val="auto"/>
        </w:rPr>
        <w:t>Topic 740</w:t>
      </w:r>
      <w:r>
        <w:rPr>
          <w:rFonts w:ascii="Arial" w:cs="Arial" w:eastAsia="Arial" w:hAnsi="Arial"/>
          <w:sz w:val="17"/>
          <w:szCs w:val="17"/>
          <w:color w:val="auto"/>
        </w:rPr>
        <w:t>”) provides the accounting treatment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uncertainty in income taxes recognized in an enterprise’s financial statements. </w:t>
      </w:r>
      <w:r>
        <w:rPr>
          <w:rFonts w:ascii="Arial" w:cs="Arial" w:eastAsia="Arial" w:hAnsi="Arial"/>
          <w:sz w:val="17"/>
          <w:szCs w:val="17"/>
          <w:i w:val="1"/>
          <w:iCs w:val="1"/>
          <w:color w:val="auto"/>
        </w:rPr>
        <w:t>Topic 740</w:t>
      </w:r>
      <w:r>
        <w:rPr>
          <w:rFonts w:ascii="Arial" w:cs="Arial" w:eastAsia="Arial" w:hAnsi="Arial"/>
          <w:sz w:val="17"/>
          <w:szCs w:val="17"/>
          <w:color w:val="auto"/>
        </w:rPr>
        <w:t xml:space="preserve"> prescribes a recognition threshold and measurement attribute for the financial statement recognition and measurement of a tax position taken or expected to be taken in a tax return. </w:t>
      </w:r>
      <w:r>
        <w:rPr>
          <w:rFonts w:ascii="Arial" w:cs="Arial" w:eastAsia="Arial" w:hAnsi="Arial"/>
          <w:sz w:val="17"/>
          <w:szCs w:val="17"/>
          <w:i w:val="1"/>
          <w:iCs w:val="1"/>
          <w:color w:val="auto"/>
        </w:rPr>
        <w:t>Topic 740</w:t>
      </w:r>
      <w:r>
        <w:rPr>
          <w:rFonts w:ascii="Arial" w:cs="Arial" w:eastAsia="Arial" w:hAnsi="Arial"/>
          <w:sz w:val="17"/>
          <w:szCs w:val="17"/>
          <w:color w:val="auto"/>
        </w:rPr>
        <w:t xml:space="preserve"> also provides guidance on derecognizing, classification, interest and penalties, accounting in interim periods, disclosure and transition.</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16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advisers, our legal advisers and similar tax cases. If at a later time our assessment of the probability of these tax contingencies changes, our accrual for such tax uncertainties may increase or decrease.</w:t>
      </w:r>
    </w:p>
    <w:p>
      <w:pPr>
        <w:spacing w:after="0" w:line="15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a valuation allowance at December 29, 2019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w:t>
      </w:r>
    </w:p>
    <w:p>
      <w:pPr>
        <w:spacing w:after="0" w:line="18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2019 effective tax rate at December 29, 2019 for annual and interim reporting periods could be impacted if uncertain tax positions that are not recognized at December 29, 2019 are settled at an amount which differs from our estimate. Finally, during 2019 and thereafter, if we are impacted by a change in the valuation allowance as of December 29, 2019 resulting from a change in judgment regarding the realizability of deferred tax assets beyond December 29, 2019, such effect will be recognized in the interim period in which the change occurs.</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Contingencies and litigation. </w:t>
      </w:r>
      <w:r>
        <w:rPr>
          <w:rFonts w:ascii="Arial" w:cs="Arial" w:eastAsia="Arial" w:hAnsi="Arial"/>
          <w:sz w:val="18"/>
          <w:szCs w:val="18"/>
          <w:color w:val="auto"/>
        </w:rPr>
        <w:t>We are currently involved in certain legal proceedings. We estimate a range of liability related to pending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where the amount and range of loss can be estimated. We record our estimate of a loss when the loss is considered probable and reasonably estimable. Where a liability is probable and there is a range of estimated loss and no amount in the range is more likely than any other number in the range, we record the minimum estimated liability related to the claim in accordance with FASB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As additional information becomes available, we assess the potential liability related to our pending litigation and revise our estimates. Revisions in our estimates of potential liability could materially impact our results of operations. See Note 15 of the Notes to Consolidated Financial Statements contained within this Annual Report for a further discussion of our legal proceedings.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See Note 1 of the Notes to Consolidated Financial Statements contained within this Annual Report for a discussion of recent accounting pronouncements.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5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and Foreign Currency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Exposure to market risk for changes in interest rates relates to our outstanding debt. We are exposed to interest rate risk, primarily through our borrowing activities under the Credit Agreement discussed under </w:t>
      </w:r>
      <w:r>
        <w:rPr>
          <w:rFonts w:ascii="Arial" w:cs="Arial" w:eastAsia="Arial" w:hAnsi="Arial"/>
          <w:sz w:val="16"/>
          <w:szCs w:val="16"/>
          <w:b w:val="1"/>
          <w:bCs w:val="1"/>
          <w:color w:val="auto"/>
        </w:rPr>
        <w:t>“</w:t>
      </w:r>
      <w:r>
        <w:rPr>
          <w:rFonts w:ascii="Arial" w:cs="Arial" w:eastAsia="Arial" w:hAnsi="Arial"/>
          <w:sz w:val="16"/>
          <w:szCs w:val="16"/>
          <w:color w:val="auto"/>
        </w:rPr>
        <w:t>Liquidity and Capital Resources” above. Based on our current outstanding balances, a 1% change in the LIBOR would not materially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interest rate risk on our prior credit facilities. We had no outstanding derivative financial instruments as of December 29, 2019.</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Accordingly, a strengthening of the U.S. dollar (“USD”) or a strengthening of certain foreign currencies, such as the Israeli Shekel, will negatively impact revenues and gross margins expressed in consolidated USD terms. We currently enter into limited foreign currency forward contracts to manage foreign currency exchange rate risk because exchange rate fluctuations have had, and we expect will have, minimal impact on our operating results and cash flows.</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cash and cash equivalents as of December 29, 2019 were $172.6 million and are primarily invested in money market interest bearing accounts. A hypothetical 10% adverse change in the average interest rate on our money market cash investments and short-term investments would have had no material effect on our net income for the year ended December 29,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 Management</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purchase commodities for use in our manufacturing processes. We typically purchase these commodities at market prices, and as a result are affected by market price fluctuations. We have decided not to hedge these exposures as they are deemed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Consolidated Financial Statements and supplementary data required by this item are set forth at the pages indicated in Item 15(a) (1) and 15(a) (2),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7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5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concluded that our disclosure controls and procedures were effective at the reasonable assurance level as of December 29,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the policies and procedures may deteriorate.</w:t>
      </w:r>
    </w:p>
    <w:p>
      <w:pPr>
        <w:spacing w:after="0" w:line="158"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the 2013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Management's assessment of and conclusion on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internal control over financial reporting as of December 29, 2019 did not include the internal controls of FTT, more fully described in Part 1 of this Form 10-K, of which 80.1% of the ownership was acquired by the Company on February 27, 2019. The total assets of FTT, which is now the KTT Division, in aggregate, are approximately 4.2% of the total assets of the Company, and the revenues of FTT comprise approximately 7.3% of the revenues of the Company, as such amounts for the Company are reflected in the Company’s consolidated financial statements as of and for the fiscal year ended December 29, 2019 included in this Form 10-K. Management will perform an assessment of the effectiveness of FTT’s internal control over financial reporting within one year of the date of acquisition. Aside from this exclusion and based on the results of our evaluation, our management concluded that our internal control over financial reporting was effective at the reasonable assurance level as of December 29, 2019.</w:t>
      </w:r>
    </w:p>
    <w:p>
      <w:pPr>
        <w:spacing w:after="0" w:line="16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internal control over financial reporting has been audited by Deloitte &amp; Touche LLP, an independent registered public accounting firm, as stated in their report appearing below, which expresses an unqualified opinion on the effectiveness of our internal control over financial reporting as of December 29,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accounting and reporting (as defined in Rules 13a-15(f) and 15d-15(f) of the Exchange Act) during the fourth quarter of the fiscal year ended December 29, 2019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2020 Annual Meeting of Stockholders or an amendment to this Annual Report to be filed with the SEC within 120 days after the close of our fiscal year ended December 29, 2019.</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2020 Annual Meeting of Stockholders or an amendment to this Annual Report to be filed with the SEC within 120 days after the close of our fiscal year ended December 29, 2019.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57"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2020 Annual Meeting of Stockholders or an amendment to this Annual Report to be filed with the SEC within 120 days after the close of our fiscal year ended December 29,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2020 Annual Meeting of Stockholders or an amendment to this Annual Report to be filed with the SEC within 120 days after the close of our fiscal year ended December 29, 2019.</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2020 Annual Meeting of Stockholders or an amendment to this Annual Report to be filed with the SEC within 120 days after the close of our fiscal year ended December 29, 2019.</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(a)(1)</w:t>
        <w:tab/>
        <w:t>Financial Statements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Consolidated Financial Statements of Kratos Defense &amp; Security Solutions, Inc. and Report of Deloitte &amp; Touche LLP, Independent Registered Public Accounting Firm, are included in a separate section of this Annual Report beginning on page F-1.</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(a)(2)</w:t>
        <w:tab/>
        <w:t>Financial Statement Schedules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schedules have been omitted because they are not applicable or are not required or the information required to be set forth therein is included in the Consolidated Financial Statements or the notes thereto.</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553"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(a) (3) Exhibits</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60" w:type="dxa"/>
            <w:vAlign w:val="bottom"/>
            <w:tcBorders>
              <w:top w:val="single" w:sz="8" w:color="auto"/>
              <w:bottom w:val="single" w:sz="8" w:color="0000FF"/>
            </w:tcBorders>
          </w:tcPr>
          <w:p>
            <w:pPr>
              <w:spacing w:after="0" w:line="202" w:lineRule="exact"/>
              <w:rPr>
                <w:rFonts w:ascii="Arial" w:cs="Arial" w:eastAsia="Arial" w:hAnsi="Arial"/>
                <w:sz w:val="18"/>
                <w:szCs w:val="18"/>
                <w:color w:val="0000FF"/>
                <w:w w:val="89"/>
              </w:rPr>
            </w:pPr>
            <w:hyperlink r:id="rId15">
              <w:r>
                <w:rPr>
                  <w:rFonts w:ascii="Arial" w:cs="Arial" w:eastAsia="Arial" w:hAnsi="Arial"/>
                  <w:sz w:val="18"/>
                  <w:szCs w:val="18"/>
                  <w:color w:val="0000FF"/>
                  <w:w w:val="89"/>
                </w:rPr>
                <w:t>Stock Purchase Agreement, dated May 31, 2015, by and</w:t>
              </w:r>
            </w:hyperlink>
          </w:p>
        </w:tc>
        <w:tc>
          <w:tcPr>
            <w:tcW w:w="140" w:type="dxa"/>
            <w:vAlign w:val="bottom"/>
            <w:tcBorders>
              <w:top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among Kratos Defense &amp; Security Solutions, Inc., Herley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Reference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29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Filing Date (File No.)   Exhibit</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92"/>
        </w:trPr>
        <w:tc>
          <w:tcPr>
            <w:tcW w:w="13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940" w:type="dxa"/>
            <w:vAlign w:val="bottom"/>
            <w:gridSpan w:val="4"/>
            <w:vMerge w:val="continue"/>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3" w:lineRule="exact"/>
        <w:rPr>
          <w:sz w:val="20"/>
          <w:szCs w:val="20"/>
          <w:color w:val="auto"/>
        </w:rPr>
      </w:pPr>
    </w:p>
    <w:p>
      <w:pPr>
        <w:sectPr>
          <w:pgSz w:w="11900" w:h="16838" w:orient="portrait"/>
          <w:cols w:equalWidth="0" w:num="2">
            <w:col w:w="5500" w:space="120"/>
            <w:col w:w="5800"/>
          </w:cols>
          <w:pgMar w:left="240" w:top="553" w:right="239" w:bottom="1440" w:gutter="0" w:footer="0" w:header="0"/>
          <w:type w:val="continuous"/>
        </w:sectPr>
      </w:pPr>
    </w:p>
    <w:tbl>
      <w:tblPr>
        <w:tblLayout w:type="fixed"/>
        <w:tblInd w:w="4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4180" w:type="dxa"/>
            <w:vAlign w:val="bottom"/>
            <w:gridSpan w:val="27"/>
          </w:tcPr>
          <w:p>
            <w:pPr>
              <w:spacing w:after="0" w:line="202" w:lineRule="exact"/>
              <w:rPr>
                <w:rFonts w:ascii="Arial" w:cs="Arial" w:eastAsia="Arial" w:hAnsi="Arial"/>
                <w:sz w:val="18"/>
                <w:szCs w:val="18"/>
                <w:color w:val="0000FF"/>
                <w:w w:val="94"/>
              </w:rPr>
            </w:pPr>
            <w:hyperlink r:id="rId15">
              <w:r>
                <w:rPr>
                  <w:rFonts w:ascii="Arial" w:cs="Arial" w:eastAsia="Arial" w:hAnsi="Arial"/>
                  <w:sz w:val="18"/>
                  <w:szCs w:val="18"/>
                  <w:color w:val="0000FF"/>
                  <w:w w:val="94"/>
                </w:rPr>
                <w:t>Industries, Inc., Ultra Electronics Holdings plc and Ultra</w:t>
              </w:r>
            </w:hyperlink>
          </w:p>
        </w:tc>
      </w:tr>
      <w:tr>
        <w:trPr>
          <w:trHeight w:val="196"/>
        </w:trPr>
        <w:tc>
          <w:tcPr>
            <w:tcW w:w="1260" w:type="dxa"/>
            <w:vAlign w:val="bottom"/>
          </w:tcPr>
          <w:p>
            <w:pPr>
              <w:spacing w:after="0"/>
              <w:rPr>
                <w:sz w:val="17"/>
                <w:szCs w:val="17"/>
                <w:color w:val="auto"/>
              </w:rPr>
            </w:pPr>
          </w:p>
        </w:tc>
        <w:tc>
          <w:tcPr>
            <w:tcW w:w="408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Electronics Defense Inc.</w:t>
              </w:r>
            </w:hyperlink>
          </w:p>
        </w:tc>
        <w:tc>
          <w:tcPr>
            <w:tcW w:w="10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2.2+</w:t>
            </w:r>
          </w:p>
        </w:tc>
        <w:tc>
          <w:tcPr>
            <w:tcW w:w="3820" w:type="dxa"/>
            <w:vAlign w:val="bottom"/>
            <w:tcBorders>
              <w:bottom w:val="single" w:sz="8" w:color="0000FF"/>
            </w:tcBorders>
            <w:gridSpan w:val="17"/>
          </w:tcPr>
          <w:p>
            <w:pPr>
              <w:spacing w:after="0"/>
              <w:rPr>
                <w:rFonts w:ascii="Arial" w:cs="Arial" w:eastAsia="Arial" w:hAnsi="Arial"/>
                <w:sz w:val="18"/>
                <w:szCs w:val="18"/>
                <w:color w:val="0000FF"/>
                <w:w w:val="89"/>
              </w:rPr>
            </w:pPr>
            <w:hyperlink r:id="rId16">
              <w:r>
                <w:rPr>
                  <w:rFonts w:ascii="Arial" w:cs="Arial" w:eastAsia="Arial" w:hAnsi="Arial"/>
                  <w:sz w:val="18"/>
                  <w:szCs w:val="18"/>
                  <w:color w:val="0000FF"/>
                  <w:w w:val="89"/>
                </w:rPr>
                <w:t>Stock Purchase Agreement, dated February 28, 2018</w:t>
              </w:r>
            </w:hyperlink>
          </w:p>
        </w:tc>
        <w:tc>
          <w:tcPr>
            <w:tcW w:w="360" w:type="dxa"/>
            <w:vAlign w:val="bottom"/>
            <w:gridSpan w:val="10"/>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among Kratos Defense &amp; Security Solutions, Inc., Kratos</w:t>
              </w:r>
            </w:hyperlink>
          </w:p>
        </w:tc>
      </w:tr>
      <w:tr>
        <w:trPr>
          <w:trHeight w:val="196"/>
        </w:trPr>
        <w:tc>
          <w:tcPr>
            <w:tcW w:w="1260" w:type="dxa"/>
            <w:vAlign w:val="bottom"/>
          </w:tcPr>
          <w:p>
            <w:pPr>
              <w:spacing w:after="0"/>
              <w:rPr>
                <w:sz w:val="17"/>
                <w:szCs w:val="17"/>
                <w:color w:val="auto"/>
              </w:rPr>
            </w:pPr>
          </w:p>
        </w:tc>
        <w:tc>
          <w:tcPr>
            <w:tcW w:w="38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Public Safety &amp;Security Solutions, Inc. and Securitas</w:t>
              </w:r>
            </w:hyperlink>
          </w:p>
        </w:tc>
        <w:tc>
          <w:tcPr>
            <w:tcW w:w="280" w:type="dxa"/>
            <w:vAlign w:val="bottom"/>
            <w:tcBorders>
              <w:top w:val="single" w:sz="8" w:color="0000FF"/>
            </w:tcBorders>
            <w:gridSpan w:val="8"/>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Electronic Security, Inc</w:t>
              </w:r>
              <w:r>
                <w:rPr>
                  <w:rFonts w:ascii="Arial" w:cs="Arial" w:eastAsia="Arial" w:hAnsi="Arial"/>
                  <w:sz w:val="18"/>
                  <w:szCs w:val="18"/>
                  <w:color w:val="000000"/>
                </w:rPr>
                <w:t>.</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2.3+**</w:t>
            </w:r>
          </w:p>
        </w:tc>
        <w:tc>
          <w:tcPr>
            <w:tcW w:w="3940" w:type="dxa"/>
            <w:vAlign w:val="bottom"/>
            <w:tcBorders>
              <w:bottom w:val="single" w:sz="8" w:color="0000FF"/>
            </w:tcBorders>
            <w:gridSpan w:val="21"/>
          </w:tcPr>
          <w:p>
            <w:pPr>
              <w:spacing w:after="0"/>
              <w:rPr>
                <w:rFonts w:ascii="Arial" w:cs="Arial" w:eastAsia="Arial" w:hAnsi="Arial"/>
                <w:sz w:val="18"/>
                <w:szCs w:val="18"/>
                <w:color w:val="0000FF"/>
                <w:w w:val="89"/>
              </w:rPr>
            </w:pPr>
            <w:hyperlink r:id="rId17">
              <w:r>
                <w:rPr>
                  <w:rFonts w:ascii="Arial" w:cs="Arial" w:eastAsia="Arial" w:hAnsi="Arial"/>
                  <w:sz w:val="18"/>
                  <w:szCs w:val="18"/>
                  <w:color w:val="0000FF"/>
                  <w:w w:val="89"/>
                </w:rPr>
                <w:t>Purchase Agreement, dated February 27, 2019, by and</w:t>
              </w:r>
            </w:hyperlink>
          </w:p>
        </w:tc>
        <w:tc>
          <w:tcPr>
            <w:tcW w:w="240" w:type="dxa"/>
            <w:vAlign w:val="bottom"/>
            <w:gridSpan w:val="6"/>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6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among Kratos Defense &amp; Security Solutions, Inc.,</w:t>
              </w:r>
            </w:hyperlink>
          </w:p>
        </w:tc>
        <w:tc>
          <w:tcPr>
            <w:tcW w:w="56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Shirley Brostmeyer, (“SB”), Joseph Brostmeyer (“JB”),</w:t>
              </w:r>
            </w:hyperlink>
          </w:p>
        </w:tc>
        <w:tc>
          <w:tcPr>
            <w:tcW w:w="16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14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certain trusts established by SB, JB and members of their</w:t>
              </w:r>
            </w:hyperlink>
          </w:p>
        </w:tc>
        <w:tc>
          <w:tcPr>
            <w:tcW w:w="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rFonts w:ascii="Arial" w:cs="Arial" w:eastAsia="Arial" w:hAnsi="Arial"/>
                <w:sz w:val="18"/>
                <w:szCs w:val="18"/>
                <w:color w:val="0000FF"/>
                <w:w w:val="88"/>
              </w:rPr>
            </w:pPr>
            <w:hyperlink r:id="rId17">
              <w:r>
                <w:rPr>
                  <w:rFonts w:ascii="Arial" w:cs="Arial" w:eastAsia="Arial" w:hAnsi="Arial"/>
                  <w:sz w:val="18"/>
                  <w:szCs w:val="18"/>
                  <w:color w:val="0000FF"/>
                  <w:w w:val="88"/>
                </w:rPr>
                <w:t>immediate family, and JB, as the Sellers Representative.</w:t>
              </w:r>
            </w:hyperlink>
          </w:p>
        </w:tc>
        <w:tc>
          <w:tcPr>
            <w:tcW w:w="160" w:type="dxa"/>
            <w:vAlign w:val="bottom"/>
            <w:gridSpan w:val="4"/>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3900" w:type="dxa"/>
            <w:vAlign w:val="bottom"/>
            <w:tcBorders>
              <w:bottom w:val="single" w:sz="8" w:color="0000FF"/>
            </w:tcBorders>
            <w:gridSpan w:val="19"/>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Amended and Restated Certificate of Incorporation of</w:t>
              </w:r>
            </w:hyperlink>
          </w:p>
        </w:tc>
        <w:tc>
          <w:tcPr>
            <w:tcW w:w="280" w:type="dxa"/>
            <w:vAlign w:val="bottom"/>
            <w:gridSpan w:val="8"/>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18">
              <w:r>
                <w:rPr>
                  <w:rFonts w:ascii="Arial" w:cs="Arial" w:eastAsia="Arial" w:hAnsi="Arial"/>
                  <w:sz w:val="18"/>
                  <w:szCs w:val="18"/>
                  <w:color w:val="0000FF"/>
                  <w:w w:val="89"/>
                </w:rPr>
                <w:t>Kratos Defense &amp; Security Solutions, Inc., as amended.</w:t>
              </w:r>
            </w:hyperlink>
          </w:p>
        </w:tc>
        <w:tc>
          <w:tcPr>
            <w:tcW w:w="160" w:type="dxa"/>
            <w:vAlign w:val="bottom"/>
            <w:gridSpan w:val="4"/>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3560" w:type="dxa"/>
            <w:vAlign w:val="bottom"/>
            <w:tcBorders>
              <w:bottom w:val="single" w:sz="8" w:color="0000FF"/>
            </w:tcBorders>
            <w:gridSpan w:val="14"/>
          </w:tcPr>
          <w:p>
            <w:pPr>
              <w:spacing w:after="0"/>
              <w:rPr>
                <w:rFonts w:ascii="Arial" w:cs="Arial" w:eastAsia="Arial" w:hAnsi="Arial"/>
                <w:sz w:val="18"/>
                <w:szCs w:val="18"/>
                <w:color w:val="0000FF"/>
                <w:w w:val="89"/>
              </w:rPr>
            </w:pPr>
            <w:hyperlink r:id="rId19">
              <w:r>
                <w:rPr>
                  <w:rFonts w:ascii="Arial" w:cs="Arial" w:eastAsia="Arial" w:hAnsi="Arial"/>
                  <w:sz w:val="18"/>
                  <w:szCs w:val="18"/>
                  <w:color w:val="0000FF"/>
                  <w:w w:val="89"/>
                </w:rPr>
                <w:t>Second Amended and Restated Bylaws of Kratos</w:t>
              </w:r>
            </w:hyperlink>
          </w:p>
        </w:tc>
        <w:tc>
          <w:tcPr>
            <w:tcW w:w="620" w:type="dxa"/>
            <w:vAlign w:val="bottom"/>
            <w:gridSpan w:val="13"/>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5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Defense &amp; Security Solutions, Inc., as amended.</w:t>
              </w:r>
            </w:hyperlink>
          </w:p>
        </w:tc>
        <w:tc>
          <w:tcPr>
            <w:tcW w:w="680" w:type="dxa"/>
            <w:vAlign w:val="bottom"/>
            <w:gridSpan w:val="15"/>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2040" w:type="dxa"/>
            <w:vAlign w:val="bottom"/>
            <w:tcBorders>
              <w:bottom w:val="single" w:sz="8" w:color="0000FF"/>
            </w:tcBorders>
            <w:gridSpan w:val="6"/>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Specimen Stock Certificate.</w:t>
              </w:r>
            </w:hyperlink>
          </w:p>
        </w:tc>
        <w:tc>
          <w:tcPr>
            <w:tcW w:w="2140" w:type="dxa"/>
            <w:vAlign w:val="bottom"/>
            <w:gridSpan w:val="21"/>
          </w:tcPr>
          <w:p>
            <w:pPr>
              <w:spacing w:after="0"/>
              <w:rPr>
                <w:sz w:val="21"/>
                <w:szCs w:val="21"/>
                <w:color w:val="auto"/>
              </w:rPr>
            </w:pPr>
          </w:p>
        </w:tc>
      </w:tr>
      <w:tr>
        <w:trPr>
          <w:trHeight w:val="466"/>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4180" w:type="dxa"/>
            <w:vAlign w:val="bottom"/>
            <w:gridSpan w:val="27"/>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Indenture, dated as of November 20, 2017, among Kratos</w:t>
              </w:r>
            </w:hyperlink>
          </w:p>
        </w:tc>
      </w:tr>
      <w:tr>
        <w:trPr>
          <w:trHeight w:val="196"/>
        </w:trPr>
        <w:tc>
          <w:tcPr>
            <w:tcW w:w="126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Defense &amp; Security Solutions, Inc., as Issuer, the</w:t>
              </w:r>
            </w:hyperlink>
          </w:p>
        </w:tc>
        <w:tc>
          <w:tcPr>
            <w:tcW w:w="600" w:type="dxa"/>
            <w:vAlign w:val="bottom"/>
            <w:tcBorders>
              <w:top w:val="single" w:sz="8" w:color="0000FF"/>
            </w:tcBorders>
            <w:gridSpan w:val="13"/>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Guarantors party thereto, and Wilmington Trust, National</w:t>
              </w:r>
            </w:hyperlink>
          </w:p>
        </w:tc>
      </w:tr>
      <w:tr>
        <w:trPr>
          <w:trHeight w:val="196"/>
        </w:trPr>
        <w:tc>
          <w:tcPr>
            <w:tcW w:w="1260" w:type="dxa"/>
            <w:vAlign w:val="bottom"/>
          </w:tcPr>
          <w:p>
            <w:pPr>
              <w:spacing w:after="0"/>
              <w:rPr>
                <w:sz w:val="17"/>
                <w:szCs w:val="17"/>
                <w:color w:val="auto"/>
              </w:rPr>
            </w:pPr>
          </w:p>
        </w:tc>
        <w:tc>
          <w:tcPr>
            <w:tcW w:w="414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Association, as Trustee and Collateral Agent.</w:t>
              </w:r>
            </w:hyperlink>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4.3</w:t>
            </w:r>
          </w:p>
        </w:tc>
        <w:tc>
          <w:tcPr>
            <w:tcW w:w="4180" w:type="dxa"/>
            <w:vAlign w:val="bottom"/>
            <w:gridSpan w:val="27"/>
          </w:tcPr>
          <w:p>
            <w:pPr>
              <w:spacing w:after="0"/>
              <w:rPr>
                <w:rFonts w:ascii="Arial" w:cs="Arial" w:eastAsia="Arial" w:hAnsi="Arial"/>
                <w:sz w:val="18"/>
                <w:szCs w:val="18"/>
                <w:color w:val="0000FF"/>
                <w:w w:val="92"/>
              </w:rPr>
            </w:pPr>
            <w:hyperlink r:id="rId22">
              <w:r>
                <w:rPr>
                  <w:rFonts w:ascii="Arial" w:cs="Arial" w:eastAsia="Arial" w:hAnsi="Arial"/>
                  <w:sz w:val="18"/>
                  <w:szCs w:val="18"/>
                  <w:color w:val="0000FF"/>
                  <w:w w:val="92"/>
                </w:rPr>
                <w:t>First Supplemental Indenture, dated as of December 21,</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2017, among Kratos Defense &amp; Security Solutions, Inc.,</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120" w:type="dxa"/>
            <w:vAlign w:val="bottom"/>
            <w:tcBorders>
              <w:bottom w:val="single" w:sz="8" w:color="0000FF"/>
            </w:tcBorders>
            <w:gridSpan w:val="25"/>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as Issuer, the Guarantor as party thereto, and Wilmington</w:t>
              </w:r>
            </w:hyperlink>
          </w:p>
        </w:tc>
        <w:tc>
          <w:tcPr>
            <w:tcW w:w="6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Trust, National Association, as Trustee.</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4.4</w:t>
            </w:r>
          </w:p>
        </w:tc>
        <w:tc>
          <w:tcPr>
            <w:tcW w:w="4180" w:type="dxa"/>
            <w:vAlign w:val="bottom"/>
            <w:tcBorders>
              <w:bottom w:val="single" w:sz="8" w:color="0000FF"/>
            </w:tcBorders>
            <w:gridSpan w:val="27"/>
          </w:tcPr>
          <w:p>
            <w:pPr>
              <w:spacing w:after="0"/>
              <w:rPr>
                <w:rFonts w:ascii="Arial" w:cs="Arial" w:eastAsia="Arial" w:hAnsi="Arial"/>
                <w:sz w:val="18"/>
                <w:szCs w:val="18"/>
                <w:color w:val="0000FF"/>
                <w:w w:val="90"/>
              </w:rPr>
            </w:pPr>
            <w:hyperlink w:anchor="page102">
              <w:r>
                <w:rPr>
                  <w:rFonts w:ascii="Arial" w:cs="Arial" w:eastAsia="Arial" w:hAnsi="Arial"/>
                  <w:sz w:val="18"/>
                  <w:szCs w:val="18"/>
                  <w:color w:val="0000FF"/>
                  <w:w w:val="90"/>
                </w:rPr>
                <w:t>Description of Equity Securities Registered under Section</w:t>
              </w:r>
            </w:hyperlink>
          </w:p>
        </w:tc>
      </w:tr>
      <w:tr>
        <w:trPr>
          <w:trHeight w:val="196"/>
        </w:trPr>
        <w:tc>
          <w:tcPr>
            <w:tcW w:w="126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rPr>
            </w:pPr>
            <w:hyperlink w:anchor="page102">
              <w:r>
                <w:rPr>
                  <w:rFonts w:ascii="Arial" w:cs="Arial" w:eastAsia="Arial" w:hAnsi="Arial"/>
                  <w:sz w:val="18"/>
                  <w:szCs w:val="18"/>
                  <w:color w:val="0000FF"/>
                </w:rPr>
                <w:t>12 of the Exchange Act.</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66"/>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4180" w:type="dxa"/>
            <w:vAlign w:val="bottom"/>
            <w:gridSpan w:val="27"/>
          </w:tcPr>
          <w:p>
            <w:pPr>
              <w:spacing w:after="0"/>
              <w:rPr>
                <w:rFonts w:ascii="Arial" w:cs="Arial" w:eastAsia="Arial" w:hAnsi="Arial"/>
                <w:sz w:val="18"/>
                <w:szCs w:val="18"/>
                <w:color w:val="0000FF"/>
              </w:rPr>
            </w:pPr>
            <w:hyperlink r:id="rId23">
              <w:r>
                <w:rPr>
                  <w:rFonts w:ascii="Arial" w:cs="Arial" w:eastAsia="Arial" w:hAnsi="Arial"/>
                  <w:sz w:val="18"/>
                  <w:szCs w:val="18"/>
                  <w:color w:val="0000FF"/>
                </w:rPr>
                <w:t>Form of Indemnification Agreement by and between</w:t>
              </w:r>
            </w:hyperlink>
          </w:p>
        </w:tc>
      </w:tr>
      <w:tr>
        <w:trPr>
          <w:trHeight w:val="196"/>
        </w:trPr>
        <w:tc>
          <w:tcPr>
            <w:tcW w:w="1260" w:type="dxa"/>
            <w:vAlign w:val="bottom"/>
          </w:tcPr>
          <w:p>
            <w:pPr>
              <w:spacing w:after="0"/>
              <w:rPr>
                <w:sz w:val="17"/>
                <w:szCs w:val="17"/>
                <w:color w:val="auto"/>
              </w:rPr>
            </w:pPr>
          </w:p>
        </w:tc>
        <w:tc>
          <w:tcPr>
            <w:tcW w:w="35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Kratos Defense &amp; Security Solutions, Inc. and its</w:t>
              </w:r>
            </w:hyperlink>
          </w:p>
        </w:tc>
        <w:tc>
          <w:tcPr>
            <w:tcW w:w="240" w:type="dxa"/>
            <w:vAlign w:val="bottom"/>
            <w:tcBorders>
              <w:top w:val="single" w:sz="8" w:color="0000FF"/>
            </w:tcBorders>
            <w:gridSpan w:val="2"/>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32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directors and executive officers.</w:t>
              </w:r>
            </w:hyperlink>
          </w:p>
        </w:tc>
        <w:tc>
          <w:tcPr>
            <w:tcW w:w="1860" w:type="dxa"/>
            <w:vAlign w:val="bottom"/>
            <w:gridSpan w:val="20"/>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4180" w:type="dxa"/>
            <w:vAlign w:val="bottom"/>
            <w:gridSpan w:val="27"/>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Amended and Restated 1999 Employee Stock Purchase</w:t>
              </w:r>
            </w:hyperlink>
          </w:p>
        </w:tc>
      </w:tr>
      <w:tr>
        <w:trPr>
          <w:trHeight w:val="196"/>
        </w:trPr>
        <w:tc>
          <w:tcPr>
            <w:tcW w:w="1260" w:type="dxa"/>
            <w:vAlign w:val="bottom"/>
          </w:tcPr>
          <w:p>
            <w:pPr>
              <w:spacing w:after="0"/>
              <w:rPr>
                <w:sz w:val="17"/>
                <w:szCs w:val="17"/>
                <w:color w:val="auto"/>
              </w:rPr>
            </w:pPr>
          </w:p>
        </w:tc>
        <w:tc>
          <w:tcPr>
            <w:tcW w:w="40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Plan.</w:t>
              </w:r>
            </w:hyperlink>
          </w:p>
        </w:tc>
        <w:tc>
          <w:tcPr>
            <w:tcW w:w="160" w:type="dxa"/>
            <w:vAlign w:val="bottom"/>
            <w:gridSpan w:val="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2760" w:type="dxa"/>
            <w:vAlign w:val="bottom"/>
            <w:tcBorders>
              <w:bottom w:val="single" w:sz="8" w:color="0000FF"/>
            </w:tcBorders>
            <w:gridSpan w:val="9"/>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2000 Nonstatutory Stock Option Plan.</w:t>
              </w:r>
            </w:hyperlink>
          </w:p>
        </w:tc>
        <w:tc>
          <w:tcPr>
            <w:tcW w:w="1420" w:type="dxa"/>
            <w:vAlign w:val="bottom"/>
            <w:gridSpan w:val="18"/>
          </w:tcPr>
          <w:p>
            <w:pPr>
              <w:spacing w:after="0"/>
              <w:rPr>
                <w:sz w:val="24"/>
                <w:szCs w:val="24"/>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4180" w:type="dxa"/>
            <w:vAlign w:val="bottom"/>
            <w:gridSpan w:val="27"/>
          </w:tcPr>
          <w:p>
            <w:pPr>
              <w:spacing w:after="0"/>
              <w:rPr>
                <w:rFonts w:ascii="Arial" w:cs="Arial" w:eastAsia="Arial" w:hAnsi="Arial"/>
                <w:sz w:val="18"/>
                <w:szCs w:val="18"/>
                <w:color w:val="0000FF"/>
              </w:rPr>
            </w:pPr>
            <w:hyperlink r:id="rId26">
              <w:r>
                <w:rPr>
                  <w:rFonts w:ascii="Arial" w:cs="Arial" w:eastAsia="Arial" w:hAnsi="Arial"/>
                  <w:sz w:val="18"/>
                  <w:szCs w:val="18"/>
                  <w:color w:val="0000FF"/>
                </w:rPr>
                <w:t>Form of Stock Option Agreement and Form of Stock</w:t>
              </w:r>
            </w:hyperlink>
          </w:p>
        </w:tc>
      </w:tr>
      <w:tr>
        <w:trPr>
          <w:trHeight w:val="20"/>
        </w:trPr>
        <w:tc>
          <w:tcPr>
            <w:tcW w:w="126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460" w:type="dxa"/>
            <w:vAlign w:val="bottom"/>
            <w:gridSpan w:val="9"/>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39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Option Grant Notice used in connection with the 2000</w:t>
              </w:r>
            </w:hyperlink>
          </w:p>
        </w:tc>
        <w:tc>
          <w:tcPr>
            <w:tcW w:w="26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36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Nonstatutory Stock Option Plan.</w:t>
              </w:r>
            </w:hyperlink>
          </w:p>
        </w:tc>
        <w:tc>
          <w:tcPr>
            <w:tcW w:w="1820" w:type="dxa"/>
            <w:vAlign w:val="bottom"/>
            <w:gridSpan w:val="19"/>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2020" w:type="dxa"/>
            <w:vAlign w:val="bottom"/>
            <w:tcBorders>
              <w:bottom w:val="single" w:sz="8" w:color="0000FF"/>
            </w:tcBorders>
            <w:gridSpan w:val="5"/>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2005 Equity Incentive Plan.</w:t>
              </w:r>
            </w:hyperlink>
          </w:p>
        </w:tc>
        <w:tc>
          <w:tcPr>
            <w:tcW w:w="2160" w:type="dxa"/>
            <w:vAlign w:val="bottom"/>
            <w:gridSpan w:val="22"/>
          </w:tcPr>
          <w:p>
            <w:pPr>
              <w:spacing w:after="0"/>
              <w:rPr>
                <w:sz w:val="21"/>
                <w:szCs w:val="2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3960" w:type="dxa"/>
            <w:vAlign w:val="bottom"/>
            <w:tcBorders>
              <w:bottom w:val="single" w:sz="8" w:color="0000FF"/>
            </w:tcBorders>
            <w:gridSpan w:val="22"/>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Form of Stock Option Agreement pursuant to the 2005</w:t>
              </w:r>
            </w:hyperlink>
          </w:p>
        </w:tc>
        <w:tc>
          <w:tcPr>
            <w:tcW w:w="2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Equity Incentive Plan.</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10-Q</w:t>
      </w:r>
    </w:p>
    <w:p>
      <w:pPr>
        <w:spacing w:after="0" w:line="27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10-K</w:t>
      </w:r>
    </w:p>
    <w:p>
      <w:pPr>
        <w:spacing w:after="0" w:line="27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10-K</w:t>
      </w:r>
    </w:p>
    <w:p>
      <w:pPr>
        <w:spacing w:after="0" w:line="27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10-Q</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33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9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10-Q</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7"/>
          <w:szCs w:val="17"/>
          <w:color w:val="auto"/>
        </w:rPr>
        <w:t>08/06/2015</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5/10/2018</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5/08/2019</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(001-34460)</w:t>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2/27/2017</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(001-34460)</w:t>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2/27/2017</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(001-34460)</w:t>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2/27/2017</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7"/>
          <w:szCs w:val="17"/>
          <w:color w:val="auto"/>
        </w:rPr>
        <w:t>11/21/2017</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7"/>
          <w:szCs w:val="17"/>
          <w:color w:val="auto"/>
        </w:rPr>
        <w:t>02/28/2018</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Arial" w:cs="Arial" w:eastAsia="Arial" w:hAnsi="Arial"/>
          <w:sz w:val="17"/>
          <w:szCs w:val="17"/>
          <w:color w:val="auto"/>
        </w:rPr>
        <w:t>08/04/2011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1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07/31/2017</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1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11/14/2000</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(000-27231)</w:t>
      </w:r>
    </w:p>
    <w:p>
      <w:pPr>
        <w:spacing w:after="0" w:line="276" w:lineRule="exact"/>
        <w:rPr>
          <w:sz w:val="20"/>
          <w:szCs w:val="20"/>
          <w:color w:val="auto"/>
        </w:rPr>
      </w:pPr>
    </w:p>
    <w:p>
      <w:pPr>
        <w:ind w:left="80"/>
        <w:spacing w:after="0"/>
        <w:rPr>
          <w:sz w:val="20"/>
          <w:szCs w:val="20"/>
          <w:color w:val="auto"/>
        </w:rPr>
      </w:pPr>
      <w:r>
        <w:rPr>
          <w:rFonts w:ascii="Arial" w:cs="Arial" w:eastAsia="Arial" w:hAnsi="Arial"/>
          <w:sz w:val="17"/>
          <w:szCs w:val="17"/>
          <w:color w:val="auto"/>
        </w:rPr>
        <w:t>11/14/2000</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(000-27231)</w:t>
      </w:r>
    </w:p>
    <w:p>
      <w:pPr>
        <w:spacing w:after="0" w:line="1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08/01/2005</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(333-127060)</w:t>
      </w:r>
    </w:p>
    <w:p>
      <w:pPr>
        <w:spacing w:after="0" w:line="12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08/01/2005</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(333-127060)</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2.3</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3.2</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4.5</w:t>
      </w:r>
    </w:p>
    <w:p>
      <w:pPr>
        <w:spacing w:after="0" w:line="63"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99.2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ectPr>
          <w:pgSz w:w="11900" w:h="16838" w:orient="portrait"/>
          <w:cols w:equalWidth="0" w:num="4">
            <w:col w:w="5480" w:space="140"/>
            <w:col w:w="960" w:space="720"/>
            <w:col w:w="1080" w:space="720"/>
            <w:col w:w="2320"/>
          </w:cols>
          <w:pgMar w:left="240" w:top="553" w:right="2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3980" w:type="dxa"/>
            <w:vAlign w:val="bottom"/>
            <w:tcBorders>
              <w:bottom w:val="single" w:sz="8" w:color="0000FF"/>
            </w:tcBorders>
            <w:gridSpan w:val="19"/>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Form of Restricted Stock Unit Agreement and Form of</w:t>
              </w:r>
            </w:hyperlink>
          </w:p>
        </w:tc>
        <w:tc>
          <w:tcPr>
            <w:tcW w:w="16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14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Notice of Grant of Restricted Stock Units under the 2005</w:t>
              </w:r>
            </w:hyperlink>
          </w:p>
        </w:tc>
      </w:tr>
      <w:tr>
        <w:trPr>
          <w:trHeight w:val="196"/>
        </w:trPr>
        <w:tc>
          <w:tcPr>
            <w:tcW w:w="1260" w:type="dxa"/>
            <w:vAlign w:val="bottom"/>
          </w:tcPr>
          <w:p>
            <w:pPr>
              <w:spacing w:after="0"/>
              <w:rPr>
                <w:sz w:val="17"/>
                <w:szCs w:val="17"/>
                <w:color w:val="auto"/>
              </w:rPr>
            </w:pPr>
          </w:p>
        </w:tc>
        <w:tc>
          <w:tcPr>
            <w:tcW w:w="4140" w:type="dxa"/>
            <w:vAlign w:val="bottom"/>
            <w:gridSpan w:val="24"/>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Equity Incentive Plan.</w:t>
              </w:r>
            </w:hyperlink>
          </w:p>
        </w:tc>
      </w:tr>
      <w:tr>
        <w:trPr>
          <w:trHeight w:val="20"/>
        </w:trPr>
        <w:tc>
          <w:tcPr>
            <w:tcW w:w="1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4140" w:type="dxa"/>
            <w:vAlign w:val="bottom"/>
            <w:gridSpan w:val="24"/>
          </w:tcPr>
          <w:p>
            <w:pPr>
              <w:spacing w:after="0"/>
              <w:rPr>
                <w:rFonts w:ascii="Arial" w:cs="Arial" w:eastAsia="Arial" w:hAnsi="Arial"/>
                <w:sz w:val="18"/>
                <w:szCs w:val="18"/>
                <w:color w:val="0000FF"/>
              </w:rPr>
            </w:pPr>
            <w:hyperlink r:id="rId30">
              <w:r>
                <w:rPr>
                  <w:rFonts w:ascii="Arial" w:cs="Arial" w:eastAsia="Arial" w:hAnsi="Arial"/>
                  <w:sz w:val="18"/>
                  <w:szCs w:val="18"/>
                  <w:color w:val="0000FF"/>
                </w:rPr>
                <w:t>Herley Industries, Inc. 1997 Stock Option Plan.</w:t>
              </w:r>
            </w:hyperlink>
          </w:p>
        </w:tc>
      </w:tr>
      <w:tr>
        <w:trPr>
          <w:trHeight w:val="20"/>
        </w:trPr>
        <w:tc>
          <w:tcPr>
            <w:tcW w:w="1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4140" w:type="dxa"/>
            <w:vAlign w:val="bottom"/>
            <w:gridSpan w:val="24"/>
          </w:tcPr>
          <w:p>
            <w:pPr>
              <w:spacing w:after="0"/>
              <w:rPr>
                <w:rFonts w:ascii="Arial" w:cs="Arial" w:eastAsia="Arial" w:hAnsi="Arial"/>
                <w:sz w:val="18"/>
                <w:szCs w:val="18"/>
                <w:color w:val="0000FF"/>
              </w:rPr>
            </w:pPr>
            <w:hyperlink r:id="rId31">
              <w:r>
                <w:rPr>
                  <w:rFonts w:ascii="Arial" w:cs="Arial" w:eastAsia="Arial" w:hAnsi="Arial"/>
                  <w:sz w:val="18"/>
                  <w:szCs w:val="18"/>
                  <w:color w:val="0000FF"/>
                </w:rPr>
                <w:t>Herley Industries, Inc. 2000 Stock Option Plan.</w:t>
              </w:r>
            </w:hyperlink>
          </w:p>
        </w:tc>
      </w:tr>
      <w:tr>
        <w:trPr>
          <w:trHeight w:val="20"/>
        </w:trPr>
        <w:tc>
          <w:tcPr>
            <w:tcW w:w="1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4140" w:type="dxa"/>
            <w:vAlign w:val="bottom"/>
            <w:gridSpan w:val="24"/>
          </w:tcPr>
          <w:p>
            <w:pPr>
              <w:spacing w:after="0"/>
              <w:rPr>
                <w:rFonts w:ascii="Arial" w:cs="Arial" w:eastAsia="Arial" w:hAnsi="Arial"/>
                <w:sz w:val="18"/>
                <w:szCs w:val="18"/>
                <w:color w:val="0000FF"/>
              </w:rPr>
            </w:pPr>
            <w:hyperlink r:id="rId32">
              <w:r>
                <w:rPr>
                  <w:rFonts w:ascii="Arial" w:cs="Arial" w:eastAsia="Arial" w:hAnsi="Arial"/>
                  <w:sz w:val="18"/>
                  <w:szCs w:val="18"/>
                  <w:color w:val="0000FF"/>
                </w:rPr>
                <w:t>Herley Industries, Inc. 2003 Stock Option Plan.</w:t>
              </w:r>
            </w:hyperlink>
          </w:p>
        </w:tc>
      </w:tr>
      <w:tr>
        <w:trPr>
          <w:trHeight w:val="20"/>
        </w:trPr>
        <w:tc>
          <w:tcPr>
            <w:tcW w:w="1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4140" w:type="dxa"/>
            <w:vAlign w:val="bottom"/>
            <w:tcBorders>
              <w:bottom w:val="single" w:sz="8" w:color="0000FF"/>
            </w:tcBorders>
            <w:gridSpan w:val="24"/>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Herley Industries, Inc. Amended and Restated 2006 New</w:t>
              </w:r>
            </w:hyperlink>
          </w:p>
        </w:tc>
      </w:tr>
      <w:tr>
        <w:trPr>
          <w:trHeight w:val="196"/>
        </w:trPr>
        <w:tc>
          <w:tcPr>
            <w:tcW w:w="1260" w:type="dxa"/>
            <w:vAlign w:val="bottom"/>
          </w:tcPr>
          <w:p>
            <w:pPr>
              <w:spacing w:after="0"/>
              <w:rPr>
                <w:sz w:val="17"/>
                <w:szCs w:val="17"/>
                <w:color w:val="auto"/>
              </w:rPr>
            </w:pPr>
          </w:p>
        </w:tc>
        <w:tc>
          <w:tcPr>
            <w:tcW w:w="4140" w:type="dxa"/>
            <w:vAlign w:val="bottom"/>
            <w:gridSpan w:val="24"/>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Employee Stock Option Plan.</w:t>
              </w:r>
            </w:hyperlink>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2140" w:type="dxa"/>
            <w:vAlign w:val="bottom"/>
            <w:tcBorders>
              <w:top w:val="single" w:sz="8" w:color="0000FF"/>
            </w:tcBorders>
            <w:gridSpan w:val="9"/>
          </w:tcPr>
          <w:p>
            <w:pPr>
              <w:spacing w:after="0"/>
              <w:rPr>
                <w:rFonts w:ascii="Arial" w:cs="Arial" w:eastAsia="Arial" w:hAnsi="Arial"/>
                <w:sz w:val="18"/>
                <w:szCs w:val="18"/>
                <w:color w:val="0000FF"/>
                <w:w w:val="97"/>
              </w:rPr>
            </w:pPr>
            <w:hyperlink r:id="rId34">
              <w:r>
                <w:rPr>
                  <w:rFonts w:ascii="Arial" w:cs="Arial" w:eastAsia="Arial" w:hAnsi="Arial"/>
                  <w:sz w:val="18"/>
                  <w:szCs w:val="18"/>
                  <w:color w:val="0000FF"/>
                  <w:w w:val="97"/>
                </w:rPr>
                <w:t>2011 Equity Incentive Plan.</w:t>
              </w:r>
            </w:hyperlink>
          </w:p>
        </w:tc>
        <w:tc>
          <w:tcPr>
            <w:tcW w:w="2000" w:type="dxa"/>
            <w:vAlign w:val="bottom"/>
            <w:gridSpan w:val="15"/>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3940" w:type="dxa"/>
            <w:vAlign w:val="bottom"/>
            <w:tcBorders>
              <w:bottom w:val="single" w:sz="8" w:color="0000FF"/>
            </w:tcBorders>
            <w:gridSpan w:val="18"/>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Form of Notice of Grant of Restricted Stock Units and</w:t>
              </w:r>
            </w:hyperlink>
          </w:p>
        </w:tc>
        <w:tc>
          <w:tcPr>
            <w:tcW w:w="20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08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Restricted Stock Unit Award Agreement pursuant to the</w:t>
              </w:r>
            </w:hyperlink>
          </w:p>
        </w:tc>
        <w:tc>
          <w:tcPr>
            <w:tcW w:w="6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140" w:type="dxa"/>
            <w:vAlign w:val="bottom"/>
            <w:gridSpan w:val="24"/>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2011 Equity Incentive Plan.</w:t>
              </w:r>
            </w:hyperlink>
          </w:p>
        </w:tc>
      </w:tr>
      <w:tr>
        <w:trPr>
          <w:trHeight w:val="20"/>
        </w:trPr>
        <w:tc>
          <w:tcPr>
            <w:tcW w:w="1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2020" w:type="dxa"/>
            <w:vAlign w:val="bottom"/>
            <w:tcBorders>
              <w:bottom w:val="single" w:sz="8" w:color="0000FF"/>
            </w:tcBorders>
            <w:gridSpan w:val="8"/>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2014 Equity Incentive Plan.</w:t>
              </w:r>
            </w:hyperlink>
          </w:p>
        </w:tc>
        <w:tc>
          <w:tcPr>
            <w:tcW w:w="2120" w:type="dxa"/>
            <w:vAlign w:val="bottom"/>
            <w:gridSpan w:val="16"/>
          </w:tcPr>
          <w:p>
            <w:pPr>
              <w:spacing w:after="0"/>
              <w:rPr>
                <w:sz w:val="21"/>
                <w:szCs w:val="2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4100" w:type="dxa"/>
            <w:vAlign w:val="bottom"/>
            <w:tcBorders>
              <w:bottom w:val="single" w:sz="8" w:color="0000FF"/>
            </w:tcBorders>
            <w:gridSpan w:val="22"/>
          </w:tcPr>
          <w:p>
            <w:pPr>
              <w:spacing w:after="0"/>
              <w:rPr>
                <w:rFonts w:ascii="Arial" w:cs="Arial" w:eastAsia="Arial" w:hAnsi="Arial"/>
                <w:sz w:val="18"/>
                <w:szCs w:val="18"/>
                <w:color w:val="0000FF"/>
                <w:w w:val="92"/>
              </w:rPr>
            </w:pPr>
            <w:hyperlink w:anchor="page105">
              <w:r>
                <w:rPr>
                  <w:rFonts w:ascii="Arial" w:cs="Arial" w:eastAsia="Arial" w:hAnsi="Arial"/>
                  <w:sz w:val="18"/>
                  <w:szCs w:val="18"/>
                  <w:color w:val="0000FF"/>
                  <w:w w:val="92"/>
                </w:rPr>
                <w:t>Form of Restricted Stock Unit Grant &amp; Notice and Form</w:t>
              </w:r>
            </w:hyperlink>
          </w:p>
        </w:tc>
        <w:tc>
          <w:tcPr>
            <w:tcW w:w="4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9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w:anchor="page105">
              <w:r>
                <w:rPr>
                  <w:rFonts w:ascii="Arial" w:cs="Arial" w:eastAsia="Arial" w:hAnsi="Arial"/>
                  <w:sz w:val="18"/>
                  <w:szCs w:val="18"/>
                  <w:color w:val="0000FF"/>
                  <w:w w:val="91"/>
                </w:rPr>
                <w:t>of Restricted Stock Unit Award Agreement pursuant to</w:t>
              </w:r>
            </w:hyperlink>
          </w:p>
        </w:tc>
        <w:tc>
          <w:tcPr>
            <w:tcW w:w="16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2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w:anchor="page105">
              <w:r>
                <w:rPr>
                  <w:rFonts w:ascii="Arial" w:cs="Arial" w:eastAsia="Arial" w:hAnsi="Arial"/>
                  <w:sz w:val="18"/>
                  <w:szCs w:val="18"/>
                  <w:color w:val="0000FF"/>
                  <w:w w:val="91"/>
                </w:rPr>
                <w:t>the 2014 Equity Incentive Plan.</w:t>
              </w:r>
            </w:hyperlink>
          </w:p>
        </w:tc>
        <w:tc>
          <w:tcPr>
            <w:tcW w:w="1860" w:type="dxa"/>
            <w:vAlign w:val="bottom"/>
            <w:gridSpan w:val="14"/>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4000" w:type="dxa"/>
            <w:vAlign w:val="bottom"/>
            <w:tcBorders>
              <w:bottom w:val="single" w:sz="8" w:color="0000FF"/>
            </w:tcBorders>
            <w:gridSpan w:val="20"/>
          </w:tcPr>
          <w:p>
            <w:pPr>
              <w:spacing w:after="0"/>
              <w:rPr>
                <w:rFonts w:ascii="Arial" w:cs="Arial" w:eastAsia="Arial" w:hAnsi="Arial"/>
                <w:sz w:val="18"/>
                <w:szCs w:val="18"/>
                <w:color w:val="0000FF"/>
                <w:w w:val="89"/>
              </w:rPr>
            </w:pPr>
            <w:hyperlink r:id="rId37">
              <w:r>
                <w:rPr>
                  <w:rFonts w:ascii="Arial" w:cs="Arial" w:eastAsia="Arial" w:hAnsi="Arial"/>
                  <w:sz w:val="18"/>
                  <w:szCs w:val="18"/>
                  <w:color w:val="0000FF"/>
                  <w:w w:val="89"/>
                </w:rPr>
                <w:t>Second Amended and Restated Executive Employment</w:t>
              </w:r>
            </w:hyperlink>
          </w:p>
        </w:tc>
        <w:tc>
          <w:tcPr>
            <w:tcW w:w="140" w:type="dxa"/>
            <w:vAlign w:val="bottom"/>
            <w:gridSpan w:val="4"/>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408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Agreement, dated as of August 4, 2011, by and between</w:t>
              </w:r>
            </w:hyperlink>
          </w:p>
        </w:tc>
        <w:tc>
          <w:tcPr>
            <w:tcW w:w="6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140" w:type="dxa"/>
            <w:vAlign w:val="bottom"/>
            <w:gridSpan w:val="24"/>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Kratos Defense &amp; Security Solutions, Inc. and Eric</w:t>
              </w:r>
            </w:hyperlink>
          </w:p>
        </w:tc>
      </w:tr>
      <w:tr>
        <w:trPr>
          <w:trHeight w:val="196"/>
        </w:trPr>
        <w:tc>
          <w:tcPr>
            <w:tcW w:w="1260" w:type="dxa"/>
            <w:vAlign w:val="bottom"/>
          </w:tcPr>
          <w:p>
            <w:pPr>
              <w:spacing w:after="0"/>
              <w:rPr>
                <w:sz w:val="17"/>
                <w:szCs w:val="17"/>
                <w:color w:val="auto"/>
              </w:rPr>
            </w:pPr>
          </w:p>
        </w:tc>
        <w:tc>
          <w:tcPr>
            <w:tcW w:w="36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DeMarco.</w:t>
              </w:r>
            </w:hyperlink>
          </w:p>
        </w:tc>
        <w:tc>
          <w:tcPr>
            <w:tcW w:w="460" w:type="dxa"/>
            <w:vAlign w:val="bottom"/>
            <w:gridSpan w:val="9"/>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10.17#</w:t>
            </w:r>
          </w:p>
        </w:tc>
        <w:tc>
          <w:tcPr>
            <w:tcW w:w="4140" w:type="dxa"/>
            <w:vAlign w:val="bottom"/>
            <w:tcBorders>
              <w:bottom w:val="single" w:sz="8" w:color="0000FF"/>
            </w:tcBorders>
            <w:gridSpan w:val="24"/>
          </w:tcPr>
          <w:p>
            <w:pPr>
              <w:spacing w:after="0"/>
              <w:rPr>
                <w:rFonts w:ascii="Arial" w:cs="Arial" w:eastAsia="Arial" w:hAnsi="Arial"/>
                <w:sz w:val="18"/>
                <w:szCs w:val="18"/>
                <w:color w:val="0000FF"/>
                <w:w w:val="87"/>
              </w:rPr>
            </w:pPr>
            <w:hyperlink r:id="rId38">
              <w:r>
                <w:rPr>
                  <w:rFonts w:ascii="Arial" w:cs="Arial" w:eastAsia="Arial" w:hAnsi="Arial"/>
                  <w:sz w:val="18"/>
                  <w:szCs w:val="18"/>
                  <w:color w:val="0000FF"/>
                  <w:w w:val="87"/>
                </w:rPr>
                <w:t>Second Amended and Restated Severance and Change of</w:t>
              </w:r>
            </w:hyperlink>
          </w:p>
        </w:tc>
      </w:tr>
      <w:tr>
        <w:trPr>
          <w:trHeight w:val="196"/>
        </w:trPr>
        <w:tc>
          <w:tcPr>
            <w:tcW w:w="1260" w:type="dxa"/>
            <w:vAlign w:val="bottom"/>
          </w:tcPr>
          <w:p>
            <w:pPr>
              <w:spacing w:after="0"/>
              <w:rPr>
                <w:sz w:val="17"/>
                <w:szCs w:val="17"/>
                <w:color w:val="auto"/>
              </w:rPr>
            </w:pPr>
          </w:p>
        </w:tc>
        <w:tc>
          <w:tcPr>
            <w:tcW w:w="4140" w:type="dxa"/>
            <w:vAlign w:val="bottom"/>
            <w:gridSpan w:val="24"/>
          </w:tcPr>
          <w:p>
            <w:pPr>
              <w:spacing w:after="0" w:line="196" w:lineRule="exact"/>
              <w:rPr>
                <w:rFonts w:ascii="Arial" w:cs="Arial" w:eastAsia="Arial" w:hAnsi="Arial"/>
                <w:sz w:val="18"/>
                <w:szCs w:val="18"/>
                <w:color w:val="0000FF"/>
                <w:w w:val="93"/>
              </w:rPr>
            </w:pPr>
            <w:hyperlink r:id="rId38">
              <w:r>
                <w:rPr>
                  <w:rFonts w:ascii="Arial" w:cs="Arial" w:eastAsia="Arial" w:hAnsi="Arial"/>
                  <w:sz w:val="18"/>
                  <w:szCs w:val="18"/>
                  <w:color w:val="0000FF"/>
                  <w:w w:val="93"/>
                </w:rPr>
                <w:t>Control Agreement, dated as of August 4, 2011, by and</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140" w:type="dxa"/>
            <w:vAlign w:val="bottom"/>
            <w:gridSpan w:val="24"/>
          </w:tcPr>
          <w:p>
            <w:pPr>
              <w:spacing w:after="0" w:line="196"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between Kratos Defense &amp; Security Solutions, Inc. and</w:t>
              </w:r>
            </w:hyperlink>
          </w:p>
        </w:tc>
      </w:tr>
      <w:tr>
        <w:trPr>
          <w:trHeight w:val="196"/>
        </w:trPr>
        <w:tc>
          <w:tcPr>
            <w:tcW w:w="1260" w:type="dxa"/>
            <w:vAlign w:val="bottom"/>
          </w:tcPr>
          <w:p>
            <w:pPr>
              <w:spacing w:after="0"/>
              <w:rPr>
                <w:sz w:val="17"/>
                <w:szCs w:val="17"/>
                <w:color w:val="auto"/>
              </w:rPr>
            </w:pPr>
          </w:p>
        </w:tc>
        <w:tc>
          <w:tcPr>
            <w:tcW w:w="39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Deanna Lund.</w:t>
              </w:r>
            </w:hyperlink>
          </w:p>
        </w:tc>
        <w:tc>
          <w:tcPr>
            <w:tcW w:w="160" w:type="dxa"/>
            <w:vAlign w:val="bottom"/>
            <w:gridSpan w:val="5"/>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10.18</w:t>
            </w:r>
          </w:p>
        </w:tc>
        <w:tc>
          <w:tcPr>
            <w:tcW w:w="4140" w:type="dxa"/>
            <w:vAlign w:val="bottom"/>
            <w:gridSpan w:val="24"/>
          </w:tcPr>
          <w:p>
            <w:pPr>
              <w:spacing w:after="0"/>
              <w:rPr>
                <w:rFonts w:ascii="Arial" w:cs="Arial" w:eastAsia="Arial" w:hAnsi="Arial"/>
                <w:sz w:val="18"/>
                <w:szCs w:val="18"/>
                <w:color w:val="0000FF"/>
                <w:w w:val="89"/>
              </w:rPr>
            </w:pPr>
            <w:hyperlink r:id="rId39">
              <w:r>
                <w:rPr>
                  <w:rFonts w:ascii="Arial" w:cs="Arial" w:eastAsia="Arial" w:hAnsi="Arial"/>
                  <w:sz w:val="18"/>
                  <w:szCs w:val="18"/>
                  <w:color w:val="0000FF"/>
                  <w:w w:val="89"/>
                </w:rPr>
                <w:t>Sublease Agreement, dated as of December 17, 2009, by</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12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and between Amylin Pharmaceuticals, Inc., as Sublessor,</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140" w:type="dxa"/>
            <w:vAlign w:val="bottom"/>
            <w:gridSpan w:val="24"/>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and Kratos Defense &amp; Security Solutions, Inc., as</w:t>
              </w:r>
            </w:hyperlink>
          </w:p>
        </w:tc>
      </w:tr>
      <w:tr>
        <w:trPr>
          <w:trHeight w:val="196"/>
        </w:trPr>
        <w:tc>
          <w:tcPr>
            <w:tcW w:w="1260" w:type="dxa"/>
            <w:vAlign w:val="bottom"/>
          </w:tcPr>
          <w:p>
            <w:pPr>
              <w:spacing w:after="0"/>
              <w:rPr>
                <w:sz w:val="17"/>
                <w:szCs w:val="17"/>
                <w:color w:val="auto"/>
              </w:rPr>
            </w:pPr>
          </w:p>
        </w:tc>
        <w:tc>
          <w:tcPr>
            <w:tcW w:w="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3"/>
              </w:rPr>
            </w:pPr>
            <w:hyperlink r:id="rId39">
              <w:r>
                <w:rPr>
                  <w:rFonts w:ascii="Arial" w:cs="Arial" w:eastAsia="Arial" w:hAnsi="Arial"/>
                  <w:sz w:val="18"/>
                  <w:szCs w:val="18"/>
                  <w:color w:val="0000FF"/>
                  <w:w w:val="83"/>
                </w:rPr>
                <w:t>Sublessee.</w:t>
              </w:r>
            </w:hyperlink>
          </w:p>
        </w:tc>
        <w:tc>
          <w:tcPr>
            <w:tcW w:w="2820" w:type="dxa"/>
            <w:vAlign w:val="bottom"/>
            <w:tcBorders>
              <w:top w:val="single" w:sz="8" w:color="0000FF"/>
            </w:tcBorders>
            <w:gridSpan w:val="11"/>
          </w:tcPr>
          <w:p>
            <w:pPr>
              <w:spacing w:after="0"/>
              <w:rPr>
                <w:sz w:val="17"/>
                <w:szCs w:val="17"/>
                <w:color w:val="auto"/>
              </w:rPr>
            </w:pPr>
          </w:p>
        </w:tc>
        <w:tc>
          <w:tcPr>
            <w:tcW w:w="560" w:type="dxa"/>
            <w:vAlign w:val="bottom"/>
            <w:gridSpan w:val="11"/>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3740" w:type="dxa"/>
            <w:vAlign w:val="bottom"/>
            <w:tcBorders>
              <w:bottom w:val="single" w:sz="8" w:color="0000FF"/>
            </w:tcBorders>
            <w:gridSpan w:val="16"/>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Herley Industries, Inc. Amended and Restated 2010</w:t>
              </w:r>
            </w:hyperlink>
          </w:p>
        </w:tc>
        <w:tc>
          <w:tcPr>
            <w:tcW w:w="400" w:type="dxa"/>
            <w:vAlign w:val="bottom"/>
            <w:gridSpan w:val="8"/>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4140" w:type="dxa"/>
            <w:vAlign w:val="bottom"/>
            <w:gridSpan w:val="24"/>
          </w:tcPr>
          <w:p>
            <w:pPr>
              <w:spacing w:after="0" w:line="196"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Stock Plan, and the related Form of Notice of Grant of</w:t>
              </w:r>
            </w:hyperlink>
          </w:p>
        </w:tc>
      </w:tr>
      <w:tr>
        <w:trPr>
          <w:trHeight w:val="20"/>
        </w:trPr>
        <w:tc>
          <w:tcPr>
            <w:tcW w:w="126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140" w:type="dxa"/>
            <w:vAlign w:val="bottom"/>
            <w:gridSpan w:val="24"/>
          </w:tcPr>
          <w:p>
            <w:pPr>
              <w:spacing w:after="0" w:line="196"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Restricted Stock Units and Restricted Stock Unit Award</w:t>
              </w:r>
            </w:hyperlink>
          </w:p>
        </w:tc>
      </w:tr>
      <w:tr>
        <w:trPr>
          <w:trHeight w:val="196"/>
        </w:trPr>
        <w:tc>
          <w:tcPr>
            <w:tcW w:w="1260" w:type="dxa"/>
            <w:vAlign w:val="bottom"/>
          </w:tcPr>
          <w:p>
            <w:pPr>
              <w:spacing w:after="0"/>
              <w:rPr>
                <w:sz w:val="17"/>
                <w:szCs w:val="17"/>
                <w:color w:val="auto"/>
              </w:rPr>
            </w:pPr>
          </w:p>
        </w:tc>
        <w:tc>
          <w:tcPr>
            <w:tcW w:w="408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Agreement.</w:t>
              </w:r>
            </w:hyperlink>
          </w:p>
        </w:tc>
        <w:tc>
          <w:tcPr>
            <w:tcW w:w="6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4140" w:type="dxa"/>
            <w:vAlign w:val="bottom"/>
            <w:tcBorders>
              <w:bottom w:val="single" w:sz="8" w:color="0000FF"/>
            </w:tcBorders>
            <w:gridSpan w:val="24"/>
          </w:tcPr>
          <w:p>
            <w:pPr>
              <w:spacing w:after="0"/>
              <w:rPr>
                <w:rFonts w:ascii="Arial" w:cs="Arial" w:eastAsia="Arial" w:hAnsi="Arial"/>
                <w:sz w:val="18"/>
                <w:szCs w:val="18"/>
                <w:color w:val="0000FF"/>
                <w:w w:val="89"/>
              </w:rPr>
            </w:pPr>
            <w:hyperlink r:id="rId41">
              <w:r>
                <w:rPr>
                  <w:rFonts w:ascii="Arial" w:cs="Arial" w:eastAsia="Arial" w:hAnsi="Arial"/>
                  <w:sz w:val="18"/>
                  <w:szCs w:val="18"/>
                  <w:color w:val="0000FF"/>
                  <w:w w:val="89"/>
                </w:rPr>
                <w:t>Amended and Restated Integral Systems, Inc. 2008 Stock</w:t>
              </w:r>
            </w:hyperlink>
          </w:p>
        </w:tc>
      </w:tr>
      <w:tr>
        <w:trPr>
          <w:trHeight w:val="196"/>
        </w:trPr>
        <w:tc>
          <w:tcPr>
            <w:tcW w:w="1260" w:type="dxa"/>
            <w:vAlign w:val="bottom"/>
          </w:tcPr>
          <w:p>
            <w:pPr>
              <w:spacing w:after="0"/>
              <w:rPr>
                <w:sz w:val="17"/>
                <w:szCs w:val="17"/>
                <w:color w:val="auto"/>
              </w:rPr>
            </w:pPr>
          </w:p>
        </w:tc>
        <w:tc>
          <w:tcPr>
            <w:tcW w:w="400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Incentive Plan, and the related Form of Notice of Grant</w:t>
              </w:r>
            </w:hyperlink>
          </w:p>
        </w:tc>
        <w:tc>
          <w:tcPr>
            <w:tcW w:w="14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1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of Restricted Stock Units and Restricted Stock Units and</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140" w:type="dxa"/>
            <w:vAlign w:val="bottom"/>
            <w:gridSpan w:val="24"/>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Restricted Stock Unit Award Agreement.</w:t>
              </w:r>
            </w:hyperlink>
          </w:p>
        </w:tc>
      </w:tr>
      <w:tr>
        <w:trPr>
          <w:trHeight w:val="20"/>
        </w:trPr>
        <w:tc>
          <w:tcPr>
            <w:tcW w:w="126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10.21#</w:t>
            </w:r>
          </w:p>
        </w:tc>
        <w:tc>
          <w:tcPr>
            <w:tcW w:w="4140" w:type="dxa"/>
            <w:vAlign w:val="bottom"/>
            <w:gridSpan w:val="24"/>
          </w:tcPr>
          <w:p>
            <w:pPr>
              <w:spacing w:after="0"/>
              <w:rPr>
                <w:rFonts w:ascii="Arial" w:cs="Arial" w:eastAsia="Arial" w:hAnsi="Arial"/>
                <w:sz w:val="18"/>
                <w:szCs w:val="18"/>
                <w:color w:val="0000FF"/>
                <w:w w:val="96"/>
              </w:rPr>
            </w:pPr>
            <w:hyperlink r:id="rId42">
              <w:r>
                <w:rPr>
                  <w:rFonts w:ascii="Arial" w:cs="Arial" w:eastAsia="Arial" w:hAnsi="Arial"/>
                  <w:sz w:val="18"/>
                  <w:szCs w:val="18"/>
                  <w:color w:val="0000FF"/>
                  <w:w w:val="96"/>
                </w:rPr>
                <w:t>Form of Notice of Grant of Restricted Stock Units and</w:t>
              </w:r>
            </w:hyperlink>
          </w:p>
        </w:tc>
      </w:tr>
      <w:tr>
        <w:trPr>
          <w:trHeight w:val="196"/>
        </w:trPr>
        <w:tc>
          <w:tcPr>
            <w:tcW w:w="1260" w:type="dxa"/>
            <w:vAlign w:val="bottom"/>
          </w:tcPr>
          <w:p>
            <w:pPr>
              <w:spacing w:after="0"/>
              <w:rPr>
                <w:sz w:val="17"/>
                <w:szCs w:val="17"/>
                <w:color w:val="auto"/>
              </w:rPr>
            </w:pPr>
          </w:p>
        </w:tc>
        <w:tc>
          <w:tcPr>
            <w:tcW w:w="3860" w:type="dxa"/>
            <w:vAlign w:val="bottom"/>
            <w:tcBorders>
              <w:top w:val="single" w:sz="8" w:color="0000FF"/>
            </w:tcBorders>
            <w:gridSpan w:val="17"/>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Restricted Stock Unit Award Agreement, entered into</w:t>
              </w:r>
            </w:hyperlink>
          </w:p>
        </w:tc>
        <w:tc>
          <w:tcPr>
            <w:tcW w:w="280" w:type="dxa"/>
            <w:vAlign w:val="bottom"/>
            <w:gridSpan w:val="7"/>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2180" w:type="dxa"/>
            <w:vAlign w:val="bottom"/>
            <w:gridSpan w:val="9"/>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140" w:type="dxa"/>
            <w:vAlign w:val="bottom"/>
            <w:gridSpan w:val="24"/>
          </w:tcPr>
          <w:p>
            <w:pPr>
              <w:spacing w:after="0" w:line="196" w:lineRule="exact"/>
              <w:rPr>
                <w:rFonts w:ascii="Arial" w:cs="Arial" w:eastAsia="Arial" w:hAnsi="Arial"/>
                <w:sz w:val="18"/>
                <w:szCs w:val="18"/>
                <w:color w:val="0000FF"/>
                <w:w w:val="94"/>
              </w:rPr>
            </w:pPr>
            <w:hyperlink r:id="rId42">
              <w:r>
                <w:rPr>
                  <w:rFonts w:ascii="Arial" w:cs="Arial" w:eastAsia="Arial" w:hAnsi="Arial"/>
                  <w:sz w:val="18"/>
                  <w:szCs w:val="18"/>
                  <w:color w:val="0000FF"/>
                  <w:w w:val="94"/>
                </w:rPr>
                <w:t>between Kratos Defense &amp; Security Solutions, Inc. and</w:t>
              </w:r>
            </w:hyperlink>
          </w:p>
        </w:tc>
      </w:tr>
      <w:tr>
        <w:trPr>
          <w:trHeight w:val="196"/>
        </w:trPr>
        <w:tc>
          <w:tcPr>
            <w:tcW w:w="126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certain employees of Composite Engineering, Inc.</w:t>
              </w:r>
            </w:hyperlink>
          </w:p>
        </w:tc>
        <w:tc>
          <w:tcPr>
            <w:tcW w:w="360" w:type="dxa"/>
            <w:vAlign w:val="bottom"/>
            <w:tcBorders>
              <w:top w:val="single" w:sz="8" w:color="0000FF"/>
            </w:tcBorders>
            <w:gridSpan w:val="5"/>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10.22#</w:t>
            </w:r>
          </w:p>
        </w:tc>
        <w:tc>
          <w:tcPr>
            <w:tcW w:w="3980" w:type="dxa"/>
            <w:vAlign w:val="bottom"/>
            <w:tcBorders>
              <w:bottom w:val="single" w:sz="8" w:color="0000FF"/>
            </w:tcBorders>
            <w:gridSpan w:val="19"/>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Employment Agreement, effective January 1, 2015, by</w:t>
              </w:r>
            </w:hyperlink>
          </w:p>
        </w:tc>
        <w:tc>
          <w:tcPr>
            <w:tcW w:w="160" w:type="dxa"/>
            <w:vAlign w:val="bottom"/>
            <w:gridSpan w:val="5"/>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4140" w:type="dxa"/>
            <w:vAlign w:val="bottom"/>
            <w:gridSpan w:val="24"/>
          </w:tcPr>
          <w:p>
            <w:pPr>
              <w:spacing w:after="0" w:line="196" w:lineRule="exact"/>
              <w:rPr>
                <w:rFonts w:ascii="Arial" w:cs="Arial" w:eastAsia="Arial" w:hAnsi="Arial"/>
                <w:sz w:val="18"/>
                <w:szCs w:val="18"/>
                <w:color w:val="0000FF"/>
                <w:w w:val="94"/>
              </w:rPr>
            </w:pPr>
            <w:hyperlink r:id="rId43">
              <w:r>
                <w:rPr>
                  <w:rFonts w:ascii="Arial" w:cs="Arial" w:eastAsia="Arial" w:hAnsi="Arial"/>
                  <w:sz w:val="18"/>
                  <w:szCs w:val="18"/>
                  <w:color w:val="0000FF"/>
                  <w:w w:val="94"/>
                </w:rPr>
                <w:t>and between Kratos Defense &amp; Security Solutions, Inc.</w:t>
              </w:r>
            </w:hyperlink>
          </w:p>
        </w:tc>
      </w:tr>
      <w:tr>
        <w:trPr>
          <w:trHeight w:val="196"/>
        </w:trPr>
        <w:tc>
          <w:tcPr>
            <w:tcW w:w="1260" w:type="dxa"/>
            <w:vAlign w:val="bottom"/>
          </w:tcPr>
          <w:p>
            <w:pPr>
              <w:spacing w:after="0"/>
              <w:rPr>
                <w:sz w:val="17"/>
                <w:szCs w:val="17"/>
                <w:color w:val="auto"/>
              </w:rPr>
            </w:pPr>
          </w:p>
        </w:tc>
        <w:tc>
          <w:tcPr>
            <w:tcW w:w="39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and Richard Poirier.</w:t>
              </w:r>
            </w:hyperlink>
          </w:p>
        </w:tc>
        <w:tc>
          <w:tcPr>
            <w:tcW w:w="160" w:type="dxa"/>
            <w:vAlign w:val="bottom"/>
            <w:gridSpan w:val="5"/>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DEF 14A</w:t>
      </w:r>
    </w:p>
    <w:p>
      <w:pPr>
        <w:spacing w:after="0" w:line="200" w:lineRule="exact"/>
        <w:rPr>
          <w:sz w:val="20"/>
          <w:szCs w:val="20"/>
          <w:color w:val="auto"/>
        </w:rPr>
      </w:pP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200" w:lineRule="exact"/>
        <w:rPr>
          <w:sz w:val="20"/>
          <w:szCs w:val="20"/>
          <w:color w:val="auto"/>
        </w:rPr>
      </w:pP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7"/>
          <w:szCs w:val="17"/>
          <w:color w:val="auto"/>
        </w:rPr>
        <w:t>01/17/2007</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(000-27231)</w:t>
      </w:r>
    </w:p>
    <w:p>
      <w:pPr>
        <w:spacing w:after="0" w:line="1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04/08/2011</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(333-173383)</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04/08/2011</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(333-173383)</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04/08/2011</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(333-173383)</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04/08/2011</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(333-173383)</w:t>
      </w:r>
    </w:p>
    <w:p>
      <w:pPr>
        <w:spacing w:after="0" w:line="126" w:lineRule="exact"/>
        <w:rPr>
          <w:sz w:val="20"/>
          <w:szCs w:val="20"/>
          <w:color w:val="auto"/>
        </w:rPr>
      </w:pPr>
    </w:p>
    <w:p>
      <w:pPr>
        <w:ind w:left="80"/>
        <w:spacing w:after="0"/>
        <w:rPr>
          <w:sz w:val="20"/>
          <w:szCs w:val="20"/>
          <w:color w:val="auto"/>
        </w:rPr>
      </w:pPr>
      <w:r>
        <w:rPr>
          <w:rFonts w:ascii="Arial" w:cs="Arial" w:eastAsia="Arial" w:hAnsi="Arial"/>
          <w:sz w:val="17"/>
          <w:szCs w:val="17"/>
          <w:color w:val="auto"/>
        </w:rPr>
        <w:t>04/15/2011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11/18/2011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1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07/31/2017</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0"/>
        <w:spacing w:after="0"/>
        <w:rPr>
          <w:sz w:val="20"/>
          <w:szCs w:val="20"/>
          <w:color w:val="auto"/>
        </w:rPr>
      </w:pPr>
      <w:r>
        <w:rPr>
          <w:rFonts w:ascii="Arial" w:cs="Arial" w:eastAsia="Arial" w:hAnsi="Arial"/>
          <w:sz w:val="17"/>
          <w:szCs w:val="17"/>
          <w:color w:val="auto"/>
        </w:rPr>
        <w:t>08/04/2011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7"/>
          <w:szCs w:val="17"/>
          <w:color w:val="auto"/>
        </w:rPr>
        <w:t>08/04/2011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7"/>
          <w:szCs w:val="17"/>
          <w:color w:val="auto"/>
        </w:rPr>
        <w:t>03/11/2010</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03/08/2012</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(333-179977)</w:t>
      </w: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03/08/2012</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(333-179977)</w:t>
      </w: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07/27/2012</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(333-182910)</w:t>
      </w:r>
    </w:p>
    <w:p>
      <w:pPr>
        <w:spacing w:after="0" w:line="288" w:lineRule="exact"/>
        <w:rPr>
          <w:sz w:val="20"/>
          <w:szCs w:val="20"/>
          <w:color w:val="auto"/>
        </w:rPr>
      </w:pPr>
    </w:p>
    <w:p>
      <w:pPr>
        <w:ind w:left="80"/>
        <w:spacing w:after="0"/>
        <w:rPr>
          <w:sz w:val="20"/>
          <w:szCs w:val="20"/>
          <w:color w:val="auto"/>
        </w:rPr>
      </w:pPr>
      <w:r>
        <w:rPr>
          <w:rFonts w:ascii="Arial" w:cs="Arial" w:eastAsia="Arial" w:hAnsi="Arial"/>
          <w:sz w:val="17"/>
          <w:szCs w:val="17"/>
          <w:color w:val="auto"/>
        </w:rPr>
        <w:t>03/12/2015</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99.3</w:t>
      </w:r>
    </w:p>
    <w:p>
      <w:pPr>
        <w:spacing w:after="0" w:line="33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4.11</w:t>
      </w:r>
    </w:p>
    <w:p>
      <w:pPr>
        <w:spacing w:after="0" w:line="33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4.13</w:t>
      </w:r>
    </w:p>
    <w:p>
      <w:pPr>
        <w:spacing w:after="0" w:line="33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4.14</w:t>
      </w:r>
    </w:p>
    <w:p>
      <w:pPr>
        <w:spacing w:after="0" w:line="33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4.15</w:t>
      </w:r>
    </w:p>
    <w:p>
      <w:pPr>
        <w:spacing w:after="0" w:line="33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9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10.2</w:t>
      </w:r>
    </w:p>
    <w:p>
      <w:pPr>
        <w:spacing w:after="0" w:line="33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99.2</w:t>
      </w:r>
    </w:p>
    <w:p>
      <w:pPr>
        <w:spacing w:after="0" w:line="6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59"/>
        <w:spacing w:after="0"/>
        <w:rPr>
          <w:sz w:val="20"/>
          <w:szCs w:val="20"/>
          <w:color w:val="auto"/>
        </w:rPr>
      </w:pPr>
      <w:r>
        <w:rPr>
          <w:rFonts w:ascii="Arial" w:cs="Arial" w:eastAsia="Arial" w:hAnsi="Arial"/>
          <w:sz w:val="15"/>
          <w:szCs w:val="15"/>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4.12</w:t>
      </w:r>
    </w:p>
    <w:p>
      <w:pPr>
        <w:spacing w:after="0" w:line="200" w:lineRule="exact"/>
        <w:rPr>
          <w:sz w:val="20"/>
          <w:szCs w:val="20"/>
          <w:color w:val="auto"/>
        </w:rPr>
      </w:pPr>
    </w:p>
    <w:p>
      <w:pPr>
        <w:spacing w:after="0" w:line="29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ectPr>
          <w:pgSz w:w="11900" w:h="16838" w:orient="portrait"/>
          <w:cols w:equalWidth="0" w:num="4">
            <w:col w:w="5400" w:space="180"/>
            <w:col w:w="1040" w:space="640"/>
            <w:col w:w="1040" w:space="720"/>
            <w:col w:w="1159"/>
          </w:cols>
          <w:pgMar w:left="280" w:top="702"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10.23#</w:t>
            </w:r>
          </w:p>
        </w:tc>
        <w:tc>
          <w:tcPr>
            <w:tcW w:w="4240" w:type="dxa"/>
            <w:vAlign w:val="bottom"/>
            <w:gridSpan w:val="28"/>
          </w:tcPr>
          <w:p>
            <w:pPr>
              <w:spacing w:after="0"/>
              <w:rPr>
                <w:rFonts w:ascii="Arial" w:cs="Arial" w:eastAsia="Arial" w:hAnsi="Arial"/>
                <w:sz w:val="18"/>
                <w:szCs w:val="18"/>
                <w:color w:val="0000FF"/>
                <w:w w:val="94"/>
              </w:rPr>
            </w:pPr>
            <w:hyperlink r:id="rId44">
              <w:r>
                <w:rPr>
                  <w:rFonts w:ascii="Arial" w:cs="Arial" w:eastAsia="Arial" w:hAnsi="Arial"/>
                  <w:sz w:val="18"/>
                  <w:szCs w:val="18"/>
                  <w:color w:val="0000FF"/>
                  <w:w w:val="94"/>
                </w:rPr>
                <w:t>Bonus Agreement, dated June 1, 2015, by and between</w:t>
              </w:r>
            </w:hyperlink>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96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Kratos Defense &amp; Security Solutions, Inc. and Richard</w:t>
              </w:r>
            </w:hyperlink>
          </w:p>
        </w:tc>
        <w:tc>
          <w:tcPr>
            <w:tcW w:w="28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8"/>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Poirier.</w:t>
              </w:r>
            </w:hyperlink>
          </w:p>
        </w:tc>
        <w:tc>
          <w:tcPr>
            <w:tcW w:w="9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99"/>
              </w:rPr>
              <w:t>8-K</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10.24#</w:t>
            </w:r>
          </w:p>
        </w:tc>
        <w:tc>
          <w:tcPr>
            <w:tcW w:w="3960" w:type="dxa"/>
            <w:vAlign w:val="bottom"/>
            <w:tcBorders>
              <w:bottom w:val="single" w:sz="8" w:color="0000FF"/>
            </w:tcBorders>
            <w:gridSpan w:val="21"/>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Employment Agreement, effective January 1, 2017, by</w:t>
              </w:r>
            </w:hyperlink>
          </w:p>
        </w:tc>
        <w:tc>
          <w:tcPr>
            <w:tcW w:w="28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02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and between Kratos Defense &amp; Security Solutions, Inc.</w:t>
              </w:r>
            </w:hyperlink>
          </w:p>
        </w:tc>
        <w:tc>
          <w:tcPr>
            <w:tcW w:w="22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1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and Phil Carrai.</w:t>
              </w:r>
            </w:hyperlink>
          </w:p>
        </w:tc>
        <w:tc>
          <w:tcPr>
            <w:tcW w:w="3100" w:type="dxa"/>
            <w:vAlign w:val="bottom"/>
            <w:gridSpan w:val="23"/>
          </w:tcPr>
          <w:p>
            <w:pPr>
              <w:spacing w:after="0"/>
              <w:rPr>
                <w:sz w:val="17"/>
                <w:szCs w:val="17"/>
                <w:color w:val="auto"/>
              </w:rPr>
            </w:pPr>
          </w:p>
        </w:tc>
        <w:tc>
          <w:tcPr>
            <w:tcW w:w="9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99"/>
              </w:rPr>
              <w:t>8-K</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10.25</w:t>
            </w:r>
          </w:p>
        </w:tc>
        <w:tc>
          <w:tcPr>
            <w:tcW w:w="4020" w:type="dxa"/>
            <w:vAlign w:val="bottom"/>
            <w:tcBorders>
              <w:bottom w:val="single" w:sz="8" w:color="0000FF"/>
            </w:tcBorders>
            <w:gridSpan w:val="24"/>
          </w:tcPr>
          <w:p>
            <w:pPr>
              <w:spacing w:after="0"/>
              <w:rPr>
                <w:rFonts w:ascii="Arial" w:cs="Arial" w:eastAsia="Arial" w:hAnsi="Arial"/>
                <w:sz w:val="18"/>
                <w:szCs w:val="18"/>
                <w:color w:val="0000FF"/>
                <w:w w:val="89"/>
              </w:rPr>
            </w:pPr>
            <w:hyperlink r:id="rId46">
              <w:r>
                <w:rPr>
                  <w:rFonts w:ascii="Arial" w:cs="Arial" w:eastAsia="Arial" w:hAnsi="Arial"/>
                  <w:sz w:val="18"/>
                  <w:szCs w:val="18"/>
                  <w:color w:val="0000FF"/>
                  <w:w w:val="89"/>
                </w:rPr>
                <w:t>Amended and Restated Credit and Security Agreement,</w:t>
              </w:r>
            </w:hyperlink>
          </w:p>
        </w:tc>
        <w:tc>
          <w:tcPr>
            <w:tcW w:w="220" w:type="dxa"/>
            <w:vAlign w:val="bottom"/>
            <w:gridSpan w:val="4"/>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020" w:type="dxa"/>
            <w:vAlign w:val="bottom"/>
            <w:tcBorders>
              <w:bottom w:val="single" w:sz="8" w:color="0000FF"/>
            </w:tcBorders>
            <w:gridSpan w:val="24"/>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dated as of November 20, 2017, among Kratos Defense</w:t>
              </w:r>
            </w:hyperlink>
          </w:p>
        </w:tc>
        <w:tc>
          <w:tcPr>
            <w:tcW w:w="22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8"/>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&amp; Security Solutions, Inc., as Borrower, the lenders</w:t>
              </w:r>
            </w:hyperlink>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398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named therein, SunTrust Bank, as Agent, and SunTrust</w:t>
              </w:r>
            </w:hyperlink>
          </w:p>
        </w:tc>
        <w:tc>
          <w:tcPr>
            <w:tcW w:w="26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88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Robinson Humphrey, Inc., as Lead Arranger and Sole</w:t>
              </w:r>
            </w:hyperlink>
          </w:p>
        </w:tc>
        <w:tc>
          <w:tcPr>
            <w:tcW w:w="36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8"/>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Book Runner.</w:t>
              </w:r>
            </w:hyperlink>
          </w:p>
        </w:tc>
        <w:tc>
          <w:tcPr>
            <w:tcW w:w="9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99"/>
              </w:rPr>
              <w:t>8-K</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10.26</w:t>
            </w:r>
          </w:p>
        </w:tc>
        <w:tc>
          <w:tcPr>
            <w:tcW w:w="4240" w:type="dxa"/>
            <w:vAlign w:val="bottom"/>
            <w:gridSpan w:val="28"/>
          </w:tcPr>
          <w:p>
            <w:pPr>
              <w:spacing w:after="0"/>
              <w:rPr>
                <w:rFonts w:ascii="Arial" w:cs="Arial" w:eastAsia="Arial" w:hAnsi="Arial"/>
                <w:sz w:val="18"/>
                <w:szCs w:val="18"/>
                <w:color w:val="0000FF"/>
                <w:w w:val="96"/>
              </w:rPr>
            </w:pPr>
            <w:hyperlink r:id="rId47">
              <w:r>
                <w:rPr>
                  <w:rFonts w:ascii="Arial" w:cs="Arial" w:eastAsia="Arial" w:hAnsi="Arial"/>
                  <w:sz w:val="18"/>
                  <w:szCs w:val="18"/>
                  <w:color w:val="0000FF"/>
                  <w:w w:val="96"/>
                </w:rPr>
                <w:t>First Amendment to Amended and Restated Credit and</w:t>
              </w:r>
            </w:hyperlink>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080" w:type="dxa"/>
            <w:vAlign w:val="bottom"/>
            <w:tcBorders>
              <w:bottom w:val="single" w:sz="8" w:color="0000FF"/>
            </w:tcBorders>
            <w:gridSpan w:val="25"/>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Security Agreement, dated June 11, 2018, among Kratos</w:t>
              </w:r>
            </w:hyperlink>
          </w:p>
        </w:tc>
        <w:tc>
          <w:tcPr>
            <w:tcW w:w="1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10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Defense &amp; Security Solutions, Inc., as Borrower, each of</w:t>
              </w:r>
            </w:hyperlink>
          </w:p>
        </w:tc>
        <w:tc>
          <w:tcPr>
            <w:tcW w:w="1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16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the Credit Parties and Required Lenders party thereto and</w:t>
              </w:r>
            </w:hyperlink>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8"/>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SunTrust Bank as Agent.</w:t>
              </w:r>
            </w:hyperlink>
          </w:p>
        </w:tc>
        <w:tc>
          <w:tcPr>
            <w:tcW w:w="9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99"/>
              </w:rPr>
              <w:t>8-K</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10.27</w:t>
            </w:r>
          </w:p>
        </w:tc>
        <w:tc>
          <w:tcPr>
            <w:tcW w:w="3980" w:type="dxa"/>
            <w:vAlign w:val="bottom"/>
            <w:tcBorders>
              <w:bottom w:val="single" w:sz="8" w:color="0000FF"/>
            </w:tcBorders>
            <w:gridSpan w:val="22"/>
          </w:tcPr>
          <w:p>
            <w:pPr>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Office Lease, dated as of May 1, 2017, by and between</w:t>
              </w:r>
            </w:hyperlink>
          </w:p>
        </w:tc>
        <w:tc>
          <w:tcPr>
            <w:tcW w:w="260" w:type="dxa"/>
            <w:vAlign w:val="bottom"/>
            <w:gridSpan w:val="6"/>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02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Kratos Defense &amp; Security Solutions, Inc. and TPP 212</w:t>
              </w:r>
            </w:hyperlink>
          </w:p>
        </w:tc>
        <w:tc>
          <w:tcPr>
            <w:tcW w:w="22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2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Scripps, LLC.</w:t>
              </w:r>
            </w:hyperlink>
          </w:p>
        </w:tc>
        <w:tc>
          <w:tcPr>
            <w:tcW w:w="3220" w:type="dxa"/>
            <w:vAlign w:val="bottom"/>
            <w:gridSpan w:val="24"/>
          </w:tcPr>
          <w:p>
            <w:pPr>
              <w:spacing w:after="0"/>
              <w:rPr>
                <w:sz w:val="17"/>
                <w:szCs w:val="17"/>
                <w:color w:val="auto"/>
              </w:rPr>
            </w:pPr>
          </w:p>
        </w:tc>
        <w:tc>
          <w:tcPr>
            <w:tcW w:w="9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10-Q</w:t>
            </w: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0"/>
                <w:szCs w:val="20"/>
                <w:color w:val="auto"/>
              </w:rPr>
            </w:pPr>
            <w:r>
              <w:rPr>
                <w:rFonts w:ascii="Arial" w:cs="Arial" w:eastAsia="Arial" w:hAnsi="Arial"/>
                <w:sz w:val="18"/>
                <w:szCs w:val="18"/>
                <w:color w:val="auto"/>
              </w:rPr>
              <w:t>10.28</w:t>
            </w:r>
          </w:p>
        </w:tc>
        <w:tc>
          <w:tcPr>
            <w:tcW w:w="3860" w:type="dxa"/>
            <w:vAlign w:val="bottom"/>
            <w:tcBorders>
              <w:bottom w:val="single" w:sz="8" w:color="0000FF"/>
            </w:tcBorders>
            <w:gridSpan w:val="19"/>
          </w:tcPr>
          <w:p>
            <w:pPr>
              <w:spacing w:after="0"/>
              <w:rPr>
                <w:rFonts w:ascii="Arial" w:cs="Arial" w:eastAsia="Arial" w:hAnsi="Arial"/>
                <w:sz w:val="18"/>
                <w:szCs w:val="18"/>
                <w:color w:val="0000FF"/>
                <w:w w:val="88"/>
              </w:rPr>
            </w:pPr>
            <w:hyperlink r:id="rId49">
              <w:r>
                <w:rPr>
                  <w:rFonts w:ascii="Arial" w:cs="Arial" w:eastAsia="Arial" w:hAnsi="Arial"/>
                  <w:sz w:val="18"/>
                  <w:szCs w:val="18"/>
                  <w:color w:val="0000FF"/>
                  <w:w w:val="88"/>
                </w:rPr>
                <w:t>Amended and Restated Lease Agreement, dated as of</w:t>
              </w:r>
            </w:hyperlink>
          </w:p>
        </w:tc>
        <w:tc>
          <w:tcPr>
            <w:tcW w:w="380" w:type="dxa"/>
            <w:vAlign w:val="bottom"/>
            <w:gridSpan w:val="9"/>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8"/>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January 1, 2019, by and between STORE Capital</w:t>
              </w:r>
            </w:hyperlink>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Acquisitions, LLC and Kratos RT Logic, Inc.</w:t>
              </w:r>
            </w:hyperlink>
          </w:p>
        </w:tc>
        <w:tc>
          <w:tcPr>
            <w:tcW w:w="180" w:type="dxa"/>
            <w:vAlign w:val="bottom"/>
            <w:tcBorders>
              <w:top w:val="single" w:sz="8" w:color="0000FF"/>
              <w:bottom w:val="single" w:sz="8" w:color="0000FF"/>
            </w:tcBorders>
          </w:tcPr>
          <w:p>
            <w:pPr>
              <w:spacing w:after="0"/>
              <w:rPr>
                <w:sz w:val="17"/>
                <w:szCs w:val="17"/>
                <w:color w:val="auto"/>
              </w:rPr>
            </w:pPr>
          </w:p>
        </w:tc>
        <w:tc>
          <w:tcPr>
            <w:tcW w:w="100" w:type="dxa"/>
            <w:vAlign w:val="bottom"/>
            <w:tcBorders>
              <w:top w:val="single" w:sz="8" w:color="0000FF"/>
              <w:bottom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140" w:type="dxa"/>
            <w:vAlign w:val="bottom"/>
            <w:gridSpan w:val="2"/>
          </w:tcPr>
          <w:p>
            <w:pPr>
              <w:spacing w:after="0"/>
              <w:rPr>
                <w:sz w:val="17"/>
                <w:szCs w:val="17"/>
                <w:color w:val="auto"/>
              </w:rPr>
            </w:pPr>
          </w:p>
        </w:tc>
        <w:tc>
          <w:tcPr>
            <w:tcW w:w="9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94"/>
              </w:rPr>
              <w:t>10-K</w:t>
            </w: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0"/>
                <w:szCs w:val="20"/>
                <w:color w:val="auto"/>
              </w:rPr>
            </w:pPr>
            <w:r>
              <w:rPr>
                <w:rFonts w:ascii="Arial" w:cs="Arial" w:eastAsia="Arial" w:hAnsi="Arial"/>
                <w:sz w:val="18"/>
                <w:szCs w:val="18"/>
                <w:color w:val="auto"/>
              </w:rPr>
              <w:t>10.29</w:t>
            </w:r>
          </w:p>
        </w:tc>
        <w:tc>
          <w:tcPr>
            <w:tcW w:w="4000" w:type="dxa"/>
            <w:vAlign w:val="bottom"/>
            <w:tcBorders>
              <w:bottom w:val="single" w:sz="8" w:color="0000FF"/>
            </w:tcBorders>
            <w:gridSpan w:val="23"/>
          </w:tcPr>
          <w:p>
            <w:pPr>
              <w:spacing w:after="0"/>
              <w:rPr>
                <w:rFonts w:ascii="Arial" w:cs="Arial" w:eastAsia="Arial" w:hAnsi="Arial"/>
                <w:sz w:val="18"/>
                <w:szCs w:val="18"/>
                <w:color w:val="0000FF"/>
                <w:w w:val="89"/>
              </w:rPr>
            </w:pPr>
            <w:hyperlink r:id="rId50">
              <w:r>
                <w:rPr>
                  <w:rFonts w:ascii="Arial" w:cs="Arial" w:eastAsia="Arial" w:hAnsi="Arial"/>
                  <w:sz w:val="18"/>
                  <w:szCs w:val="18"/>
                  <w:color w:val="0000FF"/>
                  <w:w w:val="89"/>
                </w:rPr>
                <w:t>Exchange Agreement, dated February 27, 2019, by and</w:t>
              </w:r>
            </w:hyperlink>
          </w:p>
        </w:tc>
        <w:tc>
          <w:tcPr>
            <w:tcW w:w="24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00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among Kratos Defense &amp; Security Solutions, Inc., FTT</w:t>
              </w:r>
            </w:hyperlink>
          </w:p>
        </w:tc>
        <w:tc>
          <w:tcPr>
            <w:tcW w:w="24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8"/>
          </w:tcPr>
          <w:p>
            <w:pPr>
              <w:spacing w:after="0" w:line="19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CORE, LLC, Florida Turbine Technologies, Inc., Shirley</w:t>
              </w:r>
            </w:hyperlink>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72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Brostmeyer (“SB”), Joseph Brostmeyer (“JB”), and</w:t>
              </w:r>
            </w:hyperlink>
          </w:p>
        </w:tc>
        <w:tc>
          <w:tcPr>
            <w:tcW w:w="380" w:type="dxa"/>
            <w:vAlign w:val="bottom"/>
            <w:tcBorders>
              <w:top w:val="single" w:sz="8" w:color="0000FF"/>
            </w:tcBorders>
            <w:gridSpan w:val="10"/>
          </w:tcPr>
          <w:p>
            <w:pPr>
              <w:spacing w:after="0"/>
              <w:rPr>
                <w:sz w:val="17"/>
                <w:szCs w:val="17"/>
                <w:color w:val="auto"/>
              </w:rPr>
            </w:pPr>
          </w:p>
        </w:tc>
        <w:tc>
          <w:tcPr>
            <w:tcW w:w="1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8"/>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certain trusts established by S</w:t>
              </w:r>
            </w:hyperlink>
          </w:p>
        </w:tc>
        <w:tc>
          <w:tcPr>
            <w:tcW w:w="9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10-Q</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10.30#</w:t>
            </w:r>
          </w:p>
        </w:tc>
        <w:tc>
          <w:tcPr>
            <w:tcW w:w="4240" w:type="dxa"/>
            <w:vAlign w:val="bottom"/>
            <w:gridSpan w:val="28"/>
          </w:tcPr>
          <w:p>
            <w:pPr>
              <w:spacing w:after="0"/>
              <w:rPr>
                <w:rFonts w:ascii="Arial" w:cs="Arial" w:eastAsia="Arial" w:hAnsi="Arial"/>
                <w:sz w:val="18"/>
                <w:szCs w:val="18"/>
                <w:color w:val="0000FF"/>
              </w:rPr>
            </w:pPr>
            <w:hyperlink r:id="rId51">
              <w:r>
                <w:rPr>
                  <w:rFonts w:ascii="Arial" w:cs="Arial" w:eastAsia="Arial" w:hAnsi="Arial"/>
                  <w:sz w:val="18"/>
                  <w:szCs w:val="18"/>
                  <w:color w:val="0000FF"/>
                </w:rPr>
                <w:t>Executive Employment Agreement, dated January 1,</w:t>
              </w:r>
            </w:hyperlink>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2017, by and between Kratos Defense &amp; Security</w:t>
              </w:r>
            </w:hyperlink>
          </w:p>
        </w:tc>
        <w:tc>
          <w:tcPr>
            <w:tcW w:w="220" w:type="dxa"/>
            <w:vAlign w:val="bottom"/>
            <w:tcBorders>
              <w:top w:val="single" w:sz="8" w:color="0000FF"/>
            </w:tcBorders>
            <w:gridSpan w:val="3"/>
          </w:tcPr>
          <w:p>
            <w:pPr>
              <w:spacing w:after="0"/>
              <w:rPr>
                <w:sz w:val="17"/>
                <w:szCs w:val="17"/>
                <w:color w:val="auto"/>
              </w:rPr>
            </w:pPr>
          </w:p>
        </w:tc>
        <w:tc>
          <w:tcPr>
            <w:tcW w:w="44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8"/>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Solutions, Inc. and Ben Goodwin</w:t>
              </w:r>
            </w:hyperlink>
          </w:p>
        </w:tc>
        <w:tc>
          <w:tcPr>
            <w:tcW w:w="960" w:type="dxa"/>
            <w:vAlign w:val="bottom"/>
            <w:vMerge w:val="restart"/>
          </w:tcPr>
          <w:p>
            <w:pPr>
              <w:jc w:val="center"/>
              <w:ind w:left="510"/>
              <w:spacing w:after="0"/>
              <w:rPr>
                <w:sz w:val="20"/>
                <w:szCs w:val="20"/>
                <w:color w:val="auto"/>
              </w:rPr>
            </w:pPr>
            <w:r>
              <w:rPr>
                <w:rFonts w:ascii="Arial" w:cs="Arial" w:eastAsia="Arial" w:hAnsi="Arial"/>
                <w:sz w:val="18"/>
                <w:szCs w:val="18"/>
                <w:color w:val="auto"/>
                <w:w w:val="89"/>
              </w:rPr>
              <w:t>10-Q</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21.1</w:t>
            </w:r>
          </w:p>
        </w:tc>
        <w:tc>
          <w:tcPr>
            <w:tcW w:w="4240" w:type="dxa"/>
            <w:vAlign w:val="bottom"/>
            <w:gridSpan w:val="28"/>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List of Subsidiaries.</w:t>
              </w:r>
            </w:hyperlink>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4240" w:type="dxa"/>
            <w:vAlign w:val="bottom"/>
            <w:gridSpan w:val="28"/>
          </w:tcPr>
          <w:p>
            <w:pPr>
              <w:spacing w:after="0"/>
              <w:rPr>
                <w:rFonts w:ascii="Arial" w:cs="Arial" w:eastAsia="Arial" w:hAnsi="Arial"/>
                <w:sz w:val="18"/>
                <w:szCs w:val="18"/>
                <w:color w:val="0000FF"/>
                <w:w w:val="97"/>
              </w:rPr>
            </w:pPr>
            <w:hyperlink w:anchor="page116">
              <w:r>
                <w:rPr>
                  <w:rFonts w:ascii="Arial" w:cs="Arial" w:eastAsia="Arial" w:hAnsi="Arial"/>
                  <w:sz w:val="18"/>
                  <w:szCs w:val="18"/>
                  <w:color w:val="0000FF"/>
                  <w:w w:val="97"/>
                </w:rPr>
                <w:t>Consent of Independent Registered Public Accounting</w:t>
              </w:r>
            </w:hyperlink>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116">
              <w:r>
                <w:rPr>
                  <w:rFonts w:ascii="Arial" w:cs="Arial" w:eastAsia="Arial" w:hAnsi="Arial"/>
                  <w:sz w:val="18"/>
                  <w:szCs w:val="18"/>
                  <w:color w:val="0000FF"/>
                  <w:w w:val="92"/>
                </w:rPr>
                <w:t>Firm.</w:t>
              </w:r>
            </w:hyperlink>
          </w:p>
        </w:tc>
        <w:tc>
          <w:tcPr>
            <w:tcW w:w="3560" w:type="dxa"/>
            <w:vAlign w:val="bottom"/>
            <w:tcBorders>
              <w:top w:val="single" w:sz="8" w:color="0000FF"/>
            </w:tcBorders>
            <w:gridSpan w:val="20"/>
          </w:tcPr>
          <w:p>
            <w:pPr>
              <w:spacing w:after="0"/>
              <w:rPr>
                <w:sz w:val="17"/>
                <w:szCs w:val="17"/>
                <w:color w:val="auto"/>
              </w:rPr>
            </w:pPr>
          </w:p>
        </w:tc>
        <w:tc>
          <w:tcPr>
            <w:tcW w:w="28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4240" w:type="dxa"/>
            <w:vAlign w:val="bottom"/>
            <w:gridSpan w:val="28"/>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Certification of Chief Executive Officer pursuant to</w:t>
              </w:r>
            </w:hyperlink>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720" w:type="dxa"/>
            <w:vAlign w:val="bottom"/>
            <w:tcBorders>
              <w:top w:val="single" w:sz="8" w:color="0000FF"/>
            </w:tcBorders>
            <w:gridSpan w:val="16"/>
          </w:tcPr>
          <w:p>
            <w:pPr>
              <w:spacing w:after="0" w:line="196" w:lineRule="exact"/>
              <w:rPr>
                <w:rFonts w:ascii="Arial" w:cs="Arial" w:eastAsia="Arial" w:hAnsi="Arial"/>
                <w:sz w:val="18"/>
                <w:szCs w:val="18"/>
                <w:color w:val="0000FF"/>
                <w:w w:val="97"/>
              </w:rPr>
            </w:pPr>
            <w:hyperlink w:anchor="page117">
              <w:r>
                <w:rPr>
                  <w:rFonts w:ascii="Arial" w:cs="Arial" w:eastAsia="Arial" w:hAnsi="Arial"/>
                  <w:sz w:val="18"/>
                  <w:szCs w:val="18"/>
                  <w:color w:val="0000FF"/>
                  <w:w w:val="97"/>
                </w:rPr>
                <w:t>Section 302 of the Sarbanes Oxley Act of 2002.</w:t>
              </w:r>
            </w:hyperlink>
          </w:p>
        </w:tc>
        <w:tc>
          <w:tcPr>
            <w:tcW w:w="520" w:type="dxa"/>
            <w:vAlign w:val="bottom"/>
            <w:gridSpan w:val="12"/>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180" w:type="dxa"/>
            <w:vAlign w:val="bottom"/>
            <w:gridSpan w:val="9"/>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4240" w:type="dxa"/>
            <w:vAlign w:val="bottom"/>
            <w:gridSpan w:val="28"/>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Certification of Chief Financial Officer pursuant to</w:t>
              </w:r>
            </w:hyperlink>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720" w:type="dxa"/>
            <w:vAlign w:val="bottom"/>
            <w:tcBorders>
              <w:top w:val="single" w:sz="8" w:color="0000FF"/>
            </w:tcBorders>
            <w:gridSpan w:val="16"/>
          </w:tcPr>
          <w:p>
            <w:pPr>
              <w:spacing w:after="0" w:line="196" w:lineRule="exact"/>
              <w:rPr>
                <w:rFonts w:ascii="Arial" w:cs="Arial" w:eastAsia="Arial" w:hAnsi="Arial"/>
                <w:sz w:val="18"/>
                <w:szCs w:val="18"/>
                <w:color w:val="0000FF"/>
                <w:w w:val="97"/>
              </w:rPr>
            </w:pPr>
            <w:hyperlink w:anchor="page118">
              <w:r>
                <w:rPr>
                  <w:rFonts w:ascii="Arial" w:cs="Arial" w:eastAsia="Arial" w:hAnsi="Arial"/>
                  <w:sz w:val="18"/>
                  <w:szCs w:val="18"/>
                  <w:color w:val="0000FF"/>
                  <w:w w:val="97"/>
                </w:rPr>
                <w:t>Section 302 of the Sarbanes Oxley Act of 2002.</w:t>
              </w:r>
            </w:hyperlink>
          </w:p>
        </w:tc>
        <w:tc>
          <w:tcPr>
            <w:tcW w:w="520" w:type="dxa"/>
            <w:vAlign w:val="bottom"/>
            <w:gridSpan w:val="12"/>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180" w:type="dxa"/>
            <w:vAlign w:val="bottom"/>
            <w:gridSpan w:val="9"/>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4240" w:type="dxa"/>
            <w:vAlign w:val="bottom"/>
            <w:gridSpan w:val="28"/>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Certification pursuant to 18 U.S.C. Section 1350, as</w:t>
              </w:r>
            </w:hyperlink>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180" w:type="dxa"/>
            <w:vAlign w:val="bottom"/>
            <w:gridSpan w:val="9"/>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398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w:anchor="page119">
              <w:r>
                <w:rPr>
                  <w:rFonts w:ascii="Arial" w:cs="Arial" w:eastAsia="Arial" w:hAnsi="Arial"/>
                  <w:sz w:val="18"/>
                  <w:szCs w:val="18"/>
                  <w:color w:val="0000FF"/>
                  <w:w w:val="89"/>
                </w:rPr>
                <w:t>adopted pursuant to Section 906 of the Sarbanes-Oxley</w:t>
              </w:r>
            </w:hyperlink>
          </w:p>
        </w:tc>
        <w:tc>
          <w:tcPr>
            <w:tcW w:w="26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8"/>
          </w:tcPr>
          <w:p>
            <w:pPr>
              <w:spacing w:after="0" w:line="196" w:lineRule="exact"/>
              <w:rPr>
                <w:rFonts w:ascii="Arial" w:cs="Arial" w:eastAsia="Arial" w:hAnsi="Arial"/>
                <w:sz w:val="18"/>
                <w:szCs w:val="18"/>
                <w:color w:val="0000FF"/>
              </w:rPr>
            </w:pPr>
            <w:hyperlink w:anchor="page119">
              <w:r>
                <w:rPr>
                  <w:rFonts w:ascii="Arial" w:cs="Arial" w:eastAsia="Arial" w:hAnsi="Arial"/>
                  <w:sz w:val="18"/>
                  <w:szCs w:val="18"/>
                  <w:color w:val="0000FF"/>
                </w:rPr>
                <w:t>Act of 2002 for Eric M. DeMarco.</w:t>
              </w:r>
            </w:hyperlink>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180" w:type="dxa"/>
            <w:vAlign w:val="bottom"/>
            <w:gridSpan w:val="9"/>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760" w:type="dxa"/>
            <w:vAlign w:val="bottom"/>
            <w:gridSpan w:val="1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4240" w:type="dxa"/>
            <w:vAlign w:val="bottom"/>
            <w:gridSpan w:val="28"/>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Certification pursuant to 18 U.S.C. Section 1350, as</w:t>
              </w:r>
            </w:hyperlink>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180" w:type="dxa"/>
            <w:vAlign w:val="bottom"/>
            <w:gridSpan w:val="9"/>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398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w:anchor="page120">
              <w:r>
                <w:rPr>
                  <w:rFonts w:ascii="Arial" w:cs="Arial" w:eastAsia="Arial" w:hAnsi="Arial"/>
                  <w:sz w:val="18"/>
                  <w:szCs w:val="18"/>
                  <w:color w:val="0000FF"/>
                  <w:w w:val="89"/>
                </w:rPr>
                <w:t>adopted pursuant to Section 906 of the Sarbanes-Oxley</w:t>
              </w:r>
            </w:hyperlink>
          </w:p>
        </w:tc>
        <w:tc>
          <w:tcPr>
            <w:tcW w:w="26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8"/>
          </w:tcPr>
          <w:p>
            <w:pPr>
              <w:spacing w:after="0" w:line="196" w:lineRule="exact"/>
              <w:rPr>
                <w:rFonts w:ascii="Arial" w:cs="Arial" w:eastAsia="Arial" w:hAnsi="Arial"/>
                <w:sz w:val="18"/>
                <w:szCs w:val="18"/>
                <w:color w:val="0000FF"/>
              </w:rPr>
            </w:pPr>
            <w:hyperlink w:anchor="page120">
              <w:r>
                <w:rPr>
                  <w:rFonts w:ascii="Arial" w:cs="Arial" w:eastAsia="Arial" w:hAnsi="Arial"/>
                  <w:sz w:val="18"/>
                  <w:szCs w:val="18"/>
                  <w:color w:val="0000FF"/>
                </w:rPr>
                <w:t>Act of 2002 for Deanna Lund.</w:t>
              </w:r>
            </w:hyperlink>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6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6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7"/>
          <w:szCs w:val="17"/>
          <w:color w:val="auto"/>
        </w:rPr>
        <w:t>06/02/2015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(001-34460)</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7"/>
          <w:szCs w:val="17"/>
          <w:color w:val="auto"/>
        </w:rPr>
        <w:t>12/08/2016</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7"/>
          <w:szCs w:val="17"/>
          <w:color w:val="auto"/>
        </w:rPr>
        <w:t>11/21/2017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06/13/2018</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(001-34460)</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05/04/2017</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(001-34460)</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02/28/2019</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7"/>
          <w:szCs w:val="17"/>
          <w:color w:val="auto"/>
        </w:rPr>
        <w:t>05/08/2019</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(001-34460)</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7"/>
          <w:szCs w:val="17"/>
          <w:color w:val="auto"/>
        </w:rPr>
        <w:t>07/31/2019</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(001-34460)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9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9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349" w:lineRule="exact"/>
        <w:rPr>
          <w:sz w:val="20"/>
          <w:szCs w:val="20"/>
          <w:color w:val="auto"/>
        </w:rPr>
      </w:pPr>
    </w:p>
    <w:p>
      <w:pPr>
        <w:jc w:val="center"/>
        <w:ind w:right="759"/>
        <w:spacing w:after="0"/>
        <w:rPr>
          <w:sz w:val="20"/>
          <w:szCs w:val="20"/>
          <w:color w:val="auto"/>
        </w:rPr>
      </w:pPr>
      <w:r>
        <w:rPr>
          <w:rFonts w:ascii="Arial" w:cs="Arial" w:eastAsia="Arial" w:hAnsi="Arial"/>
          <w:sz w:val="15"/>
          <w:szCs w:val="15"/>
          <w:color w:val="auto"/>
        </w:rPr>
        <w:t>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6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3">
            <w:col w:w="6580" w:space="720"/>
            <w:col w:w="1000" w:space="720"/>
            <w:col w:w="1159"/>
          </w:cols>
          <w:pgMar w:left="280" w:top="702" w:right="1440" w:bottom="1440" w:gutter="0" w:footer="0" w:header="0"/>
        </w:sectPr>
      </w:pPr>
    </w:p>
    <w:bookmarkStart w:id="57" w:name="page58"/>
    <w:bookmarkEnd w:id="57"/>
    <w:p>
      <w:pPr>
        <w:ind w:left="1300" w:hanging="126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statements from the Annual Report on</w:t>
      </w:r>
    </w:p>
    <w:p>
      <w:pPr>
        <w:spacing w:after="0" w:line="23" w:lineRule="exact"/>
        <w:rPr>
          <w:rFonts w:ascii="Arial" w:cs="Arial" w:eastAsia="Arial" w:hAnsi="Arial"/>
          <w:sz w:val="18"/>
          <w:szCs w:val="18"/>
          <w:color w:val="auto"/>
        </w:rPr>
      </w:pPr>
    </w:p>
    <w:p>
      <w:pPr>
        <w:ind w:left="1300" w:right="5520"/>
        <w:spacing w:after="0" w:line="281" w:lineRule="auto"/>
        <w:rPr>
          <w:rFonts w:ascii="Arial" w:cs="Arial" w:eastAsia="Arial" w:hAnsi="Arial"/>
          <w:sz w:val="18"/>
          <w:szCs w:val="18"/>
          <w:color w:val="auto"/>
        </w:rPr>
      </w:pPr>
      <w:r>
        <w:rPr>
          <w:rFonts w:ascii="Arial" w:cs="Arial" w:eastAsia="Arial" w:hAnsi="Arial"/>
          <w:sz w:val="16"/>
          <w:szCs w:val="16"/>
          <w:color w:val="auto"/>
        </w:rPr>
        <w:t>Form 10-K of Kratos Defense &amp; Security Solutions, Inc. for the year ended December 29, 2019, formatted in XBRL: (i) the Consolidated Balance Sheets, (ii) the Consolidated Statements of Operations, (iii) the Consolidated Statement of Comprehensive Loss, (iv) the</w:t>
      </w:r>
    </w:p>
    <w:tbl>
      <w:tblPr>
        <w:tblLayout w:type="fixed"/>
        <w:tblInd w:w="40" w:type="dxa"/>
        <w:tblCellMar>
          <w:top w:w="0" w:type="dxa"/>
          <w:left w:w="0" w:type="dxa"/>
          <w:bottom w:w="0" w:type="dxa"/>
          <w:right w:w="0" w:type="dxa"/>
        </w:tblCellMar>
      </w:tblPr>
      <w:tr>
        <w:trPr>
          <w:trHeight w:val="205"/>
        </w:trPr>
        <w:tc>
          <w:tcPr>
            <w:tcW w:w="760" w:type="dxa"/>
            <w:vAlign w:val="bottom"/>
          </w:tcPr>
          <w:p>
            <w:pPr>
              <w:spacing w:after="0"/>
              <w:rPr>
                <w:sz w:val="17"/>
                <w:szCs w:val="17"/>
                <w:color w:val="auto"/>
              </w:rPr>
            </w:pPr>
          </w:p>
        </w:tc>
        <w:tc>
          <w:tcPr>
            <w:tcW w:w="6940" w:type="dxa"/>
            <w:vAlign w:val="bottom"/>
          </w:tcPr>
          <w:p>
            <w:pPr>
              <w:ind w:left="500"/>
              <w:spacing w:after="0" w:line="205" w:lineRule="exact"/>
              <w:rPr>
                <w:sz w:val="20"/>
                <w:szCs w:val="20"/>
                <w:color w:val="auto"/>
              </w:rPr>
            </w:pPr>
            <w:r>
              <w:rPr>
                <w:rFonts w:ascii="Arial" w:cs="Arial" w:eastAsia="Arial" w:hAnsi="Arial"/>
                <w:sz w:val="18"/>
                <w:szCs w:val="18"/>
                <w:color w:val="auto"/>
              </w:rPr>
              <w:t>Consolidated Statements of Cash Flows, (v) the Notes to</w:t>
            </w:r>
          </w:p>
        </w:tc>
        <w:tc>
          <w:tcPr>
            <w:tcW w:w="2440" w:type="dxa"/>
            <w:vAlign w:val="bottom"/>
          </w:tcPr>
          <w:p>
            <w:pPr>
              <w:spacing w:after="0"/>
              <w:rPr>
                <w:sz w:val="17"/>
                <w:szCs w:val="17"/>
                <w:color w:val="auto"/>
              </w:rPr>
            </w:pPr>
          </w:p>
        </w:tc>
      </w:tr>
      <w:tr>
        <w:trPr>
          <w:trHeight w:val="230"/>
        </w:trPr>
        <w:tc>
          <w:tcPr>
            <w:tcW w:w="760" w:type="dxa"/>
            <w:vAlign w:val="bottom"/>
          </w:tcPr>
          <w:p>
            <w:pPr>
              <w:spacing w:after="0"/>
              <w:rPr>
                <w:sz w:val="20"/>
                <w:szCs w:val="20"/>
                <w:color w:val="auto"/>
              </w:rPr>
            </w:pPr>
          </w:p>
        </w:tc>
        <w:tc>
          <w:tcPr>
            <w:tcW w:w="6940" w:type="dxa"/>
            <w:vAlign w:val="bottom"/>
          </w:tcPr>
          <w:p>
            <w:pPr>
              <w:ind w:left="500"/>
              <w:spacing w:after="0"/>
              <w:rPr>
                <w:sz w:val="20"/>
                <w:szCs w:val="20"/>
                <w:color w:val="auto"/>
              </w:rPr>
            </w:pPr>
            <w:r>
              <w:rPr>
                <w:rFonts w:ascii="Arial" w:cs="Arial" w:eastAsia="Arial" w:hAnsi="Arial"/>
                <w:sz w:val="18"/>
                <w:szCs w:val="18"/>
                <w:color w:val="auto"/>
              </w:rPr>
              <w:t>the Consolidated Financial Statements.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60" w:type="dxa"/>
            <w:vAlign w:val="bottom"/>
          </w:tcPr>
          <w:p>
            <w:pPr>
              <w:jc w:val="right"/>
              <w:ind w:right="410"/>
              <w:spacing w:after="0"/>
              <w:rPr>
                <w:sz w:val="20"/>
                <w:szCs w:val="20"/>
                <w:color w:val="auto"/>
              </w:rPr>
            </w:pPr>
            <w:r>
              <w:rPr>
                <w:rFonts w:ascii="Arial" w:cs="Arial" w:eastAsia="Arial" w:hAnsi="Arial"/>
                <w:sz w:val="18"/>
                <w:szCs w:val="18"/>
                <w:color w:val="auto"/>
                <w:w w:val="79"/>
              </w:rPr>
              <w:t>104</w:t>
            </w:r>
          </w:p>
        </w:tc>
        <w:tc>
          <w:tcPr>
            <w:tcW w:w="6940" w:type="dxa"/>
            <w:vAlign w:val="bottom"/>
          </w:tcPr>
          <w:p>
            <w:pPr>
              <w:ind w:left="500"/>
              <w:spacing w:after="0"/>
              <w:rPr>
                <w:sz w:val="20"/>
                <w:szCs w:val="20"/>
                <w:color w:val="auto"/>
              </w:rPr>
            </w:pPr>
            <w:r>
              <w:rPr>
                <w:rFonts w:ascii="Arial" w:cs="Arial" w:eastAsia="Arial" w:hAnsi="Arial"/>
                <w:sz w:val="18"/>
                <w:szCs w:val="18"/>
                <w:color w:val="auto"/>
              </w:rPr>
              <w:t>Cover Page Interactive Data File (formatted as inline</w:t>
            </w:r>
          </w:p>
        </w:tc>
        <w:tc>
          <w:tcPr>
            <w:tcW w:w="2440" w:type="dxa"/>
            <w:vAlign w:val="bottom"/>
          </w:tcPr>
          <w:p>
            <w:pPr>
              <w:spacing w:after="0"/>
              <w:rPr>
                <w:sz w:val="22"/>
                <w:szCs w:val="22"/>
                <w:color w:val="auto"/>
              </w:rPr>
            </w:pPr>
          </w:p>
        </w:tc>
      </w:tr>
      <w:tr>
        <w:trPr>
          <w:trHeight w:val="230"/>
        </w:trPr>
        <w:tc>
          <w:tcPr>
            <w:tcW w:w="760" w:type="dxa"/>
            <w:vAlign w:val="bottom"/>
          </w:tcPr>
          <w:p>
            <w:pPr>
              <w:spacing w:after="0"/>
              <w:rPr>
                <w:sz w:val="20"/>
                <w:szCs w:val="20"/>
                <w:color w:val="auto"/>
              </w:rPr>
            </w:pPr>
          </w:p>
        </w:tc>
        <w:tc>
          <w:tcPr>
            <w:tcW w:w="6940" w:type="dxa"/>
            <w:vAlign w:val="bottom"/>
          </w:tcPr>
          <w:p>
            <w:pPr>
              <w:ind w:left="500"/>
              <w:spacing w:after="0"/>
              <w:rPr>
                <w:sz w:val="20"/>
                <w:szCs w:val="20"/>
                <w:color w:val="auto"/>
              </w:rPr>
            </w:pPr>
            <w:r>
              <w:rPr>
                <w:rFonts w:ascii="Arial" w:cs="Arial" w:eastAsia="Arial" w:hAnsi="Arial"/>
                <w:sz w:val="18"/>
                <w:szCs w:val="18"/>
                <w:color w:val="auto"/>
              </w:rPr>
              <w:t>XBRL and contained in Exhibit 101)</w:t>
            </w:r>
          </w:p>
        </w:tc>
        <w:tc>
          <w:tcPr>
            <w:tcW w:w="2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8"/>
        <w:spacing w:after="0" w:line="308" w:lineRule="auto"/>
        <w:tabs>
          <w:tab w:leader="none" w:pos="282" w:val="left"/>
        </w:tabs>
        <w:numPr>
          <w:ilvl w:val="0"/>
          <w:numId w:val="25"/>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4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Certain portions have been omitted pursuant to a confidential treatment request. Omitted information has been filed separately with the SEC.</w:t>
      </w:r>
    </w:p>
    <w:p>
      <w:pPr>
        <w:spacing w:after="0" w:line="225" w:lineRule="exact"/>
        <w:rPr>
          <w:sz w:val="20"/>
          <w:szCs w:val="20"/>
          <w:color w:val="auto"/>
        </w:rPr>
      </w:pPr>
    </w:p>
    <w:p>
      <w:pPr>
        <w:ind w:right="2140" w:firstLine="8"/>
        <w:spacing w:after="0" w:line="277"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(i) not material and (ii) would be competitively harmful if publicly disclosed.</w:t>
      </w:r>
    </w:p>
    <w:p>
      <w:pPr>
        <w:spacing w:after="0" w:line="17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15(a)(3) above.</w:t>
      </w:r>
    </w:p>
    <w:p>
      <w:pPr>
        <w:spacing w:after="0" w:line="397" w:lineRule="exact"/>
        <w:rPr>
          <w:sz w:val="20"/>
          <w:szCs w:val="20"/>
          <w:color w:val="auto"/>
        </w:rPr>
      </w:pPr>
    </w:p>
    <w:p>
      <w:pPr>
        <w:ind w:left="660" w:right="8300" w:hanging="652"/>
        <w:spacing w:after="0" w:line="631" w:lineRule="auto"/>
        <w:tabs>
          <w:tab w:leader="none" w:pos="257"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 Schedules </w:t>
      </w:r>
      <w:r>
        <w:rPr>
          <w:rFonts w:ascii="Arial" w:cs="Arial" w:eastAsia="Arial" w:hAnsi="Arial"/>
          <w:sz w:val="15"/>
          <w:szCs w:val="15"/>
          <w:color w:val="auto"/>
        </w:rPr>
        <w:t>See Item 15(a)(2) above.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00"/>
          </w:cols>
          <w:pgMar w:left="240" w:top="719" w:right="759" w:bottom="1440" w:gutter="0" w:footer="0" w:header="0"/>
        </w:sectPr>
      </w:pPr>
    </w:p>
    <w:bookmarkStart w:id="58" w:name="page59"/>
    <w:bookmarkEnd w:id="5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pacing w:after="0" w:line="38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Kratos Defense &amp; Security Solutions, Inc.</w:t>
      </w:r>
    </w:p>
    <w:p>
      <w:pPr>
        <w:spacing w:after="0" w:line="387" w:lineRule="exact"/>
        <w:rPr>
          <w:sz w:val="20"/>
          <w:szCs w:val="20"/>
          <w:color w:val="auto"/>
        </w:rPr>
      </w:pPr>
    </w:p>
    <w:p>
      <w:pPr>
        <w:ind w:left="472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40640</wp:posOffset>
            </wp:positionV>
            <wp:extent cx="38677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spacing w:after="0" w:line="70"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Eric M. DeMarco</w:t>
      </w:r>
    </w:p>
    <w:p>
      <w:pPr>
        <w:spacing w:after="0" w:line="23" w:lineRule="exact"/>
        <w:rPr>
          <w:sz w:val="20"/>
          <w:szCs w:val="20"/>
          <w:color w:val="auto"/>
        </w:rPr>
      </w:pPr>
    </w:p>
    <w:p>
      <w:pPr>
        <w:jc w:val="center"/>
        <w:ind w:left="5200"/>
        <w:spacing w:after="0"/>
        <w:rPr>
          <w:sz w:val="20"/>
          <w:szCs w:val="20"/>
          <w:color w:val="auto"/>
        </w:rPr>
      </w:pPr>
      <w:r>
        <w:rPr>
          <w:rFonts w:ascii="Arial" w:cs="Arial" w:eastAsia="Arial" w:hAnsi="Arial"/>
          <w:sz w:val="18"/>
          <w:szCs w:val="18"/>
          <w:i w:val="1"/>
          <w:iCs w:val="1"/>
          <w:color w:val="auto"/>
        </w:rPr>
        <w:t>President and Chief Executive Officer (Principal</w:t>
      </w:r>
    </w:p>
    <w:p>
      <w:pPr>
        <w:spacing w:after="0" w:line="23" w:lineRule="exact"/>
        <w:rPr>
          <w:sz w:val="20"/>
          <w:szCs w:val="20"/>
          <w:color w:val="auto"/>
        </w:rPr>
      </w:pPr>
    </w:p>
    <w:p>
      <w:pPr>
        <w:jc w:val="center"/>
        <w:ind w:left="5200"/>
        <w:spacing w:after="0"/>
        <w:rPr>
          <w:sz w:val="20"/>
          <w:szCs w:val="20"/>
          <w:color w:val="auto"/>
        </w:rPr>
      </w:pPr>
      <w:r>
        <w:rPr>
          <w:rFonts w:ascii="Arial" w:cs="Arial" w:eastAsia="Arial" w:hAnsi="Arial"/>
          <w:sz w:val="18"/>
          <w:szCs w:val="18"/>
          <w:i w:val="1"/>
          <w:iCs w:val="1"/>
          <w:color w:val="auto"/>
        </w:rPr>
        <w:t>Executive Officer)</w:t>
      </w:r>
    </w:p>
    <w:p>
      <w:pPr>
        <w:spacing w:after="0" w:line="2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553" w:right="29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Signature</w:t>
      </w:r>
    </w:p>
    <w:p>
      <w:pPr>
        <w:spacing w:after="0" w:line="370"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Eric M. DeMarco</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Eric M. DeMarco</w:t>
      </w:r>
    </w:p>
    <w:p>
      <w:pPr>
        <w:spacing w:after="0" w:line="400"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Deanna H. Lund</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Deanna H. Lund</w:t>
      </w:r>
    </w:p>
    <w:p>
      <w:pPr>
        <w:spacing w:after="0" w:line="400" w:lineRule="exact"/>
        <w:rPr>
          <w:sz w:val="20"/>
          <w:szCs w:val="20"/>
          <w:color w:val="auto"/>
        </w:rPr>
      </w:pPr>
    </w:p>
    <w:p>
      <w:pPr>
        <w:jc w:val="center"/>
        <w:ind w:left="880"/>
        <w:spacing w:after="0"/>
        <w:rPr>
          <w:sz w:val="20"/>
          <w:szCs w:val="20"/>
          <w:color w:val="auto"/>
        </w:rPr>
      </w:pPr>
      <w:r>
        <w:rPr>
          <w:rFonts w:ascii="Arial" w:cs="Arial" w:eastAsia="Arial" w:hAnsi="Arial"/>
          <w:sz w:val="16"/>
          <w:szCs w:val="16"/>
          <w:u w:val="single" w:color="auto"/>
          <w:color w:val="auto"/>
        </w:rPr>
        <w:t>/s/ Maria Cervantes de Burgreen</w:t>
      </w:r>
    </w:p>
    <w:p>
      <w:pPr>
        <w:spacing w:after="0" w:line="46" w:lineRule="exact"/>
        <w:rPr>
          <w:sz w:val="20"/>
          <w:szCs w:val="20"/>
          <w:color w:val="auto"/>
        </w:rPr>
      </w:pPr>
    </w:p>
    <w:p>
      <w:pPr>
        <w:jc w:val="center"/>
        <w:ind w:left="880"/>
        <w:spacing w:after="0"/>
        <w:rPr>
          <w:sz w:val="20"/>
          <w:szCs w:val="20"/>
          <w:color w:val="auto"/>
        </w:rPr>
      </w:pPr>
      <w:r>
        <w:rPr>
          <w:rFonts w:ascii="Arial" w:cs="Arial" w:eastAsia="Arial" w:hAnsi="Arial"/>
          <w:sz w:val="17"/>
          <w:szCs w:val="17"/>
          <w:color w:val="auto"/>
        </w:rPr>
        <w:t>Maria Cervantes de Burgreen</w:t>
      </w:r>
    </w:p>
    <w:p>
      <w:pPr>
        <w:spacing w:after="0" w:line="200" w:lineRule="exact"/>
        <w:rPr>
          <w:sz w:val="20"/>
          <w:szCs w:val="20"/>
          <w:color w:val="auto"/>
        </w:rPr>
      </w:pPr>
    </w:p>
    <w:p>
      <w:pPr>
        <w:spacing w:after="0" w:line="211"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Scott Anderson</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Scott Anderson</w:t>
      </w:r>
    </w:p>
    <w:p>
      <w:pPr>
        <w:spacing w:after="0" w:line="400"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William Hoglund</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William Hoglund</w:t>
      </w:r>
    </w:p>
    <w:p>
      <w:pPr>
        <w:spacing w:after="0" w:line="400"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Scot Jarvis</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Scot Jarvis</w:t>
      </w:r>
    </w:p>
    <w:p>
      <w:pPr>
        <w:spacing w:after="0" w:line="400"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Jane E. Judd</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Jane E. Judd</w:t>
      </w:r>
    </w:p>
    <w:p>
      <w:pPr>
        <w:spacing w:after="0" w:line="400"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Sam Liberatore</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Sam Liberatore</w:t>
      </w:r>
    </w:p>
    <w:p>
      <w:pPr>
        <w:spacing w:after="0" w:line="400" w:lineRule="exact"/>
        <w:rPr>
          <w:sz w:val="20"/>
          <w:szCs w:val="20"/>
          <w:color w:val="auto"/>
        </w:rPr>
      </w:pPr>
    </w:p>
    <w:p>
      <w:pPr>
        <w:jc w:val="center"/>
        <w:ind w:left="700"/>
        <w:spacing w:after="0"/>
        <w:rPr>
          <w:sz w:val="20"/>
          <w:szCs w:val="20"/>
          <w:color w:val="auto"/>
        </w:rPr>
      </w:pPr>
      <w:r>
        <w:rPr>
          <w:rFonts w:ascii="Arial" w:cs="Arial" w:eastAsia="Arial" w:hAnsi="Arial"/>
          <w:sz w:val="18"/>
          <w:szCs w:val="18"/>
          <w:u w:val="single" w:color="auto"/>
          <w:color w:val="auto"/>
        </w:rPr>
        <w:t>/s/ Amy Zegart</w:t>
      </w:r>
    </w:p>
    <w:p>
      <w:pPr>
        <w:spacing w:after="0" w:line="23"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Amy Zegart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Title</w:t>
      </w:r>
    </w:p>
    <w:p>
      <w:pPr>
        <w:spacing w:after="0" w:line="3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Executive Vice President, Chief Financial Officer (Principal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Corporate Controller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Date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345" w:lineRule="exact"/>
        <w:rPr>
          <w:sz w:val="20"/>
          <w:szCs w:val="20"/>
          <w:color w:val="auto"/>
        </w:rPr>
      </w:pPr>
    </w:p>
    <w:p>
      <w:pPr>
        <w:sectPr>
          <w:pgSz w:w="11900" w:h="16838" w:orient="portrait"/>
          <w:cols w:equalWidth="0" w:num="3">
            <w:col w:w="3900" w:space="720"/>
            <w:col w:w="4340" w:space="660"/>
            <w:col w:w="1740"/>
          </w:cols>
          <w:pgMar w:left="240" w:top="553" w:right="29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60"/>
          </w:cols>
          <w:pgMar w:left="240" w:top="553" w:right="299" w:bottom="1440" w:gutter="0" w:footer="0" w:header="0"/>
          <w:type w:val="continuous"/>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Report of Independent Registered Public Accounting Firm</w:t>
              </w:r>
            </w:hyperlink>
          </w:p>
        </w:tc>
        <w:tc>
          <w:tcPr>
            <w:tcW w:w="560" w:type="dxa"/>
            <w:vAlign w:val="bottom"/>
            <w:gridSpan w:val="2"/>
          </w:tcPr>
          <w:p>
            <w:pPr>
              <w:ind w:left="300"/>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F-2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57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Consolidated Balance Sheets as of December 29, 2019 and December 30, 2018</w:t>
              </w:r>
            </w:hyperlink>
          </w:p>
        </w:tc>
        <w:tc>
          <w:tcPr>
            <w:tcW w:w="5100" w:type="dxa"/>
            <w:vAlign w:val="bottom"/>
            <w:gridSpan w:val="5"/>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F-4</w:t>
              </w:r>
            </w:hyperlink>
          </w:p>
        </w:tc>
      </w:tr>
      <w:tr>
        <w:trPr>
          <w:trHeight w:val="250"/>
        </w:trPr>
        <w:tc>
          <w:tcPr>
            <w:tcW w:w="90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Operations for the Years Ended December 29, 2019, December 30, 2018, and December 31, 2017</w:t>
              </w:r>
            </w:hyperlink>
          </w:p>
        </w:tc>
        <w:tc>
          <w:tcPr>
            <w:tcW w:w="1740" w:type="dxa"/>
            <w:vAlign w:val="bottom"/>
            <w:gridSpan w:val="4"/>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F-5</w:t>
              </w:r>
            </w:hyperlink>
          </w:p>
        </w:tc>
      </w:tr>
      <w:tr>
        <w:trPr>
          <w:trHeight w:val="250"/>
        </w:trPr>
        <w:tc>
          <w:tcPr>
            <w:tcW w:w="10800" w:type="dxa"/>
            <w:vAlign w:val="bottom"/>
            <w:gridSpan w:val="8"/>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Consolidated Statements of Comprehensive Income (Loss) for the Years Ended December 29, 2019, December 30, 2018, and December 31, 2017</w:t>
              </w:r>
            </w:hyperlink>
          </w:p>
        </w:tc>
        <w:tc>
          <w:tcPr>
            <w:tcW w:w="560" w:type="dxa"/>
            <w:vAlign w:val="bottom"/>
            <w:gridSpan w:val="2"/>
          </w:tcPr>
          <w:p>
            <w:pPr>
              <w:ind w:left="300"/>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F-6</w:t>
              </w:r>
            </w:hyperlink>
          </w:p>
        </w:tc>
      </w:tr>
      <w:tr>
        <w:trPr>
          <w:trHeight w:val="250"/>
        </w:trPr>
        <w:tc>
          <w:tcPr>
            <w:tcW w:w="10480" w:type="dxa"/>
            <w:vAlign w:val="bottom"/>
            <w:tcBorders>
              <w:top w:val="single" w:sz="8" w:color="0000EE"/>
            </w:tcBorders>
            <w:gridSpan w:val="7"/>
          </w:tcPr>
          <w:p>
            <w:pPr>
              <w:spacing w:after="0"/>
              <w:rPr>
                <w:rFonts w:ascii="Arial" w:cs="Arial" w:eastAsia="Arial" w:hAnsi="Arial"/>
                <w:sz w:val="18"/>
                <w:szCs w:val="18"/>
                <w:color w:val="0000EE"/>
                <w:w w:val="96"/>
              </w:rPr>
            </w:pPr>
            <w:hyperlink w:anchor="page66">
              <w:r>
                <w:rPr>
                  <w:rFonts w:ascii="Arial" w:cs="Arial" w:eastAsia="Arial" w:hAnsi="Arial"/>
                  <w:sz w:val="18"/>
                  <w:szCs w:val="18"/>
                  <w:color w:val="0000EE"/>
                  <w:w w:val="96"/>
                </w:rPr>
                <w:t>Consolidated Statements of Stockholders’ Equity for the Years Ended December 29, 2019, December 30, 2018, and December 31, 2017</w:t>
              </w:r>
            </w:hyperlink>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F-7</w:t>
              </w:r>
            </w:hyperlink>
          </w:p>
        </w:tc>
      </w:tr>
      <w:tr>
        <w:trPr>
          <w:trHeight w:val="250"/>
        </w:trPr>
        <w:tc>
          <w:tcPr>
            <w:tcW w:w="9780" w:type="dxa"/>
            <w:vAlign w:val="bottom"/>
            <w:tcBorders>
              <w:top w:val="single" w:sz="8" w:color="0000EE"/>
            </w:tcBorders>
            <w:gridSpan w:val="6"/>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Consolidated Statements of Cash Flows for the Years Ended December 29, 2019, December 30, 2018, and December 31, 2017</w:t>
              </w:r>
            </w:hyperlink>
          </w:p>
        </w:tc>
        <w:tc>
          <w:tcPr>
            <w:tcW w:w="10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F-8</w:t>
              </w:r>
            </w:hyperlink>
          </w:p>
        </w:tc>
      </w:tr>
      <w:tr>
        <w:trPr>
          <w:trHeight w:val="250"/>
        </w:trPr>
        <w:tc>
          <w:tcPr>
            <w:tcW w:w="9100" w:type="dxa"/>
            <w:vAlign w:val="bottom"/>
            <w:tcBorders>
              <w:top w:val="single" w:sz="8" w:color="0000EE"/>
            </w:tcBorders>
            <w:gridSpan w:val="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Notes to Consolidated Financial Statements</w:t>
              </w:r>
            </w:hyperlink>
          </w:p>
        </w:tc>
        <w:tc>
          <w:tcPr>
            <w:tcW w:w="170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F-9</w:t>
              </w:r>
            </w:hyperlink>
          </w:p>
        </w:tc>
      </w:tr>
      <w:tr>
        <w:trPr>
          <w:trHeight w:val="696"/>
        </w:trPr>
        <w:tc>
          <w:tcPr>
            <w:tcW w:w="314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600" w:type="dxa"/>
            <w:vAlign w:val="bottom"/>
            <w:gridSpan w:val="6"/>
          </w:tcPr>
          <w:p>
            <w:pPr>
              <w:ind w:left="134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769"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Kratos Defense &amp; Security Solutions, Inc.</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Opinions on the Financial Statements and Internal Control over Financial Reporting</w:t>
      </w:r>
    </w:p>
    <w:p>
      <w:pPr>
        <w:spacing w:after="0" w:line="33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We have audited the accompanying consolidated balance sheets of Kratos Defense &amp; Security Solutions, Inc. and subsidiaries (the "Company") as of December 29, 2019 and December 30, 2018, and the related consolidated statements of operations and comprehensive income (loss), stockholders’ equity, and cash flows, for each of the three fiscal years in the period ended December 29, 2019, and the related notes (collectively referred to as the "financial statements"). We also have audited the Company’s internal control over financial reporting as of December 29,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w:t>
      </w:r>
    </w:p>
    <w:p>
      <w:pPr>
        <w:spacing w:after="0" w:line="300" w:lineRule="exact"/>
        <w:rPr>
          <w:sz w:val="20"/>
          <w:szCs w:val="20"/>
          <w:color w:val="auto"/>
        </w:rPr>
      </w:pPr>
    </w:p>
    <w:p>
      <w:pPr>
        <w:jc w:val="both"/>
        <w:ind w:right="40"/>
        <w:spacing w:after="0" w:line="278" w:lineRule="auto"/>
        <w:rPr>
          <w:sz w:val="20"/>
          <w:szCs w:val="20"/>
          <w:color w:val="auto"/>
        </w:rPr>
      </w:pPr>
      <w:r>
        <w:rPr>
          <w:rFonts w:ascii="Arial" w:cs="Arial" w:eastAsia="Arial" w:hAnsi="Arial"/>
          <w:sz w:val="15"/>
          <w:szCs w:val="15"/>
          <w:color w:val="auto"/>
        </w:rPr>
        <w:t xml:space="preserve">In our opinion, the financial statements referred to above present fairly, in all material respects, the financial position of the Company as of December 29, 2019 and December 30, 2018, and the results of its operations and its cash flows for each of the three fiscal years in the period ended December 29, 2019, in conformity with accounting principles generally accepted in the United States of America. Also, in our opinion, the Company maintained, in all material respects, effective internal control over financial reporting as of December 29, 2019,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COSO.</w:t>
      </w:r>
    </w:p>
    <w:p>
      <w:pPr>
        <w:spacing w:after="0" w:line="28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As described in Management’s Report on Internal Control over Financial Reporting, management excluded from its assessment the internal control over financial reporting at the KTT Division, which was acquired on February 27, 2019, and whose financial statements constitute approximately 4.2% of total assets, and approximately 7.3% of revenues of the consolidated financial statement amounts as of and for the year ended December 29, 2019. Accordingly, our audit did not include the internal control over financial reporting at the KTT Division.</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Adoption of New Accounting Pronouncements</w:t>
      </w:r>
    </w:p>
    <w:p>
      <w:pPr>
        <w:spacing w:after="0" w:line="333" w:lineRule="exact"/>
        <w:rPr>
          <w:sz w:val="20"/>
          <w:szCs w:val="20"/>
          <w:color w:val="auto"/>
        </w:rPr>
      </w:pPr>
    </w:p>
    <w:p>
      <w:pPr>
        <w:ind w:right="560"/>
        <w:spacing w:after="0" w:line="349" w:lineRule="auto"/>
        <w:rPr>
          <w:sz w:val="20"/>
          <w:szCs w:val="20"/>
          <w:color w:val="auto"/>
        </w:rPr>
      </w:pPr>
      <w:r>
        <w:rPr>
          <w:rFonts w:ascii="Arial" w:cs="Arial" w:eastAsia="Arial" w:hAnsi="Arial"/>
          <w:sz w:val="14"/>
          <w:szCs w:val="14"/>
          <w:color w:val="auto"/>
        </w:rPr>
        <w:t xml:space="preserve">As discussed in Note 1 to the financial statements, the Company adopted ASU 2016-02, </w:t>
      </w:r>
      <w:r>
        <w:rPr>
          <w:rFonts w:ascii="Arial" w:cs="Arial" w:eastAsia="Arial" w:hAnsi="Arial"/>
          <w:sz w:val="14"/>
          <w:szCs w:val="14"/>
          <w:i w:val="1"/>
          <w:iCs w:val="1"/>
          <w:color w:val="auto"/>
        </w:rPr>
        <w:t>Leases</w:t>
      </w:r>
      <w:r>
        <w:rPr>
          <w:rFonts w:ascii="Arial" w:cs="Arial" w:eastAsia="Arial" w:hAnsi="Arial"/>
          <w:sz w:val="14"/>
          <w:szCs w:val="14"/>
          <w:color w:val="auto"/>
        </w:rPr>
        <w:t>, and has changed its method of accounting for leases using the optional transition method beginning December 31, 2018, relating to the manner in which it recognizes assets and liabilities for the rights and obligations underlying leases.</w:t>
      </w:r>
    </w:p>
    <w:p>
      <w:pPr>
        <w:spacing w:after="0" w:line="23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 xml:space="preserve">As discussed in Note 1 to the financial statements, the Company previously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changed its method of accounting for revenue using the modified retrospective transition approach beginning January 1, 2018, relating to the manner in which it accounts for revenues from contracts with customers.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Opinions</w:t>
      </w:r>
    </w:p>
    <w:p>
      <w:pPr>
        <w:spacing w:after="0" w:line="333"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85"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91"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3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11420"/>
          </w:cols>
          <w:pgMar w:left="240" w:top="553"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20"/>
          </w:cols>
          <w:pgMar w:left="240" w:top="553" w:right="239" w:bottom="1440" w:gutter="0" w:footer="0" w:header="0"/>
          <w:type w:val="continuous"/>
        </w:sectPr>
      </w:pPr>
    </w:p>
    <w:bookmarkStart w:id="61" w:name="page62"/>
    <w:bookmarkEnd w:id="61"/>
    <w:p>
      <w:pPr>
        <w:jc w:val="both"/>
        <w:ind w:right="120"/>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333"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Estimates for Fixed-Price Contracts - Refer to Note 1 to the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113" w:lineRule="exact"/>
        <w:rPr>
          <w:sz w:val="20"/>
          <w:szCs w:val="20"/>
          <w:color w:val="auto"/>
        </w:rPr>
      </w:pPr>
    </w:p>
    <w:p>
      <w:pPr>
        <w:jc w:val="both"/>
        <w:ind w:right="200"/>
        <w:spacing w:after="0" w:line="315" w:lineRule="auto"/>
        <w:rPr>
          <w:sz w:val="20"/>
          <w:szCs w:val="20"/>
          <w:color w:val="auto"/>
        </w:rPr>
      </w:pPr>
      <w:r>
        <w:rPr>
          <w:rFonts w:ascii="Arial" w:cs="Arial" w:eastAsia="Arial" w:hAnsi="Arial"/>
          <w:sz w:val="14"/>
          <w:szCs w:val="14"/>
          <w:color w:val="auto"/>
        </w:rPr>
        <w:t>The Company recognizes revenue over time using the cost-to-cost method (cost incurred relative to total estimated cost at completion) for most of its fixed-price contracts. Management must make various assumptions and estimates regarding technical, schedule and cost aspects of these contracts to develop estimates of cost at completion. A significant change in cost estimates could affect the overall profitability and timing of revenue recognition related to one or more of its fixed price contracts.</w:t>
      </w:r>
    </w:p>
    <w:p>
      <w:pPr>
        <w:spacing w:after="0" w:line="149"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Given the complexity of certain of the Company’s fixed-price contracts, the limited amount of historical activity in certain instances, and significant judgment and estimates necessary to estimate future costs and margin at completion, auditing these estimates involved especially subjective judgment.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Our auditing procedures related to the cost estimates for fixed-price contracts included the following:</w:t>
      </w:r>
    </w:p>
    <w:p>
      <w:pPr>
        <w:spacing w:after="0" w:line="73" w:lineRule="exact"/>
        <w:rPr>
          <w:sz w:val="20"/>
          <w:szCs w:val="20"/>
          <w:color w:val="auto"/>
        </w:rPr>
      </w:pPr>
    </w:p>
    <w:p>
      <w:pPr>
        <w:ind w:left="260" w:right="120" w:hanging="252"/>
        <w:spacing w:after="0" w:line="259"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6"/>
          <w:szCs w:val="16"/>
          <w:color w:val="auto"/>
        </w:rPr>
        <w:t>We tested the effectiveness of internal controls over the development of cost estimates, including the underlying assumptions and key inputs into the development of the estimated cost at completion.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6"/>
          <w:szCs w:val="16"/>
          <w:color w:val="auto"/>
        </w:rPr>
        <w:t>We selected certain contracts for testing and performed the following procedures:</w:t>
      </w:r>
    </w:p>
    <w:p>
      <w:pPr>
        <w:spacing w:after="0" w:line="5" w:lineRule="exact"/>
        <w:rPr>
          <w:rFonts w:ascii="Arial" w:cs="Arial" w:eastAsia="Arial" w:hAnsi="Arial"/>
          <w:sz w:val="18"/>
          <w:szCs w:val="18"/>
          <w:color w:val="auto"/>
        </w:rPr>
      </w:pPr>
    </w:p>
    <w:p>
      <w:pPr>
        <w:ind w:left="500" w:right="440" w:hanging="168"/>
        <w:spacing w:after="0" w:line="249" w:lineRule="auto"/>
        <w:tabs>
          <w:tab w:leader="none" w:pos="432" w:val="left"/>
        </w:tabs>
        <w:numPr>
          <w:ilvl w:val="1"/>
          <w:numId w:val="28"/>
        </w:numPr>
        <w:rPr>
          <w:rFonts w:ascii="Arial" w:cs="Arial" w:eastAsia="Arial" w:hAnsi="Arial"/>
          <w:sz w:val="16"/>
          <w:szCs w:val="16"/>
          <w:color w:val="auto"/>
        </w:rPr>
      </w:pPr>
      <w:r>
        <w:rPr>
          <w:rFonts w:ascii="Arial" w:cs="Arial" w:eastAsia="Arial" w:hAnsi="Arial"/>
          <w:sz w:val="16"/>
          <w:szCs w:val="16"/>
          <w:color w:val="auto"/>
        </w:rPr>
        <w:t>Tested management’s identification of distinct performance obligations by evaluating whether the underlying goods and services were highly interdependent and interrelated.</w:t>
      </w:r>
    </w:p>
    <w:p>
      <w:pPr>
        <w:ind w:left="420" w:hanging="88"/>
        <w:spacing w:after="0"/>
        <w:tabs>
          <w:tab w:leader="none" w:pos="420" w:val="left"/>
        </w:tabs>
        <w:numPr>
          <w:ilvl w:val="1"/>
          <w:numId w:val="28"/>
        </w:numPr>
        <w:rPr>
          <w:rFonts w:ascii="Arial" w:cs="Arial" w:eastAsia="Arial" w:hAnsi="Arial"/>
          <w:sz w:val="14"/>
          <w:szCs w:val="14"/>
          <w:color w:val="auto"/>
        </w:rPr>
      </w:pPr>
      <w:r>
        <w:rPr>
          <w:rFonts w:ascii="Arial" w:cs="Arial" w:eastAsia="Arial" w:hAnsi="Arial"/>
          <w:sz w:val="14"/>
          <w:szCs w:val="14"/>
          <w:color w:val="auto"/>
        </w:rPr>
        <w:t>Evaluated the reasonableness of management’s estimates of cost at completion to actual costs and profits of similar previously completed contracts, when applicable.</w:t>
      </w:r>
    </w:p>
    <w:p>
      <w:pPr>
        <w:spacing w:after="0" w:line="28" w:lineRule="exact"/>
        <w:rPr>
          <w:rFonts w:ascii="Arial" w:cs="Arial" w:eastAsia="Arial" w:hAnsi="Arial"/>
          <w:sz w:val="14"/>
          <w:szCs w:val="14"/>
          <w:color w:val="auto"/>
        </w:rPr>
      </w:pPr>
    </w:p>
    <w:p>
      <w:pPr>
        <w:ind w:left="500" w:right="260" w:hanging="168"/>
        <w:spacing w:after="0" w:line="248" w:lineRule="auto"/>
        <w:tabs>
          <w:tab w:leader="none" w:pos="432" w:val="left"/>
        </w:tabs>
        <w:numPr>
          <w:ilvl w:val="1"/>
          <w:numId w:val="28"/>
        </w:numPr>
        <w:rPr>
          <w:rFonts w:ascii="Arial" w:cs="Arial" w:eastAsia="Arial" w:hAnsi="Arial"/>
          <w:sz w:val="16"/>
          <w:szCs w:val="16"/>
          <w:color w:val="auto"/>
        </w:rPr>
      </w:pPr>
      <w:r>
        <w:rPr>
          <w:rFonts w:ascii="Arial" w:cs="Arial" w:eastAsia="Arial" w:hAnsi="Arial"/>
          <w:sz w:val="16"/>
          <w:szCs w:val="16"/>
          <w:color w:val="auto"/>
        </w:rPr>
        <w:t>Performed inquiries of the Company’s project managers and others directly involved with the contracts to evaluate project status and project challenges, which may affect total estimated costs to complete.</w:t>
      </w:r>
    </w:p>
    <w:p>
      <w:pPr>
        <w:spacing w:after="0" w:line="1" w:lineRule="exact"/>
        <w:rPr>
          <w:rFonts w:ascii="Arial" w:cs="Arial" w:eastAsia="Arial" w:hAnsi="Arial"/>
          <w:sz w:val="16"/>
          <w:szCs w:val="16"/>
          <w:color w:val="auto"/>
        </w:rPr>
      </w:pPr>
    </w:p>
    <w:p>
      <w:pPr>
        <w:ind w:left="260" w:right="220" w:hanging="252"/>
        <w:spacing w:after="0" w:line="276"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6"/>
          <w:szCs w:val="16"/>
          <w:color w:val="auto"/>
        </w:rPr>
        <w:t>We performed retrospective reviews on selected contracts, comparing actual performance to estimated performance, when evaluating management’s ability to estimate costs.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 </w:t>
      </w:r>
      <w:r>
        <w:rPr>
          <w:rFonts w:ascii="Arial" w:cs="Arial" w:eastAsia="Arial" w:hAnsi="Arial"/>
          <w:sz w:val="16"/>
          <w:szCs w:val="16"/>
          <w:color w:val="auto"/>
        </w:rPr>
        <w:t>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2013.</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00"/>
          </w:cols>
          <w:pgMar w:left="240" w:top="724"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5"/>
          <w:szCs w:val="15"/>
          <w:b w:val="1"/>
          <w:bCs w:val="1"/>
          <w:color w:val="auto"/>
        </w:rPr>
        <w:t>KRATOS DEFENSE &amp; SECURITY SOLUTIONS,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29, 2019 and December 30, 2018</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 except par value and number of shares)</w:t>
      </w:r>
    </w:p>
    <w:p>
      <w:pPr>
        <w:sectPr>
          <w:pgSz w:w="11900" w:h="16838" w:orient="portrait"/>
          <w:cols w:equalWidth="0" w:num="1">
            <w:col w:w="11380"/>
          </w:cols>
          <w:pgMar w:left="260" w:top="554" w:right="2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assets: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Restricted cash</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Accounts receivable, net</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Unbilled receivables, net</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Inventoried costs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Prepaid expenses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Current assets of discontinued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current assets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plant and equipment, net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right-of-use assets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Intangible assets, net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assets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 and Stockholders’ Equity</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liabilities: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Accrued expenses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Accrued compensation</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Accrued interest</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Billings in excess of costs and earnings on uncompleted contracts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Current portion of operating lease liabilities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current liabilities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Current liabilities of discontinued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current liabilities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Long-term debt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liabilities, net of current portion</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long-term liabilities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Long-term liabilities of discontinued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liabilities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Commitments and contingencies (Note 15)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2018</w:t>
            </w:r>
          </w:p>
        </w:tc>
      </w:tr>
      <w:tr>
        <w:trPr>
          <w:trHeight w:val="784"/>
        </w:trPr>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172.6</w:t>
            </w:r>
          </w:p>
        </w:tc>
        <w:tc>
          <w:tcPr>
            <w:tcW w:w="120" w:type="dxa"/>
            <w:vAlign w:val="bottom"/>
          </w:tcPr>
          <w:p>
            <w:pPr>
              <w:spacing w:after="0"/>
              <w:rPr>
                <w:sz w:val="24"/>
                <w:szCs w:val="24"/>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182.7</w:t>
            </w:r>
          </w:p>
        </w:tc>
      </w:tr>
      <w:tr>
        <w:trPr>
          <w:trHeight w:val="270"/>
        </w:trPr>
        <w:tc>
          <w:tcPr>
            <w:tcW w:w="560" w:type="dxa"/>
            <w:vAlign w:val="bottom"/>
          </w:tcPr>
          <w:p>
            <w:pPr>
              <w:spacing w:after="0"/>
              <w:rPr>
                <w:sz w:val="23"/>
                <w:szCs w:val="23"/>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0.3</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64.6</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179.4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172.8</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46.8</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8.9</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276"/>
        </w:trPr>
        <w:tc>
          <w:tcPr>
            <w:tcW w:w="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r>
      <w:tr>
        <w:trPr>
          <w:trHeight w:val="204"/>
        </w:trPr>
        <w:tc>
          <w:tcPr>
            <w:tcW w:w="560" w:type="dxa"/>
            <w:vAlign w:val="bottom"/>
          </w:tcPr>
          <w:p>
            <w:pPr>
              <w:spacing w:after="0"/>
              <w:rPr>
                <w:sz w:val="17"/>
                <w:szCs w:val="17"/>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522.2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494.7</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67.1</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455.6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425.7</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16.1</w:t>
            </w:r>
          </w:p>
        </w:tc>
      </w:tr>
      <w:tr>
        <w:trPr>
          <w:trHeight w:val="276"/>
        </w:trPr>
        <w:tc>
          <w:tcPr>
            <w:tcW w:w="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r>
      <w:tr>
        <w:trPr>
          <w:trHeight w:val="210"/>
        </w:trPr>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1,186.0</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1,010.1</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758"/>
        </w:trPr>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24"/>
                <w:szCs w:val="24"/>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46.6</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38.1</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33.5</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34.9</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76"/>
        </w:trPr>
        <w:tc>
          <w:tcPr>
            <w:tcW w:w="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w:t>
            </w:r>
          </w:p>
        </w:tc>
      </w:tr>
      <w:tr>
        <w:trPr>
          <w:trHeight w:val="204"/>
        </w:trPr>
        <w:tc>
          <w:tcPr>
            <w:tcW w:w="560" w:type="dxa"/>
            <w:vAlign w:val="bottom"/>
          </w:tcPr>
          <w:p>
            <w:pPr>
              <w:spacing w:after="0"/>
              <w:rPr>
                <w:sz w:val="17"/>
                <w:szCs w:val="17"/>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182.7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164.7</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295.1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294.2</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25.5</w:t>
            </w:r>
          </w:p>
        </w:tc>
      </w:tr>
      <w:tr>
        <w:trPr>
          <w:trHeight w:val="276"/>
        </w:trPr>
        <w:tc>
          <w:tcPr>
            <w:tcW w:w="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r>
      <w:tr>
        <w:trPr>
          <w:trHeight w:val="210"/>
        </w:trPr>
        <w:tc>
          <w:tcPr>
            <w:tcW w:w="5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596.9</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-5573395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-5230495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-4887595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-4544695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-4201795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-3858260</wp:posOffset>
            </wp:positionV>
            <wp:extent cx="72294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-3541395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-3197860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-2854960</wp:posOffset>
            </wp:positionV>
            <wp:extent cx="722947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2">
                      <a:extLst>
                        <a:ext uri="{28A0092B-C50C-407E-A947-70E740481C1C}"/>
                      </a:extLst>
                    </a:blip>
                    <a:srcRect/>
                    <a:stretch>
                      <a:fillRect/>
                    </a:stretch>
                  </pic:blipFill>
                  <pic:spPr bwMode="auto">
                    <a:xfrm>
                      <a:off x="0" y="0"/>
                      <a:ext cx="7229475" cy="15430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-2529205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-2186305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-1843405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-1499870</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-1156970</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-840105</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-496570</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-153670</wp:posOffset>
            </wp:positionV>
            <wp:extent cx="722947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163195</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64" w:lineRule="exact"/>
        <w:rPr>
          <w:sz w:val="20"/>
          <w:szCs w:val="20"/>
          <w:color w:val="auto"/>
        </w:rPr>
      </w:pPr>
    </w:p>
    <w:p>
      <w:pPr>
        <w:sectPr>
          <w:pgSz w:w="11900" w:h="16838" w:orient="portrait"/>
          <w:cols w:equalWidth="0" w:num="2">
            <w:col w:w="6000" w:space="720"/>
            <w:col w:w="4660"/>
          </w:cols>
          <w:pgMar w:left="260" w:top="554" w:right="25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Redeemable noncontrolling interest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2">
                      <a:extLst>
                        <a:ext uri="{28A0092B-C50C-407E-A947-70E740481C1C}"/>
                      </a:extLst>
                    </a:blip>
                    <a:srcRect/>
                    <a:stretch>
                      <a:fillRect/>
                    </a:stretch>
                  </pic:blipFill>
                  <pic:spPr bwMode="auto">
                    <a:xfrm>
                      <a:off x="0" y="0"/>
                      <a:ext cx="7229475" cy="222885"/>
                    </a:xfrm>
                    <a:prstGeom prst="rect">
                      <a:avLst/>
                    </a:prstGeom>
                    <a:noFill/>
                  </pic:spPr>
                </pic:pic>
              </a:graphicData>
            </a:graphic>
          </wp:anchor>
        </w:drawing>
      </w:r>
    </w:p>
    <w:p>
      <w:pPr>
        <w:spacing w:after="0" w:line="89" w:lineRule="exact"/>
        <w:rPr>
          <w:sz w:val="20"/>
          <w:szCs w:val="20"/>
          <w:color w:val="auto"/>
        </w:rPr>
      </w:pPr>
    </w:p>
    <w:p>
      <w:pPr>
        <w:ind w:left="160" w:right="1580"/>
        <w:spacing w:after="0" w:line="253" w:lineRule="auto"/>
        <w:rPr>
          <w:sz w:val="20"/>
          <w:szCs w:val="20"/>
          <w:color w:val="auto"/>
        </w:rPr>
      </w:pPr>
      <w:r>
        <w:rPr>
          <w:rFonts w:ascii="Arial" w:cs="Arial" w:eastAsia="Arial" w:hAnsi="Arial"/>
          <w:sz w:val="14"/>
          <w:szCs w:val="14"/>
          <w:color w:val="auto"/>
        </w:rPr>
        <w:t>Preferred stock, $0.001 par value, 5,000,000 authorized, 0 shares outstanding at December 29, 2019 and December 30, 2018</w:t>
      </w:r>
    </w:p>
    <w:p>
      <w:pPr>
        <w:spacing w:after="0" w:line="12" w:lineRule="exact"/>
        <w:rPr>
          <w:sz w:val="20"/>
          <w:szCs w:val="20"/>
          <w:color w:val="auto"/>
        </w:rPr>
      </w:pPr>
    </w:p>
    <w:p>
      <w:pPr>
        <w:ind w:left="160" w:right="1240"/>
        <w:spacing w:after="0" w:line="253" w:lineRule="auto"/>
        <w:rPr>
          <w:sz w:val="20"/>
          <w:szCs w:val="20"/>
          <w:color w:val="auto"/>
        </w:rPr>
      </w:pPr>
      <w:r>
        <w:rPr>
          <w:rFonts w:ascii="Arial" w:cs="Arial" w:eastAsia="Arial" w:hAnsi="Arial"/>
          <w:sz w:val="14"/>
          <w:szCs w:val="14"/>
          <w:color w:val="auto"/>
        </w:rPr>
        <w:t>Common stock, $0.001 par value, 195,000,000 shares authorized; 106,635,508 and 103,766,899 shares issued and outstanding at December 29, 2019 and December 30,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Additional paid-in capital</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Accumulated deficit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440" w:type="dxa"/>
            <w:vAlign w:val="bottom"/>
          </w:tcPr>
          <w:p>
            <w:pPr>
              <w:jc w:val="right"/>
              <w:ind w:right="928"/>
              <w:spacing w:after="0"/>
              <w:rPr>
                <w:sz w:val="20"/>
                <w:szCs w:val="20"/>
                <w:color w:val="auto"/>
              </w:rPr>
            </w:pPr>
            <w:r>
              <w:rPr>
                <w:rFonts w:ascii="Arial" w:cs="Arial" w:eastAsia="Arial" w:hAnsi="Arial"/>
                <w:sz w:val="14"/>
                <w:szCs w:val="14"/>
                <w:color w:val="auto"/>
              </w:rPr>
              <w:t>15.0</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621"/>
        </w:trPr>
        <w:tc>
          <w:tcPr>
            <w:tcW w:w="144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144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440" w:type="dxa"/>
            <w:vAlign w:val="bottom"/>
          </w:tcPr>
          <w:p>
            <w:pPr>
              <w:jc w:val="right"/>
              <w:ind w:right="928"/>
              <w:spacing w:after="0"/>
              <w:rPr>
                <w:sz w:val="20"/>
                <w:szCs w:val="20"/>
                <w:color w:val="auto"/>
              </w:rPr>
            </w:pPr>
            <w:r>
              <w:rPr>
                <w:rFonts w:ascii="Arial" w:cs="Arial" w:eastAsia="Arial" w:hAnsi="Arial"/>
                <w:sz w:val="14"/>
                <w:szCs w:val="14"/>
                <w:color w:val="auto"/>
                <w:w w:val="89"/>
              </w:rPr>
              <w:t>1,286.5</w:t>
            </w:r>
          </w:p>
        </w:tc>
        <w:tc>
          <w:tcPr>
            <w:tcW w:w="1420" w:type="dxa"/>
            <w:vAlign w:val="bottom"/>
          </w:tcPr>
          <w:p>
            <w:pPr>
              <w:jc w:val="right"/>
              <w:spacing w:after="0"/>
              <w:rPr>
                <w:sz w:val="20"/>
                <w:szCs w:val="20"/>
                <w:color w:val="auto"/>
              </w:rPr>
            </w:pPr>
            <w:r>
              <w:rPr>
                <w:rFonts w:ascii="Arial" w:cs="Arial" w:eastAsia="Arial" w:hAnsi="Arial"/>
                <w:sz w:val="14"/>
                <w:szCs w:val="14"/>
                <w:color w:val="auto"/>
              </w:rPr>
              <w:t>1,244.5</w:t>
            </w:r>
          </w:p>
        </w:tc>
      </w:tr>
      <w:tr>
        <w:trPr>
          <w:trHeight w:val="270"/>
        </w:trPr>
        <w:tc>
          <w:tcPr>
            <w:tcW w:w="1440" w:type="dxa"/>
            <w:vAlign w:val="bottom"/>
          </w:tcPr>
          <w:p>
            <w:pPr>
              <w:jc w:val="right"/>
              <w:ind w:right="888"/>
              <w:spacing w:after="0"/>
              <w:rPr>
                <w:sz w:val="20"/>
                <w:szCs w:val="20"/>
                <w:color w:val="auto"/>
              </w:rPr>
            </w:pPr>
            <w:r>
              <w:rPr>
                <w:rFonts w:ascii="Arial" w:cs="Arial" w:eastAsia="Arial" w:hAnsi="Arial"/>
                <w:sz w:val="14"/>
                <w:szCs w:val="14"/>
                <w:color w:val="auto"/>
              </w:rPr>
              <w:t>(0.4)</w:t>
            </w:r>
          </w:p>
        </w:tc>
        <w:tc>
          <w:tcPr>
            <w:tcW w:w="14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70"/>
        </w:trPr>
        <w:tc>
          <w:tcPr>
            <w:tcW w:w="1440" w:type="dxa"/>
            <w:vAlign w:val="bottom"/>
          </w:tcPr>
          <w:p>
            <w:pPr>
              <w:jc w:val="right"/>
              <w:ind w:right="888"/>
              <w:spacing w:after="0"/>
              <w:rPr>
                <w:sz w:val="20"/>
                <w:szCs w:val="20"/>
                <w:color w:val="auto"/>
              </w:rPr>
            </w:pPr>
            <w:r>
              <w:rPr>
                <w:rFonts w:ascii="Arial" w:cs="Arial" w:eastAsia="Arial" w:hAnsi="Arial"/>
                <w:sz w:val="14"/>
                <w:szCs w:val="14"/>
                <w:color w:val="auto"/>
              </w:rPr>
              <w:t>(712.0)</w:t>
            </w:r>
          </w:p>
        </w:tc>
        <w:tc>
          <w:tcPr>
            <w:tcW w:w="1420" w:type="dxa"/>
            <w:vAlign w:val="bottom"/>
          </w:tcPr>
          <w:p>
            <w:pPr>
              <w:jc w:val="right"/>
              <w:spacing w:after="0"/>
              <w:rPr>
                <w:sz w:val="20"/>
                <w:szCs w:val="20"/>
                <w:color w:val="auto"/>
              </w:rPr>
            </w:pPr>
            <w:r>
              <w:rPr>
                <w:rFonts w:ascii="Arial" w:cs="Arial" w:eastAsia="Arial" w:hAnsi="Arial"/>
                <w:sz w:val="14"/>
                <w:szCs w:val="14"/>
                <w:color w:val="auto"/>
              </w:rPr>
              <w:t>(724.5)</w:t>
            </w:r>
          </w:p>
        </w:tc>
      </w:tr>
    </w:tbl>
    <w:p>
      <w:pPr>
        <w:spacing w:after="0" w:line="1" w:lineRule="exact"/>
        <w:rPr>
          <w:sz w:val="20"/>
          <w:szCs w:val="20"/>
          <w:color w:val="auto"/>
        </w:rPr>
      </w:pPr>
    </w:p>
    <w:p>
      <w:pPr>
        <w:sectPr>
          <w:pgSz w:w="11900" w:h="16838" w:orient="portrait"/>
          <w:cols w:equalWidth="0" w:num="2">
            <w:col w:w="7740" w:space="720"/>
            <w:col w:w="2920"/>
          </w:cols>
          <w:pgMar w:left="260" w:top="554"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7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stockholders’ equity</w:t>
            </w:r>
          </w:p>
        </w:tc>
        <w:tc>
          <w:tcPr>
            <w:tcW w:w="9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574.1</w:t>
            </w:r>
          </w:p>
        </w:tc>
        <w:tc>
          <w:tcPr>
            <w:tcW w:w="1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519.3</w:t>
            </w:r>
          </w:p>
        </w:tc>
      </w:tr>
      <w:tr>
        <w:trPr>
          <w:trHeight w:val="21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1,186.0</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1,010.1</w:t>
            </w: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380"/>
          </w:cols>
          <w:pgMar w:left="260" w:top="554" w:right="259" w:bottom="1440" w:gutter="0" w:footer="0" w:header="0"/>
          <w:type w:val="continuous"/>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380"/>
          </w:cols>
          <w:pgMar w:left="260" w:top="554" w:right="259" w:bottom="1440" w:gutter="0" w:footer="0" w:header="0"/>
          <w:type w:val="continuous"/>
        </w:sectPr>
      </w:pPr>
    </w:p>
    <w:bookmarkStart w:id="63" w:name="page64"/>
    <w:bookmarkEnd w:id="63"/>
    <w:p>
      <w:pPr>
        <w:jc w:val="center"/>
        <w:ind w:right="2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Years ended December 29, 2019, December 30, 2018, and December 31, 2017</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 except per share amounts)</w:t>
      </w:r>
    </w:p>
    <w:p>
      <w:pPr>
        <w:sectPr>
          <w:pgSz w:w="11900" w:h="16838" w:orient="portrait"/>
          <w:cols w:equalWidth="0" w:num="1">
            <w:col w:w="11380"/>
          </w:cols>
          <w:pgMar w:left="280" w:top="5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Service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Product sales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Cost of service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Cost of product sales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costs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Gross profit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Selling, general and administrative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Merger and acquisition related items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Research and development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Impairment of goodwill</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Restructuring expenses and other</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income (expense):</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Interest expense,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Loss on extinguishment of debt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other expense,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(loss) from continuing operations before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Provision (benefit) for income taxes from continuing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(loss) from continuing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Discontinued operations</w:t>
      </w:r>
    </w:p>
    <w:p>
      <w:pPr>
        <w:spacing w:after="0" w:line="123" w:lineRule="exact"/>
        <w:rPr>
          <w:sz w:val="20"/>
          <w:szCs w:val="20"/>
          <w:color w:val="auto"/>
        </w:rPr>
      </w:pPr>
    </w:p>
    <w:p>
      <w:pPr>
        <w:ind w:left="140"/>
        <w:spacing w:after="0" w:line="253" w:lineRule="auto"/>
        <w:rPr>
          <w:sz w:val="20"/>
          <w:szCs w:val="20"/>
          <w:color w:val="auto"/>
        </w:rPr>
      </w:pPr>
      <w:r>
        <w:rPr>
          <w:rFonts w:ascii="Arial" w:cs="Arial" w:eastAsia="Arial" w:hAnsi="Arial"/>
          <w:sz w:val="14"/>
          <w:szCs w:val="14"/>
          <w:color w:val="auto"/>
        </w:rPr>
        <w:t>Income (loss) from operations of discontinued component (including gain on disposal of $0.0 million for the year ended December 30, 2018)</w:t>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ind w:left="340" w:right="2060" w:hanging="350"/>
        <w:spacing w:after="0" w:line="434" w:lineRule="auto"/>
        <w:rPr>
          <w:sz w:val="20"/>
          <w:szCs w:val="20"/>
          <w:color w:val="auto"/>
        </w:rPr>
      </w:pPr>
      <w:r>
        <w:rPr>
          <w:rFonts w:ascii="Arial" w:cs="Arial" w:eastAsia="Arial" w:hAnsi="Arial"/>
          <w:sz w:val="14"/>
          <w:szCs w:val="14"/>
          <w:color w:val="auto"/>
        </w:rPr>
        <w:t>Income (loss) from discontinued operations Net income (loss)</w:t>
      </w:r>
    </w:p>
    <w:p>
      <w:pPr>
        <w:spacing w:after="0" w:line="25" w:lineRule="exact"/>
        <w:rPr>
          <w:sz w:val="20"/>
          <w:szCs w:val="20"/>
          <w:color w:val="auto"/>
        </w:rPr>
      </w:pPr>
    </w:p>
    <w:p>
      <w:pPr>
        <w:ind w:left="340" w:right="1380" w:hanging="350"/>
        <w:spacing w:after="0" w:line="377" w:lineRule="auto"/>
        <w:rPr>
          <w:sz w:val="20"/>
          <w:szCs w:val="20"/>
          <w:color w:val="auto"/>
        </w:rPr>
      </w:pPr>
      <w:r>
        <w:rPr>
          <w:rFonts w:ascii="Arial" w:cs="Arial" w:eastAsia="Arial" w:hAnsi="Arial"/>
          <w:sz w:val="13"/>
          <w:szCs w:val="13"/>
          <w:color w:val="auto"/>
        </w:rPr>
        <w:t>Less: Net income attributable to noncontrolling interest Net income (loss) attributable to Kratos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Basic income and (loss) per common share attributable to Kratos:</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Income (loss) from continuing operations</w:t>
      </w:r>
    </w:p>
    <w:p>
      <w:pPr>
        <w:spacing w:after="0" w:line="109" w:lineRule="exact"/>
        <w:rPr>
          <w:sz w:val="20"/>
          <w:szCs w:val="20"/>
          <w:color w:val="auto"/>
        </w:rPr>
      </w:pPr>
    </w:p>
    <w:p>
      <w:pPr>
        <w:ind w:left="340" w:right="1920" w:hanging="215"/>
        <w:spacing w:after="0" w:line="433" w:lineRule="auto"/>
        <w:rPr>
          <w:sz w:val="20"/>
          <w:szCs w:val="20"/>
          <w:color w:val="auto"/>
        </w:rPr>
      </w:pPr>
      <w:r>
        <w:rPr>
          <w:rFonts w:ascii="Arial" w:cs="Arial" w:eastAsia="Arial" w:hAnsi="Arial"/>
          <w:sz w:val="13"/>
          <w:szCs w:val="13"/>
          <w:color w:val="auto"/>
        </w:rPr>
        <w:t>Income (loss) from discontinued operations Net income (loss) per common share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Diluted income and (loss) per common share attributable to Kratos:</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Income (loss) from continuing operations</w:t>
      </w:r>
    </w:p>
    <w:p>
      <w:pPr>
        <w:spacing w:after="0" w:line="109" w:lineRule="exact"/>
        <w:rPr>
          <w:sz w:val="20"/>
          <w:szCs w:val="20"/>
          <w:color w:val="auto"/>
        </w:rPr>
      </w:pPr>
    </w:p>
    <w:p>
      <w:pPr>
        <w:ind w:left="340" w:right="1920" w:hanging="215"/>
        <w:spacing w:after="0" w:line="433" w:lineRule="auto"/>
        <w:rPr>
          <w:sz w:val="20"/>
          <w:szCs w:val="20"/>
          <w:color w:val="auto"/>
        </w:rPr>
      </w:pPr>
      <w:r>
        <w:rPr>
          <w:rFonts w:ascii="Arial" w:cs="Arial" w:eastAsia="Arial" w:hAnsi="Arial"/>
          <w:sz w:val="13"/>
          <w:szCs w:val="13"/>
          <w:color w:val="auto"/>
        </w:rPr>
        <w:t>Income (loss) from discontinued operations Net income (loss) per common share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common shares outstanding:</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2017</w:t>
            </w:r>
          </w:p>
        </w:tc>
      </w:tr>
      <w:tr>
        <w:trPr>
          <w:trHeight w:val="244"/>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272.6</w:t>
            </w:r>
          </w:p>
        </w:tc>
        <w:tc>
          <w:tcPr>
            <w:tcW w:w="12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197.8</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444.9</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405.5</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717.5</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618.0</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603.3</w:t>
            </w:r>
          </w:p>
        </w:tc>
      </w:tr>
      <w:tr>
        <w:trPr>
          <w:trHeight w:val="244"/>
        </w:trPr>
        <w:tc>
          <w:tcPr>
            <w:tcW w:w="48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192.0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137.8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138.6</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335.5</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310.5</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307.1</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527.5</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448.3</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445.7</w:t>
            </w:r>
          </w:p>
        </w:tc>
      </w:tr>
      <w:tr>
        <w:trPr>
          <w:trHeight w:val="244"/>
        </w:trPr>
        <w:tc>
          <w:tcPr>
            <w:tcW w:w="48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190.0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169.7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157.6</w:t>
            </w:r>
          </w:p>
        </w:tc>
      </w:tr>
      <w:tr>
        <w:trPr>
          <w:trHeight w:val="270"/>
        </w:trPr>
        <w:tc>
          <w:tcPr>
            <w:tcW w:w="48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130.8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119.8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127.3</w:t>
            </w:r>
          </w:p>
        </w:tc>
      </w:tr>
      <w:tr>
        <w:trPr>
          <w:trHeight w:val="270"/>
        </w:trPr>
        <w:tc>
          <w:tcPr>
            <w:tcW w:w="48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8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17.8</w:t>
            </w:r>
          </w:p>
        </w:tc>
      </w:tr>
      <w:tr>
        <w:trPr>
          <w:trHeight w:val="270"/>
        </w:trPr>
        <w:tc>
          <w:tcPr>
            <w:tcW w:w="480" w:type="dxa"/>
            <w:vAlign w:val="bottom"/>
          </w:tcPr>
          <w:p>
            <w:pPr>
              <w:spacing w:after="0"/>
              <w:rPr>
                <w:sz w:val="23"/>
                <w:szCs w:val="2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24.2</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r>
      <w:tr>
        <w:trPr>
          <w:trHeight w:val="528"/>
        </w:trPr>
        <w:tc>
          <w:tcPr>
            <w:tcW w:w="480" w:type="dxa"/>
            <w:vAlign w:val="bottom"/>
          </w:tcPr>
          <w:p>
            <w:pPr>
              <w:spacing w:after="0"/>
              <w:rPr>
                <w:sz w:val="24"/>
                <w:szCs w:val="24"/>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270"/>
        </w:trPr>
        <w:tc>
          <w:tcPr>
            <w:tcW w:w="480" w:type="dxa"/>
            <w:vAlign w:val="bottom"/>
          </w:tcPr>
          <w:p>
            <w:pPr>
              <w:spacing w:after="0"/>
              <w:rPr>
                <w:sz w:val="23"/>
                <w:szCs w:val="2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r>
      <w:tr>
        <w:trPr>
          <w:trHeight w:val="244"/>
        </w:trPr>
        <w:tc>
          <w:tcPr>
            <w:tcW w:w="48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(57.1)</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r>
      <w:tr>
        <w:trPr>
          <w:trHeight w:val="609"/>
        </w:trPr>
        <w:tc>
          <w:tcPr>
            <w:tcW w:w="480" w:type="dxa"/>
            <w:vAlign w:val="bottom"/>
          </w:tcPr>
          <w:p>
            <w:pPr>
              <w:spacing w:after="0"/>
              <w:rPr>
                <w:sz w:val="24"/>
                <w:szCs w:val="24"/>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6.3</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r>
      <w:tr>
        <w:trPr>
          <w:trHeight w:val="244"/>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(42.7)</w:t>
            </w:r>
          </w:p>
        </w:tc>
      </w:tr>
      <w:tr>
        <w:trPr>
          <w:trHeight w:val="276"/>
        </w:trPr>
        <w:tc>
          <w:tcPr>
            <w:tcW w:w="480" w:type="dxa"/>
            <w:vAlign w:val="bottom"/>
          </w:tcPr>
          <w:p>
            <w:pPr>
              <w:spacing w:after="0"/>
              <w:rPr>
                <w:sz w:val="24"/>
                <w:szCs w:val="24"/>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15"/>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(0.52)</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r>
      <w:tr>
        <w:trPr>
          <w:trHeight w:val="23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15"/>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(0.52)</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r>
      <w:tr>
        <w:trPr>
          <w:trHeight w:val="23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07"/>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89.5</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109.2</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89.5</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-6825615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-6482715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-6139815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-5796915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-5453380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-5110480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-4767580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-4415790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-4072890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-3729990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-3387090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-3035300</wp:posOffset>
            </wp:positionV>
            <wp:extent cx="724662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-2640965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-2297430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-1954530</wp:posOffset>
            </wp:positionV>
            <wp:extent cx="72466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-1594485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-1251585</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-891540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-548005</wp:posOffset>
            </wp:positionV>
            <wp:extent cx="72466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-187960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4560" w:space="440"/>
            <w:col w:w="6380"/>
          </w:cols>
          <w:pgMar w:left="280" w:top="558" w:right="239" w:bottom="1440" w:gutter="0" w:footer="0" w:header="0"/>
          <w:type w:val="continuous"/>
        </w:sect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80" w:top="558" w:right="239" w:bottom="1440" w:gutter="0" w:footer="0" w:header="0"/>
          <w:type w:val="continuous"/>
        </w:sectPr>
      </w:pPr>
    </w:p>
    <w:bookmarkStart w:id="64" w:name="page65"/>
    <w:bookmarkEnd w:id="64"/>
    <w:p>
      <w:pPr>
        <w:jc w:val="center"/>
        <w:ind w:right="2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COMPREHENSIVE INCOME (LOSS)</w:t>
      </w:r>
    </w:p>
    <w:p>
      <w:pPr>
        <w:jc w:val="center"/>
        <w:ind w:right="20"/>
        <w:spacing w:after="0"/>
        <w:rPr>
          <w:sz w:val="20"/>
          <w:szCs w:val="20"/>
          <w:color w:val="auto"/>
        </w:rPr>
      </w:pPr>
      <w:r>
        <w:rPr>
          <w:rFonts w:ascii="Arial" w:cs="Arial" w:eastAsia="Arial" w:hAnsi="Arial"/>
          <w:sz w:val="14"/>
          <w:szCs w:val="14"/>
          <w:b w:val="1"/>
          <w:bCs w:val="1"/>
          <w:color w:val="auto"/>
        </w:rPr>
        <w:t>Years ended December 29, 2019, December 30, 2018, and December 31, 2017</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85"/>
        </w:trPr>
        <w:tc>
          <w:tcPr>
            <w:tcW w:w="5120" w:type="dxa"/>
            <w:vAlign w:val="bottom"/>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tcBorders>
              <w:bottom w:val="single" w:sz="8" w:color="auto"/>
            </w:tcBorders>
            <w:vMerge w:val="continue"/>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tcBorders>
              <w:bottom w:val="single" w:sz="8" w:color="auto"/>
            </w:tcBorders>
            <w:vMerge w:val="continue"/>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 in cumulative translation adjustment</w:t>
            </w:r>
          </w:p>
        </w:tc>
        <w:tc>
          <w:tcPr>
            <w:tcW w:w="46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80"/>
        </w:trPr>
        <w:tc>
          <w:tcPr>
            <w:tcW w:w="5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20" w:type="dxa"/>
            <w:vAlign w:val="bottom"/>
          </w:tcPr>
          <w:p>
            <w:pPr>
              <w:ind w:left="160"/>
              <w:spacing w:after="0"/>
              <w:rPr>
                <w:sz w:val="20"/>
                <w:szCs w:val="20"/>
                <w:color w:val="auto"/>
              </w:rPr>
            </w:pPr>
            <w:r>
              <w:rPr>
                <w:rFonts w:ascii="Arial" w:cs="Arial" w:eastAsia="Arial" w:hAnsi="Arial"/>
                <w:sz w:val="14"/>
                <w:szCs w:val="14"/>
                <w:color w:val="auto"/>
              </w:rPr>
              <w:t>Postretirement benefit reserve adjustment net of tax expense</w:t>
            </w:r>
          </w:p>
        </w:tc>
        <w:tc>
          <w:tcPr>
            <w:tcW w:w="460" w:type="dxa"/>
            <w:vAlign w:val="bottom"/>
          </w:tcPr>
          <w:p>
            <w:pPr>
              <w:spacing w:after="0"/>
              <w:rPr>
                <w:sz w:val="16"/>
                <w:szCs w:val="16"/>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74"/>
        </w:trPr>
        <w:tc>
          <w:tcPr>
            <w:tcW w:w="5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4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80"/>
        </w:trPr>
        <w:tc>
          <w:tcPr>
            <w:tcW w:w="5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2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460" w:type="dxa"/>
            <w:vAlign w:val="bottom"/>
          </w:tcPr>
          <w:p>
            <w:pPr>
              <w:spacing w:after="0"/>
              <w:rPr>
                <w:sz w:val="14"/>
                <w:szCs w:val="14"/>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74"/>
        </w:trPr>
        <w:tc>
          <w:tcPr>
            <w:tcW w:w="5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4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640" w:type="dxa"/>
            <w:vAlign w:val="bottom"/>
            <w:gridSpan w:val="2"/>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2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Kratos</w:t>
            </w:r>
          </w:p>
        </w:tc>
        <w:tc>
          <w:tcPr>
            <w:tcW w:w="46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4"/>
                <w:szCs w:val="14"/>
                <w:color w:val="auto"/>
              </w:rPr>
            </w:pPr>
          </w:p>
        </w:tc>
        <w:tc>
          <w:tcPr>
            <w:tcW w:w="48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50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65"/>
        </w:trPr>
        <w:tc>
          <w:tcPr>
            <w:tcW w:w="512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60"/>
          </w:cols>
          <w:pgMar w:left="280" w:top="558"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jc w:val="center"/>
        <w:spacing w:after="0"/>
        <w:rPr>
          <w:sz w:val="20"/>
          <w:szCs w:val="20"/>
          <w:color w:val="auto"/>
        </w:rPr>
      </w:pPr>
      <w:r>
        <w:rPr>
          <w:rFonts w:ascii="Arial" w:cs="Arial" w:eastAsia="Arial" w:hAnsi="Arial"/>
          <w:sz w:val="14"/>
          <w:szCs w:val="14"/>
          <w:b w:val="1"/>
          <w:bCs w:val="1"/>
          <w:color w:val="auto"/>
        </w:rPr>
        <w:t>Years ended December 29, 2019, December 30, 2018, and December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Redeemable</w:t>
            </w:r>
          </w:p>
        </w:tc>
        <w:tc>
          <w:tcPr>
            <w:tcW w:w="1740" w:type="dxa"/>
            <w:vAlign w:val="bottom"/>
            <w:gridSpan w:val="4"/>
            <w:vMerge w:val="restart"/>
          </w:tcPr>
          <w:p>
            <w:pPr>
              <w:jc w:val="right"/>
              <w:ind w:right="29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42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7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1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Noncontrolling</w:t>
            </w:r>
          </w:p>
        </w:tc>
        <w:tc>
          <w:tcPr>
            <w:tcW w:w="82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Amounts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0"/>
                <w:szCs w:val="10"/>
                <w:color w:val="auto"/>
              </w:rPr>
            </w:pPr>
          </w:p>
        </w:tc>
        <w:tc>
          <w:tcPr>
            <w:tcW w:w="10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25, 2016</w:t>
            </w:r>
          </w:p>
        </w:tc>
        <w:tc>
          <w:tcPr>
            <w:tcW w:w="1060" w:type="dxa"/>
            <w:vAlign w:val="bottom"/>
            <w:tcBorders>
              <w:right w:val="single" w:sz="8" w:color="auto"/>
            </w:tcBorders>
            <w:shd w:val="clear" w:color="auto" w:fill="CCEEFF"/>
          </w:tcPr>
          <w:p>
            <w:pPr>
              <w:jc w:val="right"/>
              <w:ind w:right="6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956.2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276.4</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060" w:type="dxa"/>
            <w:vAlign w:val="bottom"/>
            <w:tcBorders>
              <w:right w:val="single" w:sz="8" w:color="auto"/>
            </w:tcBorders>
          </w:tcPr>
          <w:p>
            <w:pPr>
              <w:jc w:val="right"/>
              <w:ind w:right="6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for cash</w:t>
            </w:r>
          </w:p>
        </w:tc>
        <w:tc>
          <w:tcPr>
            <w:tcW w:w="1060" w:type="dxa"/>
            <w:vAlign w:val="bottom"/>
            <w:tcBorders>
              <w:right w:val="single" w:sz="8" w:color="auto"/>
            </w:tcBorders>
            <w:shd w:val="clear" w:color="auto" w:fill="CCEEFF"/>
          </w:tcPr>
          <w:p>
            <w:pPr>
              <w:jc w:val="right"/>
              <w:ind w:right="6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268.2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268.2</w:t>
            </w:r>
          </w:p>
        </w:tc>
        <w:tc>
          <w:tcPr>
            <w:tcW w:w="0" w:type="dxa"/>
            <w:vAlign w:val="bottom"/>
          </w:tcPr>
          <w:p>
            <w:pPr>
              <w:spacing w:after="0"/>
              <w:rPr>
                <w:sz w:val="1"/>
                <w:szCs w:val="1"/>
                <w:color w:val="auto"/>
              </w:rPr>
            </w:pPr>
          </w:p>
        </w:tc>
      </w:tr>
      <w:tr>
        <w:trPr>
          <w:trHeight w:val="157"/>
        </w:trPr>
        <w:tc>
          <w:tcPr>
            <w:tcW w:w="4240" w:type="dxa"/>
            <w:vAlign w:val="bottom"/>
          </w:tcPr>
          <w:p>
            <w:pPr>
              <w:ind w:left="180"/>
              <w:spacing w:after="0" w:line="157" w:lineRule="exact"/>
              <w:rPr>
                <w:sz w:val="20"/>
                <w:szCs w:val="20"/>
                <w:color w:val="auto"/>
              </w:rPr>
            </w:pPr>
            <w:r>
              <w:rPr>
                <w:rFonts w:ascii="Arial" w:cs="Arial" w:eastAsia="Arial" w:hAnsi="Arial"/>
                <w:sz w:val="14"/>
                <w:szCs w:val="14"/>
                <w:color w:val="auto"/>
              </w:rPr>
              <w:t>Issuance of common stock for employee stock purchase plan,</w:t>
            </w:r>
          </w:p>
        </w:tc>
        <w:tc>
          <w:tcPr>
            <w:tcW w:w="10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40" w:type="dxa"/>
            <w:vAlign w:val="bottom"/>
          </w:tcPr>
          <w:p>
            <w:pPr>
              <w:ind w:left="180"/>
              <w:spacing w:after="0"/>
              <w:rPr>
                <w:sz w:val="20"/>
                <w:szCs w:val="20"/>
                <w:color w:val="auto"/>
              </w:rPr>
            </w:pPr>
            <w:r>
              <w:rPr>
                <w:rFonts w:ascii="Arial" w:cs="Arial" w:eastAsia="Arial" w:hAnsi="Arial"/>
                <w:sz w:val="14"/>
                <w:szCs w:val="14"/>
                <w:color w:val="auto"/>
              </w:rPr>
              <w:t>options and warrants</w:t>
            </w:r>
          </w:p>
        </w:tc>
        <w:tc>
          <w:tcPr>
            <w:tcW w:w="1060" w:type="dxa"/>
            <w:vAlign w:val="bottom"/>
            <w:tcBorders>
              <w:right w:val="single" w:sz="8" w:color="auto"/>
            </w:tcBorders>
          </w:tcPr>
          <w:p>
            <w:pPr>
              <w:jc w:val="right"/>
              <w:ind w:right="6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45"/>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issued and related taxes</w:t>
            </w:r>
          </w:p>
        </w:tc>
        <w:tc>
          <w:tcPr>
            <w:tcW w:w="1060" w:type="dxa"/>
            <w:vAlign w:val="bottom"/>
            <w:tcBorders>
              <w:right w:val="single" w:sz="8" w:color="auto"/>
            </w:tcBorders>
            <w:shd w:val="clear" w:color="auto" w:fill="CCEEFF"/>
          </w:tcPr>
          <w:p>
            <w:pPr>
              <w:jc w:val="right"/>
              <w:ind w:right="6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60" w:type="dxa"/>
            <w:vAlign w:val="bottom"/>
            <w:tcBorders>
              <w:right w:val="single" w:sz="8" w:color="auto"/>
            </w:tcBorders>
          </w:tcPr>
          <w:p>
            <w:pPr>
              <w:jc w:val="right"/>
              <w:ind w:right="6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 net of tax</w:t>
            </w:r>
          </w:p>
        </w:tc>
        <w:tc>
          <w:tcPr>
            <w:tcW w:w="1060" w:type="dxa"/>
            <w:vAlign w:val="bottom"/>
            <w:tcBorders>
              <w:bottom w:val="single" w:sz="8" w:color="auto"/>
              <w:right w:val="single" w:sz="8" w:color="auto"/>
            </w:tcBorders>
            <w:shd w:val="clear" w:color="auto" w:fill="CCEEFF"/>
          </w:tcPr>
          <w:p>
            <w:pPr>
              <w:jc w:val="right"/>
              <w:ind w:right="6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4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060" w:type="dxa"/>
            <w:vAlign w:val="bottom"/>
            <w:tcBorders>
              <w:right w:val="single" w:sz="8" w:color="auto"/>
            </w:tcBorders>
          </w:tcPr>
          <w:p>
            <w:pPr>
              <w:jc w:val="right"/>
              <w:ind w:right="6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20" w:type="dxa"/>
            <w:vAlign w:val="bottom"/>
          </w:tcPr>
          <w:p>
            <w:pPr>
              <w:jc w:val="right"/>
              <w:ind w:right="45"/>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color w:val="auto"/>
              </w:rPr>
              <w:t>1,233.7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511.5</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from the adoption of ASC 606 (Note 1)</w:t>
            </w:r>
          </w:p>
        </w:tc>
        <w:tc>
          <w:tcPr>
            <w:tcW w:w="1060" w:type="dxa"/>
            <w:vAlign w:val="bottom"/>
            <w:tcBorders>
              <w:right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060" w:type="dxa"/>
            <w:vAlign w:val="bottom"/>
            <w:tcBorders>
              <w:right w:val="single" w:sz="8" w:color="auto"/>
            </w:tcBorders>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for employee stock purchase plan,</w:t>
            </w:r>
          </w:p>
        </w:tc>
        <w:tc>
          <w:tcPr>
            <w:tcW w:w="1060" w:type="dxa"/>
            <w:vAlign w:val="bottom"/>
            <w:tcBorders>
              <w:right w:val="single" w:sz="8" w:color="auto"/>
            </w:tcBorders>
            <w:vMerge w:val="restart"/>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options and warrants</w:t>
            </w:r>
          </w:p>
        </w:tc>
        <w:tc>
          <w:tcPr>
            <w:tcW w:w="106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Restricted stock issued and related taxes</w:t>
            </w:r>
          </w:p>
        </w:tc>
        <w:tc>
          <w:tcPr>
            <w:tcW w:w="1060" w:type="dxa"/>
            <w:vAlign w:val="bottom"/>
            <w:tcBorders>
              <w:right w:val="single" w:sz="8" w:color="auto"/>
            </w:tcBorders>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20" w:type="dxa"/>
            <w:vAlign w:val="bottom"/>
          </w:tcPr>
          <w:p>
            <w:pPr>
              <w:jc w:val="right"/>
              <w:ind w:right="45"/>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060" w:type="dxa"/>
            <w:vAlign w:val="bottom"/>
            <w:tcBorders>
              <w:right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comprehensive income, net of tax</w:t>
            </w:r>
          </w:p>
        </w:tc>
        <w:tc>
          <w:tcPr>
            <w:tcW w:w="106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30, 2018</w:t>
            </w:r>
          </w:p>
        </w:tc>
        <w:tc>
          <w:tcPr>
            <w:tcW w:w="1060" w:type="dxa"/>
            <w:vAlign w:val="bottom"/>
            <w:tcBorders>
              <w:right w:val="single" w:sz="8" w:color="auto"/>
            </w:tcBorders>
            <w:shd w:val="clear" w:color="auto" w:fill="CCEEFF"/>
          </w:tcPr>
          <w:p>
            <w:pPr>
              <w:jc w:val="right"/>
              <w:ind w:right="6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103.8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1,244.5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519.3</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060" w:type="dxa"/>
            <w:vAlign w:val="bottom"/>
            <w:tcBorders>
              <w:right w:val="single" w:sz="8" w:color="auto"/>
            </w:tcBorders>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for employee stock purchase plan,</w:t>
            </w:r>
          </w:p>
        </w:tc>
        <w:tc>
          <w:tcPr>
            <w:tcW w:w="1060" w:type="dxa"/>
            <w:vAlign w:val="bottom"/>
            <w:tcBorders>
              <w:right w:val="single" w:sz="8" w:color="auto"/>
            </w:tcBorders>
            <w:vMerge w:val="restart"/>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options and warrants</w:t>
            </w:r>
          </w:p>
        </w:tc>
        <w:tc>
          <w:tcPr>
            <w:tcW w:w="106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Restricted stock issued and related taxes</w:t>
            </w:r>
          </w:p>
        </w:tc>
        <w:tc>
          <w:tcPr>
            <w:tcW w:w="1060" w:type="dxa"/>
            <w:vAlign w:val="bottom"/>
            <w:tcBorders>
              <w:right w:val="single" w:sz="8" w:color="auto"/>
            </w:tcBorders>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20" w:type="dxa"/>
            <w:vAlign w:val="bottom"/>
          </w:tcPr>
          <w:p>
            <w:pPr>
              <w:jc w:val="right"/>
              <w:ind w:right="45"/>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for acquisitions</w:t>
            </w:r>
          </w:p>
        </w:tc>
        <w:tc>
          <w:tcPr>
            <w:tcW w:w="1060" w:type="dxa"/>
            <w:vAlign w:val="bottom"/>
            <w:tcBorders>
              <w:right w:val="single" w:sz="8" w:color="auto"/>
            </w:tcBorders>
            <w:shd w:val="clear" w:color="auto" w:fill="CCEEFF"/>
          </w:tcPr>
          <w:p>
            <w:pPr>
              <w:jc w:val="right"/>
              <w:ind w:right="6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tcBorders>
              <w:right w:val="single" w:sz="8" w:color="auto"/>
            </w:tcBorders>
          </w:tcPr>
          <w:p>
            <w:pPr>
              <w:jc w:val="right"/>
              <w:ind w:right="61"/>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tcPr>
          <w:p>
            <w:pPr>
              <w:jc w:val="right"/>
              <w:ind w:right="23"/>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 net of tax</w:t>
            </w:r>
          </w:p>
        </w:tc>
        <w:tc>
          <w:tcPr>
            <w:tcW w:w="1060" w:type="dxa"/>
            <w:vAlign w:val="bottom"/>
            <w:tcBorders>
              <w:right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Changes in noncontrolling interest</w:t>
            </w:r>
          </w:p>
        </w:tc>
        <w:tc>
          <w:tcPr>
            <w:tcW w:w="106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4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29, 2019</w:t>
            </w:r>
          </w:p>
        </w:tc>
        <w:tc>
          <w:tcPr>
            <w:tcW w:w="106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106.6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1,286.5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558" w:right="239" w:bottom="1440" w:gutter="0" w:footer="0" w:header="0"/>
        </w:sectPr>
      </w:pPr>
    </w:p>
    <w:bookmarkStart w:id="66" w:name="page67"/>
    <w:bookmarkEnd w:id="66"/>
    <w:p>
      <w:pPr>
        <w:spacing w:after="0" w:line="6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KRATOS DEFENSE &amp; SECURITY SOLUTIONS, INC. CONSOLIDATED STATEMENTS OF CASH FLOWS Years ended December 29, 2019, December 30, 2018, and December 31, 2017 (in millions)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0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7080" w:type="dxa"/>
            <w:vAlign w:val="bottom"/>
          </w:tcPr>
          <w:p>
            <w:pPr>
              <w:ind w:left="180"/>
              <w:spacing w:after="0"/>
              <w:rPr>
                <w:sz w:val="20"/>
                <w:szCs w:val="20"/>
                <w:color w:val="auto"/>
              </w:rPr>
            </w:pPr>
            <w:r>
              <w:rPr>
                <w:rFonts w:ascii="Arial" w:cs="Arial" w:eastAsia="Arial" w:hAnsi="Arial"/>
                <w:sz w:val="16"/>
                <w:szCs w:val="16"/>
                <w:color w:val="auto"/>
              </w:rPr>
              <w:t>Income (loss) from continuing operations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Adjustments to reconcile income (loss) from continuing operations to net cash provided by (used in)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activities from continuing operations:</w:t>
            </w: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Amortization of lease right-of-use assets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Goodwill impairment charge</w:t>
            </w:r>
          </w:p>
        </w:tc>
        <w:tc>
          <w:tcPr>
            <w:tcW w:w="8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premium and discount on Senior Secured Notes</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Provision for doubtful accounts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Unbilled receivables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37"/>
        </w:trPr>
        <w:tc>
          <w:tcPr>
            <w:tcW w:w="7080" w:type="dxa"/>
            <w:vAlign w:val="bottom"/>
          </w:tcPr>
          <w:p>
            <w:pPr>
              <w:ind w:left="600"/>
              <w:spacing w:after="0"/>
              <w:rPr>
                <w:sz w:val="20"/>
                <w:szCs w:val="20"/>
                <w:color w:val="auto"/>
              </w:rPr>
            </w:pPr>
            <w:r>
              <w:rPr>
                <w:rFonts w:ascii="Arial" w:cs="Arial" w:eastAsia="Arial" w:hAnsi="Arial"/>
                <w:sz w:val="16"/>
                <w:szCs w:val="16"/>
                <w:color w:val="auto"/>
              </w:rPr>
              <w:t>Inventoried costs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Prepaid expenses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7080" w:type="dxa"/>
            <w:vAlign w:val="bottom"/>
          </w:tcPr>
          <w:p>
            <w:pPr>
              <w:ind w:left="600"/>
              <w:spacing w:after="0"/>
              <w:rPr>
                <w:sz w:val="20"/>
                <w:szCs w:val="20"/>
                <w:color w:val="auto"/>
              </w:rPr>
            </w:pPr>
            <w:r>
              <w:rPr>
                <w:rFonts w:ascii="Arial" w:cs="Arial" w:eastAsia="Arial" w:hAnsi="Arial"/>
                <w:sz w:val="16"/>
                <w:szCs w:val="16"/>
                <w:color w:val="auto"/>
              </w:rPr>
              <w:t>Other assets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lease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expenses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7080" w:type="dxa"/>
            <w:vAlign w:val="bottom"/>
          </w:tcPr>
          <w:p>
            <w:pPr>
              <w:ind w:left="600"/>
              <w:spacing w:after="0"/>
              <w:rPr>
                <w:sz w:val="20"/>
                <w:szCs w:val="20"/>
                <w:color w:val="auto"/>
              </w:rPr>
            </w:pPr>
            <w:r>
              <w:rPr>
                <w:rFonts w:ascii="Arial" w:cs="Arial" w:eastAsia="Arial" w:hAnsi="Arial"/>
                <w:sz w:val="16"/>
                <w:szCs w:val="16"/>
                <w:color w:val="auto"/>
              </w:rPr>
              <w:t>Accrued compensation</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interest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7080" w:type="dxa"/>
            <w:vAlign w:val="bottom"/>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Income tax receivable and payable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7080" w:type="dxa"/>
            <w:vAlign w:val="bottom"/>
          </w:tcPr>
          <w:p>
            <w:pPr>
              <w:ind w:left="600"/>
              <w:spacing w:after="0"/>
              <w:rPr>
                <w:sz w:val="20"/>
                <w:szCs w:val="20"/>
                <w:color w:val="auto"/>
              </w:rPr>
            </w:pPr>
            <w:r>
              <w:rPr>
                <w:rFonts w:ascii="Arial" w:cs="Arial" w:eastAsia="Arial" w:hAnsi="Arial"/>
                <w:sz w:val="16"/>
                <w:szCs w:val="16"/>
                <w:color w:val="auto"/>
              </w:rPr>
              <w:t>Other liabilities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operating activities from continuing operations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4"/>
        </w:trPr>
        <w:tc>
          <w:tcPr>
            <w:tcW w:w="70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7"/>
        </w:trPr>
        <w:tc>
          <w:tcPr>
            <w:tcW w:w="7080" w:type="dxa"/>
            <w:vAlign w:val="bottom"/>
          </w:tcPr>
          <w:p>
            <w:pPr>
              <w:ind w:left="720"/>
              <w:spacing w:after="0"/>
              <w:rPr>
                <w:sz w:val="20"/>
                <w:szCs w:val="20"/>
                <w:color w:val="auto"/>
              </w:rPr>
            </w:pPr>
            <w:r>
              <w:rPr>
                <w:rFonts w:ascii="Arial" w:cs="Arial" w:eastAsia="Arial" w:hAnsi="Arial"/>
                <w:sz w:val="16"/>
                <w:szCs w:val="16"/>
                <w:color w:val="auto"/>
              </w:rPr>
              <w:t>Net cash provided by (used in) investing activities from continuing operations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0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Proceeds from the issuance of long-term debt</w:t>
            </w:r>
          </w:p>
        </w:tc>
        <w:tc>
          <w:tcPr>
            <w:tcW w:w="8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Extinguishment of long-term debt</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(448.8)</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Proceeds (expenses) from the issuance of common stock</w:t>
            </w:r>
          </w:p>
        </w:tc>
        <w:tc>
          <w:tcPr>
            <w:tcW w:w="8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269.1</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Repayment under credit facility and debt</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8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under finance leases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080" w:type="dxa"/>
            <w:vAlign w:val="bottom"/>
          </w:tcPr>
          <w:p>
            <w:pPr>
              <w:ind w:left="180"/>
              <w:spacing w:after="0"/>
              <w:rPr>
                <w:sz w:val="20"/>
                <w:szCs w:val="20"/>
                <w:color w:val="auto"/>
              </w:rPr>
            </w:pPr>
            <w:r>
              <w:rPr>
                <w:rFonts w:ascii="Arial" w:cs="Arial" w:eastAsia="Arial" w:hAnsi="Arial"/>
                <w:sz w:val="16"/>
                <w:szCs w:val="16"/>
                <w:color w:val="auto"/>
                <w:w w:val="93"/>
              </w:rPr>
              <w:t>Proceeds from exercise of restricted stock units, employee stock options, and employee stock purchase</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180"/>
              <w:spacing w:after="0"/>
              <w:rPr>
                <w:sz w:val="20"/>
                <w:szCs w:val="20"/>
                <w:color w:val="auto"/>
              </w:rPr>
            </w:pPr>
            <w:r>
              <w:rPr>
                <w:rFonts w:ascii="Arial" w:cs="Arial" w:eastAsia="Arial" w:hAnsi="Arial"/>
                <w:sz w:val="16"/>
                <w:szCs w:val="16"/>
                <w:color w:val="auto"/>
              </w:rPr>
              <w:t>plan</w:t>
            </w:r>
          </w:p>
        </w:tc>
        <w:tc>
          <w:tcPr>
            <w:tcW w:w="88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7"/>
        </w:trPr>
        <w:tc>
          <w:tcPr>
            <w:tcW w:w="708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of discontinued operations</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183.0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130.9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year</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0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53" w:right="23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paid during the year for interest</w:t>
            </w: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w:t>
            </w:r>
          </w:p>
        </w:tc>
        <w:tc>
          <w:tcPr>
            <w:tcW w:w="6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w:t>
            </w:r>
          </w:p>
        </w:tc>
      </w:tr>
      <w:tr>
        <w:trPr>
          <w:trHeight w:val="237"/>
        </w:trPr>
        <w:tc>
          <w:tcPr>
            <w:tcW w:w="6020" w:type="dxa"/>
            <w:vAlign w:val="bottom"/>
          </w:tcPr>
          <w:p>
            <w:pPr>
              <w:ind w:left="200"/>
              <w:spacing w:after="0"/>
              <w:rPr>
                <w:sz w:val="20"/>
                <w:szCs w:val="20"/>
                <w:color w:val="auto"/>
              </w:rPr>
            </w:pPr>
            <w:r>
              <w:rPr>
                <w:rFonts w:ascii="Arial" w:cs="Arial" w:eastAsia="Arial" w:hAnsi="Arial"/>
                <w:sz w:val="16"/>
                <w:szCs w:val="16"/>
                <w:color w:val="auto"/>
              </w:rPr>
              <w:t>Net cash paid during the year for income taxes</w:t>
            </w: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6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6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6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financing and investing activities:</w:t>
            </w:r>
          </w:p>
        </w:tc>
        <w:tc>
          <w:tcPr>
            <w:tcW w:w="1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200"/>
              <w:spacing w:after="0"/>
              <w:rPr>
                <w:sz w:val="20"/>
                <w:szCs w:val="20"/>
                <w:color w:val="auto"/>
              </w:rPr>
            </w:pPr>
            <w:r>
              <w:rPr>
                <w:rFonts w:ascii="Arial" w:cs="Arial" w:eastAsia="Arial" w:hAnsi="Arial"/>
                <w:sz w:val="16"/>
                <w:szCs w:val="16"/>
                <w:color w:val="auto"/>
              </w:rPr>
              <w:t>Capital expenditures included in accounts payable and accrued expenses</w:t>
            </w: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6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6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6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6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Liability for contingent consideration and goodwill related to acquisition</w:t>
            </w: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60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40"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Summary of Significant Accounting Policies</w:t>
      </w:r>
    </w:p>
    <w:p>
      <w:pPr>
        <w:spacing w:after="0" w:line="22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Kratos is a mid-tier government contractor at the forefront of the U.S. Department of Defense’s (the “DoD”)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Kratos’ primary focus areas are unmanned systems, space and satellite communications, training solutions, microwave electronics, cyber security/warfare, missile defense, and hypersonic systems, turbine technologies, and combat systems. The Company believes that its technology, intellectual property, proprietary products and designed-in positions on its customers’ programs, platforms and systems, and the ability to rapidly develop, demonstrate and field affordable leading technology systems is a competitive advantage and high barrier to entry to the markets in which it operates. The Company’s work force is primarily engineering and technically oriented, highly skilled with a significant number holding national security clearances. The Company’s entire organization is focused on executing its strategy of becoming the leading technology and intellectual property based company in its industry.</w:t>
      </w:r>
    </w:p>
    <w:p>
      <w:pPr>
        <w:spacing w:after="0" w:line="178"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operates in two reportable segments. The Kratos Government Solutions (“KGS”) reportable segment is comprised of an aggregation of KGS operating segments, including its microwave electronic products, space, training and cybersecurity, C5ISR/modular systems, turbine technologies and defense and rocket support services operating segments. The Unmanned Systems (“US”) reportable segment consists of its unmanned aerial system and unmanned ground and seaborne system products. The Public Safety &amp; Security (“PSS”) reportable segment (which was divested in June 2018 and has been classified as discontinued operations - see Note 9 of these notes to the consolidated financial statements) previously provided independent integrated solutions for advanced homeland security, public safety, critical infrastructure, and security and surveillance systems for government and commercial applications.</w:t>
      </w:r>
    </w:p>
    <w:p>
      <w:pPr>
        <w:spacing w:after="0" w:line="16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organizes its operating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the Company’s operating segments, see Note 14 of these notes to consolidated financial statements.</w:t>
      </w:r>
    </w:p>
    <w:p>
      <w:pPr>
        <w:spacing w:after="0" w:line="18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 and Basis of Presentation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Kratos and its 100% owned subsidiaries, for which all intercompany transactions have been eliminated in consolidation.</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calendar year, with interim fiscal periods ending on the last Sunday of each calendar quarter. There were 52 calendar weeks in the fiscal years ending on December 29, 2019 and December 30, 2018 and 53 calendar weeks in the fiscal year ended on December 31, 2017.</w:t>
      </w:r>
    </w:p>
    <w:p>
      <w:pPr>
        <w:spacing w:after="0" w:line="177"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Such estimates include revenue recognition, valuation of long-lived assets including identifiable intangibles and goodwill, accounting for income taxes including the related valuation allowance on the deferred tax asset and uncertain tax positions, contingencies and litigation, contingent acquisition consideration, and stock-based compensation. In the future, the Company may realize actual results that differ from the current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553" w:right="259" w:bottom="1440" w:gutter="0" w:footer="0" w:header="0"/>
        </w:sectPr>
      </w:pPr>
    </w:p>
    <w:bookmarkStart w:id="69" w:name="page70"/>
    <w:bookmarkEnd w:id="69"/>
    <w:p>
      <w:pPr>
        <w:ind w:right="660"/>
        <w:spacing w:after="0" w:line="277" w:lineRule="auto"/>
        <w:rPr>
          <w:sz w:val="20"/>
          <w:szCs w:val="20"/>
          <w:color w:val="auto"/>
        </w:rPr>
      </w:pPr>
      <w:r>
        <w:rPr>
          <w:rFonts w:ascii="Arial" w:cs="Arial" w:eastAsia="Arial" w:hAnsi="Arial"/>
          <w:sz w:val="18"/>
          <w:szCs w:val="18"/>
          <w:color w:val="auto"/>
        </w:rPr>
        <w:t>reported estimates and if the estimates that the Company has used change in the future, such changes could have a material impact on the Company’s consolidated financial position, results of operations and cash flows.</w:t>
      </w:r>
    </w:p>
    <w:p>
      <w:pPr>
        <w:spacing w:after="0" w:line="166"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Effective January 1, 2018, the Company adopted the Financial Accounting Standards Board (“FASB”)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and the related amendments, which are codified into Accounting Standards Codification (“ASC”) 606 (“ASC 606”), which establishes a broad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 that requires entities to assess the products or services promised in contracts with customers at contract inception to determine the appropriate unit at which to record revenues, which is referred to as a performance obligation. Revenue is recognized when control of the promised products or services is transferred to customers, at an amount that reflects the consideration to which the entity expects to be entitled in exchange for those products or services. The new standard requires disclosure of the nature, amount, timing, and uncertainty of revenue and cash flows arising from contracts with customers.</w:t>
      </w:r>
    </w:p>
    <w:p>
      <w:pPr>
        <w:spacing w:after="0" w:line="16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adopted ASC 606 on January 1, 2018, using the modified retrospective method and recognized and recorded a decrease in opening equity of $0.2 million as of January 1, 2018 due to the cumulative impact of adopting ASC 606. The impact of adopting ASC 606 for the year ended December 30, 2018 was an increase of $30.0 million to revenues and a corresponding increase in cost of revenues of $21.9 million. Total net cash provided by operating activities from continuing operations, total net cash provided by investing activities from continuing operations and total net cash provided by financing activities on the Company’s consolidated statements of cash flows were not impacted by the adoption of ASC 606. Discontinued operations were not affected by the adoption of ASC 606.</w:t>
      </w:r>
    </w:p>
    <w:p>
      <w:pPr>
        <w:spacing w:after="0" w:line="193"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reported results for 2018 and 2019 reflect the application of ASC 606 guidance while the reported results for periods prior to January 1, 2018 were prepared under the guidance of FASB ASC 605</w:t>
      </w:r>
      <w:r>
        <w:rPr>
          <w:rFonts w:ascii="Arial" w:cs="Arial" w:eastAsia="Arial" w:hAnsi="Arial"/>
          <w:sz w:val="17"/>
          <w:szCs w:val="17"/>
          <w:i w:val="1"/>
          <w:iCs w:val="1"/>
          <w:color w:val="auto"/>
        </w:rPr>
        <w:t>.</w:t>
      </w:r>
      <w:r>
        <w:rPr>
          <w:rFonts w:ascii="Arial" w:cs="Arial" w:eastAsia="Arial" w:hAnsi="Arial"/>
          <w:sz w:val="17"/>
          <w:szCs w:val="17"/>
          <w:color w:val="auto"/>
        </w:rPr>
        <w:t xml:space="preserve"> The adoption of ASC 606 represents a change in accounting principle.</w:t>
      </w:r>
    </w:p>
    <w:p>
      <w:pPr>
        <w:spacing w:after="0" w:line="147"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under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6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Prior to the adoption of ASC 606, the Company recognized the majority of its revenues using the percentage-of completion method of accounting. Based on the nature of products provided or services performed, revenue was recorded as costs were incurred (the “percentage-of-completion cost-to-cost method”) or as units were delivered (the “percentage-of-completion units-of-delivery method”). For the majority of contracts, the Company satisfies the underlying performance obligations over time as the customer obtains control or receives benefits as work is performed on the contract. As a result, under ASC 606 revenue is recognized over a time using the cost-to-cost method (cost incurred relative to total estimated cost at completion). This change generally results in an acceleration of revenue for contracts that were historically accounted for using the percentage-of-completion units-of-delivery method as revenues are now recognized earlier in the performance period as costs are incurred rather than as units are delivered.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Since the Company’s adoption of ASC 606 on January 1, 2018, revenues from remaining performance obligations are now calculated as the dollar value of the remaining performance obligations on executed contracts. On December 29, 2019, the Company had approximately $601.2 million of remaining performance obligations. The Company expects to recognize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557"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approximately 62.0% of the remaining performance obligations as revenue in 2020, an additional 21.0% in 2021, and the balance thereafter.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Due to the nature of the work required to be performed on many performance obligations, the estimation of total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8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consolidated financial statements for the years ended December 29, 2019, December 30, 2018 and December 31, 2017. Likewise, total cumulative catch-up adjustments were not material for the years ended December 29, 2019, December 30, 2018 and December 31, 2017. As of December 29, 2019 and December 30, 2018, accrued expenses included the accrual for losses on contracts of $3.1 million and $5.1 million,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557"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defined and valued at contract inception. Cost-type contracts are typically billed to the customer on a monthly or semi-monthly basis.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29, 2019</w:t>
            </w: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30, 2018</w:t>
            </w:r>
          </w:p>
        </w:tc>
        <w:tc>
          <w:tcPr>
            <w:tcW w:w="240" w:type="dxa"/>
            <w:vAlign w:val="bottom"/>
          </w:tcPr>
          <w:p>
            <w:pPr>
              <w:spacing w:after="0"/>
              <w:rPr>
                <w:sz w:val="18"/>
                <w:szCs w:val="18"/>
                <w:color w:val="auto"/>
              </w:rPr>
            </w:pPr>
          </w:p>
        </w:tc>
        <w:tc>
          <w:tcPr>
            <w:tcW w:w="1240" w:type="dxa"/>
            <w:vAlign w:val="bottom"/>
          </w:tcPr>
          <w:p>
            <w:pPr>
              <w:jc w:val="right"/>
              <w:ind w:right="232"/>
              <w:spacing w:after="0"/>
              <w:rPr>
                <w:sz w:val="20"/>
                <w:szCs w:val="20"/>
                <w:color w:val="auto"/>
              </w:rPr>
            </w:pPr>
            <w:r>
              <w:rPr>
                <w:rFonts w:ascii="Arial" w:cs="Arial" w:eastAsia="Arial" w:hAnsi="Arial"/>
                <w:sz w:val="16"/>
                <w:szCs w:val="16"/>
                <w:b w:val="1"/>
                <w:bCs w:val="1"/>
                <w:color w:val="auto"/>
              </w:rPr>
              <w:t>Net Change</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Contract assets increased $6.6 million during the year ended December 29, 2019, primarily due to the recognition of revenue related to the satisfaction or partial satisfaction of performance obligations during the year ended December 29, 2019 for which the Company has not yet billed the customers. There were no significant impairment losses related to any receivables or contract assets arising from the Company’s contracts with customers during the year ended December 29, 2019. Contract liabilities decreased $2.7 million during the year ended December 29, 2019, primarily due to revenue recognized in excess of payments received on these performance obligations. For the years ended December 29, 2019 and December 30, 2018, the Company recognized revenue of $30.5 million and $35.5 million, respectively, that was previously included in the beginning balance of contract liabilities.</w:t>
      </w:r>
    </w:p>
    <w:p>
      <w:pPr>
        <w:spacing w:after="0" w:line="16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December 29, 2019, approximately $11.5 million in unbilled receivables is outstanding on this project. In addition, the Company is currently in dispute with an international customer in the US segment over approximately $10.0 million in unbilled receivables outstanding as of December 29, 2019. The dispute concerns the completion of system requirements and contractual milestones. Although there could be a delay in billing and collecting amounts due to the Company under the aforementioned contracts, management has evaluated the present facts of the matters and performed a reassessment of the contractual amounts due and have determined that no adjustment to previously recognized revenue, or the corresponding unbilled receivables, is necessary at December 29, 2019.</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557"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135" w:lineRule="exact"/>
        <w:rPr>
          <w:sz w:val="20"/>
          <w:szCs w:val="20"/>
          <w:color w:val="auto"/>
        </w:rPr>
      </w:pPr>
    </w:p>
    <w:p>
      <w:pPr>
        <w:ind w:left="8960"/>
        <w:spacing w:after="0"/>
        <w:tabs>
          <w:tab w:leader="none" w:pos="10360" w:val="left"/>
        </w:tabs>
        <w:rPr>
          <w:sz w:val="20"/>
          <w:szCs w:val="20"/>
          <w:color w:val="auto"/>
        </w:rPr>
      </w:pPr>
      <w:r>
        <w:rPr>
          <w:rFonts w:ascii="Arial" w:cs="Arial" w:eastAsia="Arial" w:hAnsi="Arial"/>
          <w:sz w:val="14"/>
          <w:szCs w:val="14"/>
          <w:b w:val="1"/>
          <w:bCs w:val="1"/>
          <w:color w:val="auto"/>
        </w:rPr>
        <w:t>Year Ended</w:t>
      </w:r>
      <w:r>
        <w:rPr>
          <w:sz w:val="20"/>
          <w:szCs w:val="20"/>
          <w:color w:val="auto"/>
        </w:rPr>
        <w:tab/>
      </w:r>
      <w:r>
        <w:rPr>
          <w:rFonts w:ascii="Arial" w:cs="Arial" w:eastAsia="Arial" w:hAnsi="Arial"/>
          <w:sz w:val="13"/>
          <w:szCs w:val="13"/>
          <w:b w:val="1"/>
          <w:bCs w:val="1"/>
          <w:color w:val="auto"/>
        </w:rPr>
        <w:t>Year Ended</w:t>
      </w:r>
    </w:p>
    <w:p>
      <w:pPr>
        <w:spacing w:after="0" w:line="4" w:lineRule="exact"/>
        <w:rPr>
          <w:sz w:val="20"/>
          <w:szCs w:val="20"/>
          <w:color w:val="auto"/>
        </w:rPr>
      </w:pPr>
    </w:p>
    <w:p>
      <w:pPr>
        <w:jc w:val="right"/>
        <w:ind w:right="100"/>
        <w:spacing w:after="0"/>
        <w:tabs>
          <w:tab w:leader="none" w:pos="1140" w:val="left"/>
        </w:tabs>
        <w:rPr>
          <w:sz w:val="20"/>
          <w:szCs w:val="20"/>
          <w:color w:val="auto"/>
        </w:rPr>
      </w:pPr>
      <w:r>
        <w:rPr>
          <w:rFonts w:ascii="Arial" w:cs="Arial" w:eastAsia="Arial" w:hAnsi="Arial"/>
          <w:sz w:val="14"/>
          <w:szCs w:val="14"/>
          <w:b w:val="1"/>
          <w:bCs w:val="1"/>
          <w:color w:val="auto"/>
        </w:rPr>
        <w:t>December 29, 2019</w:t>
      </w:r>
      <w:r>
        <w:rPr>
          <w:sz w:val="20"/>
          <w:szCs w:val="20"/>
          <w:color w:val="auto"/>
        </w:rPr>
        <w:tab/>
      </w:r>
      <w:r>
        <w:rPr>
          <w:rFonts w:ascii="Arial" w:cs="Arial" w:eastAsia="Arial" w:hAnsi="Arial"/>
          <w:sz w:val="12"/>
          <w:szCs w:val="12"/>
          <w:b w:val="1"/>
          <w:bCs w:val="1"/>
          <w:color w:val="auto"/>
        </w:rPr>
        <w:t>December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Kratos Government Solutions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Fixed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Cost plus fee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Time and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Total Kratos Government Solutions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Unmanned Systems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469.4</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424.9</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5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5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27.6</w:t>
            </w:r>
          </w:p>
        </w:tc>
      </w:tr>
      <w:tr>
        <w:trPr>
          <w:trHeight w:val="27"/>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556.1</w:t>
            </w:r>
          </w:p>
        </w:tc>
        <w:tc>
          <w:tcPr>
            <w:tcW w:w="5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485.1</w:t>
            </w:r>
          </w:p>
        </w:tc>
      </w:tr>
      <w:tr>
        <w:trPr>
          <w:trHeight w:val="27"/>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sectPr>
          <w:pgSz w:w="11900" w:h="16838" w:orient="portrait"/>
          <w:cols w:equalWidth="0" w:num="2">
            <w:col w:w="7980" w:space="720"/>
            <w:col w:w="2720"/>
          </w:cols>
          <w:pgMar w:left="240" w:top="557"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Fixed price</w:t>
            </w: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126.2</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r>
      <w:tr>
        <w:trPr>
          <w:trHeight w:val="243"/>
        </w:trPr>
        <w:tc>
          <w:tcPr>
            <w:tcW w:w="8700" w:type="dxa"/>
            <w:vAlign w:val="bottom"/>
          </w:tcPr>
          <w:p>
            <w:pPr>
              <w:ind w:left="80"/>
              <w:spacing w:after="0"/>
              <w:rPr>
                <w:sz w:val="20"/>
                <w:szCs w:val="20"/>
                <w:color w:val="auto"/>
              </w:rPr>
            </w:pPr>
            <w:r>
              <w:rPr>
                <w:rFonts w:ascii="Arial" w:cs="Arial" w:eastAsia="Arial" w:hAnsi="Arial"/>
                <w:sz w:val="18"/>
                <w:szCs w:val="18"/>
                <w:color w:val="auto"/>
              </w:rPr>
              <w:t>Cost plus fee</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8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Time and materials</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8700" w:type="dxa"/>
            <w:vAlign w:val="bottom"/>
          </w:tcPr>
          <w:p>
            <w:pPr>
              <w:ind w:left="160"/>
              <w:spacing w:after="0"/>
              <w:rPr>
                <w:sz w:val="20"/>
                <w:szCs w:val="20"/>
                <w:color w:val="auto"/>
              </w:rPr>
            </w:pPr>
            <w:r>
              <w:rPr>
                <w:rFonts w:ascii="Arial" w:cs="Arial" w:eastAsia="Arial" w:hAnsi="Arial"/>
                <w:sz w:val="18"/>
                <w:szCs w:val="18"/>
                <w:color w:val="auto"/>
              </w:rPr>
              <w:t>Total Unmanned Systems</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161.4</w:t>
            </w:r>
          </w:p>
        </w:tc>
        <w:tc>
          <w:tcPr>
            <w:tcW w:w="5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132.9</w:t>
            </w:r>
          </w:p>
        </w:tc>
      </w:tr>
      <w:tr>
        <w:trPr>
          <w:trHeight w:val="27"/>
        </w:trPr>
        <w:tc>
          <w:tcPr>
            <w:tcW w:w="8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717.5</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618.0</w:t>
            </w:r>
          </w:p>
        </w:tc>
      </w:tr>
      <w:tr>
        <w:trPr>
          <w:trHeight w:val="20"/>
        </w:trPr>
        <w:tc>
          <w:tcPr>
            <w:tcW w:w="8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 by customer was as follows (in millions):</w:t>
      </w:r>
    </w:p>
    <w:p>
      <w:pPr>
        <w:spacing w:after="0" w:line="163" w:lineRule="exact"/>
        <w:rPr>
          <w:sz w:val="20"/>
          <w:szCs w:val="20"/>
          <w:color w:val="auto"/>
        </w:rPr>
      </w:pPr>
    </w:p>
    <w:p>
      <w:pPr>
        <w:ind w:left="8900"/>
        <w:spacing w:after="0"/>
        <w:tabs>
          <w:tab w:leader="none" w:pos="10360" w:val="left"/>
        </w:tabs>
        <w:rPr>
          <w:sz w:val="20"/>
          <w:szCs w:val="20"/>
          <w:color w:val="auto"/>
        </w:rPr>
      </w:pPr>
      <w:r>
        <w:rPr>
          <w:rFonts w:ascii="Arial" w:cs="Arial" w:eastAsia="Arial" w:hAnsi="Arial"/>
          <w:sz w:val="14"/>
          <w:szCs w:val="14"/>
          <w:b w:val="1"/>
          <w:bCs w:val="1"/>
          <w:color w:val="auto"/>
        </w:rPr>
        <w:t>Year Ended</w:t>
      </w:r>
      <w:r>
        <w:rPr>
          <w:sz w:val="20"/>
          <w:szCs w:val="20"/>
          <w:color w:val="auto"/>
        </w:rPr>
        <w:tab/>
      </w:r>
      <w:r>
        <w:rPr>
          <w:rFonts w:ascii="Arial" w:cs="Arial" w:eastAsia="Arial" w:hAnsi="Arial"/>
          <w:sz w:val="13"/>
          <w:szCs w:val="13"/>
          <w:b w:val="1"/>
          <w:bCs w:val="1"/>
          <w:color w:val="auto"/>
        </w:rPr>
        <w:t>Year Ended</w:t>
      </w:r>
    </w:p>
    <w:p>
      <w:pPr>
        <w:spacing w:after="0" w:line="4" w:lineRule="exact"/>
        <w:rPr>
          <w:sz w:val="20"/>
          <w:szCs w:val="20"/>
          <w:color w:val="auto"/>
        </w:rPr>
      </w:pPr>
    </w:p>
    <w:p>
      <w:pPr>
        <w:ind w:left="8680"/>
        <w:spacing w:after="0"/>
        <w:tabs>
          <w:tab w:leader="none" w:pos="10140" w:val="left"/>
        </w:tabs>
        <w:rPr>
          <w:sz w:val="20"/>
          <w:szCs w:val="20"/>
          <w:color w:val="auto"/>
        </w:rPr>
      </w:pPr>
      <w:r>
        <w:rPr>
          <w:rFonts w:ascii="Arial" w:cs="Arial" w:eastAsia="Arial" w:hAnsi="Arial"/>
          <w:sz w:val="14"/>
          <w:szCs w:val="14"/>
          <w:b w:val="1"/>
          <w:bCs w:val="1"/>
          <w:color w:val="auto"/>
        </w:rPr>
        <w:t>December 29, 2019</w:t>
      </w:r>
      <w:r>
        <w:rPr>
          <w:sz w:val="20"/>
          <w:szCs w:val="20"/>
          <w:color w:val="auto"/>
        </w:rPr>
        <w:tab/>
      </w:r>
      <w:r>
        <w:rPr>
          <w:rFonts w:ascii="Arial" w:cs="Arial" w:eastAsia="Arial" w:hAnsi="Arial"/>
          <w:sz w:val="12"/>
          <w:szCs w:val="12"/>
          <w:b w:val="1"/>
          <w:bCs w:val="1"/>
          <w:color w:val="auto"/>
        </w:rPr>
        <w:t>December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Kratos Government Solutions</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U.S. Commercial and other customers</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 Kratos Government Solutions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Unmanned Systems</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U.S. Commercial and other customers</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Unmanned Systems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368.6</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333.5</w:t>
            </w:r>
          </w:p>
        </w:tc>
      </w:tr>
      <w:tr>
        <w:trPr>
          <w:trHeight w:val="324"/>
        </w:trPr>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111.4</w:t>
            </w:r>
          </w:p>
        </w:tc>
        <w:tc>
          <w:tcPr>
            <w:tcW w:w="5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96.0</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76.1</w:t>
            </w:r>
          </w:p>
        </w:tc>
        <w:tc>
          <w:tcPr>
            <w:tcW w:w="5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55.6</w:t>
            </w:r>
          </w:p>
        </w:tc>
      </w:tr>
      <w:tr>
        <w:trPr>
          <w:trHeight w:val="27"/>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556.1</w:t>
            </w:r>
          </w:p>
        </w:tc>
        <w:tc>
          <w:tcPr>
            <w:tcW w:w="5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485.1</w:t>
            </w:r>
          </w:p>
        </w:tc>
      </w:tr>
      <w:tr>
        <w:trPr>
          <w:trHeight w:val="27"/>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61"/>
        </w:trPr>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138.8</w:t>
            </w:r>
          </w:p>
        </w:tc>
        <w:tc>
          <w:tcPr>
            <w:tcW w:w="5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113.5</w:t>
            </w:r>
          </w:p>
        </w:tc>
      </w:tr>
      <w:tr>
        <w:trPr>
          <w:trHeight w:val="324"/>
        </w:trPr>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161.4</w:t>
            </w:r>
          </w:p>
        </w:tc>
        <w:tc>
          <w:tcPr>
            <w:tcW w:w="5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132.9</w:t>
            </w:r>
          </w:p>
        </w:tc>
      </w:tr>
      <w:tr>
        <w:trPr>
          <w:trHeight w:val="27"/>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717.5</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618.0</w:t>
            </w:r>
          </w:p>
        </w:tc>
      </w:tr>
      <w:tr>
        <w:trPr>
          <w:trHeight w:val="27"/>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-1706245</wp:posOffset>
            </wp:positionV>
            <wp:extent cx="724662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-1328420</wp:posOffset>
            </wp:positionV>
            <wp:extent cx="724662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-968375</wp:posOffset>
            </wp:positionV>
            <wp:extent cx="724662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-556895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-205105</wp:posOffset>
            </wp:positionV>
            <wp:extent cx="724662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557" w:right="239" w:bottom="1440" w:gutter="0" w:footer="0" w:header="0"/>
          <w:type w:val="continuous"/>
        </w:sectPr>
      </w:pPr>
    </w:p>
    <w:p>
      <w:pPr>
        <w:spacing w:after="0" w:line="141" w:lineRule="exact"/>
        <w:rPr>
          <w:sz w:val="20"/>
          <w:szCs w:val="20"/>
          <w:color w:val="auto"/>
        </w:rPr>
      </w:pPr>
    </w:p>
    <w:p>
      <w:pPr>
        <w:ind w:firstLine="8"/>
        <w:spacing w:after="0" w:line="276" w:lineRule="auto"/>
        <w:tabs>
          <w:tab w:leader="none" w:pos="187"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203" w:lineRule="exact"/>
        <w:rPr>
          <w:rFonts w:ascii="Arial" w:cs="Arial" w:eastAsia="Arial" w:hAnsi="Arial"/>
          <w:sz w:val="22"/>
          <w:szCs w:val="22"/>
          <w:color w:val="auto"/>
          <w:vertAlign w:val="superscript"/>
        </w:rPr>
      </w:pPr>
    </w:p>
    <w:p>
      <w:pPr>
        <w:ind w:right="180" w:firstLine="8"/>
        <w:spacing w:after="0" w:line="330" w:lineRule="auto"/>
        <w:tabs>
          <w:tab w:leader="none" w:pos="178" w:val="left"/>
        </w:tabs>
        <w:numPr>
          <w:ilvl w:val="0"/>
          <w:numId w:val="33"/>
        </w:numPr>
        <w:rPr>
          <w:rFonts w:ascii="Arial" w:cs="Arial" w:eastAsia="Arial" w:hAnsi="Arial"/>
          <w:sz w:val="20"/>
          <w:szCs w:val="20"/>
          <w:color w:val="auto"/>
          <w:vertAlign w:val="superscript"/>
        </w:rPr>
      </w:pPr>
      <w:r>
        <w:rPr>
          <w:rFonts w:ascii="Arial" w:cs="Arial" w:eastAsia="Arial" w:hAnsi="Arial"/>
          <w:sz w:val="13"/>
          <w:szCs w:val="13"/>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3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federal contracts, the Company follows U.S. Government procurement and accounting standards in assessing the allowability and the allocability of costs to contracts. Recurring evaluations of contract cost, scheduling and technical matters are performed by management. Costs incurred and allocated to contracts with the U.S. Government are scrutinized for compliance with regulatory standards by the Company’s personnel, and are subject to audit by the Defense Contract Audit Agency (“DCAA”).</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From time to time, the Company may proceed with work based on customer direction prior to the completion and signing of formal contract documents. The Company has a formal review process for approving any such work. Revenue associated with such work is recognized only when the criteria to establish a contract under ASC 606 are met and the obligations under the contract are legally enforceable. As of December 29, 2019 and December 30, 2018, approximately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557" w:right="239" w:bottom="1440" w:gutter="0" w:footer="0" w:header="0"/>
          <w:type w:val="continuous"/>
        </w:sectPr>
      </w:pPr>
    </w:p>
    <w:bookmarkStart w:id="73" w:name="page74"/>
    <w:bookmarkEnd w:id="73"/>
    <w:p>
      <w:pPr>
        <w:spacing w:after="0" w:line="277" w:lineRule="auto"/>
        <w:rPr>
          <w:sz w:val="20"/>
          <w:szCs w:val="20"/>
          <w:color w:val="auto"/>
        </w:rPr>
      </w:pPr>
      <w:r>
        <w:rPr>
          <w:rFonts w:ascii="Arial" w:cs="Arial" w:eastAsia="Arial" w:hAnsi="Arial"/>
          <w:sz w:val="18"/>
          <w:szCs w:val="18"/>
          <w:color w:val="auto"/>
        </w:rPr>
        <w:t>$4.7 million and $3.8 million, respectively, of the Company’s unbilled accounts receivable balance were under an authorization to proceed or work order from its customers where a formal purchase order had not yet been received.</w:t>
      </w:r>
    </w:p>
    <w:p>
      <w:pPr>
        <w:spacing w:after="0" w:line="166"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Inventoried costs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Inventoried costs are stated at the lower of cost or estimated net realizable value. Cost is determined using the average cost or first-in, first-out methods and the applicable method is applied consistently within an operating entity. The Company capitalizes labor, material, subcontractor and overhead costs as work-in-process for contracts where control has not yet passed to the customer. In addition, the Company capitalizes costs incurred to fulfill a contract in advance of contract award in inventories as work-in-process if it is determined that contract award is probable. Pursuant to contract provisions of U.S. Government contracts, such customers may have title to, or a security interest in inventories related to such contracts as a result of advances, performance-based payments, and progress payments.</w:t>
      </w:r>
    </w:p>
    <w:p>
      <w:pPr>
        <w:spacing w:after="0" w:line="193"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Research and Development</w:t>
      </w:r>
    </w:p>
    <w:p>
      <w:pPr>
        <w:spacing w:after="0" w:line="229"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Costs incurred in research and development activities are expensed as incurred in accordance with FASB ASC Topic 730</w:t>
      </w:r>
      <w:r>
        <w:rPr>
          <w:rFonts w:ascii="Arial" w:cs="Arial" w:eastAsia="Arial" w:hAnsi="Arial"/>
          <w:sz w:val="18"/>
          <w:szCs w:val="18"/>
          <w:i w:val="1"/>
          <w:iCs w:val="1"/>
          <w:color w:val="auto"/>
        </w:rPr>
        <w:t>, 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w:t>
      </w:r>
    </w:p>
    <w:p>
      <w:pPr>
        <w:spacing w:after="0" w:line="166"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54"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In accordance with the recognition standards established by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169"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accounts for stock-based compensation in accordance with ASC Topic 718</w:t>
      </w:r>
      <w:r>
        <w:rPr>
          <w:rFonts w:ascii="Arial" w:cs="Arial" w:eastAsia="Arial" w:hAnsi="Arial"/>
          <w:sz w:val="17"/>
          <w:szCs w:val="17"/>
          <w:i w:val="1"/>
          <w:iCs w:val="1"/>
          <w:color w:val="auto"/>
        </w:rPr>
        <w:t>, Compensation-Stock Compensation</w:t>
      </w:r>
      <w:r>
        <w:rPr>
          <w:rFonts w:ascii="Arial" w:cs="Arial" w:eastAsia="Arial" w:hAnsi="Arial"/>
          <w:sz w:val="17"/>
          <w:szCs w:val="17"/>
          <w:color w:val="auto"/>
        </w:rPr>
        <w:t xml:space="preserve">. All of the Company’s stock-based compensation plans are considered equity plans under </w:t>
      </w:r>
      <w:r>
        <w:rPr>
          <w:rFonts w:ascii="Arial" w:cs="Arial" w:eastAsia="Arial" w:hAnsi="Arial"/>
          <w:sz w:val="17"/>
          <w:szCs w:val="17"/>
          <w:i w:val="1"/>
          <w:iCs w:val="1"/>
          <w:color w:val="auto"/>
        </w:rPr>
        <w:t>Topic 718</w:t>
      </w:r>
      <w:r>
        <w:rPr>
          <w:rFonts w:ascii="Arial" w:cs="Arial" w:eastAsia="Arial" w:hAnsi="Arial"/>
          <w:sz w:val="17"/>
          <w:szCs w:val="17"/>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or a trinomial lattice options pricing model and is expensed on a straight-line basis over the remaining vesting period of the options, which is generally six or less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Compensation expense for stock issued under the Company’s employee stock purchase plan is estimated at the beginning date of the offering period using a Black-Scholes option-pricing model and is expensed on a straight-line basis over the period of the offering, which is generally six months.</w:t>
      </w:r>
    </w:p>
    <w:p>
      <w:pPr>
        <w:spacing w:after="0" w:line="18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When tax deductions from stock options and awards are greater than the cumulative book compensation expense, the tax effect of the resulting difference is a windfall. For the year ended December 29, 2019, an income tax benefit of $2.1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557" w:right="239" w:bottom="1440" w:gutter="0" w:footer="0" w:header="0"/>
        </w:sectPr>
      </w:pPr>
    </w:p>
    <w:bookmarkStart w:id="74" w:name="page75"/>
    <w:bookmarkEnd w:id="74"/>
    <w:p>
      <w:pPr>
        <w:ind w:right="140"/>
        <w:spacing w:after="0" w:line="277" w:lineRule="auto"/>
        <w:rPr>
          <w:sz w:val="20"/>
          <w:szCs w:val="20"/>
          <w:color w:val="auto"/>
        </w:rPr>
      </w:pPr>
      <w:r>
        <w:rPr>
          <w:rFonts w:ascii="Arial" w:cs="Arial" w:eastAsia="Arial" w:hAnsi="Arial"/>
          <w:sz w:val="18"/>
          <w:szCs w:val="18"/>
          <w:color w:val="auto"/>
        </w:rPr>
        <w:t>was recorded for windfalls generated from stock options and awards exercised in 2019. For the tax years ended December 30, 2018 and December 31, 2017, there were no incremental tax benefits from stock options exercised in the periods.</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following table shows the amounts recognized in the consolidated financial statements for stock-based compensation expense related to stock options, stock awards and stock offered under the Company’s employee stock purchase plan (in millions, except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Year ended</w:t>
            </w:r>
          </w:p>
        </w:tc>
        <w:tc>
          <w:tcPr>
            <w:tcW w:w="24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140" w:type="dxa"/>
            <w:vAlign w:val="bottom"/>
          </w:tcPr>
          <w:p>
            <w:pPr>
              <w:jc w:val="right"/>
              <w:ind w:right="256"/>
              <w:spacing w:after="0"/>
              <w:rPr>
                <w:sz w:val="20"/>
                <w:szCs w:val="20"/>
                <w:color w:val="auto"/>
              </w:rPr>
            </w:pPr>
            <w:r>
              <w:rPr>
                <w:rFonts w:ascii="Arial" w:cs="Arial" w:eastAsia="Arial" w:hAnsi="Arial"/>
                <w:sz w:val="14"/>
                <w:szCs w:val="14"/>
                <w:b w:val="1"/>
                <w:bCs w:val="1"/>
                <w:color w:val="auto"/>
              </w:rPr>
              <w:t>Year ended</w:t>
            </w:r>
          </w:p>
        </w:tc>
      </w:tr>
      <w:tr>
        <w:trPr>
          <w:trHeight w:val="205"/>
        </w:trPr>
        <w:tc>
          <w:tcPr>
            <w:tcW w:w="7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29, 2019</w:t>
            </w:r>
          </w:p>
        </w:tc>
        <w:tc>
          <w:tcPr>
            <w:tcW w:w="14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December 30, 2018</w:t>
            </w:r>
          </w:p>
        </w:tc>
        <w:tc>
          <w:tcPr>
            <w:tcW w:w="13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w:t>
            </w: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w w:val="96"/>
              </w:rPr>
              <w:t>Total cost of employee stock-based compensation included in operating income (loss) from</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7.8</w:t>
            </w: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The Company maintains an allowance for doubtful accounts for estimated losses resulting from the inability of its customers to make required payments, which results in bad debt expense. Management determines the adequacy of this allowance by periodically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18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outlines the balance of the Company’s allowance for doubtful accounts for 2019, 2018 and 2017. The table identifies the additional provisions each year as well as the write-offs that utilized the allowance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Allowance for Doubtful Accounts</w:t>
            </w:r>
          </w:p>
        </w:tc>
        <w:tc>
          <w:tcPr>
            <w:tcW w:w="3140" w:type="dxa"/>
            <w:vAlign w:val="bottom"/>
            <w:gridSpan w:val="3"/>
          </w:tcPr>
          <w:p>
            <w:pPr>
              <w:ind w:left="1680"/>
              <w:spacing w:after="0"/>
              <w:rPr>
                <w:sz w:val="20"/>
                <w:szCs w:val="20"/>
                <w:color w:val="auto"/>
              </w:rPr>
            </w:pPr>
            <w:r>
              <w:rPr>
                <w:rFonts w:ascii="Arial" w:cs="Arial" w:eastAsia="Arial" w:hAnsi="Arial"/>
                <w:sz w:val="14"/>
                <w:szCs w:val="14"/>
                <w:b w:val="1"/>
                <w:bCs w:val="1"/>
                <w:color w:val="auto"/>
              </w:rPr>
              <w:t>Balance at Beginning</w:t>
            </w:r>
          </w:p>
        </w:tc>
        <w:tc>
          <w:tcPr>
            <w:tcW w:w="240" w:type="dxa"/>
            <w:vAlign w:val="bottom"/>
          </w:tcPr>
          <w:p>
            <w:pPr>
              <w:spacing w:after="0"/>
              <w:rPr>
                <w:sz w:val="14"/>
                <w:szCs w:val="14"/>
                <w:color w:val="auto"/>
              </w:rPr>
            </w:pPr>
          </w:p>
        </w:tc>
        <w:tc>
          <w:tcPr>
            <w:tcW w:w="11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Provisions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Write-</w:t>
            </w:r>
          </w:p>
        </w:tc>
        <w:tc>
          <w:tcPr>
            <w:tcW w:w="120" w:type="dxa"/>
            <w:vAlign w:val="bottom"/>
          </w:tcPr>
          <w:p>
            <w:pPr>
              <w:spacing w:after="0"/>
              <w:rPr>
                <w:sz w:val="14"/>
                <w:szCs w:val="14"/>
                <w:color w:val="auto"/>
              </w:rPr>
            </w:pPr>
          </w:p>
        </w:tc>
        <w:tc>
          <w:tcPr>
            <w:tcW w:w="12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of Year</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offs/Recoveries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192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Year ended December 30, 2018</w:t>
            </w:r>
          </w:p>
        </w:tc>
        <w:tc>
          <w:tcPr>
            <w:tcW w:w="1920" w:type="dxa"/>
            <w:vAlign w:val="bottom"/>
          </w:tcPr>
          <w:p>
            <w:pPr>
              <w:ind w:left="16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29, 2019</w:t>
            </w:r>
          </w:p>
        </w:tc>
        <w:tc>
          <w:tcPr>
            <w:tcW w:w="1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9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Company’s cash equivalents consist of its highly liquid investments with an original maturity of three months or less when purchased by the Company.</w:t>
      </w:r>
    </w:p>
    <w:p>
      <w:pPr>
        <w:spacing w:after="0" w:line="17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Company had no restricted cash accounts at December 29, 2019 and approximately $0.3 million at December 30, 2018. As of December 30, 2018, restricted cash consisted primarily of a deposit securing foreign letters of credit related to payment and performance bonds on international contracts.</w:t>
      </w:r>
    </w:p>
    <w:p>
      <w:pPr>
        <w:spacing w:after="0" w:line="12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Property and equipment, net owned by the Company is depreciated over the estimated useful lives of individual assets. Equipment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557"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Assets are depreciated predominately using the straight-line method, with the following lives: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Years</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 – 39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3 – 10</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 – 10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Vehicles, furniture, and office equipment</w:t>
            </w:r>
          </w:p>
        </w:tc>
        <w:tc>
          <w:tcPr>
            <w:tcW w:w="21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926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Shorter of useful life or</w:t>
            </w:r>
          </w:p>
        </w:tc>
      </w:tr>
      <w:tr>
        <w:trPr>
          <w:trHeight w:val="23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length of lease</w:t>
            </w:r>
          </w:p>
        </w:tc>
      </w:tr>
      <w:tr>
        <w:trPr>
          <w:trHeight w:val="27"/>
        </w:trPr>
        <w:tc>
          <w:tcPr>
            <w:tcW w:w="92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February 2016, the FASB issued ASU 2016-02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also referred to as “ASC 842”. ASC 842 requires that lessees recognize assets and liabilities for the rights and obligations underlying leases with a lease term of more than one year. The amendments in this ASU are effective for annual periods beginning after December 15, 2018. In July 2018, the FASB issued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xml:space="preserve">, which, among other things, allowed the Company to elect an optional transition method that applies the new lease requirements through a cumulative-effect adjustment in the period of adoption. The Company adopted ASC 842 on December 31, 2018 using the optional transition method, and, as a result, did not recast prior period comparative financial statements. All prior period amounts and disclosures are presented under Accounting Standards Codification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18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Company has elected the package of practical expedients, which, among other things, allows carry-forward of prior lease classifications under the prior standard. However, the Company has not elected to adopt the hindsight practical expedient and is therefore maintaining the lease terms previously determined under the prior lease standard. For all new and modified leases after adoption of ASC 842, the Company has taken the component election allowing the Company to account for lease components together with non-lease components in the calculation of the lease asset and corresponding liability. Adoption of the new standard resulted in the recording of additional lease assets and lease liabilities on the consolidated balance sheet. No cumulative-effect adjustment was recognized as the amount was not material, and the impact on the Company’s results of operations and cash flows was also not material.</w:t>
      </w:r>
    </w:p>
    <w:p>
      <w:pPr>
        <w:spacing w:after="0" w:line="16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16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depreciable life of lease assets and leasehold improvements is limited by the expected lease term, unless there is a transfer of title or purchase option reasonably certain of exercise.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for additional disclosures related to the Company’s lease obligations.</w:t>
      </w:r>
    </w:p>
    <w:p>
      <w:pPr>
        <w:spacing w:after="0" w:line="22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In accordance with the provisions of ASC </w:t>
      </w:r>
      <w:r>
        <w:rPr>
          <w:rFonts w:ascii="Arial" w:cs="Arial" w:eastAsia="Arial" w:hAnsi="Arial"/>
          <w:sz w:val="18"/>
          <w:szCs w:val="18"/>
          <w:i w:val="1"/>
          <w:iCs w:val="1"/>
          <w:color w:val="auto"/>
        </w:rPr>
        <w:t>Topic 350, 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Topic 350</w:t>
      </w:r>
      <w:r>
        <w:rPr>
          <w:rFonts w:ascii="Arial" w:cs="Arial" w:eastAsia="Arial" w:hAnsi="Arial"/>
          <w:sz w:val="18"/>
          <w:szCs w:val="18"/>
          <w:color w:val="auto"/>
        </w:rPr>
        <w:t>”), the Company performs impairment tests for goodwill and indefinite lived intangibles as of the last day of its fiscal October, or when evidence of potential impairment exists. When it is determined that impairment has occurred, a charge to operations is recorded. Goodwill and other purchased intangible asset balances are included in the identifiable assets of the operating segment to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557" w:right="239" w:bottom="1440" w:gutter="0" w:footer="0" w:header="0"/>
        </w:sectPr>
      </w:pPr>
    </w:p>
    <w:bookmarkStart w:id="76" w:name="page77"/>
    <w:bookmarkEnd w:id="76"/>
    <w:p>
      <w:pPr>
        <w:ind w:right="600"/>
        <w:spacing w:after="0" w:line="277" w:lineRule="auto"/>
        <w:rPr>
          <w:sz w:val="20"/>
          <w:szCs w:val="20"/>
          <w:color w:val="auto"/>
        </w:rPr>
      </w:pPr>
      <w:r>
        <w:rPr>
          <w:rFonts w:ascii="Arial" w:cs="Arial" w:eastAsia="Arial" w:hAnsi="Arial"/>
          <w:sz w:val="18"/>
          <w:szCs w:val="18"/>
          <w:color w:val="auto"/>
        </w:rPr>
        <w:t>they have been assigned. Any goodwill impairment, as well as the amortization of other purchased intangible assets, is charged against the respective segments’ operating income.</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the Company classifies intangible assets into two categories: (1) intangible assets with finite lives subject to amortization and (2) intangible assets with indefinite lives not subject to amortization. Separately,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18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6"/>
          <w:szCs w:val="16"/>
          <w:b w:val="1"/>
          <w:bCs w:val="1"/>
          <w:color w:val="auto"/>
        </w:rPr>
        <w:t>Impairment of Long-Lived Assets and Long-Lived Assets to Be Disposed Of</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Long-lived assets are reviewed for impairment in accordance with ASC </w:t>
      </w:r>
      <w:r>
        <w:rPr>
          <w:rFonts w:ascii="Arial" w:cs="Arial" w:eastAsia="Arial" w:hAnsi="Arial"/>
          <w:sz w:val="16"/>
          <w:szCs w:val="16"/>
          <w:i w:val="1"/>
          <w:iCs w:val="1"/>
          <w:color w:val="auto"/>
        </w:rPr>
        <w:t>Topic 360, Property, Plant, and Equipment</w:t>
      </w:r>
      <w:r>
        <w:rPr>
          <w:rFonts w:ascii="Arial" w:cs="Arial" w:eastAsia="Arial" w:hAnsi="Arial"/>
          <w:sz w:val="16"/>
          <w:szCs w:val="16"/>
          <w:color w:val="auto"/>
        </w:rPr>
        <w:t>,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54"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ASC Topic 825</w:t>
      </w:r>
      <w:r>
        <w:rPr>
          <w:rFonts w:ascii="Arial" w:cs="Arial" w:eastAsia="Arial" w:hAnsi="Arial"/>
          <w:sz w:val="18"/>
          <w:szCs w:val="18"/>
          <w:i w:val="1"/>
          <w:iCs w:val="1"/>
          <w:color w:val="auto"/>
        </w:rPr>
        <w:t>, Financial Instruments,</w:t>
      </w:r>
      <w:r>
        <w:rPr>
          <w:rFonts w:ascii="Arial" w:cs="Arial" w:eastAsia="Arial" w:hAnsi="Arial"/>
          <w:sz w:val="18"/>
          <w:szCs w:val="18"/>
          <w:color w:val="auto"/>
        </w:rPr>
        <w:t xml:space="preserve"> requires that fair values be disclosed for the Company’s financial instruments. The carrying amounts of cash equivalents, accounts receivable, accounts payable, accrued expenses, billings in excess of costs and earnings on uncompleted contracts, and income taxes payable, approximate fair value due to the short-term nature of these instruments. The fair value of the Company’s long-term debt is based upon quoted market prices.</w:t>
      </w:r>
    </w:p>
    <w:p>
      <w:pPr>
        <w:spacing w:after="0" w:line="183"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13 for a discussion of the Company’s significant customers.</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(r)</w:t>
      </w:r>
      <w:r>
        <w:rPr>
          <w:sz w:val="20"/>
          <w:szCs w:val="20"/>
          <w:color w:val="auto"/>
        </w:rPr>
        <w:tab/>
      </w:r>
      <w:r>
        <w:rPr>
          <w:rFonts w:ascii="Arial" w:cs="Arial" w:eastAsia="Arial" w:hAnsi="Arial"/>
          <w:sz w:val="15"/>
          <w:szCs w:val="15"/>
          <w:b w:val="1"/>
          <w:bCs w:val="1"/>
          <w:color w:val="auto"/>
        </w:rPr>
        <w:t>Debt Issuance Costs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Fees paid to obtain debt financing and revolving credit facilities or amendments under such debt financing and revolving credit facilities are treated as debt issuance costs and are capitalized and amortized over the expected term of the related debt or revolving credit facility and are shown as a financing activity in the consolidated statements of cash flows. Issuance costs related to debt are presented in the consolidated balance sheets as a direct deduction from the carrying amount of the associated debt liability. Issuance costs related to a revolving credit facility are included in other assets in the consolidated balance sheets.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557" w:right="299" w:bottom="1440" w:gutter="0" w:footer="0" w:header="0"/>
        </w:sectPr>
      </w:pPr>
    </w:p>
    <w:bookmarkStart w:id="77" w:name="page78"/>
    <w:bookmarkEnd w:id="77"/>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 Net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Interest expense, net is summarized in the following table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Year ended</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 ended</w:t>
            </w:r>
          </w:p>
        </w:tc>
        <w:tc>
          <w:tcPr>
            <w:tcW w:w="220" w:type="dxa"/>
            <w:vAlign w:val="bottom"/>
          </w:tcPr>
          <w:p>
            <w:pPr>
              <w:spacing w:after="0"/>
              <w:rPr>
                <w:sz w:val="14"/>
                <w:szCs w:val="14"/>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29, 2019</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30, 2018</w:t>
            </w:r>
          </w:p>
        </w:tc>
        <w:tc>
          <w:tcPr>
            <w:tcW w:w="13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incurred primarily on the Senior Secured Notes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Miscellaneous interest income</w:t>
            </w:r>
          </w:p>
        </w:tc>
        <w:tc>
          <w:tcPr>
            <w:tcW w:w="1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0.5</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transacts with foreign customers in currencies other than the U.S. dollar. It experiences realized and unrealized foreign currency gains or losses on foreign denominated receivables. In addition, certain intercompany transactions give rise to realized and unrealized foreign currency gains or losses. Also, any other transactions between the Company or its subsidiaries and a third-party, denominated in a currency different from the functional currency, are foreign currency transactions.</w:t>
      </w:r>
    </w:p>
    <w:p>
      <w:pPr>
        <w:spacing w:after="0" w:line="187"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aggregate foreign currency transaction gain (loss) included in determining net income (loss) for the years ended December 29, 2019, December 30, 2018, and December 31, 2017 was approximately $(1.1) million, $(1.1) million, and $0.4 million, respectively, which is included in other income (expense), net on the accompanying consolidated statements of operations and comprehensive loss.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(u)</w:t>
      </w:r>
      <w:r>
        <w:rPr>
          <w:sz w:val="20"/>
          <w:szCs w:val="20"/>
          <w:color w:val="auto"/>
        </w:rPr>
        <w:tab/>
      </w:r>
      <w:r>
        <w:rPr>
          <w:rFonts w:ascii="Arial" w:cs="Arial" w:eastAsia="Arial" w:hAnsi="Arial"/>
          <w:sz w:val="15"/>
          <w:szCs w:val="15"/>
          <w:b w:val="1"/>
          <w:bCs w:val="1"/>
          <w:color w:val="auto"/>
        </w:rPr>
        <w:t>Recent Accounting Pronouncements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In June 2016, the FASB issued ASU 2016-13 (“ASU 2016-13”), </w:t>
      </w:r>
      <w:r>
        <w:rPr>
          <w:rFonts w:ascii="Arial" w:cs="Arial" w:eastAsia="Arial" w:hAnsi="Arial"/>
          <w:sz w:val="16"/>
          <w:szCs w:val="16"/>
          <w:i w:val="1"/>
          <w:iCs w:val="1"/>
          <w:color w:val="auto"/>
        </w:rPr>
        <w:t>Financial Instruments-Credit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The main objective of this update is to provide financial statement users with more decision-useful information about the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on financial instruments and other commitments to extend credit held by a reporting entity at each reporting date. To achieve this objective, the amendments in this update replace the incurred loss impairment methodology in current GAAP with a methodology that reflects expected credit losses and requires consideration of a broader range of reasonable and supportable information to inform credit loss estimates. ASU 2016-13 is effective for fiscal years beginning after December 15, 2019, including interim periods within those fiscal years. The Company has adopted ASU 2016-13 effective December 30, 2019. The implementation of this guidance did not have a material impact on its consolidated financial statements.</w:t>
      </w:r>
    </w:p>
    <w:p>
      <w:pPr>
        <w:spacing w:after="0" w:line="16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Acquisition</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February 27, 2019, the Company acquired 80.1% of the issued and outstanding shares of capital stock of Florida Turbine Technologies Inc., a Florida corporation (“FTT Inc.”), and 80.1% of the membership interests in FTT CORE, LLC, a Delaware limited liability company (“FTT Core” and, together with FTT Inc. and their respective subsidiaries, “FTT”), for an aggregate purchase price of approximately $60 million. The purchase price was $33 million in cash, with approximately $17.7 million paid at close and approximately $15.3 million to be paid over a three-year period, subject to adjustments for transaction expenses, indebtedness, cash on hand, certain amounts payable or potentially payable to employees of FTT and post-closing working capital adjustments, and 1,825,406 shares of common stock (with a value of approximately $27 million).</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FTT is a leading turbomachinery design and manufacturing company specializing in engineering, development, and testing of gas turbines, propulsion components, engine and other systems for military and commercial applications. FTT is now the KTT Division, which is focused on the development and production of small, affordable, high-performance jet engines for the next generation of tactical weapon systems and tactical jet UAS. The KTT Division is included in the KGS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553" w:right="239" w:bottom="1440" w:gutter="0" w:footer="0" w:header="0"/>
        </w:sectPr>
      </w:pPr>
    </w:p>
    <w:bookmarkStart w:id="78" w:name="page79"/>
    <w:bookmarkEnd w:id="78"/>
    <w:p>
      <w:pPr>
        <w:ind w:right="220" w:firstLine="648"/>
        <w:spacing w:after="0" w:line="286"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goodwill represents the value the Company expects to be created by enabling it to accelerate FTT’s small engine development programs, and facilitate integration of these leading-edge engine solutions with evolving Kratos tactical systems.</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Simultaneously with the execution of the Purchase Agreement among the Company and the Sellers (as defined in such agreement) (the “Purchase Agreement”) and completion of the acquisition, the Company, FTT Inc., FTT Core and the Sellers entered into an exchange agreement (the “Exchange Agreement”) pursuant to which, among other things, (i) FTT Core was converted into a Delaware corporation, (ii) beginning in January 2024, the Holders (as defined in the Exchange Agreement) will have an annual right (the “Put Right”) to sell all of the minority interests in FTT Inc. and FTT Core (the “Minority Interests”) to the Company at a purchase price based on a specified multiple of the trailing 12 months EBITDA of FTT Inc., FTT Core and each of their respective subsidiaries (the “Acquired Companies”) as set forth in the Exchange Agreement (the “Minority Interest Purchase Price”) (provided, however, that following certain events, including a change of control, the Put Right will be accelerated and the Minority Interest Purchase Price will be a specified increased multiple of of the trailing 12 months EBITDA of the Acquired Companies as set forth in th Exchange Agreement), and (iii) beginning in January 2025, the Company will have an annual right to purchase all of the Minority Interests from the Holders at the Minority Interest Purchase Price.</w:t>
      </w:r>
    </w:p>
    <w:p>
      <w:pPr>
        <w:spacing w:after="0" w:line="16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transaction has been accounted for using the acquisition method of accounting, which requires, among other things, that the assets acquired, the liabilities assumed, and the noncontrolling interest be recognized at their fair values as of the acquisition date. The fair value measurements are based primarily on significant inputs not observable in the marketplace and thus represent Level 3 measurements. The following table summarizes the allocation of the purchase price over the estimated fair values of the major assets acquired, liabilities assumed, and noncontrolling interest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Unbilled receivables</w:t>
            </w:r>
          </w:p>
        </w:tc>
        <w:tc>
          <w:tcPr>
            <w:tcW w:w="8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9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w:t>
            </w:r>
          </w:p>
        </w:tc>
        <w:tc>
          <w:tcPr>
            <w:tcW w:w="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8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9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8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9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37"/>
        </w:trPr>
        <w:tc>
          <w:tcPr>
            <w:tcW w:w="9480" w:type="dxa"/>
            <w:vAlign w:val="bottom"/>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8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w:t>
            </w:r>
          </w:p>
        </w:tc>
      </w:tr>
      <w:tr>
        <w:trPr>
          <w:trHeight w:val="27"/>
        </w:trPr>
        <w:tc>
          <w:tcPr>
            <w:tcW w:w="9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net liabilities assumed</w:t>
            </w:r>
          </w:p>
        </w:tc>
        <w:tc>
          <w:tcPr>
            <w:tcW w:w="8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7"/>
        </w:trPr>
        <w:tc>
          <w:tcPr>
            <w:tcW w:w="9480" w:type="dxa"/>
            <w:vAlign w:val="bottom"/>
          </w:tcPr>
          <w:p>
            <w:pPr>
              <w:ind w:left="120"/>
              <w:spacing w:after="0"/>
              <w:rPr>
                <w:sz w:val="20"/>
                <w:szCs w:val="20"/>
                <w:color w:val="auto"/>
              </w:rPr>
            </w:pPr>
            <w:r>
              <w:rPr>
                <w:rFonts w:ascii="Arial" w:cs="Arial" w:eastAsia="Arial" w:hAnsi="Arial"/>
                <w:sz w:val="18"/>
                <w:szCs w:val="18"/>
                <w:color w:val="auto"/>
              </w:rPr>
              <w:t>Net assets before noncontrolling interest</w:t>
            </w:r>
          </w:p>
        </w:tc>
        <w:tc>
          <w:tcPr>
            <w:tcW w:w="8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74.9</w:t>
            </w:r>
          </w:p>
        </w:tc>
      </w:tr>
      <w:tr>
        <w:trPr>
          <w:trHeight w:val="27"/>
        </w:trPr>
        <w:tc>
          <w:tcPr>
            <w:tcW w:w="9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8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57"/>
        </w:trPr>
        <w:tc>
          <w:tcPr>
            <w:tcW w:w="9480" w:type="dxa"/>
            <w:vAlign w:val="bottom"/>
          </w:tcPr>
          <w:p>
            <w:pPr>
              <w:ind w:left="120"/>
              <w:spacing w:after="0"/>
              <w:rPr>
                <w:sz w:val="20"/>
                <w:szCs w:val="20"/>
                <w:color w:val="auto"/>
              </w:rPr>
            </w:pPr>
            <w:r>
              <w:rPr>
                <w:rFonts w:ascii="Arial" w:cs="Arial" w:eastAsia="Arial" w:hAnsi="Arial"/>
                <w:sz w:val="18"/>
                <w:szCs w:val="18"/>
                <w:color w:val="auto"/>
              </w:rPr>
              <w:t>Net assets acquired, excluding cash</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r>
      <w:tr>
        <w:trPr>
          <w:trHeight w:val="20"/>
        </w:trPr>
        <w:tc>
          <w:tcPr>
            <w:tcW w:w="9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February 27, 2019, net liabilities include $7.5 million of current liabilities. There was no contingent purchase consideration associated with the acquisition of an 80.1% majority interest in FTT. The identifiable intangible assets include customer relationships of $19.7 million with a useful life of 13 years, in-process research and development of $8.5 million that will commence amortization at the completion of the development project, backlog of $2.1 million with a useful life of 2 years, and trade name of $0.5 million with a useful life of 2 years. The Company also established a deferred tax liability of $7.0 million for the increase in the financial statement basis of the acquired assets of FTT and a corresponding increase in goodwill. The goodwill recorded in this transaction is not expected to be tax-deductible.</w:t>
      </w:r>
    </w:p>
    <w:p>
      <w:pPr>
        <w:spacing w:after="0" w:line="19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value of customer relationships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customer relationships, which were discounted at a rate of 12.5% to determine the fair value. The value of backlog was also valued using MPEEM. The value of in-process research and development was estimated using the relief-from-royalty method, an income approach (Level 3), which estimates the cost savings that accrue to the owner of the intangible asset that would otherwise be payable as royalties or license fees on revenues earned through the use of the asset. A royalty rate was applied to the projected revenues associated with the intangible asset to determine the amount of savings, which was at a rate of 10% to determine the fair value.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557" w:right="239" w:bottom="1440" w:gutter="0" w:footer="0" w:header="0"/>
        </w:sectPr>
      </w:pPr>
    </w:p>
    <w:bookmarkStart w:id="79" w:name="page80"/>
    <w:bookmarkEnd w:id="79"/>
    <w:p>
      <w:pPr>
        <w:jc w:val="both"/>
        <w:ind w:right="60" w:firstLine="648"/>
        <w:spacing w:after="0" w:line="264" w:lineRule="auto"/>
        <w:rPr>
          <w:sz w:val="20"/>
          <w:szCs w:val="20"/>
          <w:color w:val="auto"/>
        </w:rPr>
      </w:pPr>
      <w:r>
        <w:rPr>
          <w:rFonts w:ascii="Arial" w:cs="Arial" w:eastAsia="Arial" w:hAnsi="Arial"/>
          <w:sz w:val="18"/>
          <w:szCs w:val="18"/>
          <w:color w:val="auto"/>
        </w:rPr>
        <w:t>The amounts of revenue and operating loss of FTT included in the Company's consolidated statement of operations for the year ended December 29, 2019 are $52.5 million and $0.7 million, respectively. Included in the merger and acquisition expenses for the year ended December 29, 2019 are transaction expenses of $1.4 million related to the acquisition of FTT.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660"/>
              <w:spacing w:after="0"/>
              <w:rPr>
                <w:sz w:val="20"/>
                <w:szCs w:val="20"/>
                <w:color w:val="auto"/>
              </w:rPr>
            </w:pPr>
            <w:r>
              <w:rPr>
                <w:rFonts w:ascii="Arial" w:cs="Arial" w:eastAsia="Arial" w:hAnsi="Arial"/>
                <w:sz w:val="18"/>
                <w:szCs w:val="18"/>
                <w:color w:val="auto"/>
              </w:rPr>
              <w:t>A summary of the consideration paid for the acquired ownership in FTT is as follow:</w:t>
            </w: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Deferred purchase consideration</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37"/>
        </w:trPr>
        <w:tc>
          <w:tcPr>
            <w:tcW w:w="99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63.0</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Cash acquired</w:t>
            </w: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r>
      <w:tr>
        <w:trPr>
          <w:trHeight w:val="20"/>
        </w:trPr>
        <w:tc>
          <w:tcPr>
            <w:tcW w:w="9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 Forma Financial Information (Unaudited)</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following table summarizes the supplemental condensed consolidated statement of operations information on an unaudited pro forma basis as if the acquisition of FTT occurred on December 31, 2018 and includes adjustments that were directly attributable to the foregoing transactions. There are no material, nonrecurring pro forma adjustments directly attributable to the business combination included in the reported pro forma revenue and earnings.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ind w:left="660"/>
              <w:spacing w:after="0"/>
              <w:rPr>
                <w:sz w:val="20"/>
                <w:szCs w:val="20"/>
                <w:color w:val="auto"/>
              </w:rPr>
            </w:pPr>
            <w:r>
              <w:rPr>
                <w:rFonts w:ascii="Arial" w:cs="Arial" w:eastAsia="Arial" w:hAnsi="Arial"/>
                <w:sz w:val="18"/>
                <w:szCs w:val="18"/>
                <w:color w:val="auto"/>
              </w:rPr>
              <w:t>For the year ended December 29, 2019 (all amounts, except per share amounts, are in millions):</w:t>
            </w: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35"/>
        </w:trPr>
        <w:tc>
          <w:tcPr>
            <w:tcW w:w="8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1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725.6</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Pro forma net income before tax</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8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income</w:t>
            </w:r>
          </w:p>
        </w:tc>
        <w:tc>
          <w:tcPr>
            <w:tcW w:w="17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Pro forma net income attributable to Kratos</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8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88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Basic pro forma income per share attributable to Kratos</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0.11</w:t>
            </w:r>
          </w:p>
        </w:tc>
      </w:tr>
      <w:tr>
        <w:trPr>
          <w:trHeight w:val="27"/>
        </w:trPr>
        <w:tc>
          <w:tcPr>
            <w:tcW w:w="8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pro forma income per share attributable to Kratos</w:t>
            </w:r>
          </w:p>
        </w:tc>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r>
      <w:tr>
        <w:trPr>
          <w:trHeight w:val="27"/>
        </w:trPr>
        <w:tc>
          <w:tcPr>
            <w:tcW w:w="88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weighted average common shares used to calculate income per share also reflects the issuance of 1,825,406 shares of our common stock in conjunction with the acquisition.</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Goodwill and Other Intangible Assets</w:t>
      </w:r>
    </w:p>
    <w:p>
      <w:pPr>
        <w:spacing w:after="0" w:line="22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xml:space="preserve"> as of the last day of its fiscal October or when evidence of potential impairment exists.</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w:t>
      </w:r>
    </w:p>
    <w:p>
      <w:pPr>
        <w:spacing w:after="0" w:line="154"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KGS reportable segment has five operating segments: Defense Rocket Support Services (“DRSS”), Microwave Electronics (“ME”), Space, Training and Cybersecurity Solutions (ST&amp;C), Modular Systems (“MS”), and Kratos Turbine Technologies (“KTT”). All of the KGS operating segments provide technology based defense solutions, involving products and services, primarily for mission critical U.S. national security priorities, with the primary focus relating to the nation’s Command, Control, Communications, Computing, Combat Systems, Intelligence, Surveillance and Reconnaissance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773" w:right="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requirements. The US reportable segment consists of its unmanned aerial system, unmanned ground, and unmanned seaborne system products.</w:t>
      </w:r>
    </w:p>
    <w:p>
      <w:pPr>
        <w:spacing w:after="0" w:line="23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identified its reporting units to be the DRSS, ME, ST&amp;C, MS, KTT and US operating segments. The Company tests goodwill for impairment by performing a qualitative assessment or using a two-step impairment process. If the Company chooses to perform a qualitative assessment and determines it is not more likely than not that the fair value of the reporting unit exceeds its carrying value, the two-step impairment process is then performed. For operations where the two-step process is used, the identification and measurement of impairment involves the estimation of the fair value of reporting units. If the fair value is determined to be less than the carrying value, a second step is performed to determine the amount of the impairment. When any impairment has occurred, a charge to operations is recorded. In order to test for potential impairment, the Company estimates the fair value of each of the reporting units based on a comparison and weighting of the income approach, specifically the discounted cash flow method and the market approach, which estimates the fair value of the reporting units based upon comparable market prices and recent transactions and also validates the reasonableness of the implied multiples from the income approach.</w:t>
      </w:r>
    </w:p>
    <w:p>
      <w:pPr>
        <w:spacing w:after="0" w:line="182"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In determining the fair value for the reporting units, where the two-step process is used, there are key assumptions relating to future expected cash flows, terminal growth rates, appropriate discount rates, market multiples, and the control premium a controlling shareholder could be expected to pay.</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the fourth quarter of 2017, as a result of the Company’s annual impairment test of the carrying value of its goodwill balances, the Company recorded an impairment charge of $24.2 million of the carrying value of the goodwill of its DRSS business reported in its KGS segment, which majority of business and revenue at the time included the Company’s legacy government services business. In 2010, the Company changed its strategy to focus on being a system, product, technology and intellectual property based company and deemphasized its legacy government services businesses which are no longer considered a core business. Over the past several years, similar to other businesses operating in the federal government technical services space, this business has been adversely impacted by competitive pressures and commoditization resulting from lower priced technically acceptable awards rather than awards based on best value or that are technologically or performance differentiated. Specifically, the Company lost two sizable five-year contract opportunities where Kratos was underbid on cost, which significantly impacted the expected future financial performance of this business. There was no impairment recognized for the years ended December 29, 2019 and December 30,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goodwill as of December 29, 2019 and December 30, 2018 by reportable segment are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As of December 29, 2019</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8"/>
              </w:rPr>
              <w:t>KGS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4060" w:type="dxa"/>
            <w:vAlign w:val="bottom"/>
            <w:tcBorders>
              <w:bottom w:val="single" w:sz="8" w:color="CCEEFF"/>
            </w:tcBorders>
            <w:gridSpan w:val="2"/>
            <w:shd w:val="clear" w:color="auto" w:fill="CCEEFF"/>
          </w:tcPr>
          <w:p>
            <w:pPr>
              <w:jc w:val="right"/>
              <w:ind w:right="64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111.1</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708.9</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3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253.3</w:t>
            </w:r>
          </w:p>
        </w:tc>
      </w:tr>
      <w:tr>
        <w:trPr>
          <w:trHeight w:val="27"/>
        </w:trPr>
        <w:tc>
          <w:tcPr>
            <w:tcW w:w="386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4060" w:type="dxa"/>
            <w:vAlign w:val="bottom"/>
            <w:gridSpan w:val="2"/>
            <w:shd w:val="clear" w:color="auto" w:fill="CCEEFF"/>
          </w:tcPr>
          <w:p>
            <w:pPr>
              <w:jc w:val="right"/>
              <w:ind w:right="64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97.3</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358.3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455.6</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129"/>
        </w:trPr>
        <w:tc>
          <w:tcPr>
            <w:tcW w:w="38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As of December 30, 2018</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8"/>
              </w:rPr>
              <w:t>KGS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4060" w:type="dxa"/>
            <w:vAlign w:val="bottom"/>
            <w:tcBorders>
              <w:bottom w:val="single" w:sz="8" w:color="CCEEFF"/>
            </w:tcBorders>
            <w:gridSpan w:val="2"/>
            <w:shd w:val="clear" w:color="auto" w:fill="CCEEFF"/>
          </w:tcPr>
          <w:p>
            <w:pPr>
              <w:jc w:val="right"/>
              <w:ind w:right="64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111.1</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679.0</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3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253.3</w:t>
            </w:r>
          </w:p>
        </w:tc>
      </w:tr>
      <w:tr>
        <w:trPr>
          <w:trHeight w:val="27"/>
        </w:trPr>
        <w:tc>
          <w:tcPr>
            <w:tcW w:w="386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3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425.7</w:t>
            </w:r>
          </w:p>
        </w:tc>
      </w:tr>
      <w:tr>
        <w:trPr>
          <w:trHeight w:val="20"/>
        </w:trPr>
        <w:tc>
          <w:tcPr>
            <w:tcW w:w="38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51"/>
        </w:trPr>
        <w:tc>
          <w:tcPr>
            <w:tcW w:w="3860" w:type="dxa"/>
            <w:vAlign w:val="bottom"/>
          </w:tcPr>
          <w:p>
            <w:pPr>
              <w:spacing w:after="0"/>
              <w:rPr>
                <w:sz w:val="24"/>
                <w:szCs w:val="24"/>
                <w:color w:val="auto"/>
              </w:rPr>
            </w:pPr>
          </w:p>
        </w:tc>
        <w:tc>
          <w:tcPr>
            <w:tcW w:w="4060" w:type="dxa"/>
            <w:vAlign w:val="bottom"/>
            <w:gridSpan w:val="2"/>
          </w:tcPr>
          <w:p>
            <w:pPr>
              <w:jc w:val="right"/>
              <w:ind w:right="1962"/>
              <w:spacing w:after="0"/>
              <w:rPr>
                <w:sz w:val="20"/>
                <w:szCs w:val="20"/>
                <w:color w:val="auto"/>
              </w:rPr>
            </w:pPr>
            <w:r>
              <w:rPr>
                <w:rFonts w:ascii="Arial" w:cs="Arial" w:eastAsia="Arial" w:hAnsi="Arial"/>
                <w:sz w:val="18"/>
                <w:szCs w:val="18"/>
                <w:color w:val="auto"/>
              </w:rPr>
              <w:t>F-21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81" w:name="page82"/>
    <w:bookmarkEnd w:id="81"/>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Purchased 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for acquired finite-lived and indefinite-lived intangible assets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2"/>
              </w:rPr>
              <w:t>As of December 29, 2019</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2"/>
              </w:rPr>
              <w:t>As of December 30, 2018</w:t>
            </w:r>
          </w:p>
        </w:tc>
        <w:tc>
          <w:tcPr>
            <w:tcW w:w="880" w:type="dxa"/>
            <w:vAlign w:val="bottom"/>
            <w:tcBorders>
              <w:bottom w:val="single" w:sz="8" w:color="auto"/>
            </w:tcBorders>
          </w:tcPr>
          <w:p>
            <w:pPr>
              <w:spacing w:after="0"/>
              <w:rPr>
                <w:sz w:val="16"/>
                <w:szCs w:val="16"/>
                <w:color w:val="auto"/>
              </w:rPr>
            </w:pPr>
          </w:p>
        </w:tc>
      </w:tr>
      <w:tr>
        <w:trPr>
          <w:trHeight w:val="152"/>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78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88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r>
      <w:tr>
        <w:trPr>
          <w:trHeight w:val="236"/>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72.3</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52.6</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Developed technology and technical know-how</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3.7</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Indefinite-lived trade names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6.9</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The aggregate amortization expense for finite-lived intangible assets was $7.4 million, $5.9 million and $10.4 million, for the years ended December 29, 2019, December 30, 2018, and December 31, 2017, respectively. The Company records all amortization expense in selling, general and administrative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estimated future amortization expense of acquired intangible assets with finite lives as of December 29, 2019 is as follows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15.9</w:t>
            </w:r>
          </w:p>
        </w:tc>
      </w:tr>
      <w:tr>
        <w:trPr>
          <w:trHeight w:val="27"/>
        </w:trPr>
        <w:tc>
          <w:tcPr>
            <w:tcW w:w="9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32.6</w:t>
            </w:r>
          </w:p>
        </w:tc>
      </w:tr>
      <w:tr>
        <w:trPr>
          <w:trHeight w:val="20"/>
        </w:trPr>
        <w:tc>
          <w:tcPr>
            <w:tcW w:w="9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Balance Sheet Details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 of certain assets in the consolidated balance sheets consists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color w:val="auto"/>
        </w:rPr>
        <w:t>The Company’s cash equivalents consist of overnight cash sweep accounts that are invested on a daily basis. Cash and cash equivalents at December 29, 2019 and December 30, 2018 were $172.6 million and $182.7 million, respectively, and approximated their fair value.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553"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Accounts receivable, net and Unbilled Receivables,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Receivables including amounts due under long-term contracts are summarized as follows </w:t>
      </w:r>
      <w:r>
        <w:rPr>
          <w:rFonts w:ascii="Arial" w:cs="Arial" w:eastAsia="Arial" w:hAnsi="Arial"/>
          <w:sz w:val="18"/>
          <w:szCs w:val="18"/>
          <w:i w:val="1"/>
          <w:iCs w:val="1"/>
          <w:color w:val="auto"/>
        </w:rPr>
        <w:t>(in millions)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29,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30, 2018</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 current</w:t>
            </w:r>
          </w:p>
        </w:tc>
        <w:tc>
          <w:tcPr>
            <w:tcW w:w="48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Unbilled, current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173.2</w:t>
            </w:r>
          </w:p>
        </w:tc>
      </w:tr>
      <w:tr>
        <w:trPr>
          <w:trHeight w:val="27"/>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accounts receivable</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and unbilled receivables, net</w:t>
            </w: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237.4</w:t>
            </w:r>
          </w:p>
        </w:tc>
      </w:tr>
      <w:tr>
        <w:trPr>
          <w:trHeight w:val="20"/>
        </w:trPr>
        <w:tc>
          <w:tcPr>
            <w:tcW w:w="8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Substantially all accounts receivable at December 29, 2019, are expected to be collected in 2020. The Company does not believe it has significant exposure to credit risk, as accounts receivable and the related unbilled amounts are primarily from contracts associated with the U.S. Government.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contract receivables where the Company is the prime contractor included in accounts receivable, net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29,</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December 30, 2018</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Unbilled</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U.S. Government contract receivables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Inventoried costs, net of progress payments (in millions):</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24"/>
                <w:szCs w:val="2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inventoried costs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i w:val="1"/>
                <w:iCs w:val="1"/>
                <w:color w:val="auto"/>
              </w:rPr>
              <w:t>Property, plant and equipment, net (in millions)</w:t>
            </w: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Pr>
          <w:p>
            <w:pPr>
              <w:spacing w:after="0"/>
              <w:rPr>
                <w:sz w:val="24"/>
                <w:szCs w:val="24"/>
                <w:color w:val="auto"/>
              </w:rPr>
            </w:pPr>
          </w:p>
        </w:tc>
        <w:tc>
          <w:tcPr>
            <w:tcW w:w="148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29, 2019</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30, 2018</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right of use assets</w:t>
            </w:r>
          </w:p>
        </w:tc>
        <w:tc>
          <w:tcPr>
            <w:tcW w:w="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Land and buildings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office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Depreciation expense was $16.0 million, $12.0 million and $11.8 million for the years ended December 29, 2019, December 30, 2018, and December 31, 2017,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557" w:right="239" w:bottom="1440" w:gutter="0" w:footer="0" w:header="0"/>
        </w:sectPr>
      </w:pPr>
    </w:p>
    <w:bookmarkStart w:id="83" w:name="page84"/>
    <w:bookmarkEnd w:id="83"/>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Debt</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Issuance of 6.5% Senior Secured Notes due 2025</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November 2017, the Company issued and sold $300 million aggregate principal amount of 6.5% Senior Secured Notes due 2025 (the “6.5% Notes”) in a private placement conducted pursuant to Rule 144A and Regulation S under the Securities Act of 1933, as amended (the “Act”). The Company incurred debt issuance costs of $6.6 million associated with the new 6.5% Notes. The Company utilized the net proceeds from the sale of the 6.5% Notes, as well as cash from its recent equity offering to extinguish the previously outstanding 7.00% Senior Secured Notes due 2019 (the “7% Notes”). The total reacquisition price of the 7% Notes was $385.2 million, including a $12.0 million call premium, and $0.3 million of accrued interest.</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(in such capacity, the “2017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6.5% Notes and the guarantees (as set forth in the Indenture, the “Guarantees”)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6.5% Notes will be redeemable, in whole or in part, at any time on or after November 30, 2020 at the respective redemption prices specified in the Indenture. In addition, the Company may redeem up to 40% of the 6.5% Notes before November 30, 2020 with the net proceeds of certain equity offerings. The Company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the Company may redeem up to 10% of the original aggregate principal amount of the 6.5% Notes issued under the Indenture at a redemption price of 103.000% of the principal amount thereof, plus accrued and unpaid interest, to, but excluding, the date of redemption, if any. The Company may also be required to make an offer to purchase the 6.5% Notes upon a change of control and certain sales of its assets.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w:t>
      </w:r>
    </w:p>
    <w:p>
      <w:pPr>
        <w:jc w:val="both"/>
        <w:ind w:firstLine="8"/>
        <w:spacing w:after="0" w:line="281" w:lineRule="auto"/>
        <w:tabs>
          <w:tab w:leader="none" w:pos="25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w:t>
      </w:r>
    </w:p>
    <w:p>
      <w:pPr>
        <w:spacing w:after="0" w:line="1" w:lineRule="exact"/>
        <w:rPr>
          <w:rFonts w:ascii="Arial" w:cs="Arial" w:eastAsia="Arial" w:hAnsi="Arial"/>
          <w:sz w:val="16"/>
          <w:szCs w:val="16"/>
          <w:color w:val="auto"/>
        </w:rPr>
      </w:pPr>
    </w:p>
    <w:p>
      <w:pPr>
        <w:ind w:firstLine="8"/>
        <w:spacing w:after="0" w:line="323" w:lineRule="auto"/>
        <w:tabs>
          <w:tab w:leader="none" w:pos="218" w:val="left"/>
        </w:tabs>
        <w:numPr>
          <w:ilvl w:val="0"/>
          <w:numId w:val="49"/>
        </w:numPr>
        <w:rPr>
          <w:rFonts w:ascii="Arial" w:cs="Arial" w:eastAsia="Arial" w:hAnsi="Arial"/>
          <w:sz w:val="16"/>
          <w:szCs w:val="16"/>
          <w:color w:val="auto"/>
        </w:rPr>
      </w:pPr>
      <w:r>
        <w:rPr>
          <w:rFonts w:ascii="Arial" w:cs="Arial" w:eastAsia="Arial" w:hAnsi="Arial"/>
          <w:sz w:val="16"/>
          <w:szCs w:val="16"/>
          <w:color w:val="auto"/>
        </w:rPr>
        <w:t>enter into agreements restricting the Company’s ability and certain of its subsidiaries’ ability to pay dividends. These covenants are subject to a number of exceptions. As of December 29, 2019, the Company was in compliance with the covenants contained in the Indenture governing the 6.5% Notes.</w:t>
      </w:r>
    </w:p>
    <w:p>
      <w:pPr>
        <w:spacing w:after="0" w:line="13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(iii) a combination of (i), (ii) and (iii). To the extent there are any remaining net proceeds from the asset disposition after application of (i), (ii) and (iii), such amounts are required to be utilized to repurchase 6.5% Notes at par.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553" w:right="239" w:bottom="1440" w:gutter="0" w:footer="0" w:header="0"/>
        </w:sectPr>
      </w:pPr>
    </w:p>
    <w:bookmarkStart w:id="84" w:name="page85"/>
    <w:bookmarkEnd w:id="84"/>
    <w:p>
      <w:pPr>
        <w:ind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of them occurs, would permit or require the principal, premium, if any, interest, if any, and any other monetary obligations on all the then-outstanding 6.5% Notes to become or to be declared due and payable immediately.</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May 14, 2014, the Company entered into a $110.0 million Credit and Security Agreement, dated May 14, 2014 (as amended from time to time,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a first priority lien on the Company’s accounts receivable, inventory, deposit accounts, securities accounts, cash, securities and general intangibles (other than intellectual property). The obligations under the Credit Agreement are secured by a second priority lien, junior to the lien securing the Notes, on all of the Company’s other assets.</w:t>
      </w:r>
    </w:p>
    <w:p>
      <w:pPr>
        <w:spacing w:after="0" w:line="18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On November 20, 2017, the Company entered into an amended and restated Credit Agreement with the lenders from time to time party thereto, the Agent, PNC Bank, National Association, as Joint Lead Arranger and Documentation Agent, and SunTrust Robinson Humphrey, Inc., as Joint Lead Arranger and Sole Book Runner. As amended and restated, the Credit Agreement establishes a five 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2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LIBOR Rate (as defined in the Credit Agreement) determined at such time for an interest period of one month, plus 1.00% per annum. Eurodollar revolving loans will bear interest a rate per annum equal to the sum of the Applicable Margin from time to time in effect plus the Adjusted LIBOR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 held eligible raw materials inventory, work-in-process inventory, and applicable reserves</w:t>
      </w:r>
      <w:r>
        <w:rPr>
          <w:rFonts w:ascii="Arial" w:cs="Arial" w:eastAsia="Arial" w:hAnsi="Arial"/>
          <w:sz w:val="18"/>
          <w:szCs w:val="18"/>
          <w:b w:val="1"/>
          <w:bCs w:val="1"/>
          <w:i w:val="1"/>
          <w:iCs w:val="1"/>
          <w:color w:val="auto"/>
        </w:rPr>
        <w:t>.</w:t>
      </w:r>
    </w:p>
    <w:p>
      <w:pPr>
        <w:spacing w:after="0" w:line="19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measurement of a minimum fixed charge coverage ratio is required to be measured if Excess Availability, as defined in the Credit Agreement, is less than fifty percent of the lesser of the Borrowing Base or the Total Commitment Amount, each as defined in the Credit Agreement.</w:t>
      </w:r>
    </w:p>
    <w:p>
      <w:pPr>
        <w:spacing w:after="0" w:line="147" w:lineRule="exact"/>
        <w:rPr>
          <w:sz w:val="20"/>
          <w:szCs w:val="20"/>
          <w:color w:val="auto"/>
        </w:rPr>
      </w:pPr>
    </w:p>
    <w:p>
      <w:pPr>
        <w:ind w:right="780" w:firstLine="648"/>
        <w:spacing w:after="0" w:line="264" w:lineRule="auto"/>
        <w:rPr>
          <w:sz w:val="20"/>
          <w:szCs w:val="20"/>
          <w:color w:val="auto"/>
        </w:rPr>
      </w:pPr>
      <w:r>
        <w:rPr>
          <w:rFonts w:ascii="Arial" w:cs="Arial" w:eastAsia="Arial" w:hAnsi="Arial"/>
          <w:sz w:val="18"/>
          <w:szCs w:val="18"/>
          <w:color w:val="auto"/>
        </w:rPr>
        <w:t>As of December 29, 2019 and December 30, 2018, there were no borrowings outstanding on the Credit Agreement; there was $5.4 million outstanding on letters of credit, resulting in net borrowing base availability of $69.3 million as of December 29, 2019. The Company was in compliance with the financial covenants of the Credit Agreement as of December 29, 2019.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557"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29, 2019 and December 30, 2018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29, 2019</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0"/>
              </w:rPr>
              <w:t>As of December 30, 2018</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3"/>
                <w:szCs w:val="13"/>
                <w:color w:val="auto"/>
              </w:rPr>
            </w:pPr>
          </w:p>
        </w:tc>
        <w:tc>
          <w:tcPr>
            <w:tcW w:w="9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10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December 29, 2019, the difference between the carrying amount of $295.1 million and the principal amount of $300.0 million presented in the previous table, is the unamortized debt issuance costs of $4.9 million, which are being accreted to interest expense over the term of the related debt. As of December 30, 2018, the difference between the carrying amount of $294.2 million and the principal amount of $300.0 million presented in the above table also related to the same unamortized debt issuance costs of $5.8 million.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maturity of long-term debt is $300.0 million in 2025.</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Leases</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As a result of a lease modification for its expanded facilities in Colorado, in the first quarter of 2019, the Company was required to reassess the classification of the lease which previously had been accounted for as an operating lease. This reassessment resulted in the reclassification of the operating lease to a $39.3 million finance lease.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660"/>
              <w:spacing w:after="0"/>
              <w:rPr>
                <w:sz w:val="20"/>
                <w:szCs w:val="20"/>
                <w:color w:val="auto"/>
              </w:rPr>
            </w:pPr>
            <w:r>
              <w:rPr>
                <w:rFonts w:ascii="Arial" w:cs="Arial" w:eastAsia="Arial" w:hAnsi="Arial"/>
                <w:sz w:val="18"/>
                <w:szCs w:val="18"/>
                <w:color w:val="auto"/>
              </w:rPr>
              <w:t>The components of lease expense for the year ended December 29, 2019 were as follows (in millions):</w:t>
            </w: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35"/>
        </w:trPr>
        <w:tc>
          <w:tcPr>
            <w:tcW w:w="9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right of use assets - finance leases</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Interest expense on lease liabilities - finance leases</w:t>
            </w: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9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 (expense resulting from amortization of total lease payments)</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9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 (cost excluded from lease payments)</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98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lease cost</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9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leases on the balance sheet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Borders>
              <w:bottom w:val="single" w:sz="8" w:color="CCEEFF"/>
            </w:tcBorders>
          </w:tcPr>
          <w:p>
            <w:pPr>
              <w:spacing w:after="0"/>
              <w:rPr>
                <w:sz w:val="16"/>
                <w:szCs w:val="16"/>
                <w:color w:val="auto"/>
              </w:rPr>
            </w:pPr>
          </w:p>
        </w:tc>
        <w:tc>
          <w:tcPr>
            <w:tcW w:w="5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29, 2019</w:t>
            </w: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5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520"/>
              <w:spacing w:after="0"/>
              <w:rPr>
                <w:sz w:val="20"/>
                <w:szCs w:val="20"/>
                <w:color w:val="auto"/>
              </w:rPr>
            </w:pPr>
            <w:r>
              <w:rPr>
                <w:rFonts w:ascii="Arial" w:cs="Arial" w:eastAsia="Arial" w:hAnsi="Arial"/>
                <w:sz w:val="18"/>
                <w:szCs w:val="18"/>
                <w:color w:val="auto"/>
              </w:rPr>
              <w:t>Operating lease right-of-use assets</w:t>
            </w:r>
          </w:p>
        </w:tc>
        <w:tc>
          <w:tcPr>
            <w:tcW w:w="5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42.1</w:t>
            </w:r>
          </w:p>
        </w:tc>
      </w:tr>
      <w:tr>
        <w:trPr>
          <w:trHeight w:val="27"/>
        </w:trPr>
        <w:tc>
          <w:tcPr>
            <w:tcW w:w="47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Current portion of operating lease liabilities</w:t>
            </w:r>
          </w:p>
        </w:tc>
        <w:tc>
          <w:tcPr>
            <w:tcW w:w="5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r>
      <w:tr>
        <w:trPr>
          <w:trHeight w:val="243"/>
        </w:trPr>
        <w:tc>
          <w:tcPr>
            <w:tcW w:w="4760" w:type="dxa"/>
            <w:vAlign w:val="bottom"/>
          </w:tcPr>
          <w:p>
            <w:pPr>
              <w:ind w:left="520"/>
              <w:spacing w:after="0"/>
              <w:rPr>
                <w:sz w:val="20"/>
                <w:szCs w:val="20"/>
                <w:color w:val="auto"/>
              </w:rPr>
            </w:pPr>
            <w:r>
              <w:rPr>
                <w:rFonts w:ascii="Arial" w:cs="Arial" w:eastAsia="Arial" w:hAnsi="Arial"/>
                <w:sz w:val="18"/>
                <w:szCs w:val="18"/>
                <w:color w:val="auto"/>
              </w:rPr>
              <w:t>Operating lease liabilities, net of current portion</w:t>
            </w:r>
          </w:p>
        </w:tc>
        <w:tc>
          <w:tcPr>
            <w:tcW w:w="5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37.6</w:t>
            </w:r>
          </w:p>
        </w:tc>
      </w:tr>
      <w:tr>
        <w:trPr>
          <w:trHeight w:val="27"/>
        </w:trPr>
        <w:tc>
          <w:tcPr>
            <w:tcW w:w="47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5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520"/>
              <w:spacing w:after="0"/>
              <w:rPr>
                <w:sz w:val="20"/>
                <w:szCs w:val="20"/>
                <w:color w:val="auto"/>
              </w:rPr>
            </w:pPr>
            <w:r>
              <w:rPr>
                <w:rFonts w:ascii="Arial" w:cs="Arial" w:eastAsia="Arial" w:hAnsi="Arial"/>
                <w:sz w:val="18"/>
                <w:szCs w:val="18"/>
                <w:color w:val="auto"/>
              </w:rPr>
              <w:t>Property, plant and equipment, net</w:t>
            </w:r>
          </w:p>
        </w:tc>
        <w:tc>
          <w:tcPr>
            <w:tcW w:w="5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38.1</w:t>
            </w:r>
          </w:p>
        </w:tc>
      </w:tr>
      <w:tr>
        <w:trPr>
          <w:trHeight w:val="27"/>
        </w:trPr>
        <w:tc>
          <w:tcPr>
            <w:tcW w:w="47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 current liabilities</w:t>
            </w:r>
          </w:p>
        </w:tc>
        <w:tc>
          <w:tcPr>
            <w:tcW w:w="5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r>
      <w:tr>
        <w:trPr>
          <w:trHeight w:val="243"/>
        </w:trPr>
        <w:tc>
          <w:tcPr>
            <w:tcW w:w="4760" w:type="dxa"/>
            <w:vAlign w:val="bottom"/>
          </w:tcPr>
          <w:p>
            <w:pPr>
              <w:ind w:left="520"/>
              <w:spacing w:after="0"/>
              <w:rPr>
                <w:sz w:val="20"/>
                <w:szCs w:val="20"/>
                <w:color w:val="auto"/>
              </w:rPr>
            </w:pPr>
            <w:r>
              <w:rPr>
                <w:rFonts w:ascii="Arial" w:cs="Arial" w:eastAsia="Arial" w:hAnsi="Arial"/>
                <w:sz w:val="18"/>
                <w:szCs w:val="18"/>
                <w:color w:val="auto"/>
              </w:rPr>
              <w:t>Other long-term liabilities</w:t>
            </w:r>
          </w:p>
        </w:tc>
        <w:tc>
          <w:tcPr>
            <w:tcW w:w="5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38.4</w:t>
            </w:r>
          </w:p>
        </w:tc>
      </w:tr>
      <w:tr>
        <w:trPr>
          <w:trHeight w:val="675"/>
        </w:trPr>
        <w:tc>
          <w:tcPr>
            <w:tcW w:w="4760" w:type="dxa"/>
            <w:vAlign w:val="bottom"/>
          </w:tcPr>
          <w:p>
            <w:pPr>
              <w:spacing w:after="0"/>
              <w:rPr>
                <w:sz w:val="24"/>
                <w:szCs w:val="24"/>
                <w:color w:val="auto"/>
              </w:rPr>
            </w:pPr>
          </w:p>
        </w:tc>
        <w:tc>
          <w:tcPr>
            <w:tcW w:w="5240" w:type="dxa"/>
            <w:vAlign w:val="bottom"/>
            <w:gridSpan w:val="2"/>
          </w:tcPr>
          <w:p>
            <w:pPr>
              <w:jc w:val="right"/>
              <w:ind w:right="4120"/>
              <w:spacing w:after="0"/>
              <w:rPr>
                <w:sz w:val="20"/>
                <w:szCs w:val="20"/>
                <w:color w:val="auto"/>
              </w:rPr>
            </w:pPr>
            <w:r>
              <w:rPr>
                <w:rFonts w:ascii="Arial" w:cs="Arial" w:eastAsia="Arial" w:hAnsi="Arial"/>
                <w:sz w:val="18"/>
                <w:szCs w:val="18"/>
                <w:color w:val="auto"/>
              </w:rPr>
              <w:t>F-26</w:t>
            </w:r>
          </w:p>
        </w:tc>
        <w:tc>
          <w:tcPr>
            <w:tcW w:w="142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20" w:type="dxa"/>
            <w:vAlign w:val="bottom"/>
            <w:gridSpan w:val="8"/>
          </w:tcPr>
          <w:p>
            <w:pPr>
              <w:ind w:left="660"/>
              <w:spacing w:after="0"/>
              <w:rPr>
                <w:sz w:val="20"/>
                <w:szCs w:val="20"/>
                <w:color w:val="auto"/>
              </w:rPr>
            </w:pPr>
            <w:r>
              <w:rPr>
                <w:rFonts w:ascii="Arial" w:cs="Arial" w:eastAsia="Arial" w:hAnsi="Arial"/>
                <w:sz w:val="18"/>
                <w:szCs w:val="18"/>
                <w:color w:val="auto"/>
                <w:w w:val="91"/>
              </w:rPr>
              <w:t>Cash paid for amounts included in the measurement of lease liabilities for the year ended December 29, 2019 was as follows (in millions):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78"/>
        </w:trPr>
        <w:tc>
          <w:tcPr>
            <w:tcW w:w="7320" w:type="dxa"/>
            <w:vAlign w:val="bottom"/>
          </w:tcPr>
          <w:p>
            <w:pPr>
              <w:ind w:left="40"/>
              <w:spacing w:after="0"/>
              <w:rPr>
                <w:sz w:val="20"/>
                <w:szCs w:val="20"/>
                <w:color w:val="auto"/>
              </w:rPr>
            </w:pPr>
            <w:r>
              <w:rPr>
                <w:rFonts w:ascii="Arial" w:cs="Arial" w:eastAsia="Arial" w:hAnsi="Arial"/>
                <w:sz w:val="18"/>
                <w:szCs w:val="18"/>
                <w:color w:val="auto"/>
              </w:rPr>
              <w:t>Finance lease - cash paid for interest</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7"/>
        </w:trPr>
        <w:tc>
          <w:tcPr>
            <w:tcW w:w="7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 financing cash flows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Operating lease - operating cash flows (fixed payments)</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r>
      <w:tr>
        <w:trPr>
          <w:trHeight w:val="459"/>
        </w:trPr>
        <w:tc>
          <w:tcPr>
            <w:tcW w:w="7320" w:type="dxa"/>
            <w:vAlign w:val="bottom"/>
          </w:tcPr>
          <w:p>
            <w:pPr>
              <w:ind w:left="660"/>
              <w:spacing w:after="0"/>
              <w:rPr>
                <w:sz w:val="20"/>
                <w:szCs w:val="20"/>
                <w:color w:val="auto"/>
              </w:rPr>
            </w:pPr>
            <w:r>
              <w:rPr>
                <w:rFonts w:ascii="Arial" w:cs="Arial" w:eastAsia="Arial" w:hAnsi="Arial"/>
                <w:sz w:val="18"/>
                <w:szCs w:val="18"/>
                <w:color w:val="auto"/>
              </w:rPr>
              <w:t>Other supplemental noncash information (in millions):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35"/>
        </w:trPr>
        <w:tc>
          <w:tcPr>
            <w:tcW w:w="7740" w:type="dxa"/>
            <w:vAlign w:val="bottom"/>
            <w:gridSpan w:val="2"/>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50"/>
        </w:trPr>
        <w:tc>
          <w:tcPr>
            <w:tcW w:w="88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liabilities arising from obtaining right-of-use assets, including impact of ASC 842 adoption</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w:t>
            </w:r>
          </w:p>
        </w:tc>
      </w:tr>
      <w:tr>
        <w:trPr>
          <w:trHeight w:val="243"/>
        </w:trPr>
        <w:tc>
          <w:tcPr>
            <w:tcW w:w="8840" w:type="dxa"/>
            <w:vAlign w:val="bottom"/>
            <w:gridSpan w:val="4"/>
          </w:tcPr>
          <w:p>
            <w:pPr>
              <w:ind w:left="40"/>
              <w:spacing w:after="0"/>
              <w:rPr>
                <w:sz w:val="20"/>
                <w:szCs w:val="20"/>
                <w:color w:val="auto"/>
              </w:rPr>
            </w:pPr>
            <w:r>
              <w:rPr>
                <w:rFonts w:ascii="Arial" w:cs="Arial" w:eastAsia="Arial" w:hAnsi="Arial"/>
                <w:sz w:val="18"/>
                <w:szCs w:val="18"/>
                <w:color w:val="auto"/>
              </w:rPr>
              <w:t>Finance lease liabilities arising from obtaining right-of-use assets, including impact of ASC 842 adoption</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39.6</w:t>
            </w:r>
          </w:p>
        </w:tc>
      </w:tr>
      <w:tr>
        <w:trPr>
          <w:trHeight w:val="27"/>
        </w:trPr>
        <w:tc>
          <w:tcPr>
            <w:tcW w:w="7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5.77</w:t>
            </w:r>
          </w:p>
        </w:tc>
      </w:tr>
      <w:tr>
        <w:trPr>
          <w:trHeight w:val="243"/>
        </w:trPr>
        <w:tc>
          <w:tcPr>
            <w:tcW w:w="732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18.91</w:t>
            </w:r>
          </w:p>
        </w:tc>
      </w:tr>
      <w:tr>
        <w:trPr>
          <w:trHeight w:val="27"/>
        </w:trPr>
        <w:tc>
          <w:tcPr>
            <w:tcW w:w="7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0"/>
        </w:trPr>
        <w:tc>
          <w:tcPr>
            <w:tcW w:w="7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r>
      <w:tr>
        <w:trPr>
          <w:trHeight w:val="243"/>
        </w:trPr>
        <w:tc>
          <w:tcPr>
            <w:tcW w:w="732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6.52%</w:t>
            </w:r>
          </w:p>
        </w:tc>
      </w:tr>
      <w:tr>
        <w:trPr>
          <w:trHeight w:val="675"/>
        </w:trPr>
        <w:tc>
          <w:tcPr>
            <w:tcW w:w="7320" w:type="dxa"/>
            <w:vAlign w:val="bottom"/>
          </w:tcPr>
          <w:p>
            <w:pPr>
              <w:ind w:left="660"/>
              <w:spacing w:after="0"/>
              <w:rPr>
                <w:sz w:val="20"/>
                <w:szCs w:val="20"/>
                <w:color w:val="auto"/>
              </w:rPr>
            </w:pPr>
            <w:r>
              <w:rPr>
                <w:rFonts w:ascii="Arial" w:cs="Arial" w:eastAsia="Arial" w:hAnsi="Arial"/>
                <w:sz w:val="18"/>
                <w:szCs w:val="18"/>
                <w:color w:val="auto"/>
              </w:rPr>
              <w:t>The maturity of lease liabilities is (in millions):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5"/>
        </w:trPr>
        <w:tc>
          <w:tcPr>
            <w:tcW w:w="7320" w:type="dxa"/>
            <w:vAlign w:val="bottom"/>
          </w:tcPr>
          <w:p>
            <w:pPr>
              <w:spacing w:after="0"/>
              <w:rPr>
                <w:sz w:val="24"/>
                <w:szCs w:val="24"/>
                <w:color w:val="auto"/>
              </w:rPr>
            </w:pPr>
          </w:p>
        </w:tc>
        <w:tc>
          <w:tcPr>
            <w:tcW w:w="1520" w:type="dxa"/>
            <w:vAlign w:val="bottom"/>
            <w:gridSpan w:val="3"/>
          </w:tcPr>
          <w:p>
            <w:pPr>
              <w:ind w:left="420"/>
              <w:spacing w:after="0"/>
              <w:rPr>
                <w:sz w:val="20"/>
                <w:szCs w:val="20"/>
                <w:color w:val="auto"/>
              </w:rPr>
            </w:pPr>
            <w:r>
              <w:rPr>
                <w:rFonts w:ascii="Arial" w:cs="Arial" w:eastAsia="Arial" w:hAnsi="Arial"/>
                <w:sz w:val="14"/>
                <w:szCs w:val="14"/>
                <w:b w:val="1"/>
                <w:bCs w:val="1"/>
                <w:color w:val="auto"/>
                <w:w w:val="91"/>
              </w:rPr>
              <w:t>Operating Leases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Finance Leases</w:t>
            </w:r>
          </w:p>
        </w:tc>
      </w:tr>
      <w:tr>
        <w:trPr>
          <w:trHeight w:val="21"/>
        </w:trPr>
        <w:tc>
          <w:tcPr>
            <w:tcW w:w="7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7"/>
        </w:trPr>
        <w:tc>
          <w:tcPr>
            <w:tcW w:w="7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7"/>
        </w:trPr>
        <w:tc>
          <w:tcPr>
            <w:tcW w:w="7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11.6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r>
      <w:tr>
        <w:trPr>
          <w:trHeight w:val="27"/>
        </w:trPr>
        <w:tc>
          <w:tcPr>
            <w:tcW w:w="7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lease payments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(9.6)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r>
      <w:tr>
        <w:trPr>
          <w:trHeight w:val="27"/>
        </w:trPr>
        <w:tc>
          <w:tcPr>
            <w:tcW w:w="7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present value of lease liabilities</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Rental expense for operating leases classified under ASC 840 for the years ended December 30, 2018, and December 31, 2017 was $23.7 million, and $18.6 million, respectively. Total sublease income for the years ended December 30, 2018, and December 31, 2017, totaling $3.3 million, and $3.4 million, respectively, has been netted against rent expense.</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December 30, 2018, future minimum lease payments under ASC 840 for operating leases, which does not include $4.3 million in sublease income on the Company’s operating leases, were as follows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6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87"/>
              </w:rPr>
              <w:t>Operating Leases</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2020</w:t>
            </w:r>
          </w:p>
        </w:tc>
        <w:tc>
          <w:tcPr>
            <w:tcW w:w="6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7"/>
        </w:trPr>
        <w:tc>
          <w:tcPr>
            <w:tcW w:w="39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2022</w:t>
            </w:r>
          </w:p>
        </w:tc>
        <w:tc>
          <w:tcPr>
            <w:tcW w:w="6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8.1</w:t>
            </w:r>
          </w:p>
        </w:tc>
      </w:tr>
      <w:tr>
        <w:trPr>
          <w:trHeight w:val="27"/>
        </w:trPr>
        <w:tc>
          <w:tcPr>
            <w:tcW w:w="39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63.1</w:t>
            </w:r>
          </w:p>
        </w:tc>
      </w:tr>
      <w:tr>
        <w:trPr>
          <w:trHeight w:val="27"/>
        </w:trPr>
        <w:tc>
          <w:tcPr>
            <w:tcW w:w="392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6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117.2</w:t>
            </w:r>
          </w:p>
        </w:tc>
      </w:tr>
      <w:tr>
        <w:trPr>
          <w:trHeight w:val="20"/>
        </w:trPr>
        <w:tc>
          <w:tcPr>
            <w:tcW w:w="39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35"/>
        </w:trPr>
        <w:tc>
          <w:tcPr>
            <w:tcW w:w="3920" w:type="dxa"/>
            <w:vAlign w:val="bottom"/>
          </w:tcPr>
          <w:p>
            <w:pPr>
              <w:spacing w:after="0"/>
              <w:rPr>
                <w:sz w:val="24"/>
                <w:szCs w:val="24"/>
                <w:color w:val="auto"/>
              </w:rPr>
            </w:pPr>
          </w:p>
        </w:tc>
        <w:tc>
          <w:tcPr>
            <w:tcW w:w="6160" w:type="dxa"/>
            <w:vAlign w:val="bottom"/>
            <w:gridSpan w:val="2"/>
          </w:tcPr>
          <w:p>
            <w:pPr>
              <w:jc w:val="right"/>
              <w:ind w:right="4110"/>
              <w:spacing w:after="0"/>
              <w:rPr>
                <w:sz w:val="20"/>
                <w:szCs w:val="20"/>
                <w:color w:val="auto"/>
              </w:rPr>
            </w:pPr>
            <w:r>
              <w:rPr>
                <w:rFonts w:ascii="Arial" w:cs="Arial" w:eastAsia="Arial" w:hAnsi="Arial"/>
                <w:sz w:val="18"/>
                <w:szCs w:val="18"/>
                <w:color w:val="auto"/>
              </w:rPr>
              <w:t>F-27</w:t>
            </w:r>
          </w:p>
        </w:tc>
        <w:tc>
          <w:tcPr>
            <w:tcW w:w="1340" w:type="dxa"/>
            <w:vAlign w:val="bottom"/>
          </w:tcPr>
          <w:p>
            <w:pPr>
              <w:spacing w:after="0"/>
              <w:rPr>
                <w:sz w:val="24"/>
                <w:szCs w:val="24"/>
                <w:color w:val="auto"/>
              </w:rPr>
            </w:pPr>
          </w:p>
        </w:tc>
      </w:tr>
    </w:tbl>
    <w:p>
      <w:pPr>
        <w:sectPr>
          <w:pgSz w:w="11900" w:h="16838" w:orient="portrait"/>
          <w:cols w:equalWidth="0" w:num="1">
            <w:col w:w="11420"/>
          </w:cols>
          <w:pgMar w:left="240" w:top="774" w:right="239" w:bottom="1440" w:gutter="0" w:footer="0" w:header="0"/>
        </w:sectPr>
      </w:pPr>
    </w:p>
    <w:bookmarkStart w:id="87" w:name="page88"/>
    <w:bookmarkEnd w:id="87"/>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Net Income (Loss) Per Common Share</w:t>
      </w:r>
    </w:p>
    <w:p>
      <w:pPr>
        <w:spacing w:after="0" w:line="229"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FASB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shares were excluded from the calculation of diluted loss per share because their inclusion would have been anti-dilutive (in millions):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6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360" w:type="dxa"/>
            <w:vAlign w:val="bottom"/>
            <w:tcBorders>
              <w:bottom w:val="single" w:sz="8" w:color="auto"/>
            </w:tcBorders>
          </w:tcPr>
          <w:p>
            <w:pPr>
              <w:spacing w:after="0"/>
              <w:rPr>
                <w:sz w:val="17"/>
                <w:szCs w:val="17"/>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December 29, 2019</w:t>
            </w:r>
          </w:p>
        </w:tc>
        <w:tc>
          <w:tcPr>
            <w:tcW w:w="24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30, 2018</w:t>
            </w:r>
          </w:p>
        </w:tc>
        <w:tc>
          <w:tcPr>
            <w:tcW w:w="2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8"/>
              </w:rPr>
              <w:t>December 31, 2017</w:t>
            </w: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from stock options and awards</w:t>
            </w:r>
          </w:p>
        </w:tc>
        <w:tc>
          <w:tcPr>
            <w:tcW w:w="16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0.1</w:t>
            </w:r>
          </w:p>
        </w:tc>
      </w:tr>
      <w:tr>
        <w:trPr>
          <w:trHeight w:val="27"/>
        </w:trPr>
        <w:tc>
          <w:tcPr>
            <w:tcW w:w="68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Income Taxes</w:t>
      </w:r>
    </w:p>
    <w:p>
      <w:pPr>
        <w:spacing w:after="0" w:line="39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December 2017, the Tax Cuts and Jobs Act (“TCJA”) was enacted, which included a number of changes to previous U.S. tax laws that impacted the Company, most notably a reduction of the U.S. corporate income tax rate from 35% to 21% for tax years beginning after December 31, 2017.</w:t>
      </w:r>
    </w:p>
    <w:p>
      <w:pPr>
        <w:spacing w:after="0" w:line="12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Effective January 1, 2018, the TCJA requires the acceleration of certain types of revenue for tax purposes. The new rules prohibit the Company from deferring revenue on unbilled accounts receivable later than when the amounts are recognized as revenue for book purposes. This change impacts several accounting methods previously used by the Company and is expected to result in an acceleration of taxability of such revenue as compared with prior U.S. tax laws. Additionally, future interest deductions of the Company will be limited to 30% of tax adjusted EBITDA through 2021.</w:t>
      </w:r>
    </w:p>
    <w:p>
      <w:pPr>
        <w:spacing w:after="0" w:line="154"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Additionally, effective January 1, 2018, the TCJA imposes a U.S. tax on global intangible low taxed income (“GILTI”) that is earned by certain foreign affiliates owned by a U.S. shareholder each year. The computation of GILTI is generally intended to impose tax on the earnings of a foreign corporation that are deemed to exceed a certain threshold return relative to the underlying business investment. The Company has made a policy election to treat future taxes related to GILTI as a current period expense in the reporting period in which the tax is incurred.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from continuing operations before income taxes are comprised of the following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238125</wp:posOffset>
            </wp:positionV>
            <wp:extent cx="27527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December 29, 2019</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30, 2018</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4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Foreign</w:t>
            </w:r>
          </w:p>
        </w:tc>
        <w:tc>
          <w:tcPr>
            <w:tcW w:w="3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31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851"/>
        </w:trPr>
        <w:tc>
          <w:tcPr>
            <w:tcW w:w="3140" w:type="dxa"/>
            <w:vAlign w:val="bottom"/>
          </w:tcPr>
          <w:p>
            <w:pPr>
              <w:spacing w:after="0"/>
              <w:rPr>
                <w:sz w:val="24"/>
                <w:szCs w:val="24"/>
                <w:color w:val="auto"/>
              </w:rPr>
            </w:pPr>
          </w:p>
        </w:tc>
        <w:tc>
          <w:tcPr>
            <w:tcW w:w="4060" w:type="dxa"/>
            <w:vAlign w:val="bottom"/>
            <w:gridSpan w:val="2"/>
          </w:tcPr>
          <w:p>
            <w:pPr>
              <w:jc w:val="right"/>
              <w:ind w:right="1320"/>
              <w:spacing w:after="0"/>
              <w:rPr>
                <w:sz w:val="20"/>
                <w:szCs w:val="20"/>
                <w:color w:val="auto"/>
              </w:rPr>
            </w:pPr>
            <w:r>
              <w:rPr>
                <w:rFonts w:ascii="Arial" w:cs="Arial" w:eastAsia="Arial" w:hAnsi="Arial"/>
                <w:sz w:val="18"/>
                <w:szCs w:val="18"/>
                <w:color w:val="auto"/>
              </w:rPr>
              <w:t>F-28</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The provision (benefit) for income taxes from continuing operations are comprised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December 29, 2019</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30, 2018</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income taxes: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7080" w:type="dxa"/>
            <w:vAlign w:val="bottom"/>
          </w:tcPr>
          <w:p>
            <w:pPr>
              <w:ind w:left="360"/>
              <w:spacing w:after="0"/>
              <w:rPr>
                <w:sz w:val="20"/>
                <w:szCs w:val="20"/>
                <w:color w:val="auto"/>
              </w:rPr>
            </w:pPr>
            <w:r>
              <w:rPr>
                <w:rFonts w:ascii="Arial" w:cs="Arial" w:eastAsia="Arial" w:hAnsi="Arial"/>
                <w:sz w:val="18"/>
                <w:szCs w:val="18"/>
                <w:color w:val="auto"/>
              </w:rPr>
              <w:t>Total Federal</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7080" w:type="dxa"/>
            <w:vAlign w:val="bottom"/>
          </w:tcPr>
          <w:p>
            <w:pPr>
              <w:ind w:left="360"/>
              <w:spacing w:after="0"/>
              <w:rPr>
                <w:sz w:val="20"/>
                <w:szCs w:val="20"/>
                <w:color w:val="auto"/>
              </w:rPr>
            </w:pPr>
            <w:r>
              <w:rPr>
                <w:rFonts w:ascii="Arial" w:cs="Arial" w:eastAsia="Arial" w:hAnsi="Arial"/>
                <w:sz w:val="18"/>
                <w:szCs w:val="18"/>
                <w:color w:val="auto"/>
              </w:rPr>
              <w:t>Total State and local</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7080" w:type="dxa"/>
            <w:vAlign w:val="bottom"/>
          </w:tcPr>
          <w:p>
            <w:pPr>
              <w:ind w:left="360"/>
              <w:spacing w:after="0"/>
              <w:rPr>
                <w:sz w:val="20"/>
                <w:szCs w:val="20"/>
                <w:color w:val="auto"/>
              </w:rPr>
            </w:pPr>
            <w:r>
              <w:rPr>
                <w:rFonts w:ascii="Arial" w:cs="Arial" w:eastAsia="Arial" w:hAnsi="Arial"/>
                <w:sz w:val="18"/>
                <w:szCs w:val="18"/>
                <w:color w:val="auto"/>
              </w:rPr>
              <w:t>Total Foreign</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A reconciliation of the total income tax provision (benefit) to the amount computed by applying the statutory federal income tax rate of 21% to the income from continuing operations before income taxes for the years ended December 29, 2019 and December 30, 2018, and applying the statutory federal income tax rate of 35% to the loss from continuing operations before income taxes for the year ended December 31, 2017 is as follows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40" w:type="dxa"/>
            <w:vAlign w:val="bottom"/>
            <w:tcBorders>
              <w:bottom w:val="single" w:sz="8" w:color="CCEEFF"/>
            </w:tcBorders>
          </w:tcPr>
          <w:p>
            <w:pPr>
              <w:spacing w:after="0"/>
              <w:rPr>
                <w:sz w:val="22"/>
                <w:szCs w:val="22"/>
                <w:color w:val="auto"/>
              </w:rPr>
            </w:pPr>
          </w:p>
        </w:tc>
        <w:tc>
          <w:tcPr>
            <w:tcW w:w="18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0"/>
              </w:rPr>
              <w:t>December 29, 2019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30, 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State taxes, net of federal tax benefit and valuation allowance</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5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 in tax rates between U.S. and foreign</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Increase (decrease) in valuation allowance</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7"/>
        </w:trPr>
        <w:tc>
          <w:tcPr>
            <w:tcW w:w="5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Increase in reserve for uncertain tax positions</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5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Changes to indefinite life items and separate state deferred taxes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w w:val="96"/>
              </w:rPr>
              <w:t>One-time transition tax on previously undistributed foreign earnings</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5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Decrease in deferred taxes related to disposition</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related to the 2017 Tax Cuts and Jobs Act</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Release of valuation allowance due to FTT acquisition</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5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51"/>
        </w:trPr>
        <w:tc>
          <w:tcPr>
            <w:tcW w:w="5240" w:type="dxa"/>
            <w:vAlign w:val="bottom"/>
          </w:tcPr>
          <w:p>
            <w:pPr>
              <w:spacing w:after="0"/>
              <w:rPr>
                <w:sz w:val="24"/>
                <w:szCs w:val="24"/>
                <w:color w:val="auto"/>
              </w:rPr>
            </w:pPr>
          </w:p>
        </w:tc>
        <w:tc>
          <w:tcPr>
            <w:tcW w:w="1960" w:type="dxa"/>
            <w:vAlign w:val="bottom"/>
            <w:gridSpan w:val="2"/>
          </w:tcPr>
          <w:p>
            <w:pPr>
              <w:jc w:val="right"/>
              <w:ind w:right="1230"/>
              <w:spacing w:after="0"/>
              <w:rPr>
                <w:sz w:val="20"/>
                <w:szCs w:val="20"/>
                <w:color w:val="auto"/>
              </w:rPr>
            </w:pPr>
            <w:r>
              <w:rPr>
                <w:rFonts w:ascii="Arial" w:cs="Arial" w:eastAsia="Arial" w:hAnsi="Arial"/>
                <w:sz w:val="18"/>
                <w:szCs w:val="18"/>
                <w:color w:val="auto"/>
              </w:rPr>
              <w:t>F-29</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The tax effects of temporary differences that give rise to deferred tax assets and deferred tax liabilities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238125</wp:posOffset>
            </wp:positionV>
            <wp:extent cx="22383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 2019</w:t>
            </w:r>
          </w:p>
        </w:tc>
        <w:tc>
          <w:tcPr>
            <w:tcW w:w="200" w:type="dxa"/>
            <w:vAlign w:val="bottom"/>
          </w:tcPr>
          <w:p>
            <w:pPr>
              <w:spacing w:after="0"/>
              <w:rPr>
                <w:sz w:val="16"/>
                <w:szCs w:val="16"/>
                <w:color w:val="auto"/>
              </w:rPr>
            </w:pPr>
          </w:p>
        </w:tc>
        <w:tc>
          <w:tcPr>
            <w:tcW w:w="1500" w:type="dxa"/>
            <w:vAlign w:val="bottom"/>
          </w:tcPr>
          <w:p>
            <w:pPr>
              <w:jc w:val="right"/>
              <w:ind w:right="191"/>
              <w:spacing w:after="0"/>
              <w:rPr>
                <w:sz w:val="20"/>
                <w:szCs w:val="20"/>
                <w:color w:val="auto"/>
              </w:rPr>
            </w:pPr>
            <w:r>
              <w:rPr>
                <w:rFonts w:ascii="Arial" w:cs="Arial" w:eastAsia="Arial" w:hAnsi="Arial"/>
                <w:sz w:val="14"/>
                <w:szCs w:val="14"/>
                <w:b w:val="1"/>
                <w:bCs w:val="1"/>
                <w:color w:val="auto"/>
                <w:w w:val="95"/>
              </w:rPr>
              <w:t>December 30,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Sundry accruals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Vacation accrual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Payroll related accruals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accruals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 loss carryforwards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 carryforwards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37"/>
        </w:trPr>
        <w:tc>
          <w:tcPr>
            <w:tcW w:w="7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deferred tax assets, net of valuation allowance</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principally due to differences in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tax liability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assessing the Company’s ability to realize deferred tax assets, management considers, on a periodic basis, whether it is more likely than not that some portion or all of its deferred tax assets will not be realized. In making this assessment, the Company has concluded that negative evidence, including cumulative losses in recent years, continues to outweigh the positive evidence. Accordingly, the Company has maintained a full valuation allowance against the Company’s U.S. federal, combined state and certain foreign net deferred tax assets. However, given the Company’s more recent earnings history, management believes that there is a reasonable possibility that within the next 12 months, sufficient positive evidence may become available to allow management to reach a conclusion that a significant portion of the valuation allowance will no longer be needed. Release of valuation allowance would result in the recognition of certain deferred tax assets with a corresponding decrease to income tax expense for the period the release is recorded. The exact timing and amount of the valuation allowance release will be predicated on the basis of the level of profitability that the Company is able to actually achieve. During fiscal 2019, the Company recorded a net decrease in its valuation allowance of $3.6 million.</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At December 29, 2019, the Company had federal tax loss carryforwards of $307.8 million and various state tax loss carryforwards of $266.9 million. The federal tax loss carryforwards will begin to expire in 2027 and state tax loss carryforwards will begin to expire in 2020 in certain states. Additionally, the state capital loss carryforward generated in 2018 will begin to expire in 2023.</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Federal and state income tax laws impose restrictions on the utilization of net operating losses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557" w:right="23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auto"/>
        </w:rPr>
        <w:t>This base limitation is subject to adjustments, including an increase for built-in gains recognized in the five year period after the ownership change.</w:t>
      </w:r>
    </w:p>
    <w:p>
      <w:pPr>
        <w:spacing w:after="0" w:line="23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tax years 2010 and 2011 the Company experienced a Section 382 “ownership change” that will limit the utilization of NOL carryforwards. Additionally, in prior years the Company acquired corporations with NOL carryforwards at the date of acquisition (“Acquired NOLs”). The Acquired NOLs are subject to separate limitations that may further restrict the use of Acquired NOLs. For the year ended December 29, 2019, there was no impact of such Section 382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of December 31, 2017, all accumulated undistributed earnings of our foreign subsidiaries were subject to the one-time transition tax on foreign earnings required by the 2017 Tax Cuts and Jobs Act. It is the Company’s intention to permanently reinvest undistributed earnings of its foreign subsidiaries. As such, the Company has not provided deferred U.S. income taxes or foreign withholding taxes of approximately $9.4 million on temporary differences relating to the outside basis in its investment in foreign subsidiaries. As of December 29, 2019, the Company has $24.6 million of cash and cash equivalents available for distribution.</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NOL carryforwards. Generally, the Company’s tax years for 2002 and later are subject to examination by various foreign tax authorities, as well.</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2018 the Company was notified by the Internal Revenue Service that its federal income tax return for the calendar year ending December 27, 2015 had been selected for examination. The Company is currently awaiting a final determination letter from the Internal Revenue Service and does not anticipate any significant changes in tax liability to the year under audit.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millions):</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1"/>
        </w:trPr>
        <w:tc>
          <w:tcPr>
            <w:tcW w:w="10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25, 2016</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Increases related to prior periods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Expiration of applicable statutes of limitations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federal tax rate</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prior periods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applicable statutes of limitations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disposition</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Balance as of December 30, 2018</w:t>
            </w: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prior periods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applicable statutes of limitations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Decreases related to settlement with tax authorities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10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29, 2019</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Included in the balance of unrecognized tax benefits at December 29, 2019, are $24.0 million of tax benefits that, if recognized, would affect the effective tax rate. Included in this amount is $11.1 million that would become a deferred tax asset if the tax benefit were recognized. As such, this benefit may be impacted by a corresponding valuation allowance depending upon the Company’s assessment of the realizability of the deferred tax asset at the time the benefits are recognized.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557" w:right="239" w:bottom="1440" w:gutter="0" w:footer="0" w:header="0"/>
        </w:sectPr>
      </w:pPr>
    </w:p>
    <w:bookmarkStart w:id="91" w:name="page92"/>
    <w:bookmarkEnd w:id="91"/>
    <w:p>
      <w:pPr>
        <w:ind w:right="80" w:firstLine="648"/>
        <w:spacing w:after="0" w:line="255"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years ended December 29, 2019, December 30, 2018 and December 31, 2017, the Company recorded $1.3 million, $0.6 million, and $0.5 million, respectively, in interest or penalty expenses. These amounts are netted by a benefit for interest and penalties related to the reversal of prior positions and the disposition of PSS in the prior year of $0.1 million, $1.1 million, and $0.2 million for the years ended December 29, 2019, December 30, 2018, and December 31, 2017, respectively. As of December 29, 2019, December 30, 2018, and December 31, 2017, the Company had accrued total interest and penalties of $2.8 million, $1.6 million and $2.2 million, respectively.</w:t>
      </w:r>
    </w:p>
    <w:p>
      <w:pPr>
        <w:spacing w:after="0" w:line="19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believes that it is reasonably possible that as much as $0.1 million of the liabilities for uncertain tax positions will expire within 12 months of December 29, 2019 due to the expiration of various applicable statues of limitations.</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Discontinued Operations</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The Company and the Buyer are currently in a dispute regarding the closing net working capital adjustment. The amount in dispute is approximately $8 million. To date, the Company has collected approximately $3.7 million of the retained net working capital. The Company currently expects that the remaining net working capital retained by the Company will be collected during 2020 once certain legacy projects are completed and the project close-out process has been completed. The Company currently expects to recognize a net break-even on the sale of the PSS business once the aggregate net proceeds described above have been collected excluding the impact of the final settlement and determination of the closing net working capital adjustment. Any changes or adjustments to the expected net proceeds will be reflected in future periods.</w:t>
      </w:r>
    </w:p>
    <w:p>
      <w:pPr>
        <w:spacing w:after="0" w:line="167"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In accordance with ASC 360-10-45-9,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(Topic 360) and ASC 205-20-45-3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(Topic 205), PSS and its subsidiaries have been reported in discontinued operations in the accompanying consolidated financial statements for all periods presented.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Year ended</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 ended</w:t>
            </w:r>
          </w:p>
        </w:tc>
        <w:tc>
          <w:tcPr>
            <w:tcW w:w="220" w:type="dxa"/>
            <w:vAlign w:val="bottom"/>
          </w:tcPr>
          <w:p>
            <w:pPr>
              <w:spacing w:after="0"/>
              <w:rPr>
                <w:sz w:val="14"/>
                <w:szCs w:val="14"/>
                <w:color w:val="auto"/>
              </w:rPr>
            </w:pPr>
          </w:p>
        </w:tc>
        <w:tc>
          <w:tcPr>
            <w:tcW w:w="1140" w:type="dxa"/>
            <w:vAlign w:val="bottom"/>
          </w:tcPr>
          <w:p>
            <w:pPr>
              <w:jc w:val="right"/>
              <w:ind w:right="252"/>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29, 2019</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30, 2018</w:t>
            </w:r>
          </w:p>
        </w:tc>
        <w:tc>
          <w:tcPr>
            <w:tcW w:w="13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110.1</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(income) expense items that are not major</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Gain on disposal of discontinued operations before income taxes</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gain (loss) of discontinued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Revenue and operating results for the year ended December 29, 2019 reflect the performance on the contracts and working capital retained by the Company. Included in the year ended December 29, 2019, is a $3.6 million gain recorded as a result of the release of an indemnification liability following the lapse of the statute of limitations associated with a potential tax liability that was recorded in 2015 as part of the previous sale of our Electronic Products Division. Discontinued operations for year ended December 30, 2018 were impacted by approximately $2.0 million of cost adjustments on certain security system deployment projects for a mass transit authority. Transaction expenses of $2.7 million, primarily comprised of investment advisory fees, legal fees, and other direct transaction expenses related to the Transaction, were included in Other (income) expense items that are not major for the year ended December 30, 2018. Depreciation expense included in Selling, general and administrative expenses was $0.0 million, $0.1 million and $0.3 million for the years ended December 29, 2019, December 30, 2018, and December 31, 2017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557" w:right="239" w:bottom="1440" w:gutter="0" w:footer="0" w:header="0"/>
        </w:sectPr>
      </w:pPr>
    </w:p>
    <w:bookmarkStart w:id="92" w:name="page93"/>
    <w:bookmarkEnd w:id="92"/>
    <w:p>
      <w:pPr>
        <w:ind w:firstLine="648"/>
        <w:spacing w:after="0" w:line="259" w:lineRule="auto"/>
        <w:rPr>
          <w:sz w:val="20"/>
          <w:szCs w:val="20"/>
          <w:color w:val="auto"/>
        </w:rPr>
      </w:pPr>
      <w:r>
        <w:rPr>
          <w:rFonts w:ascii="Arial" w:cs="Arial" w:eastAsia="Arial" w:hAnsi="Arial"/>
          <w:sz w:val="18"/>
          <w:szCs w:val="18"/>
          <w:color w:val="auto"/>
        </w:rPr>
        <w:t>Intra-period tax allocation rules require the Company to allocate its provision for income taxes between continuing operations and other categories of earnings. Upon closing of the PSS sale, amounts historically carried as unrecognized tax benefits were reclassified to guarantor liability in accordance with ASC 460. As a result of the reclassification, the Company recorded a $2.1 million tax benefit in discontinued operations for the year ended December 30,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assets and liabilities of discontinued operations as of December 29, 2019 and December 30, 2018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 2019</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30,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8"/>
                <w:szCs w:val="18"/>
                <w:color w:val="auto"/>
              </w:rPr>
              <w:t>Other long-term liabilities of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Fair Value Measurement</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ASC Topic 820</w:t>
      </w:r>
      <w:r>
        <w:rPr>
          <w:rFonts w:ascii="Arial" w:cs="Arial" w:eastAsia="Arial" w:hAnsi="Arial"/>
          <w:sz w:val="17"/>
          <w:szCs w:val="17"/>
          <w:i w:val="1"/>
          <w:iCs w:val="1"/>
          <w:color w:val="auto"/>
        </w:rPr>
        <w:t>, Fair Value Measurement,</w:t>
      </w:r>
      <w:r>
        <w:rPr>
          <w:rFonts w:ascii="Arial" w:cs="Arial" w:eastAsia="Arial" w:hAnsi="Arial"/>
          <w:sz w:val="17"/>
          <w:szCs w:val="17"/>
          <w:color w:val="auto"/>
        </w:rPr>
        <w:t xml:space="preserve">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Stockholders’ Equity</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Common Stock</w:t>
      </w:r>
    </w:p>
    <w:p>
      <w:pPr>
        <w:spacing w:after="0" w:line="243" w:lineRule="exact"/>
        <w:rPr>
          <w:sz w:val="20"/>
          <w:szCs w:val="20"/>
          <w:color w:val="auto"/>
        </w:rPr>
      </w:pPr>
    </w:p>
    <w:p>
      <w:pPr>
        <w:ind w:right="20" w:firstLine="648"/>
        <w:spacing w:after="0" w:line="275" w:lineRule="auto"/>
        <w:rPr>
          <w:sz w:val="20"/>
          <w:szCs w:val="20"/>
          <w:color w:val="auto"/>
        </w:rPr>
      </w:pPr>
      <w:r>
        <w:rPr>
          <w:rFonts w:ascii="Arial" w:cs="Arial" w:eastAsia="Arial" w:hAnsi="Arial"/>
          <w:sz w:val="18"/>
          <w:szCs w:val="18"/>
          <w:color w:val="auto"/>
        </w:rPr>
        <w:t>On March 7, 2017 and September 12, 2017, the Company sold approximately 11.9 million and 16.1 million, respectively, shares of common stock at a purchase price of $7.25 and $12.25, respectively, per share in underwritten public offerings. The Company received gross proceeds of approximately $283.5 million. After deducting underwriting fees and other offering expenses, the Company received approximately $269.1 million in net proceeds. The Company used the net proceeds to repurchase and extinguish $135.5 million of its outstanding 7% Notes.</w:t>
      </w:r>
    </w:p>
    <w:p>
      <w:pPr>
        <w:spacing w:after="0" w:line="34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Stock Option Plans and Restricted Stock Unit Plans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March 2014 the Company’s board of directors (the “Board”) approved the 2014 Equity Incentive Plan (the “2014 Plan”). The 2014 Plan is the successor to the Kratos Defense &amp; Security Solutions, Inc. 2011 Equity Incentive Plan, the Kratos Defense &amp; Security Solutions, Inc. Amended and Restated 2005 Equity Incentive Plan, the Kratos Defense &amp; Security Solutions, Inc. 2000 Nonstatutory Stock Option Plan, the Kratos Defense &amp; Security Solutions, Inc. 1999 Equity Incentive Plan, the Amended and Restated Integral Systems, Inc. 2008 Stock Incentive Plan, the Amended and Restated Herley Industries, Inc. 2010 Stock Plan, the Herley Industries, Inc. 2003 Stock Option Plan, the Henry Bros. Electronics, Inc. 2007 Stock Option Plan, the Henry Bros. Electronics, Inc. 2006 Stock Option Plan, the Amended and Restated 2005 Digital Fusion, Inc. Equity Incentive Plan, the 2000 Digital Fusion, Inc. Stock Option Plan, the 1999 Digital Fusion, Inc. Stock Option Plan, and the 1998 Digital Fusion, Inc. Stock Option Plan (collectively, the “Prior Plans”).</w:t>
      </w:r>
    </w:p>
    <w:p>
      <w:pPr>
        <w:spacing w:after="0" w:line="167"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2014 Plan became effective May 14, 2014 and no additional stock awards will be granted under the Prior Plans as of April 1, 2014. All outstanding stock awards granted subject to the terms of the Prior Plans will continue to be subject to the terms and conditions as set forth in the agreements evidencing such stock awards and the terms of the respective Prior Plans. Any shares subject to outstanding stock awards granted under the Prior Plans or granted outside of a Prior Plan that, at any time after March 27, 2014, (i) expire or terminate for any reason prior to exercise or settlement; (ii) are forfeited, canceled or otherwise returned to the Company because of the failure to meet a contingency or condition required to vest such shares;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557" w:right="239" w:bottom="1440" w:gutter="0" w:footer="0" w:header="0"/>
        </w:sectPr>
      </w:pPr>
    </w:p>
    <w:bookmarkStart w:id="93" w:name="page94"/>
    <w:bookmarkEnd w:id="93"/>
    <w:p>
      <w:pPr>
        <w:ind w:right="320" w:firstLine="8"/>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are reacquired, withheld (or not issued) to satisfy a tax withholding obligation in connection with an award or to satisfy the purchase price or exercise price of a stock award (collectively, the “Returning Shares”) will immediately be added to the share reserve of the 2014 Plan and become available for issuance pursuant to stock awards granted under the 2014 Plan.</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March 27, 2014, there were 2,306,256 shares remaining available for issuance under the Prior Plans. The total number of awards outstanding under all of the Prior Plans and outside of any Prior Plan was 5,511,322 as of March 27, 2014. The 2014 Plan decreased the number of shares remaining available for issuance under its equity compensation plans from 2,306,256 to 1,550,000, although, per the 2014 Plan, up to 5,511,322 shares subject to outstanding awards under the Prior Plans and non-plan grants could potentially become Returning Shares available for issuance under the 2014 Plan. In May 2017, the Company’s shareholders approved an amendment to the 2014 Plan to increase the aggregate number of shares that may be issued under the plan by 2,500,000 shares.</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Board may grant equity-based awards to selected employees, directors and consultants of the Company pursuant to its 2014 Plan. As of December 29, 2019, there were 1,736,561 shares reserved for issuance for future grant under the 2014 Plan. The Board may amend or terminate the 2014 Plan at any time. Certain amendments, including an increase in the share reserve, require stockholder approval. Generally, options and restricted stock units outstanding vest over periods not exceeding ten years. When the Company grants stock options, they are granted with a per share exercise price not less than the fair market value of the Company’s common stock on the date of grant, and generally would be exercisable for up to ten years from the grant date.</w:t>
      </w:r>
    </w:p>
    <w:p>
      <w:pPr>
        <w:spacing w:after="0" w:line="15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Company records compensation expense for employee stock options based on the estimated fair value of the options on the date of grant using the Black-Scholes option-pricing model or a trinomial lattice options pricing model with the weighted average assumptions (annualized percentages) included in the following table. Awards with graded vesting are recognized using the straight-line method with the following assumptions: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5"/>
              </w:rPr>
              <w:t>10.0</w:t>
            </w:r>
          </w:p>
        </w:tc>
        <w:tc>
          <w:tcPr>
            <w:tcW w:w="12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- 3.2%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Volatility(2)</w:t>
            </w:r>
          </w:p>
        </w:tc>
        <w:tc>
          <w:tcPr>
            <w:tcW w:w="700" w:type="dxa"/>
            <w:vAlign w:val="bottom"/>
          </w:tcPr>
          <w:p>
            <w:pPr>
              <w:jc w:val="right"/>
              <w:spacing w:after="0"/>
              <w:rPr>
                <w:sz w:val="20"/>
                <w:szCs w:val="20"/>
                <w:color w:val="auto"/>
              </w:rPr>
            </w:pPr>
            <w:r>
              <w:rPr>
                <w:rFonts w:ascii="Arial" w:cs="Arial" w:eastAsia="Arial" w:hAnsi="Arial"/>
                <w:sz w:val="18"/>
                <w:szCs w:val="18"/>
                <w:color w:val="auto"/>
              </w:rPr>
              <w:t>47.5%</w:t>
            </w:r>
          </w:p>
        </w:tc>
        <w:tc>
          <w:tcPr>
            <w:tcW w:w="800" w:type="dxa"/>
            <w:vAlign w:val="bottom"/>
          </w:tcPr>
          <w:p>
            <w:pPr>
              <w:ind w:left="20"/>
              <w:spacing w:after="0"/>
              <w:rPr>
                <w:sz w:val="20"/>
                <w:szCs w:val="20"/>
                <w:color w:val="auto"/>
              </w:rPr>
            </w:pPr>
            <w:r>
              <w:rPr>
                <w:rFonts w:ascii="Arial" w:cs="Arial" w:eastAsia="Arial" w:hAnsi="Arial"/>
                <w:sz w:val="18"/>
                <w:szCs w:val="18"/>
                <w:color w:val="auto"/>
              </w:rPr>
              <w:t>- 49.1%</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52.9%</w:t>
            </w:r>
          </w:p>
        </w:tc>
        <w:tc>
          <w:tcPr>
            <w:tcW w:w="800" w:type="dxa"/>
            <w:vAlign w:val="bottom"/>
          </w:tcPr>
          <w:p>
            <w:pPr>
              <w:ind w:left="20"/>
              <w:spacing w:after="0"/>
              <w:rPr>
                <w:sz w:val="20"/>
                <w:szCs w:val="20"/>
                <w:color w:val="auto"/>
              </w:rPr>
            </w:pPr>
            <w:r>
              <w:rPr>
                <w:rFonts w:ascii="Arial" w:cs="Arial" w:eastAsia="Arial" w:hAnsi="Arial"/>
                <w:sz w:val="18"/>
                <w:szCs w:val="18"/>
                <w:color w:val="auto"/>
              </w:rPr>
              <w:t>- 53.4%</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w:t>
            </w:r>
          </w:p>
        </w:tc>
        <w:tc>
          <w:tcPr>
            <w:tcW w:w="780" w:type="dxa"/>
            <w:vAlign w:val="bottom"/>
          </w:tcPr>
          <w:p>
            <w:pPr>
              <w:ind w:left="20"/>
              <w:spacing w:after="0"/>
              <w:rPr>
                <w:sz w:val="20"/>
                <w:szCs w:val="20"/>
                <w:color w:val="auto"/>
              </w:rPr>
            </w:pPr>
            <w:r>
              <w:rPr>
                <w:rFonts w:ascii="Arial" w:cs="Arial" w:eastAsia="Arial" w:hAnsi="Arial"/>
                <w:sz w:val="18"/>
                <w:szCs w:val="18"/>
                <w:color w:val="auto"/>
              </w:rPr>
              <w:t>- 55.0%</w:t>
            </w:r>
          </w:p>
        </w:tc>
      </w:tr>
      <w:tr>
        <w:trPr>
          <w:trHeight w:val="27"/>
        </w:trPr>
        <w:tc>
          <w:tcPr>
            <w:tcW w:w="67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Forfeiture rate(3)</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 yield(4)</w:t>
            </w: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r>
    </w:tbl>
    <w:p>
      <w:pPr>
        <w:spacing w:after="0" w:line="200" w:lineRule="exact"/>
        <w:rPr>
          <w:sz w:val="20"/>
          <w:szCs w:val="20"/>
          <w:color w:val="auto"/>
        </w:rPr>
      </w:pPr>
    </w:p>
    <w:p>
      <w:pPr>
        <w:spacing w:after="0" w:line="245" w:lineRule="exact"/>
        <w:rPr>
          <w:sz w:val="20"/>
          <w:szCs w:val="20"/>
          <w:color w:val="auto"/>
        </w:rPr>
      </w:pPr>
    </w:p>
    <w:p>
      <w:pPr>
        <w:ind w:left="1240" w:hanging="260"/>
        <w:spacing w:after="0"/>
        <w:tabs>
          <w:tab w:leader="none" w:pos="1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yields in effect at the time of grant with a term equal to the expected term of the options.</w:t>
      </w:r>
    </w:p>
    <w:p>
      <w:pPr>
        <w:spacing w:after="0" w:line="46" w:lineRule="exact"/>
        <w:rPr>
          <w:rFonts w:ascii="Arial" w:cs="Arial" w:eastAsia="Arial" w:hAnsi="Arial"/>
          <w:sz w:val="16"/>
          <w:szCs w:val="16"/>
          <w:color w:val="auto"/>
        </w:rPr>
      </w:pPr>
    </w:p>
    <w:p>
      <w:pPr>
        <w:ind w:left="1240" w:hanging="260"/>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2019, 2018, and 2017, the Company estimated implied volatility based upon trailing volatility.</w:t>
      </w:r>
    </w:p>
    <w:p>
      <w:pPr>
        <w:spacing w:after="0" w:line="9" w:lineRule="exact"/>
        <w:rPr>
          <w:rFonts w:ascii="Arial" w:cs="Arial" w:eastAsia="Arial" w:hAnsi="Arial"/>
          <w:sz w:val="18"/>
          <w:szCs w:val="18"/>
          <w:color w:val="auto"/>
        </w:rPr>
      </w:pPr>
    </w:p>
    <w:p>
      <w:pPr>
        <w:ind w:left="1620" w:right="520" w:hanging="640"/>
        <w:spacing w:after="0" w:line="250" w:lineRule="auto"/>
        <w:tabs>
          <w:tab w:leader="none" w:pos="1227"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Forfeitures are estimated at the time of grant based upon historical information. Forfeitures will be revised, if necessary, in subsequent periods if actual forfeitures differ from estimates.</w:t>
      </w:r>
    </w:p>
    <w:p>
      <w:pPr>
        <w:ind w:left="1240" w:hanging="260"/>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 summary of the status of the Company’s stock option plan as of December 29, 2019, and changes in options outstanding under the plan for the year ended December 29, 2019, is as follows: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8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Under</w:t>
            </w: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per Share</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70"/>
        </w:trPr>
        <w:tc>
          <w:tcPr>
            <w:tcW w:w="4320" w:type="dxa"/>
            <w:vAlign w:val="bottom"/>
            <w:tcBorders>
              <w:top w:val="single" w:sz="8" w:color="CCEEFF"/>
            </w:tcBorders>
            <w:shd w:val="clear" w:color="auto" w:fill="CCEEFF"/>
          </w:tcPr>
          <w:p>
            <w:pPr>
              <w:spacing w:after="0"/>
              <w:rPr>
                <w:sz w:val="23"/>
                <w:szCs w:val="23"/>
                <w:color w:val="auto"/>
              </w:rPr>
            </w:pPr>
          </w:p>
        </w:tc>
        <w:tc>
          <w:tcPr>
            <w:tcW w:w="220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(000’s)</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center"/>
              <w:ind w:right="77"/>
              <w:spacing w:after="0"/>
              <w:rPr>
                <w:sz w:val="20"/>
                <w:szCs w:val="20"/>
                <w:color w:val="auto"/>
              </w:rPr>
            </w:pPr>
            <w:r>
              <w:rPr>
                <w:rFonts w:ascii="Arial" w:cs="Arial" w:eastAsia="Arial" w:hAnsi="Arial"/>
                <w:sz w:val="14"/>
                <w:szCs w:val="14"/>
                <w:b w:val="1"/>
                <w:bCs w:val="1"/>
                <w:color w:val="auto"/>
                <w:w w:val="90"/>
              </w:rPr>
              <w:t>(000’s)</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Options outstanding at December 30, 2018</w:t>
            </w:r>
          </w:p>
        </w:tc>
        <w:tc>
          <w:tcPr>
            <w:tcW w:w="346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6,587.5</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3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2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outstanding at December 29, 2019</w:t>
            </w:r>
          </w:p>
        </w:tc>
        <w:tc>
          <w:tcPr>
            <w:tcW w:w="220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146</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1,866.3</w:t>
            </w:r>
          </w:p>
        </w:tc>
        <w:tc>
          <w:tcPr>
            <w:tcW w:w="0" w:type="dxa"/>
            <w:vAlign w:val="bottom"/>
          </w:tcPr>
          <w:p>
            <w:pPr>
              <w:spacing w:after="0"/>
              <w:rPr>
                <w:sz w:val="1"/>
                <w:szCs w:val="1"/>
                <w:color w:val="auto"/>
              </w:rPr>
            </w:pPr>
          </w:p>
        </w:tc>
      </w:tr>
      <w:tr>
        <w:trPr>
          <w:trHeight w:val="251"/>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29, 2019</w:t>
            </w:r>
          </w:p>
        </w:tc>
        <w:tc>
          <w:tcPr>
            <w:tcW w:w="2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1,866.3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320" w:type="dxa"/>
            <w:vAlign w:val="bottom"/>
          </w:tcPr>
          <w:p>
            <w:pPr>
              <w:spacing w:after="0"/>
              <w:rPr>
                <w:sz w:val="24"/>
                <w:szCs w:val="24"/>
                <w:color w:val="auto"/>
              </w:rPr>
            </w:pPr>
          </w:p>
        </w:tc>
        <w:tc>
          <w:tcPr>
            <w:tcW w:w="3460" w:type="dxa"/>
            <w:vAlign w:val="bottom"/>
            <w:gridSpan w:val="2"/>
          </w:tcPr>
          <w:p>
            <w:pPr>
              <w:jc w:val="right"/>
              <w:ind w:right="1840"/>
              <w:spacing w:after="0"/>
              <w:rPr>
                <w:sz w:val="20"/>
                <w:szCs w:val="20"/>
                <w:color w:val="auto"/>
              </w:rPr>
            </w:pPr>
            <w:r>
              <w:rPr>
                <w:rFonts w:ascii="Arial" w:cs="Arial" w:eastAsia="Arial" w:hAnsi="Arial"/>
                <w:sz w:val="18"/>
                <w:szCs w:val="18"/>
                <w:color w:val="auto"/>
              </w:rPr>
              <w:t>F-34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Upon exercise of an option, the Company issues new shares of common stock.</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years ended December 29, 2019, December 30, 2018, and December 31, 2017, the following values relate to the grants and exercises under the Company’s option plans: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of options granted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297"/>
              <w:spacing w:after="0"/>
              <w:rPr>
                <w:sz w:val="20"/>
                <w:szCs w:val="20"/>
                <w:color w:val="auto"/>
              </w:rPr>
            </w:pPr>
            <w:r>
              <w:rPr>
                <w:rFonts w:ascii="Arial" w:cs="Arial" w:eastAsia="Arial" w:hAnsi="Arial"/>
                <w:sz w:val="18"/>
                <w:szCs w:val="18"/>
                <w:color w:val="auto"/>
                <w:w w:val="91"/>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6.39</w:t>
            </w: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Total intrinsic value of options exercised (in thousands)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8,874.9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ind w:left="297"/>
              <w:spacing w:after="0"/>
              <w:rPr>
                <w:sz w:val="20"/>
                <w:szCs w:val="20"/>
                <w:color w:val="auto"/>
              </w:rPr>
            </w:pPr>
            <w:r>
              <w:rPr>
                <w:rFonts w:ascii="Arial" w:cs="Arial" w:eastAsia="Arial" w:hAnsi="Arial"/>
                <w:sz w:val="18"/>
                <w:szCs w:val="18"/>
                <w:color w:val="auto"/>
                <w:w w:val="91"/>
              </w:rPr>
              <w:t>40.6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67.1</w:t>
            </w:r>
          </w:p>
        </w:tc>
      </w:tr>
      <w:tr>
        <w:trPr>
          <w:trHeight w:val="675"/>
        </w:trPr>
        <w:tc>
          <w:tcPr>
            <w:tcW w:w="20" w:type="dxa"/>
            <w:vAlign w:val="bottom"/>
          </w:tcPr>
          <w:p>
            <w:pPr>
              <w:spacing w:after="0"/>
              <w:rPr>
                <w:sz w:val="24"/>
                <w:szCs w:val="24"/>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rPr>
              <w:t>The following table summarizes the Company’s Restricted Stock Unit activity:</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04"/>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3"/>
              </w:rPr>
              <w:t>Restricted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14"/>
              <w:spacing w:after="0"/>
              <w:rPr>
                <w:sz w:val="20"/>
                <w:szCs w:val="20"/>
                <w:color w:val="auto"/>
              </w:rPr>
            </w:pPr>
            <w:r>
              <w:rPr>
                <w:rFonts w:ascii="Arial" w:cs="Arial" w:eastAsia="Arial" w:hAnsi="Arial"/>
                <w:sz w:val="14"/>
                <w:szCs w:val="14"/>
                <w:b w:val="1"/>
                <w:bCs w:val="1"/>
                <w:color w:val="auto"/>
                <w:w w:val="97"/>
              </w:rPr>
              <w:t>Weighted-</w:t>
            </w: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center"/>
              <w:ind w:left="157"/>
              <w:spacing w:after="0" w:line="149" w:lineRule="exact"/>
              <w:rPr>
                <w:sz w:val="20"/>
                <w:szCs w:val="20"/>
                <w:color w:val="auto"/>
              </w:rPr>
            </w:pPr>
            <w:r>
              <w:rPr>
                <w:rFonts w:ascii="Arial" w:cs="Arial" w:eastAsia="Arial" w:hAnsi="Arial"/>
                <w:sz w:val="14"/>
                <w:szCs w:val="14"/>
                <w:b w:val="1"/>
                <w:bCs w:val="1"/>
                <w:color w:val="auto"/>
                <w:w w:val="90"/>
              </w:rPr>
              <w:t>Stock 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Average Grant</w:t>
            </w:r>
          </w:p>
        </w:tc>
      </w:tr>
      <w:tr>
        <w:trPr>
          <w:trHeight w:val="192"/>
        </w:trPr>
        <w:tc>
          <w:tcPr>
            <w:tcW w:w="20" w:type="dxa"/>
            <w:vAlign w:val="bottom"/>
            <w:tcBorders>
              <w:bottom w:val="single" w:sz="8" w:color="CCEEFF"/>
            </w:tcBorders>
          </w:tcPr>
          <w:p>
            <w:pPr>
              <w:spacing w:after="0"/>
              <w:rPr>
                <w:sz w:val="16"/>
                <w:szCs w:val="16"/>
                <w:color w:val="auto"/>
              </w:rPr>
            </w:pPr>
          </w:p>
        </w:tc>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ind w:left="137"/>
              <w:spacing w:after="0"/>
              <w:rPr>
                <w:sz w:val="20"/>
                <w:szCs w:val="20"/>
                <w:color w:val="auto"/>
              </w:rPr>
            </w:pPr>
            <w:r>
              <w:rPr>
                <w:rFonts w:ascii="Arial" w:cs="Arial" w:eastAsia="Arial" w:hAnsi="Arial"/>
                <w:sz w:val="14"/>
                <w:szCs w:val="14"/>
                <w:b w:val="1"/>
                <w:bCs w:val="1"/>
                <w:color w:val="auto"/>
                <w:w w:val="90"/>
              </w:rPr>
              <w:t>(000’s)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Date Fair Value</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balance at December 30, 2018</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3,293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8.22</w:t>
            </w: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Grants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1,147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13.86</w:t>
            </w: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15.22</w:t>
            </w: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Vested but not released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(163)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9.29</w:t>
            </w:r>
          </w:p>
        </w:tc>
      </w:tr>
      <w:tr>
        <w:trPr>
          <w:trHeight w:val="27"/>
        </w:trPr>
        <w:tc>
          <w:tcPr>
            <w:tcW w:w="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balance at December 29, 2019</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4,049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9.38</w:t>
            </w: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As of December 29, 2019, there was $19.2 million of total unrecognized stock-based compensation expense related to nonvested restricted stock units which is expected to be recognized over a remaining weighted-average vesting period of 2.2 years. The fair value of restricted stock unit awards that vested in 2019, 2018, and 2017 was $3.5 million, $0.8 million, and $6.3 million, respectively.</w:t>
      </w:r>
    </w:p>
    <w:p>
      <w:pPr>
        <w:spacing w:after="0" w:line="177"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Amended and Restated Employee Stock Purchase Plan</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August 1999, the Board approved the 1999 Employee Stock Purchase Plan (as amended from time to time, the “Purchase Plan”). A total of 5,200,000 shares of common stock had been previously approved for reservation of the Company’s common stock for purchase by employees under the Purchase Plan. In May 2017, the Company’s shareholders approved an amendment to the Purchase Plan to increase the maximum number of shares of common stock that may be issued under the Purchase Plan by 3,000,000 shares. The Purchase Plan qualifies as an employee stock purchase plan within the meaning of Section 423 of the Internal Revenue Service Code. Unless otherwise determined by the Compensation Committee of the Board, all employees are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16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29, 2019, the cumulative number of shares of common stock that have been issued under the Purchase Plan is 5.5 million and approximately 2.7 million shares are available for future issuance. During fiscal 2019, approximately 356,000 shares were issued under the plan at an average price of $10.79.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773" w:right="239" w:bottom="1440" w:gutter="0" w:footer="0" w:header="0"/>
        </w:sectPr>
      </w:pPr>
    </w:p>
    <w:bookmarkStart w:id="95" w:name="page96"/>
    <w:bookmarkEnd w:id="95"/>
    <w:p>
      <w:pPr>
        <w:ind w:right="80" w:firstLine="648"/>
        <w:spacing w:after="0" w:line="277" w:lineRule="auto"/>
        <w:rPr>
          <w:sz w:val="20"/>
          <w:szCs w:val="20"/>
          <w:color w:val="auto"/>
        </w:rPr>
      </w:pPr>
      <w:r>
        <w:rPr>
          <w:rFonts w:ascii="Arial" w:cs="Arial" w:eastAsia="Arial" w:hAnsi="Arial"/>
          <w:sz w:val="18"/>
          <w:szCs w:val="18"/>
          <w:color w:val="auto"/>
        </w:rPr>
        <w:t>The fair value of Kratos’ Purchase Plan shares for 2019 was estimated using the Black-Scholes option pricing model. The assumptions and resulting fair values of options granted for 2019, 2018 and 2017 were as follows: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Offering</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Offering</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r>
      <w:tr>
        <w:trPr>
          <w:trHeight w:val="149"/>
        </w:trPr>
        <w:tc>
          <w:tcPr>
            <w:tcW w:w="606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Periods</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Periods</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Periods</w:t>
            </w:r>
          </w:p>
        </w:tc>
      </w:tr>
      <w:tr>
        <w:trPr>
          <w:trHeight w:val="149"/>
        </w:trPr>
        <w:tc>
          <w:tcPr>
            <w:tcW w:w="606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January 1 to</w:t>
            </w:r>
          </w:p>
        </w:tc>
      </w:tr>
      <w:tr>
        <w:trPr>
          <w:trHeight w:val="149"/>
        </w:trPr>
        <w:tc>
          <w:tcPr>
            <w:tcW w:w="6060" w:type="dxa"/>
            <w:vAlign w:val="bottom"/>
          </w:tcPr>
          <w:p>
            <w:pPr>
              <w:spacing w:after="0"/>
              <w:rPr>
                <w:sz w:val="12"/>
                <w:szCs w:val="12"/>
                <w:color w:val="auto"/>
              </w:rPr>
            </w:pP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December 31</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06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Risk-free interest rate(2)</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2.09% - 2.56%</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1.53% - 2.11%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0.62% - 1.14%</w:t>
            </w:r>
          </w:p>
        </w:tc>
      </w:tr>
      <w:tr>
        <w:trPr>
          <w:trHeight w:val="27"/>
        </w:trPr>
        <w:tc>
          <w:tcPr>
            <w:tcW w:w="6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volatility(3)</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37.22% - 43.70%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40.24% - 44.83%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44.38% - 53.70%</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Expected dividend yield(4)</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grant-date fair value per share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$4.74</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$3.03</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$2.51</w:t>
            </w:r>
          </w:p>
        </w:tc>
      </w:tr>
      <w:tr>
        <w:trPr>
          <w:trHeight w:val="27"/>
        </w:trPr>
        <w:tc>
          <w:tcPr>
            <w:tcW w:w="60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960"/>
        <w:spacing w:after="0"/>
        <w:tabs>
          <w:tab w:leader="none" w:pos="12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expected term is equivalent to the offering period.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(2)The risk-free interest rate is based on U.S. Treasury yields in effect at the time of grant with a term equal to the expected term.</w:t>
      </w:r>
    </w:p>
    <w:p>
      <w:pPr>
        <w:spacing w:after="0" w:line="9" w:lineRule="exact"/>
        <w:rPr>
          <w:sz w:val="20"/>
          <w:szCs w:val="20"/>
          <w:color w:val="auto"/>
        </w:rPr>
      </w:pPr>
    </w:p>
    <w:p>
      <w:pPr>
        <w:ind w:left="1360" w:hanging="380"/>
        <w:spacing w:after="0"/>
        <w:tabs>
          <w:tab w:leader="none" w:pos="1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estimated implied volatility based upon trailing volatility.</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29, 2019, there was no material unrecognized compensation expense related to the Purchase Plan.</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Retirement Plans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matching contributions to these defined-contribution savings plans totaled $4.4 million in 2019, $3.9 million in 2018, and $3.8 million in 2017.</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Significant Customers</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$507.4 million, $447.0 million, and $451.9 million or 71%, 72%, and 75%, of total revenue for the years ended December 29, 2019, December 30, 2018, and December 31, 2017, respectively.</w:t>
      </w:r>
    </w:p>
    <w:p>
      <w:pPr>
        <w:spacing w:after="0" w:line="1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operates in two reportable segments. The KGS reportable segment is comprised of an aggregation of KGS operating segments, including DRSS, ME, TTS, MS, and KTT.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w:t>
      </w:r>
    </w:p>
    <w:p>
      <w:pPr>
        <w:spacing w:after="0" w:line="17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557" w:right="239" w:bottom="1440" w:gutter="0" w:footer="0" w:header="0"/>
        </w:sectPr>
      </w:pPr>
    </w:p>
    <w:bookmarkStart w:id="96" w:name="page97"/>
    <w:bookmarkEnd w:id="96"/>
    <w:p>
      <w:pPr>
        <w:jc w:val="both"/>
        <w:ind w:right="200" w:firstLine="648"/>
        <w:spacing w:after="0" w:line="264" w:lineRule="auto"/>
        <w:rPr>
          <w:sz w:val="20"/>
          <w:szCs w:val="20"/>
          <w:color w:val="auto"/>
        </w:rPr>
      </w:pPr>
      <w:r>
        <w:rPr>
          <w:rFonts w:ascii="Arial" w:cs="Arial" w:eastAsia="Arial" w:hAnsi="Arial"/>
          <w:sz w:val="18"/>
          <w:szCs w:val="18"/>
          <w:color w:val="auto"/>
        </w:rPr>
        <w:t>As discussed in “Discontinued Operations” in Note 9 of these notes to consolidated financial statements, the Company began reporting the PSS business as discontinued operations effective in the first quarter of fiscal 2018. Prior to the decision to sell the PSS business, the Company reported their financial results in a separate PSS reportable segment.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certain overhead type costs previously allocated to the PSS business were not allocable to discontinued operations, prior period corporate costs have been reallocated amongst the continuing reportable segments.</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80"/>
          </w:cols>
          <w:pgMar w:left="240" w:top="557" w:right="479" w:bottom="1440" w:gutter="0" w:footer="0" w:header="0"/>
        </w:sectPr>
      </w:pPr>
    </w:p>
    <w:bookmarkStart w:id="97" w:name="page98"/>
    <w:bookmarkEnd w:id="97"/>
    <w:p>
      <w:pPr>
        <w:ind w:right="300" w:firstLine="648"/>
        <w:spacing w:after="0" w:line="277" w:lineRule="auto"/>
        <w:rPr>
          <w:sz w:val="20"/>
          <w:szCs w:val="20"/>
          <w:color w:val="auto"/>
        </w:rPr>
      </w:pPr>
      <w:r>
        <w:rPr>
          <w:rFonts w:ascii="Arial" w:cs="Arial" w:eastAsia="Arial" w:hAnsi="Arial"/>
          <w:sz w:val="18"/>
          <w:szCs w:val="18"/>
          <w:color w:val="auto"/>
        </w:rPr>
        <w:t>Revenues, operating income (loss) and assets disclosed below provided by the Company’s reportable segments for the years ended December 29, 2019, December 30, 2018, and December 31, 2017, are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Kratos Government Solutions</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272.6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283.5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284.4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283.8</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Kratos Government Solutions</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556.1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485.1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481.6</w:t>
            </w:r>
          </w:p>
        </w:tc>
      </w:tr>
      <w:tr>
        <w:trPr>
          <w:trHeight w:val="237"/>
        </w:trPr>
        <w:tc>
          <w:tcPr>
            <w:tcW w:w="7080" w:type="dxa"/>
            <w:vAlign w:val="bottom"/>
          </w:tcPr>
          <w:p>
            <w:pPr>
              <w:ind w:left="200"/>
              <w:spacing w:after="0"/>
              <w:rPr>
                <w:sz w:val="20"/>
                <w:szCs w:val="20"/>
                <w:color w:val="auto"/>
              </w:rPr>
            </w:pPr>
            <w:r>
              <w:rPr>
                <w:rFonts w:ascii="Arial" w:cs="Arial" w:eastAsia="Arial" w:hAnsi="Arial"/>
                <w:sz w:val="18"/>
                <w:szCs w:val="18"/>
                <w:color w:val="auto"/>
              </w:rPr>
              <w:t>Unmanned Systems</w:t>
            </w: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161.4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132.9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121.7</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Unmanned Systems</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161.4</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w:t>
            </w:r>
          </w:p>
        </w:tc>
      </w:tr>
      <w:tr>
        <w:trPr>
          <w:trHeight w:val="297"/>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717.5</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618.0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603.3</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Kratos Government Solutions</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Unmanned Systems</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97"/>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depreciation and amortization</w:t>
            </w:r>
          </w:p>
        </w:tc>
        <w:tc>
          <w:tcPr>
            <w:tcW w:w="8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22.2</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8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Kratos Government Solutions</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Unmanned Systems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Corporate activities</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 (loss)</w:t>
            </w: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Revenues from foreign customers were approximately $132.5 million or 18%, $114.3 million or 19% and $84.7 million or 14% of total revenue for the years ended December 29, 2019, December 30, 2018, and December 31, 2017, respectively.</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Included in the 2017 operating loss for the KGS reportable segment is a $24.2 million impairment of the carrying value of the goodwill of the DRSS business within the KGS segment.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Reportable segment assets are as follows (in millions):</w:t>
      </w:r>
    </w:p>
    <w:p>
      <w:pPr>
        <w:spacing w:after="0" w:line="230" w:lineRule="exact"/>
        <w:rPr>
          <w:sz w:val="20"/>
          <w:szCs w:val="20"/>
          <w:color w:val="auto"/>
        </w:rPr>
      </w:pPr>
    </w:p>
    <w:p>
      <w:pPr>
        <w:ind w:left="6640"/>
        <w:spacing w:after="0"/>
        <w:tabs>
          <w:tab w:leader="none" w:pos="8320" w:val="left"/>
          <w:tab w:leader="none" w:pos="10020" w:val="left"/>
        </w:tabs>
        <w:rPr>
          <w:sz w:val="20"/>
          <w:szCs w:val="20"/>
          <w:color w:val="auto"/>
        </w:rPr>
      </w:pPr>
      <w:r>
        <w:rPr>
          <w:rFonts w:ascii="Arial" w:cs="Arial" w:eastAsia="Arial" w:hAnsi="Arial"/>
          <w:sz w:val="14"/>
          <w:szCs w:val="14"/>
          <w:b w:val="1"/>
          <w:bCs w:val="1"/>
          <w:color w:val="auto"/>
        </w:rPr>
        <w:t>December 29, 2019</w:t>
      </w:r>
      <w:r>
        <w:rPr>
          <w:sz w:val="20"/>
          <w:szCs w:val="20"/>
          <w:color w:val="auto"/>
        </w:rPr>
        <w:tab/>
      </w:r>
      <w:r>
        <w:rPr>
          <w:rFonts w:ascii="Arial" w:cs="Arial" w:eastAsia="Arial" w:hAnsi="Arial"/>
          <w:sz w:val="14"/>
          <w:szCs w:val="14"/>
          <w:b w:val="1"/>
          <w:bCs w:val="1"/>
          <w:color w:val="auto"/>
        </w:rPr>
        <w:t>December 30, 2018</w:t>
      </w:r>
      <w:r>
        <w:rPr>
          <w:sz w:val="20"/>
          <w:szCs w:val="20"/>
          <w:color w:val="auto"/>
        </w:rPr>
        <w:tab/>
      </w:r>
      <w:r>
        <w:rPr>
          <w:rFonts w:ascii="Arial" w:cs="Arial" w:eastAsia="Arial" w:hAnsi="Arial"/>
          <w:sz w:val="12"/>
          <w:szCs w:val="1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200"/>
              <w:spacing w:after="0"/>
              <w:rPr>
                <w:sz w:val="20"/>
                <w:szCs w:val="20"/>
                <w:color w:val="auto"/>
              </w:rPr>
            </w:pPr>
            <w:r>
              <w:rPr>
                <w:rFonts w:ascii="Arial" w:cs="Arial" w:eastAsia="Arial" w:hAnsi="Arial"/>
                <w:sz w:val="18"/>
                <w:szCs w:val="18"/>
                <w:color w:val="auto"/>
              </w:rPr>
              <w:t>Kratos Government Solutions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597.9</w:t>
            </w:r>
          </w:p>
        </w:tc>
      </w:tr>
      <w:tr>
        <w:trPr>
          <w:trHeight w:val="27"/>
        </w:trPr>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Unmanned Systems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5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97.4</w:t>
            </w:r>
          </w:p>
        </w:tc>
      </w:tr>
      <w:tr>
        <w:trPr>
          <w:trHeight w:val="27"/>
        </w:trPr>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activities</w:t>
            </w: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w:t>
            </w:r>
          </w:p>
        </w:tc>
      </w:tr>
      <w:tr>
        <w:trPr>
          <w:trHeight w:val="257"/>
        </w:trPr>
        <w:tc>
          <w:tcPr>
            <w:tcW w:w="64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1,010.1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1,024.0</w:t>
            </w:r>
          </w:p>
        </w:tc>
      </w:tr>
      <w:tr>
        <w:trPr>
          <w:trHeight w:val="20"/>
        </w:trPr>
        <w:tc>
          <w:tcPr>
            <w:tcW w:w="6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Assets of foreign subsidiaries in the KGS segment were $124.7 million, $126.7 million and $116.7 million as of December 29, 2019, December 30, 2018 and December 31, 2017, respectively.</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 the amount of the loss can be reasonably estimated. Because litigation is inherently unpredictable and unfavorable resolutions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773" w:right="239" w:bottom="1440" w:gutter="0" w:footer="0" w:header="0"/>
        </w:sectPr>
      </w:pPr>
    </w:p>
    <w:bookmarkStart w:id="98" w:name="page99"/>
    <w:bookmarkEnd w:id="98"/>
    <w:p>
      <w:pPr>
        <w:ind w:right="20"/>
        <w:spacing w:after="0" w:line="288" w:lineRule="auto"/>
        <w:rPr>
          <w:sz w:val="20"/>
          <w:szCs w:val="20"/>
          <w:color w:val="auto"/>
        </w:rPr>
      </w:pPr>
      <w:r>
        <w:rPr>
          <w:rFonts w:ascii="Arial" w:cs="Arial" w:eastAsia="Arial" w:hAnsi="Arial"/>
          <w:sz w:val="16"/>
          <w:szCs w:val="16"/>
          <w:color w:val="auto"/>
        </w:rPr>
        <w:t>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consolidated financial statements; and the unique facts and circumstances of the particular matter that may give rise to additional factors.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and Regulatory Matters.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Company’s contracts with the DoD are subject to audit by the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Costs incurred and allocated to contracts with the U.S. Government are regularly scrutinized for compliance with regulatory standards by the Company’s personnel.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its financial condition, results of operations or cash flows.</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color w:val="auto"/>
        </w:rPr>
        <w:t>Redeemable Noncontrolling Interest</w:t>
      </w:r>
    </w:p>
    <w:p>
      <w:pPr>
        <w:spacing w:after="0" w:line="200" w:lineRule="exact"/>
        <w:rPr>
          <w:sz w:val="20"/>
          <w:szCs w:val="20"/>
          <w:color w:val="auto"/>
        </w:rPr>
      </w:pPr>
    </w:p>
    <w:p>
      <w:pPr>
        <w:spacing w:after="0" w:line="24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discussed in “Acquisition” in Note 2, in connection with the Company’s acquisition of FTT, (i) beginning in January 2024, the Holders will have an annual Put Right to sell all of the Minority Interests to the Company at a purchase price based on a specified multiple of the trailing 12 months EBITDA of the Acquired Companies, subject to adjustment as set forth in the Exchange Agreement (provided, however, that following certain events, including a change of control, the Put Right will be accelerated and the Minority Interest Purchase Price will be a specified increased multiple of the trailing 12 months EBITDA of the Acquired Companies); and (ii) beginning in January 2025, the Company will have an annual right to purchase all of the Minority Interests from the Holders at the Minority Interest Purchase Price.</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Rights. Adjustments to Redemption Amount will have a corresponding effect on net income per share attributable to Kratos shareholders. As of December 29, 2019, no adjustment of the carrying value of the redeemable noncontrolling interest was required.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557" w:right="259" w:bottom="1440" w:gutter="0" w:footer="0" w:header="0"/>
        </w:sectPr>
      </w:pPr>
    </w:p>
    <w:bookmarkStart w:id="99" w:name="page100"/>
    <w:bookmarkEnd w:id="99"/>
    <w:p>
      <w:pPr>
        <w:spacing w:after="0"/>
        <w:tabs>
          <w:tab w:leader="none" w:pos="8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Quarterly Financial Data (Unaudited)</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following financial information reflects all normal and recurring adjustments that are, in the opinion of management, necessary for a fair statement of the results of the interim periods. As discussed in “Discontinued Operations” in Note 9 of these notes to consolidated financial statements, the Company began reporting the PSS business as discontinued operations effective in the first quarter of fiscal 2018. Accordingly, the financial results for the PSS business have been reported in discontinued operations for all periods presented.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Summarized quarterly data for the years ended December 29, 2019 and December 30, 2018, is as follows (in millions,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Second</w:t>
            </w: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Fourth Quarter</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114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Fiscal year 2019</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attributable to Kratos</w:t>
            </w: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 attributable to Kratos:</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60"/>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common share attributable to Kratos:</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60"/>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531"/>
        </w:trPr>
        <w:tc>
          <w:tcPr>
            <w:tcW w:w="6980" w:type="dxa"/>
            <w:vAlign w:val="bottom"/>
          </w:tcPr>
          <w:p>
            <w:pPr>
              <w:spacing w:after="0"/>
              <w:rPr>
                <w:sz w:val="24"/>
                <w:szCs w:val="24"/>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24"/>
                <w:szCs w:val="2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Second</w:t>
            </w: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Fourth Quarter</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114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Fiscal year 2018</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60"/>
              <w:spacing w:after="0"/>
              <w:rPr>
                <w:sz w:val="20"/>
                <w:szCs w:val="20"/>
                <w:color w:val="auto"/>
              </w:rPr>
            </w:pPr>
            <w:r>
              <w:rPr>
                <w:rFonts w:ascii="Arial" w:cs="Arial" w:eastAsia="Arial" w:hAnsi="Arial"/>
                <w:sz w:val="18"/>
                <w:szCs w:val="18"/>
                <w:color w:val="auto"/>
              </w:rPr>
              <w:t>Net income (loss) per common share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6980" w:type="dxa"/>
            <w:vAlign w:val="bottom"/>
          </w:tcPr>
          <w:p>
            <w:pPr>
              <w:ind w:left="260"/>
              <w:spacing w:after="0"/>
              <w:rPr>
                <w:sz w:val="20"/>
                <w:szCs w:val="20"/>
                <w:color w:val="auto"/>
              </w:rPr>
            </w:pPr>
            <w:r>
              <w:rPr>
                <w:rFonts w:ascii="Arial" w:cs="Arial" w:eastAsia="Arial" w:hAnsi="Arial"/>
                <w:sz w:val="18"/>
                <w:szCs w:val="18"/>
                <w:color w:val="auto"/>
              </w:rPr>
              <w:t>Net income (loss) per common share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20"/>
          </w:cols>
          <w:pgMar w:left="240" w:top="553" w:right="239" w:bottom="1440" w:gutter="0" w:footer="0" w:header="0"/>
          <w:type w:val="continuous"/>
        </w:sectPr>
      </w:pPr>
    </w:p>
    <w:bookmarkStart w:id="100" w:name="page101"/>
    <w:bookmarkEnd w:id="100"/>
    <w:p>
      <w:pPr>
        <w:spacing w:after="0"/>
        <w:tabs>
          <w:tab w:leader="none" w:pos="8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color w:val="auto"/>
        </w:rPr>
        <w:t>Subsequent Events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February 24, 2020, the Company acquired a turbine technology company focused on tactical unmanned aerial drones and other systems for approximately $10.5 million in cash, subject to adjustments for transaction expenses, indebtedness, cash on hand, and post-closing working capital adjustments.</w:t>
      </w:r>
    </w:p>
    <w:p>
      <w:pPr>
        <w:spacing w:after="0" w:line="39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0940"/>
          </w:cols>
          <w:pgMar w:left="240" w:top="553" w:right="71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4.4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Equity Securities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under Section 12 of the Exchange Act</w:t>
      </w:r>
    </w:p>
    <w:p>
      <w:pPr>
        <w:spacing w:after="0" w:line="185" w:lineRule="exact"/>
        <w:rPr>
          <w:sz w:val="20"/>
          <w:szCs w:val="20"/>
          <w:color w:val="auto"/>
        </w:rPr>
      </w:pPr>
    </w:p>
    <w:p>
      <w:pPr>
        <w:ind w:right="660" w:firstLine="648"/>
        <w:spacing w:after="0" w:line="287" w:lineRule="auto"/>
        <w:rPr>
          <w:sz w:val="20"/>
          <w:szCs w:val="20"/>
          <w:color w:val="auto"/>
        </w:rPr>
      </w:pPr>
      <w:r>
        <w:rPr>
          <w:rFonts w:ascii="Arial" w:cs="Arial" w:eastAsia="Arial" w:hAnsi="Arial"/>
          <w:sz w:val="21"/>
          <w:szCs w:val="21"/>
          <w:color w:val="auto"/>
        </w:rPr>
        <w:t>As of February 24, 2020, Kratos Defense &amp; Security Solutions, Inc. (the “Company”) has one class of securities, our common stock, registered under Section 12 of the Securities Exchange Act of 1934, as amended.</w:t>
      </w:r>
    </w:p>
    <w:p>
      <w:pPr>
        <w:spacing w:after="0" w:line="111"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The following description of our common stock is a summary and does not purport to be complete. It is subject to and qualified in its entirety by reference to our Amended and Restated Certificate of Incorporation (as amended from time to time, the “Certificate of Incorporation”) and our Second Amended and Restated Bylaws (as amended from time to time, the “Bylaws”), each of which are incorporated by reference as an exhibit to the Annual Report on Form 10-K of which this Exhibit 4.4 is a part. We encourage you to read our Certificate of Incorporation, our Bylaws and the applicable provisions of the General Corporation Law of the State of Delaware (“DGCL”)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Common Stock</w:t>
      </w:r>
    </w:p>
    <w:p>
      <w:pPr>
        <w:spacing w:after="0" w:line="185" w:lineRule="exact"/>
        <w:rPr>
          <w:sz w:val="20"/>
          <w:szCs w:val="20"/>
          <w:color w:val="auto"/>
        </w:rPr>
      </w:pPr>
    </w:p>
    <w:p>
      <w:pPr>
        <w:ind w:right="80" w:firstLine="648"/>
        <w:spacing w:after="0" w:line="254" w:lineRule="auto"/>
        <w:rPr>
          <w:sz w:val="20"/>
          <w:szCs w:val="20"/>
          <w:color w:val="auto"/>
        </w:rPr>
      </w:pPr>
      <w:r>
        <w:rPr>
          <w:rFonts w:ascii="Arial" w:cs="Arial" w:eastAsia="Arial" w:hAnsi="Arial"/>
          <w:sz w:val="22"/>
          <w:szCs w:val="22"/>
          <w:color w:val="auto"/>
        </w:rPr>
        <w:t>We are authorized to issue 195,000,000 shares of common stock, par value $0.001 per share, and 5,000,000 shares of preferred stock, par value $0.001 per share. The rights, privileges and preferences of holders of common stock are subject to, and may be adversely affected by, the rights of the holders of shares of any series of preferred stock which the Company may designate and issue in the future.</w:t>
      </w:r>
    </w:p>
    <w:p>
      <w:pPr>
        <w:spacing w:after="0" w:line="145"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Holders of common stock possess exclusive voting rights in us, except to the extent our board of directors specifies voting power with respect to any other class of securities issued in the future. Each holder of our common stock is entitled to one vote for each share held of record on each matter submitted to a vote of stockholders, including the election of directors. Stockholders do not have any right to cumulate votes in the election of directors.</w:t>
      </w:r>
    </w:p>
    <w:p>
      <w:pPr>
        <w:spacing w:after="0" w:line="148"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Subject to preferences that may be granted to the holders of preferred stock, each holder of our common stock is entitled to share ratably in distributions to stockholders and to receive ratably such dividends as may be declared by our board of directors out of funds legally available therefor. In the event of our liquidation, dissolution or winding up, the holders of our common stock will be entitled to receive, after payment of all of our debts and liabilities and of all sums to which holders of any preferred stock may be entitled, the distribution of any of our remaining assets. Holders of our common stock have no conversion, exchange, sinking fund, redemption or appraisal rights (other than such as may be determined by our board of directors in its sole discretion) and have no preemptive rights to subscribe for any of our securities.</w:t>
      </w:r>
    </w:p>
    <w:p>
      <w:pPr>
        <w:spacing w:after="0" w:line="111"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All of the outstanding shares of our common stock are, and the shares of common stock issued upon the conversion of any securities convertible into our common stock will be, fully paid and non-assessable.</w:t>
      </w:r>
    </w:p>
    <w:p>
      <w:pPr>
        <w:spacing w:after="0" w:line="134" w:lineRule="exact"/>
        <w:rPr>
          <w:sz w:val="20"/>
          <w:szCs w:val="20"/>
          <w:color w:val="auto"/>
        </w:rPr>
      </w:pPr>
    </w:p>
    <w:p>
      <w:pPr>
        <w:ind w:right="2460" w:firstLine="648"/>
        <w:spacing w:after="0" w:line="410" w:lineRule="auto"/>
        <w:rPr>
          <w:sz w:val="20"/>
          <w:szCs w:val="20"/>
          <w:color w:val="auto"/>
        </w:rPr>
      </w:pPr>
      <w:r>
        <w:rPr>
          <w:rFonts w:ascii="Arial" w:cs="Arial" w:eastAsia="Arial" w:hAnsi="Arial"/>
          <w:sz w:val="22"/>
          <w:szCs w:val="22"/>
          <w:color w:val="auto"/>
        </w:rPr>
        <w:t xml:space="preserve">Our common stock is listed on The NASDAQ Global Select Market under the symbol “KTOS.” </w:t>
      </w:r>
      <w:r>
        <w:rPr>
          <w:rFonts w:ascii="Arial" w:cs="Arial" w:eastAsia="Arial" w:hAnsi="Arial"/>
          <w:sz w:val="22"/>
          <w:szCs w:val="22"/>
          <w:b w:val="1"/>
          <w:bCs w:val="1"/>
          <w:color w:val="auto"/>
        </w:rPr>
        <w:t>Possible Anti-Takeover Effects of Delaware Law and our Charter Documents</w:t>
      </w:r>
    </w:p>
    <w:p>
      <w:pPr>
        <w:ind w:right="60" w:firstLine="648"/>
        <w:spacing w:after="0" w:line="250" w:lineRule="auto"/>
        <w:rPr>
          <w:sz w:val="20"/>
          <w:szCs w:val="20"/>
          <w:color w:val="auto"/>
        </w:rPr>
      </w:pPr>
      <w:r>
        <w:rPr>
          <w:rFonts w:ascii="Arial" w:cs="Arial" w:eastAsia="Arial" w:hAnsi="Arial"/>
          <w:sz w:val="22"/>
          <w:szCs w:val="22"/>
          <w:color w:val="auto"/>
        </w:rPr>
        <w:t>Provisions of the DGCL and our Certificate of Incorporation and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w:t>
      </w:r>
    </w:p>
    <w:p>
      <w:pPr>
        <w:sectPr>
          <w:pgSz w:w="11900" w:h="16838" w:orient="portrait"/>
          <w:cols w:equalWidth="0" w:num="1">
            <w:col w:w="11420"/>
          </w:cols>
          <w:pgMar w:left="240" w:top="558" w:right="239" w:bottom="1440" w:gutter="0" w:footer="0" w:header="0"/>
        </w:sectPr>
      </w:pPr>
    </w:p>
    <w:bookmarkStart w:id="102" w:name="page103"/>
    <w:bookmarkEnd w:id="102"/>
    <w:p>
      <w:pPr>
        <w:ind w:right="120"/>
        <w:spacing w:after="0" w:line="250" w:lineRule="auto"/>
        <w:rPr>
          <w:sz w:val="20"/>
          <w:szCs w:val="20"/>
          <w:color w:val="auto"/>
        </w:rPr>
      </w:pPr>
      <w:r>
        <w:rPr>
          <w:rFonts w:ascii="Arial" w:cs="Arial" w:eastAsia="Arial" w:hAnsi="Arial"/>
          <w:sz w:val="22"/>
          <w:szCs w:val="22"/>
          <w:color w:val="auto"/>
        </w:rPr>
        <w:t>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Delaware Anti-Takeover Statute</w:t>
      </w:r>
    </w:p>
    <w:p>
      <w:pPr>
        <w:spacing w:after="0" w:line="185"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and Removal of Directors</w:t>
      </w:r>
    </w:p>
    <w:p>
      <w:pPr>
        <w:spacing w:after="0" w:line="185"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Our board of directors is elected annually by all holders of our capital stock. To be eligible for election or appointment to the board of directors, an individual must meet certain director qualification requirements set forth in our Bylaws. At a special meeting of stockholders, directors may be removed without cause by the affirmative vote of the holders of at least a majority of the outstanding shares entitled to vote on such removal.</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w:t>
      </w:r>
    </w:p>
    <w:p>
      <w:pPr>
        <w:spacing w:after="0" w:line="185"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The affirmative vote of the holders of at least 66 2/3% of the voting power of all of the then-outstanding shares of our voting stock, voting together as a single class, is required to, among other things, alter, amend or repeal certain provisions of our Certificate of Incorporation, including those related to the election and removal of the board of directors, amendment of our Bylaws and Certificate of Incorporation, restrictions against stockholder actions by written consent and the indemnification of officers and directors.</w:t>
      </w:r>
    </w:p>
    <w:p>
      <w:pPr>
        <w:spacing w:after="0" w:line="1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Our Bylaws, may only be amended (or new bylaws adopted) by the board of directors or the affirmative vote of the holders of at least 66 2/3% of the voting power of all of the then-outstanding shares of our voting stock.</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Size of Board and Vacancies</w:t>
      </w:r>
    </w:p>
    <w:p>
      <w:pPr>
        <w:spacing w:after="0" w:line="185"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Pursuant to our Certificate of Incorporation and our Bylaws, our board of directors has the exclusive right to fix the size of the board and to fill any vacancies resulting from death, resignation, disqualification or removal as well as any newly created directorships arising from an increase in the size of the board.</w:t>
      </w:r>
    </w:p>
    <w:p>
      <w:pPr>
        <w:sectPr>
          <w:pgSz w:w="11900" w:h="16838" w:orient="portrait"/>
          <w:cols w:equalWidth="0" w:num="1">
            <w:col w:w="11420"/>
          </w:cols>
          <w:pgMar w:left="240" w:top="564" w:right="2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b w:val="1"/>
          <w:bCs w:val="1"/>
          <w:color w:val="auto"/>
        </w:rPr>
        <w:t>Special Stockholder Meetings</w:t>
      </w:r>
    </w:p>
    <w:p>
      <w:pPr>
        <w:spacing w:after="0" w:line="185"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Our Bylaws, provide that only a majority of the total number of directors then in office may call a special meeting of the stockholders, and any business conducted at any special meeting must have been properly brought before the meeting. To be properly brought before a meeting, business must be specified in the notice of meeting (or any supplement thereto) given by or at the direction of our board of directors, otherwise properly brought before the meeting by or at the direction of our board of directors, or otherwise properly brought before the meeting by a stockholder, but, in the case of a special meeting, if and only if the notice of the meeting provides for business to be brought before the meeting by a stockholder.</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Action by Unanimous Written Consent</w:t>
      </w:r>
    </w:p>
    <w:p>
      <w:pPr>
        <w:spacing w:after="0" w:line="185"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22"/>
          <w:szCs w:val="22"/>
          <w:color w:val="auto"/>
        </w:rPr>
        <w:t>Our Certificate of Incorporation expressly eliminates the right of our stockholders to act by written consent. Stockholder action must take place at the annual or a special meeting of our stockholders.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Requirements for Advance Notification of Stockholder Nominations and Proposals</w:t>
      </w:r>
    </w:p>
    <w:p>
      <w:pPr>
        <w:spacing w:after="0" w:line="185" w:lineRule="exact"/>
        <w:rPr>
          <w:sz w:val="20"/>
          <w:szCs w:val="20"/>
          <w:color w:val="auto"/>
        </w:rPr>
      </w:pPr>
    </w:p>
    <w:p>
      <w:pPr>
        <w:jc w:val="both"/>
        <w:ind w:right="300" w:firstLine="648"/>
        <w:spacing w:after="0" w:line="253" w:lineRule="auto"/>
        <w:rPr>
          <w:sz w:val="20"/>
          <w:szCs w:val="20"/>
          <w:color w:val="auto"/>
        </w:rPr>
      </w:pPr>
      <w:r>
        <w:rPr>
          <w:rFonts w:ascii="Arial" w:cs="Arial" w:eastAsia="Arial" w:hAnsi="Arial"/>
          <w:sz w:val="22"/>
          <w:szCs w:val="22"/>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Cumulative Voting</w:t>
      </w:r>
    </w:p>
    <w:p>
      <w:pPr>
        <w:spacing w:after="0" w:line="185"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The DGCL provides that stockholders are denied the right to cumulate votes in the election of directors unless a company’s certificate of incorporation provides otherwise. Our Certificate of Incorporation does not provide for cumulative voting.</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Undesignated Preferred Stock</w:t>
      </w:r>
    </w:p>
    <w:p>
      <w:pPr>
        <w:spacing w:after="0" w:line="185"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The authority possessed by our board of directors to issue preferred stock could potentially be used to discourage attempts by third parties to obtain control of the Company through a merger, tender offer, proxy contest or otherwise by making such attempts more difficult or more costly. Our board of directors may issue preferred stock with voting rights or conversion rights that, if exercised, could adversely affect the voting power of the holders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but Unissued Shares</w:t>
      </w:r>
    </w:p>
    <w:p>
      <w:pPr>
        <w:spacing w:after="0" w:line="185"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us by means of a proxy contest, tender offer, merger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85"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The transfer agent and registrar for our common stock is EQ Shareholder Services, 110 Center Pointe Curve, Suite 101, Mendota Heights, MN 55120 and its telephone number is (800) 468-9716.</w:t>
      </w:r>
    </w:p>
    <w:p>
      <w:pPr>
        <w:sectPr>
          <w:pgSz w:w="11900" w:h="16838" w:orient="portrait"/>
          <w:cols w:equalWidth="0" w:num="1">
            <w:col w:w="11380"/>
          </w:cols>
          <w:pgMar w:left="240" w:top="558" w:right="27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10.15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Kratos Defense &amp; Security Solutions,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Restricted Stock Unit Grant Notice</w:t>
      </w:r>
    </w:p>
    <w:p>
      <w:pPr>
        <w:jc w:val="center"/>
        <w:spacing w:after="0"/>
        <w:rPr>
          <w:sz w:val="20"/>
          <w:szCs w:val="20"/>
          <w:color w:val="auto"/>
        </w:rPr>
      </w:pPr>
      <w:r>
        <w:rPr>
          <w:rFonts w:ascii="Arial" w:cs="Arial" w:eastAsia="Arial" w:hAnsi="Arial"/>
          <w:sz w:val="20"/>
          <w:szCs w:val="20"/>
          <w:b w:val="1"/>
          <w:bCs w:val="1"/>
          <w:color w:val="auto"/>
        </w:rPr>
        <w:t>(2014 Equity Incentive Plan)</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Kratos Defense &amp; Security Solutions, Incorporated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pursuant to Section 6(b) of the Company’s 2014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hereby awards to Participant a Restricted Stock Unit Award for the number of shares of the Company’s Common Stock (“</w:t>
      </w:r>
      <w:r>
        <w:rPr>
          <w:rFonts w:ascii="Arial" w:cs="Arial" w:eastAsia="Arial" w:hAnsi="Arial"/>
          <w:sz w:val="20"/>
          <w:szCs w:val="20"/>
          <w:b w:val="1"/>
          <w:bCs w:val="1"/>
          <w:i w:val="1"/>
          <w:iCs w:val="1"/>
          <w:color w:val="auto"/>
        </w:rPr>
        <w:t>Restricted Stock Units</w:t>
      </w:r>
      <w:r>
        <w:rPr>
          <w:rFonts w:ascii="Arial" w:cs="Arial" w:eastAsia="Arial" w:hAnsi="Arial"/>
          <w:sz w:val="20"/>
          <w:szCs w:val="20"/>
          <w:color w:val="auto"/>
        </w:rPr>
        <w:t>”) set forth below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The Award is subject to all of the terms and conditions as set forth in this notice of grant (this “</w:t>
      </w:r>
      <w:r>
        <w:rPr>
          <w:rFonts w:ascii="Arial" w:cs="Arial" w:eastAsia="Arial" w:hAnsi="Arial"/>
          <w:sz w:val="20"/>
          <w:szCs w:val="20"/>
          <w:b w:val="1"/>
          <w:bCs w:val="1"/>
          <w:i w:val="1"/>
          <w:iCs w:val="1"/>
          <w:color w:val="auto"/>
        </w:rPr>
        <w:t>Restricted Stock Unit Grant Notice</w:t>
      </w:r>
      <w:r>
        <w:rPr>
          <w:rFonts w:ascii="Arial" w:cs="Arial" w:eastAsia="Arial" w:hAnsi="Arial"/>
          <w:sz w:val="20"/>
          <w:szCs w:val="20"/>
          <w:color w:val="auto"/>
        </w:rPr>
        <w:t>”) and in the Plan and the Restricted Stock Unit Award Agreement (the “Award Agreement”), both of which are attached hereto and incorporated herein in their entirety. Capitalized terms not otherwise defined herein shall have the meanings set forth in the Plan or the Award Agreement. In the event of any conflict between the terms in the Award and the Plan, the terms of the Plan shall control.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Participant: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of Grant:</w:t>
      </w:r>
    </w:p>
    <w:p>
      <w:pPr>
        <w:ind w:left="660"/>
        <w:spacing w:after="0"/>
        <w:rPr>
          <w:sz w:val="20"/>
          <w:szCs w:val="20"/>
          <w:color w:val="auto"/>
        </w:rPr>
      </w:pPr>
      <w:r>
        <w:rPr>
          <w:rFonts w:ascii="Arial" w:cs="Arial" w:eastAsia="Arial" w:hAnsi="Arial"/>
          <w:sz w:val="20"/>
          <w:szCs w:val="20"/>
          <w:color w:val="auto"/>
        </w:rPr>
        <w:t>Number of Restricted Stock Units/Shares:</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19"/>
          <w:szCs w:val="19"/>
          <w:color w:val="auto"/>
        </w:rPr>
        <w:t>[TO BE DETERMINED]</w:t>
      </w:r>
    </w:p>
    <w:p>
      <w:pPr>
        <w:spacing w:after="0" w:line="216" w:lineRule="exact"/>
        <w:rPr>
          <w:sz w:val="20"/>
          <w:szCs w:val="20"/>
          <w:color w:val="auto"/>
        </w:rPr>
      </w:pPr>
    </w:p>
    <w:p>
      <w:pPr>
        <w:jc w:val="both"/>
        <w:ind w:left="1960" w:hanging="1944"/>
        <w:spacing w:after="0" w:line="260" w:lineRule="auto"/>
        <w:tabs>
          <w:tab w:leader="none" w:pos="1940" w:val="left"/>
        </w:tabs>
        <w:rPr>
          <w:sz w:val="20"/>
          <w:szCs w:val="20"/>
          <w:color w:val="auto"/>
        </w:rPr>
      </w:pPr>
      <w:r>
        <w:rPr>
          <w:rFonts w:ascii="Arial" w:cs="Arial" w:eastAsia="Arial" w:hAnsi="Arial"/>
          <w:sz w:val="20"/>
          <w:szCs w:val="20"/>
          <w:b w:val="1"/>
          <w:bCs w:val="1"/>
          <w:color w:val="auto"/>
        </w:rPr>
        <w:t>Issuance Schedule:</w:t>
      </w:r>
      <w:r>
        <w:rPr>
          <w:sz w:val="20"/>
          <w:szCs w:val="20"/>
          <w:color w:val="auto"/>
        </w:rPr>
        <w:tab/>
      </w:r>
      <w:r>
        <w:rPr>
          <w:rFonts w:ascii="Arial" w:cs="Arial" w:eastAsia="Arial" w:hAnsi="Arial"/>
          <w:sz w:val="20"/>
          <w:szCs w:val="20"/>
          <w:color w:val="auto"/>
        </w:rPr>
        <w:t>Subject to any change on a Capitalization Adjustment, one share of Common Stock will be issued for each Restricted Stock Unit that vests at the time set forth in Section 6 of the Award Agreement.</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 xml:space="preserve">Additional Terms/Acknowledgements: </w:t>
      </w:r>
      <w:r>
        <w:rPr>
          <w:rFonts w:ascii="Arial" w:cs="Arial" w:eastAsia="Arial" w:hAnsi="Arial"/>
          <w:sz w:val="20"/>
          <w:szCs w:val="20"/>
          <w:color w:val="auto"/>
        </w:rPr>
        <w:t>Participant acknowledges receipt of, and understands and agrees to, this Restricted Stock Unit Grant</w:t>
      </w:r>
      <w:r>
        <w:rPr>
          <w:rFonts w:ascii="Arial" w:cs="Arial" w:eastAsia="Arial" w:hAnsi="Arial"/>
          <w:sz w:val="20"/>
          <w:szCs w:val="20"/>
          <w:b w:val="1"/>
          <w:bCs w:val="1"/>
          <w:color w:val="auto"/>
        </w:rPr>
        <w:t xml:space="preserve"> </w:t>
      </w:r>
      <w:r>
        <w:rPr>
          <w:rFonts w:ascii="Arial" w:cs="Arial" w:eastAsia="Arial" w:hAnsi="Arial"/>
          <w:sz w:val="20"/>
          <w:szCs w:val="20"/>
          <w:color w:val="auto"/>
        </w:rPr>
        <w:t>Notice, the Award Agreement and the Plan. Participant further acknowledges that as of the Date of Grant, this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the written employment agreement or offer letter agreement entered into between the Company and Participant specifying the terms that govern equity awards, and (ii) any compensation recovery policy that is adopted by the Company or is otherwise required by applicable law.</w:t>
      </w:r>
    </w:p>
    <w:p>
      <w:pPr>
        <w:spacing w:after="0" w:line="200" w:lineRule="exact"/>
        <w:rPr>
          <w:sz w:val="20"/>
          <w:szCs w:val="20"/>
          <w:color w:val="auto"/>
        </w:rPr>
      </w:pP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By accepting this Award, Participant acknowledges having received and read the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186" w:lineRule="exact"/>
        <w:rPr>
          <w:sz w:val="20"/>
          <w:szCs w:val="20"/>
          <w:color w:val="auto"/>
        </w:rPr>
      </w:pPr>
    </w:p>
    <w:p>
      <w:pPr>
        <w:spacing w:after="0"/>
        <w:tabs>
          <w:tab w:leader="none" w:pos="3680" w:val="left"/>
        </w:tabs>
        <w:rPr>
          <w:sz w:val="20"/>
          <w:szCs w:val="20"/>
          <w:color w:val="auto"/>
        </w:rPr>
      </w:pPr>
      <w:r>
        <w:rPr>
          <w:rFonts w:ascii="Arial" w:cs="Arial" w:eastAsia="Arial" w:hAnsi="Arial"/>
          <w:sz w:val="20"/>
          <w:szCs w:val="20"/>
          <w:b w:val="1"/>
          <w:bCs w:val="1"/>
          <w:color w:val="auto"/>
        </w:rPr>
        <w:t>Kratos Defense &amp; Security Solutions, Inc.</w:t>
      </w:r>
      <w:r>
        <w:rPr>
          <w:sz w:val="20"/>
          <w:szCs w:val="20"/>
          <w:color w:val="auto"/>
        </w:rPr>
        <w:tab/>
      </w:r>
      <w:r>
        <w:rPr>
          <w:rFonts w:ascii="Arial" w:cs="Arial" w:eastAsia="Arial" w:hAnsi="Arial"/>
          <w:sz w:val="18"/>
          <w:szCs w:val="18"/>
          <w:b w:val="1"/>
          <w:bCs w:val="1"/>
          <w:color w:val="auto"/>
        </w:rPr>
        <w:t>Participant:</w:t>
      </w:r>
    </w:p>
    <w:p>
      <w:pPr>
        <w:spacing w:after="0" w:line="222"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By:</w:t>
        <w:tab/>
        <w:t>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-14605</wp:posOffset>
            </wp:positionV>
            <wp:extent cx="2825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03"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0"/>
          <w:szCs w:val="20"/>
          <w:b w:val="1"/>
          <w:bCs w:val="1"/>
          <w:color w:val="auto"/>
        </w:rPr>
        <w:t>Attachments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Exhibit A, Award Agreement, and 2014 Equity Incentive Plan</w:t>
      </w:r>
    </w:p>
    <w:p>
      <w:pPr>
        <w:sectPr>
          <w:pgSz w:w="11900" w:h="16838" w:orient="portrait"/>
          <w:cols w:equalWidth="0" w:num="1">
            <w:col w:w="11420"/>
          </w:cols>
          <w:pgMar w:left="240" w:top="553"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b w:val="1"/>
          <w:bCs w:val="1"/>
          <w:color w:val="auto"/>
        </w:rPr>
        <w:t>Kratos Defense &amp; Security Solutions, Incorporated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Pursuant to the Restricted Stock Unit Grant Notice (the “</w:t>
      </w:r>
      <w:r>
        <w:rPr>
          <w:rFonts w:ascii="Arial" w:cs="Arial" w:eastAsia="Arial" w:hAnsi="Arial"/>
          <w:sz w:val="22"/>
          <w:szCs w:val="22"/>
          <w:b w:val="1"/>
          <w:bCs w:val="1"/>
          <w:i w:val="1"/>
          <w:iCs w:val="1"/>
          <w:color w:val="auto"/>
        </w:rPr>
        <w:t>Grant Notice</w:t>
      </w:r>
      <w:r>
        <w:rPr>
          <w:rFonts w:ascii="Arial" w:cs="Arial" w:eastAsia="Arial" w:hAnsi="Arial"/>
          <w:sz w:val="22"/>
          <w:szCs w:val="22"/>
          <w:color w:val="auto"/>
        </w:rPr>
        <w:t>”) and this Restricted Stock Unit Award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Kratos Defense &amp; Security Solutions, Incorporated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you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pursuant to Section 6(b) of the Company’s 2014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Units/shares indicated in the Grant Notice. Capitalized terms not explicitly defined in this Agreement or the Grant Notice shall have the same meanings given to them in the Plan. The terms of your Award, in addition to those set forth in the Grant Notice, are as follows.</w:t>
      </w:r>
    </w:p>
    <w:p>
      <w:pPr>
        <w:spacing w:after="0" w:line="161" w:lineRule="exact"/>
        <w:rPr>
          <w:sz w:val="20"/>
          <w:szCs w:val="20"/>
          <w:color w:val="auto"/>
        </w:rPr>
      </w:pPr>
    </w:p>
    <w:p>
      <w:pPr>
        <w:jc w:val="both"/>
        <w:ind w:firstLine="656"/>
        <w:spacing w:after="0" w:line="230" w:lineRule="auto"/>
        <w:tabs>
          <w:tab w:leader="none" w:pos="1431" w:val="left"/>
        </w:tabs>
        <w:numPr>
          <w:ilvl w:val="0"/>
          <w:numId w:val="54"/>
        </w:numPr>
        <w:rPr>
          <w:rFonts w:ascii="Arial" w:cs="Arial" w:eastAsia="Arial" w:hAnsi="Arial"/>
          <w:sz w:val="17"/>
          <w:szCs w:val="17"/>
          <w:color w:val="auto"/>
        </w:rPr>
      </w:pPr>
      <w:r>
        <w:rPr>
          <w:rFonts w:ascii="Arial" w:cs="Arial" w:eastAsia="Arial" w:hAnsi="Arial"/>
          <w:sz w:val="21"/>
          <w:szCs w:val="21"/>
          <w:b w:val="1"/>
          <w:bCs w:val="1"/>
          <w:color w:val="auto"/>
        </w:rPr>
        <w:t xml:space="preserve">Grant of the Award. </w:t>
      </w:r>
      <w:r>
        <w:rPr>
          <w:rFonts w:ascii="Arial" w:cs="Arial" w:eastAsia="Arial" w:hAnsi="Arial"/>
          <w:sz w:val="21"/>
          <w:szCs w:val="21"/>
          <w:color w:val="auto"/>
        </w:rPr>
        <w:t>This Award represents the right to be issued on a future date one (1) share of Common Stock</w:t>
      </w:r>
      <w:r>
        <w:rPr>
          <w:rFonts w:ascii="Arial" w:cs="Arial" w:eastAsia="Arial" w:hAnsi="Arial"/>
          <w:sz w:val="21"/>
          <w:szCs w:val="21"/>
          <w:b w:val="1"/>
          <w:bCs w:val="1"/>
          <w:color w:val="auto"/>
        </w:rPr>
        <w:t xml:space="preserve"> </w:t>
      </w:r>
      <w:r>
        <w:rPr>
          <w:rFonts w:ascii="Arial" w:cs="Arial" w:eastAsia="Arial" w:hAnsi="Arial"/>
          <w:sz w:val="21"/>
          <w:szCs w:val="21"/>
          <w:color w:val="auto"/>
        </w:rPr>
        <w:t>for 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21"/>
          <w:szCs w:val="21"/>
          <w:b w:val="1"/>
          <w:bCs w:val="1"/>
          <w:color w:val="auto"/>
        </w:rPr>
        <w:t>Account</w:t>
      </w:r>
      <w:r>
        <w:rPr>
          <w:rFonts w:ascii="Arial" w:cs="Arial" w:eastAsia="Arial" w:hAnsi="Arial"/>
          <w:sz w:val="21"/>
          <w:szCs w:val="21"/>
          <w:color w:val="auto"/>
        </w:rPr>
        <w:t>”) the number of Restricted Stock Units/shares of Common Stock subject to the Award. This Award was granted in consideration of your services to the Company.</w:t>
      </w:r>
    </w:p>
    <w:p>
      <w:pPr>
        <w:spacing w:after="0" w:line="193" w:lineRule="exact"/>
        <w:rPr>
          <w:rFonts w:ascii="Arial" w:cs="Arial" w:eastAsia="Arial" w:hAnsi="Arial"/>
          <w:sz w:val="17"/>
          <w:szCs w:val="17"/>
          <w:color w:val="auto"/>
        </w:rPr>
      </w:pPr>
    </w:p>
    <w:p>
      <w:pPr>
        <w:jc w:val="both"/>
        <w:ind w:firstLine="656"/>
        <w:spacing w:after="0" w:line="217" w:lineRule="auto"/>
        <w:tabs>
          <w:tab w:leader="none" w:pos="1431" w:val="left"/>
        </w:tabs>
        <w:numPr>
          <w:ilvl w:val="0"/>
          <w:numId w:val="54"/>
        </w:numPr>
        <w:rPr>
          <w:rFonts w:ascii="Arial" w:cs="Arial" w:eastAsia="Arial" w:hAnsi="Arial"/>
          <w:sz w:val="18"/>
          <w:szCs w:val="18"/>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Subject to the limitations contained herein and the potential vesting acceleration provisions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10 herein, your Award will vest, if at all, in accordance with the vesting schedule 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spacing w:after="0" w:line="194" w:lineRule="exact"/>
        <w:rPr>
          <w:rFonts w:ascii="Arial" w:cs="Arial" w:eastAsia="Arial" w:hAnsi="Arial"/>
          <w:sz w:val="18"/>
          <w:szCs w:val="18"/>
          <w:color w:val="auto"/>
        </w:rPr>
      </w:pPr>
    </w:p>
    <w:p>
      <w:pPr>
        <w:jc w:val="both"/>
        <w:ind w:firstLine="656"/>
        <w:spacing w:after="0" w:line="215" w:lineRule="auto"/>
        <w:tabs>
          <w:tab w:leader="none" w:pos="1431" w:val="left"/>
        </w:tabs>
        <w:numPr>
          <w:ilvl w:val="0"/>
          <w:numId w:val="54"/>
        </w:numPr>
        <w:rPr>
          <w:rFonts w:ascii="Arial" w:cs="Arial" w:eastAsia="Arial" w:hAnsi="Arial"/>
          <w:sz w:val="18"/>
          <w:szCs w:val="18"/>
          <w:color w:val="auto"/>
        </w:rPr>
      </w:pPr>
      <w:r>
        <w:rPr>
          <w:rFonts w:ascii="Arial" w:cs="Arial" w:eastAsia="Arial" w:hAnsi="Arial"/>
          <w:sz w:val="22"/>
          <w:szCs w:val="22"/>
          <w:b w:val="1"/>
          <w:bCs w:val="1"/>
          <w:color w:val="auto"/>
        </w:rPr>
        <w:t xml:space="preserve">Number of Shares. </w:t>
      </w:r>
      <w:r>
        <w:rPr>
          <w:rFonts w:ascii="Arial" w:cs="Arial" w:eastAsia="Arial" w:hAnsi="Arial"/>
          <w:sz w:val="22"/>
          <w:szCs w:val="22"/>
          <w:color w:val="auto"/>
        </w:rPr>
        <w:t>The number of Restricted Stock Units/shares subject to your Award may be adjusted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for 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96" w:lineRule="exact"/>
        <w:rPr>
          <w:rFonts w:ascii="Arial" w:cs="Arial" w:eastAsia="Arial" w:hAnsi="Arial"/>
          <w:sz w:val="18"/>
          <w:szCs w:val="18"/>
          <w:color w:val="auto"/>
        </w:rPr>
      </w:pPr>
    </w:p>
    <w:p>
      <w:pPr>
        <w:jc w:val="both"/>
        <w:ind w:firstLine="656"/>
        <w:spacing w:after="0" w:line="258" w:lineRule="auto"/>
        <w:tabs>
          <w:tab w:leader="none" w:pos="1431" w:val="left"/>
        </w:tabs>
        <w:numPr>
          <w:ilvl w:val="0"/>
          <w:numId w:val="54"/>
        </w:numPr>
        <w:rPr>
          <w:rFonts w:ascii="Arial" w:cs="Arial" w:eastAsia="Arial" w:hAnsi="Arial"/>
          <w:sz w:val="16"/>
          <w:szCs w:val="16"/>
          <w:color w:val="auto"/>
        </w:rPr>
      </w:pPr>
      <w:r>
        <w:rPr>
          <w:rFonts w:ascii="Arial" w:cs="Arial" w:eastAsia="Arial" w:hAnsi="Arial"/>
          <w:sz w:val="19"/>
          <w:szCs w:val="19"/>
          <w:b w:val="1"/>
          <w:bCs w:val="1"/>
          <w:color w:val="auto"/>
        </w:rPr>
        <w:t>Securities Law Compliance</w:t>
      </w:r>
      <w:r>
        <w:rPr>
          <w:rFonts w:ascii="Arial" w:cs="Arial" w:eastAsia="Arial" w:hAnsi="Arial"/>
          <w:sz w:val="19"/>
          <w:szCs w:val="19"/>
          <w:color w:val="auto"/>
        </w:rPr>
        <w:t>. You may not be issued any Common Stock under your Award unless the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176" w:lineRule="exact"/>
        <w:rPr>
          <w:rFonts w:ascii="Arial" w:cs="Arial" w:eastAsia="Arial" w:hAnsi="Arial"/>
          <w:sz w:val="16"/>
          <w:szCs w:val="16"/>
          <w:color w:val="auto"/>
        </w:rPr>
      </w:pPr>
    </w:p>
    <w:p>
      <w:pPr>
        <w:jc w:val="both"/>
        <w:ind w:firstLine="656"/>
        <w:spacing w:after="0" w:line="219" w:lineRule="auto"/>
        <w:tabs>
          <w:tab w:leader="none" w:pos="1431" w:val="left"/>
        </w:tabs>
        <w:numPr>
          <w:ilvl w:val="0"/>
          <w:numId w:val="54"/>
        </w:numPr>
        <w:rPr>
          <w:rFonts w:ascii="Arial" w:cs="Arial" w:eastAsia="Arial" w:hAnsi="Arial"/>
          <w:sz w:val="18"/>
          <w:szCs w:val="18"/>
          <w:color w:val="auto"/>
        </w:rPr>
      </w:pPr>
      <w:r>
        <w:rPr>
          <w:rFonts w:ascii="Arial" w:cs="Arial" w:eastAsia="Arial" w:hAnsi="Arial"/>
          <w:sz w:val="22"/>
          <w:szCs w:val="22"/>
          <w:b w:val="1"/>
          <w:bCs w:val="1"/>
          <w:color w:val="auto"/>
        </w:rPr>
        <w:t>Transfer Restrictions</w:t>
      </w:r>
      <w:r>
        <w:rPr>
          <w:rFonts w:ascii="Arial" w:cs="Arial" w:eastAsia="Arial" w:hAnsi="Arial"/>
          <w:sz w:val="22"/>
          <w:szCs w:val="22"/>
          <w:color w:val="auto"/>
        </w:rPr>
        <w:t>. Prior to the time that shares of Common Stock have been delivered to you, you may not</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ectPr>
          <w:pgSz w:w="11900" w:h="16838" w:orient="portrait"/>
          <w:cols w:equalWidth="0" w:num="1">
            <w:col w:w="11420"/>
          </w:cols>
          <w:pgMar w:left="240" w:top="558" w:right="239" w:bottom="1440" w:gutter="0" w:footer="0" w:header="0"/>
        </w:sectPr>
      </w:pPr>
    </w:p>
    <w:bookmarkStart w:id="106" w:name="page107"/>
    <w:bookmarkEnd w:id="106"/>
    <w:p>
      <w:pPr>
        <w:jc w:val="both"/>
        <w:ind w:left="-656" w:firstLine="1305"/>
        <w:spacing w:after="0" w:line="229" w:lineRule="auto"/>
        <w:tabs>
          <w:tab w:leader="none" w:pos="1488" w:val="left"/>
        </w:tabs>
        <w:numPr>
          <w:ilvl w:val="1"/>
          <w:numId w:val="55"/>
        </w:numPr>
        <w:rPr>
          <w:rFonts w:ascii="Arial" w:cs="Arial" w:eastAsia="Arial" w:hAnsi="Arial"/>
          <w:sz w:val="18"/>
          <w:szCs w:val="18"/>
          <w:color w:val="auto"/>
        </w:rPr>
      </w:pPr>
      <w:r>
        <w:rPr>
          <w:rFonts w:ascii="Arial" w:cs="Arial" w:eastAsia="Arial" w:hAnsi="Arial"/>
          <w:sz w:val="22"/>
          <w:szCs w:val="22"/>
          <w:b w:val="1"/>
          <w:bCs w:val="1"/>
          <w:color w:val="auto"/>
        </w:rPr>
        <w:t>Death</w:t>
      </w:r>
      <w:r>
        <w:rPr>
          <w:rFonts w:ascii="Arial" w:cs="Arial" w:eastAsia="Arial" w:hAnsi="Arial"/>
          <w:sz w:val="22"/>
          <w:szCs w:val="22"/>
          <w:color w:val="auto"/>
        </w:rPr>
        <w:t>. Your Award is transferable by will and by the laws of descent and distribution. At your death,</w:t>
      </w:r>
      <w:r>
        <w:rPr>
          <w:rFonts w:ascii="Arial" w:cs="Arial" w:eastAsia="Arial" w:hAnsi="Arial"/>
          <w:sz w:val="22"/>
          <w:szCs w:val="22"/>
          <w:b w:val="1"/>
          <w:bCs w:val="1"/>
          <w:color w:val="auto"/>
        </w:rPr>
        <w:t xml:space="preserve"> </w:t>
      </w:r>
      <w:r>
        <w:rPr>
          <w:rFonts w:ascii="Arial" w:cs="Arial" w:eastAsia="Arial" w:hAnsi="Arial"/>
          <w:sz w:val="22"/>
          <w:szCs w:val="22"/>
          <w:color w:val="auto"/>
        </w:rPr>
        <w:t>vesting of your Award will cease and your executor or administrator of your estate shall be entitled to receive, on behalf of your estate, any Common Stock or other consideration that vested but was not issued before your death.</w:t>
      </w:r>
    </w:p>
    <w:p>
      <w:pPr>
        <w:spacing w:after="0" w:line="194" w:lineRule="exact"/>
        <w:rPr>
          <w:rFonts w:ascii="Arial" w:cs="Arial" w:eastAsia="Arial" w:hAnsi="Arial"/>
          <w:sz w:val="18"/>
          <w:szCs w:val="18"/>
          <w:color w:val="auto"/>
        </w:rPr>
      </w:pPr>
    </w:p>
    <w:p>
      <w:pPr>
        <w:jc w:val="both"/>
        <w:ind w:left="-656" w:firstLine="1305"/>
        <w:spacing w:after="0" w:line="251" w:lineRule="auto"/>
        <w:tabs>
          <w:tab w:leader="none" w:pos="1498" w:val="left"/>
        </w:tabs>
        <w:numPr>
          <w:ilvl w:val="1"/>
          <w:numId w:val="55"/>
        </w:numPr>
        <w:rPr>
          <w:rFonts w:ascii="Arial" w:cs="Arial" w:eastAsia="Arial" w:hAnsi="Arial"/>
          <w:sz w:val="16"/>
          <w:szCs w:val="16"/>
          <w:color w:val="auto"/>
        </w:rPr>
      </w:pPr>
      <w:r>
        <w:rPr>
          <w:rFonts w:ascii="Arial" w:cs="Arial" w:eastAsia="Arial" w:hAnsi="Arial"/>
          <w:sz w:val="19"/>
          <w:szCs w:val="19"/>
          <w:b w:val="1"/>
          <w:bCs w:val="1"/>
          <w:color w:val="auto"/>
        </w:rPr>
        <w:t xml:space="preserve">Domestic Relations Orders. </w:t>
      </w:r>
      <w:r>
        <w:rPr>
          <w:rFonts w:ascii="Arial" w:cs="Arial" w:eastAsia="Arial" w:hAnsi="Arial"/>
          <w:sz w:val="19"/>
          <w:szCs w:val="19"/>
          <w:color w:val="auto"/>
        </w:rPr>
        <w:t>Upon receiving written permission from the Board or its duly 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designee, and provided that you and the designated transferee enter into transfer and other agreements required by the Company, you may transfer your right to receive the distribution of Common Stock or other consideration hereunder, pursuant to a domestic relations order or marital settlement agreement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83" w:lineRule="exact"/>
        <w:rPr>
          <w:rFonts w:ascii="Arial" w:cs="Arial" w:eastAsia="Arial" w:hAnsi="Arial"/>
          <w:sz w:val="16"/>
          <w:szCs w:val="16"/>
          <w:color w:val="auto"/>
        </w:rPr>
      </w:pPr>
    </w:p>
    <w:p>
      <w:pPr>
        <w:ind w:left="784" w:hanging="784"/>
        <w:spacing w:after="0"/>
        <w:tabs>
          <w:tab w:leader="none" w:pos="784" w:val="left"/>
        </w:tabs>
        <w:numPr>
          <w:ilvl w:val="0"/>
          <w:numId w:val="56"/>
        </w:numPr>
        <w:rPr>
          <w:rFonts w:ascii="Arial" w:cs="Arial" w:eastAsia="Arial" w:hAnsi="Arial"/>
          <w:sz w:val="18"/>
          <w:szCs w:val="18"/>
          <w:color w:val="auto"/>
        </w:rPr>
      </w:pPr>
      <w:r>
        <w:rPr>
          <w:rFonts w:ascii="Arial" w:cs="Arial" w:eastAsia="Arial" w:hAnsi="Arial"/>
          <w:sz w:val="22"/>
          <w:szCs w:val="22"/>
          <w:b w:val="1"/>
          <w:bCs w:val="1"/>
          <w:color w:val="auto"/>
        </w:rPr>
        <w:t>Date of Issuance.</w:t>
      </w:r>
    </w:p>
    <w:p>
      <w:pPr>
        <w:jc w:val="both"/>
        <w:ind w:left="-656" w:firstLine="1305"/>
        <w:spacing w:after="0" w:line="211" w:lineRule="auto"/>
        <w:tabs>
          <w:tab w:leader="none" w:pos="1488" w:val="left"/>
        </w:tabs>
        <w:numPr>
          <w:ilvl w:val="1"/>
          <w:numId w:val="56"/>
        </w:numPr>
        <w:rPr>
          <w:rFonts w:ascii="Arial" w:cs="Arial" w:eastAsia="Arial" w:hAnsi="Arial"/>
          <w:sz w:val="18"/>
          <w:szCs w:val="18"/>
          <w:color w:val="auto"/>
        </w:rPr>
      </w:pPr>
      <w:r>
        <w:rPr>
          <w:rFonts w:ascii="Arial" w:cs="Arial" w:eastAsia="Arial" w:hAnsi="Arial"/>
          <w:sz w:val="22"/>
          <w:szCs w:val="22"/>
          <w:color w:val="auto"/>
        </w:rPr>
        <w:t>The issuance of shares in respect of the Restricted Stock Units is intended to comply with Treasury Regulations Section 1.409A-1(b)(4) and will be construed and administered in such a manner. Subject to the satisfaction of the withholding obligations set forth in this Agreement, in the event one or more Restricted Stock Units vests, the Company shall issue to you one (1) share of Common Stock for each Restricted Stock Unit that [vests on the applicable vesting date(s)] OR [vests on the March 1</w:t>
      </w:r>
      <w:r>
        <w:rPr>
          <w:rFonts w:ascii="Arial" w:cs="Arial" w:eastAsia="Arial" w:hAnsi="Arial"/>
          <w:sz w:val="14"/>
          <w:szCs w:val="14"/>
          <w:color w:val="auto"/>
        </w:rPr>
        <w:t>st</w:t>
      </w:r>
      <w:r>
        <w:rPr>
          <w:rFonts w:ascii="Arial" w:cs="Arial" w:eastAsia="Arial" w:hAnsi="Arial"/>
          <w:sz w:val="22"/>
          <w:szCs w:val="22"/>
          <w:color w:val="auto"/>
        </w:rPr>
        <w:t xml:space="preserve"> of the fifth calendar year following the calendar year in which the applicable Vesting Date occurs] OR [vests on the first date which is administratively practicable for the distribution of the shares after termination of service with the Company] (subject to any adjustment under Section 3 above). The issuance date determined by this paragraph is referred to as the “</w:t>
      </w:r>
      <w:r>
        <w:rPr>
          <w:rFonts w:ascii="Arial" w:cs="Arial" w:eastAsia="Arial" w:hAnsi="Arial"/>
          <w:sz w:val="22"/>
          <w:szCs w:val="22"/>
          <w:b w:val="1"/>
          <w:bCs w:val="1"/>
          <w:i w:val="1"/>
          <w:iCs w:val="1"/>
          <w:color w:val="auto"/>
        </w:rPr>
        <w:t>Original Issuance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w:t>
      </w:r>
    </w:p>
    <w:p>
      <w:pPr>
        <w:spacing w:after="0" w:line="201" w:lineRule="exact"/>
        <w:rPr>
          <w:rFonts w:ascii="Arial" w:cs="Arial" w:eastAsia="Arial" w:hAnsi="Arial"/>
          <w:sz w:val="18"/>
          <w:szCs w:val="18"/>
          <w:color w:val="auto"/>
        </w:rPr>
      </w:pPr>
    </w:p>
    <w:p>
      <w:pPr>
        <w:ind w:left="-656" w:right="20" w:firstLine="1305"/>
        <w:spacing w:after="0" w:line="239" w:lineRule="auto"/>
        <w:tabs>
          <w:tab w:leader="none" w:pos="1498" w:val="left"/>
        </w:tabs>
        <w:numPr>
          <w:ilvl w:val="1"/>
          <w:numId w:val="56"/>
        </w:numPr>
        <w:rPr>
          <w:rFonts w:ascii="Arial" w:cs="Arial" w:eastAsia="Arial" w:hAnsi="Arial"/>
          <w:sz w:val="18"/>
          <w:szCs w:val="18"/>
          <w:color w:val="auto"/>
        </w:rPr>
      </w:pPr>
      <w:r>
        <w:rPr>
          <w:rFonts w:ascii="Arial" w:cs="Arial" w:eastAsia="Arial" w:hAnsi="Arial"/>
          <w:sz w:val="22"/>
          <w:szCs w:val="22"/>
          <w:color w:val="auto"/>
        </w:rPr>
        <w:t>If the Original Issuance Date falls on a date that is not a business day, delivery shall instead occur on the next following business day. In addition, if:</w:t>
      </w:r>
    </w:p>
    <w:p>
      <w:pPr>
        <w:spacing w:after="0" w:line="198" w:lineRule="exact"/>
        <w:rPr>
          <w:rFonts w:ascii="Arial" w:cs="Arial" w:eastAsia="Arial" w:hAnsi="Arial"/>
          <w:sz w:val="18"/>
          <w:szCs w:val="18"/>
          <w:color w:val="auto"/>
        </w:rPr>
      </w:pPr>
    </w:p>
    <w:p>
      <w:pPr>
        <w:jc w:val="both"/>
        <w:ind w:left="-656" w:firstLine="1953"/>
        <w:spacing w:after="0" w:line="275" w:lineRule="auto"/>
        <w:tabs>
          <w:tab w:leader="none" w:pos="2107" w:val="left"/>
        </w:tabs>
        <w:numPr>
          <w:ilvl w:val="2"/>
          <w:numId w:val="56"/>
        </w:numPr>
        <w:rPr>
          <w:rFonts w:ascii="Arial" w:cs="Arial" w:eastAsia="Arial" w:hAnsi="Arial"/>
          <w:sz w:val="16"/>
          <w:szCs w:val="16"/>
          <w:color w:val="auto"/>
        </w:rPr>
      </w:pPr>
      <w:r>
        <w:rPr>
          <w:rFonts w:ascii="Arial" w:cs="Arial" w:eastAsia="Arial" w:hAnsi="Arial"/>
          <w:sz w:val="19"/>
          <w:szCs w:val="19"/>
          <w:color w:val="auto"/>
        </w:rPr>
        <w:t xml:space="preserve">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w:t>
      </w:r>
      <w:r>
        <w:rPr>
          <w:rFonts w:ascii="Arial" w:cs="Arial" w:eastAsia="Arial" w:hAnsi="Arial"/>
          <w:sz w:val="19"/>
          <w:szCs w:val="19"/>
          <w:i w:val="1"/>
          <w:iCs w:val="1"/>
          <w:color w:val="auto"/>
        </w:rPr>
        <w:t>and</w:t>
      </w:r>
    </w:p>
    <w:p>
      <w:pPr>
        <w:spacing w:after="0" w:line="167" w:lineRule="exact"/>
        <w:rPr>
          <w:rFonts w:ascii="Arial" w:cs="Arial" w:eastAsia="Arial" w:hAnsi="Arial"/>
          <w:sz w:val="16"/>
          <w:szCs w:val="16"/>
          <w:color w:val="auto"/>
        </w:rPr>
      </w:pPr>
    </w:p>
    <w:p>
      <w:pPr>
        <w:jc w:val="both"/>
        <w:ind w:left="-656" w:firstLine="1953"/>
        <w:spacing w:after="0" w:line="245" w:lineRule="auto"/>
        <w:tabs>
          <w:tab w:leader="none" w:pos="2157" w:val="left"/>
        </w:tabs>
        <w:numPr>
          <w:ilvl w:val="2"/>
          <w:numId w:val="56"/>
        </w:numPr>
        <w:rPr>
          <w:rFonts w:ascii="Arial" w:cs="Arial" w:eastAsia="Arial" w:hAnsi="Arial"/>
          <w:sz w:val="16"/>
          <w:szCs w:val="16"/>
          <w:color w:val="auto"/>
        </w:rPr>
      </w:pPr>
      <w:r>
        <w:rPr>
          <w:rFonts w:ascii="Arial" w:cs="Arial" w:eastAsia="Arial" w:hAnsi="Arial"/>
          <w:sz w:val="19"/>
          <w:szCs w:val="19"/>
          <w:color w:val="auto"/>
        </w:rPr>
        <w:t xml:space="preserve">either (1) Withholding Taxes do not apply, or (2) the Company decides, prior to the Original Issuance Date, (A) not to satisfy the Withholding Taxes by withholding shares of Common Stock from the shares otherwise due, on the Original Issuance Date, to you under this Award, and (B) not to permit you to pay your Withholding Taxes in cash, </w:t>
      </w:r>
      <w:r>
        <w:rPr>
          <w:rFonts w:ascii="Arial" w:cs="Arial" w:eastAsia="Arial" w:hAnsi="Arial"/>
          <w:sz w:val="19"/>
          <w:szCs w:val="19"/>
          <w:u w:val="single" w:color="auto"/>
          <w:color w:val="auto"/>
        </w:rPr>
        <w:t>then</w:t>
      </w:r>
      <w:r>
        <w:rPr>
          <w:rFonts w:ascii="Arial" w:cs="Arial" w:eastAsia="Arial" w:hAnsi="Arial"/>
          <w:sz w:val="19"/>
          <w:szCs w:val="19"/>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9"/>
          <w:szCs w:val="19"/>
          <w:u w:val="single" w:color="auto"/>
          <w:color w:val="auto"/>
        </w:rPr>
        <w:t>if and only if</w:t>
      </w:r>
      <w:r>
        <w:rPr>
          <w:rFonts w:ascii="Arial" w:cs="Arial" w:eastAsia="Arial" w:hAnsi="Arial"/>
          <w:sz w:val="19"/>
          <w:szCs w:val="19"/>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ectPr>
          <w:pgSz w:w="11900" w:h="16838" w:orient="portrait"/>
          <w:cols w:equalWidth="0" w:num="1">
            <w:col w:w="10764"/>
          </w:cols>
          <w:pgMar w:left="896" w:top="787" w:right="239" w:bottom="1440" w:gutter="0" w:footer="0" w:header="0"/>
        </w:sectPr>
      </w:pPr>
    </w:p>
    <w:bookmarkStart w:id="107" w:name="page108"/>
    <w:bookmarkEnd w:id="107"/>
    <w:p>
      <w:pPr>
        <w:ind w:left="-656" w:right="20" w:firstLine="1305"/>
        <w:spacing w:after="0" w:line="239" w:lineRule="auto"/>
        <w:tabs>
          <w:tab w:leader="none" w:pos="1488" w:val="left"/>
        </w:tabs>
        <w:numPr>
          <w:ilvl w:val="1"/>
          <w:numId w:val="57"/>
        </w:numPr>
        <w:rPr>
          <w:rFonts w:ascii="Arial" w:cs="Arial" w:eastAsia="Arial" w:hAnsi="Arial"/>
          <w:sz w:val="18"/>
          <w:szCs w:val="18"/>
          <w:color w:val="auto"/>
        </w:rPr>
      </w:pPr>
      <w:r>
        <w:rPr>
          <w:rFonts w:ascii="Arial" w:cs="Arial" w:eastAsia="Arial" w:hAnsi="Arial"/>
          <w:sz w:val="22"/>
          <w:szCs w:val="22"/>
          <w:color w:val="auto"/>
        </w:rPr>
        <w:t>The form of delivery (e.g., a stock certificate or electronic entry evidencing such shares) shall be determined by the Company.</w:t>
      </w:r>
    </w:p>
    <w:p>
      <w:pPr>
        <w:spacing w:after="0" w:line="198" w:lineRule="exact"/>
        <w:rPr>
          <w:rFonts w:ascii="Arial" w:cs="Arial" w:eastAsia="Arial" w:hAnsi="Arial"/>
          <w:sz w:val="18"/>
          <w:szCs w:val="18"/>
          <w:color w:val="auto"/>
        </w:rPr>
      </w:pPr>
    </w:p>
    <w:p>
      <w:pPr>
        <w:jc w:val="both"/>
        <w:ind w:left="-656" w:firstLine="1305"/>
        <w:spacing w:after="0" w:line="216" w:lineRule="auto"/>
        <w:tabs>
          <w:tab w:leader="none" w:pos="1541" w:val="left"/>
        </w:tabs>
        <w:numPr>
          <w:ilvl w:val="1"/>
          <w:numId w:val="57"/>
        </w:numPr>
        <w:rPr>
          <w:rFonts w:ascii="Arial" w:cs="Arial" w:eastAsia="Arial" w:hAnsi="Arial"/>
          <w:sz w:val="22"/>
          <w:szCs w:val="22"/>
          <w:color w:val="auto"/>
        </w:rPr>
      </w:pPr>
      <w:r>
        <w:rPr>
          <w:rFonts w:ascii="Arial" w:cs="Arial" w:eastAsia="Arial" w:hAnsi="Arial"/>
          <w:sz w:val="22"/>
          <w:szCs w:val="22"/>
          <w:color w:val="auto"/>
        </w:rPr>
        <w:t>[Notwithstanding the foregoing, in the event of (i) a Change in Control that also constitutes a “change in control event” within the meaning of Treasury Regulation Section 1.409A-3(i)(5), (ii) your death, or (iii) termination of your Continuous Service without Cause prior to the Original Issuance Date, the Company shall instead issue to you one (1) share of Common Stock for each Restricted Stock Unit that vests on the date of such (x) Change in Control, (y) death, or (z) termination of Continuous Service without Cause, respectively.]</w:t>
      </w:r>
    </w:p>
    <w:p>
      <w:pPr>
        <w:spacing w:after="0" w:line="192" w:lineRule="exact"/>
        <w:rPr>
          <w:rFonts w:ascii="Arial" w:cs="Arial" w:eastAsia="Arial" w:hAnsi="Arial"/>
          <w:sz w:val="22"/>
          <w:szCs w:val="22"/>
          <w:color w:val="auto"/>
        </w:rPr>
      </w:pPr>
    </w:p>
    <w:p>
      <w:pPr>
        <w:ind w:left="4" w:right="20" w:hanging="4"/>
        <w:spacing w:after="0" w:line="243" w:lineRule="auto"/>
        <w:tabs>
          <w:tab w:leader="none" w:pos="787" w:val="left"/>
        </w:tabs>
        <w:numPr>
          <w:ilvl w:val="0"/>
          <w:numId w:val="58"/>
        </w:numPr>
        <w:rPr>
          <w:rFonts w:ascii="Arial" w:cs="Arial" w:eastAsia="Arial" w:hAnsi="Arial"/>
          <w:sz w:val="18"/>
          <w:szCs w:val="18"/>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You shall receive no benefit or adjustment to your Award with respect to any cash dividend, stock</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or other distribution that does not result from a Capitalization Adjustment.</w:t>
      </w:r>
    </w:p>
    <w:p>
      <w:pPr>
        <w:spacing w:after="0" w:line="190" w:lineRule="exact"/>
        <w:rPr>
          <w:rFonts w:ascii="Arial" w:cs="Arial" w:eastAsia="Arial" w:hAnsi="Arial"/>
          <w:sz w:val="18"/>
          <w:szCs w:val="18"/>
          <w:color w:val="auto"/>
        </w:rPr>
      </w:pPr>
    </w:p>
    <w:p>
      <w:pPr>
        <w:ind w:left="-656" w:firstLine="656"/>
        <w:spacing w:after="0" w:line="243" w:lineRule="auto"/>
        <w:tabs>
          <w:tab w:leader="none" w:pos="775" w:val="left"/>
        </w:tabs>
        <w:numPr>
          <w:ilvl w:val="0"/>
          <w:numId w:val="58"/>
        </w:numPr>
        <w:rPr>
          <w:rFonts w:ascii="Arial" w:cs="Arial" w:eastAsia="Arial" w:hAnsi="Arial"/>
          <w:sz w:val="18"/>
          <w:szCs w:val="18"/>
          <w:color w:val="auto"/>
        </w:rPr>
      </w:pPr>
      <w:r>
        <w:rPr>
          <w:rFonts w:ascii="Arial" w:cs="Arial" w:eastAsia="Arial" w:hAnsi="Arial"/>
          <w:sz w:val="22"/>
          <w:szCs w:val="22"/>
          <w:b w:val="1"/>
          <w:bCs w:val="1"/>
          <w:color w:val="auto"/>
        </w:rPr>
        <w:t xml:space="preserve">Restrictive Legends. </w:t>
      </w:r>
      <w:r>
        <w:rPr>
          <w:rFonts w:ascii="Arial" w:cs="Arial" w:eastAsia="Arial" w:hAnsi="Arial"/>
          <w:sz w:val="22"/>
          <w:szCs w:val="22"/>
          <w:color w:val="auto"/>
        </w:rPr>
        <w:t>The shares of Common Stock issued under your Award shall be endorsed with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legends as determined by the Company.</w:t>
      </w:r>
    </w:p>
    <w:p>
      <w:pPr>
        <w:spacing w:after="0" w:line="190" w:lineRule="exact"/>
        <w:rPr>
          <w:rFonts w:ascii="Arial" w:cs="Arial" w:eastAsia="Arial" w:hAnsi="Arial"/>
          <w:sz w:val="18"/>
          <w:szCs w:val="18"/>
          <w:color w:val="auto"/>
        </w:rPr>
      </w:pPr>
    </w:p>
    <w:p>
      <w:pPr>
        <w:jc w:val="both"/>
        <w:ind w:left="-656" w:firstLine="656"/>
        <w:spacing w:after="0" w:line="234" w:lineRule="auto"/>
        <w:tabs>
          <w:tab w:leader="none" w:pos="775" w:val="left"/>
        </w:tabs>
        <w:numPr>
          <w:ilvl w:val="0"/>
          <w:numId w:val="58"/>
        </w:numPr>
        <w:rPr>
          <w:rFonts w:ascii="Arial" w:cs="Arial" w:eastAsia="Arial" w:hAnsi="Arial"/>
          <w:sz w:val="17"/>
          <w:szCs w:val="17"/>
          <w:color w:val="auto"/>
        </w:rPr>
      </w:pPr>
      <w:r>
        <w:rPr>
          <w:rFonts w:ascii="Arial" w:cs="Arial" w:eastAsia="Arial" w:hAnsi="Arial"/>
          <w:sz w:val="21"/>
          <w:szCs w:val="21"/>
          <w:b w:val="1"/>
          <w:bCs w:val="1"/>
          <w:color w:val="auto"/>
        </w:rPr>
        <w:t xml:space="preserve">Execution of Documents. </w:t>
      </w:r>
      <w:r>
        <w:rPr>
          <w:rFonts w:ascii="Arial" w:cs="Arial" w:eastAsia="Arial" w:hAnsi="Arial"/>
          <w:sz w:val="21"/>
          <w:szCs w:val="21"/>
          <w:color w:val="auto"/>
        </w:rPr>
        <w:t>You hereby acknowledge and agree that the manner selected by the Company by which</w:t>
      </w:r>
      <w:r>
        <w:rPr>
          <w:rFonts w:ascii="Arial" w:cs="Arial" w:eastAsia="Arial" w:hAnsi="Arial"/>
          <w:sz w:val="21"/>
          <w:szCs w:val="21"/>
          <w:b w:val="1"/>
          <w:bCs w:val="1"/>
          <w:color w:val="auto"/>
        </w:rPr>
        <w:t xml:space="preserve"> </w:t>
      </w:r>
      <w:r>
        <w:rPr>
          <w:rFonts w:ascii="Arial" w:cs="Arial" w:eastAsia="Arial" w:hAnsi="Arial"/>
          <w:sz w:val="21"/>
          <w:szCs w:val="21"/>
          <w:color w:val="auto"/>
        </w:rPr>
        <w:t>you 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192" w:lineRule="exact"/>
        <w:rPr>
          <w:rFonts w:ascii="Arial" w:cs="Arial" w:eastAsia="Arial" w:hAnsi="Arial"/>
          <w:sz w:val="17"/>
          <w:szCs w:val="17"/>
          <w:color w:val="auto"/>
        </w:rPr>
      </w:pPr>
    </w:p>
    <w:p>
      <w:pPr>
        <w:ind w:left="864" w:hanging="864"/>
        <w:spacing w:after="0"/>
        <w:tabs>
          <w:tab w:leader="none" w:pos="864" w:val="left"/>
        </w:tabs>
        <w:numPr>
          <w:ilvl w:val="0"/>
          <w:numId w:val="58"/>
        </w:numPr>
        <w:rPr>
          <w:rFonts w:ascii="Arial" w:cs="Arial" w:eastAsia="Arial" w:hAnsi="Arial"/>
          <w:sz w:val="18"/>
          <w:szCs w:val="18"/>
          <w:color w:val="auto"/>
        </w:rPr>
      </w:pPr>
      <w:r>
        <w:rPr>
          <w:rFonts w:ascii="Arial" w:cs="Arial" w:eastAsia="Arial" w:hAnsi="Arial"/>
          <w:sz w:val="22"/>
          <w:szCs w:val="22"/>
          <w:b w:val="1"/>
          <w:bCs w:val="1"/>
          <w:color w:val="auto"/>
        </w:rPr>
        <w:t>[Change in Control][, Termination Without Cause][, and Death].</w:t>
      </w:r>
    </w:p>
    <w:p>
      <w:pPr>
        <w:jc w:val="both"/>
        <w:ind w:left="-656" w:firstLine="1305"/>
        <w:spacing w:after="0" w:line="221" w:lineRule="auto"/>
        <w:tabs>
          <w:tab w:leader="none" w:pos="1488" w:val="left"/>
        </w:tabs>
        <w:numPr>
          <w:ilvl w:val="1"/>
          <w:numId w:val="58"/>
        </w:numPr>
        <w:rPr>
          <w:rFonts w:ascii="Arial" w:cs="Arial" w:eastAsia="Arial" w:hAnsi="Arial"/>
          <w:sz w:val="17"/>
          <w:szCs w:val="17"/>
          <w:color w:val="auto"/>
        </w:rPr>
      </w:pPr>
      <w:r>
        <w:rPr>
          <w:rFonts w:ascii="Arial" w:cs="Arial" w:eastAsia="Arial" w:hAnsi="Arial"/>
          <w:sz w:val="21"/>
          <w:szCs w:val="21"/>
          <w:color w:val="auto"/>
        </w:rPr>
        <w:t>[If prior to the termination of your Continuous Service, the Company undergoes a Change in Control and the closing market price of the Company’s Common Stock immediately before the Change in Control is equal to or greater than [ ] percent ([ ]%) of $[ ] (the closing market price of the Company’s Common Stock on the Date of Grant) ($[ ]), then you will become one hundred percent (100%) vested in this Award and all vested RSUs shall be settled by the Company through the issuance of Common Stock immediately prior to the effective date of the Change in Control.] [If your Continuous Service is terminated without Cause, then, as of the date of termination of Continuous Service, the vesting and exercisability of your Award will be accelerated in full.][In the event of your death prior to the termination of your Continuous Service, the vesting and exercisability of your Award will be accelerated in full.</w:t>
      </w:r>
    </w:p>
    <w:p>
      <w:pPr>
        <w:spacing w:after="0" w:line="201" w:lineRule="exact"/>
        <w:rPr>
          <w:rFonts w:ascii="Arial" w:cs="Arial" w:eastAsia="Arial" w:hAnsi="Arial"/>
          <w:sz w:val="17"/>
          <w:szCs w:val="17"/>
          <w:color w:val="auto"/>
        </w:rPr>
      </w:pPr>
    </w:p>
    <w:p>
      <w:pPr>
        <w:jc w:val="both"/>
        <w:ind w:left="-656" w:firstLine="1305"/>
        <w:spacing w:after="0" w:line="243" w:lineRule="auto"/>
        <w:tabs>
          <w:tab w:leader="none" w:pos="1498" w:val="left"/>
        </w:tabs>
        <w:numPr>
          <w:ilvl w:val="1"/>
          <w:numId w:val="58"/>
        </w:numPr>
        <w:rPr>
          <w:rFonts w:ascii="Arial" w:cs="Arial" w:eastAsia="Arial" w:hAnsi="Arial"/>
          <w:sz w:val="16"/>
          <w:szCs w:val="16"/>
          <w:color w:val="auto"/>
        </w:rPr>
      </w:pPr>
      <w:r>
        <w:rPr>
          <w:rFonts w:ascii="Arial" w:cs="Arial" w:eastAsia="Arial" w:hAnsi="Arial"/>
          <w:sz w:val="19"/>
          <w:szCs w:val="19"/>
          <w:color w:val="auto"/>
        </w:rPr>
        <w:t>[If any payment or benefit you would receive from the Company or otherwise in connection with a Change in Control or other similar transaction (a “</w:t>
      </w:r>
      <w:r>
        <w:rPr>
          <w:rFonts w:ascii="Arial" w:cs="Arial" w:eastAsia="Arial" w:hAnsi="Arial"/>
          <w:sz w:val="19"/>
          <w:szCs w:val="19"/>
          <w:b w:val="1"/>
          <w:bCs w:val="1"/>
          <w:i w:val="1"/>
          <w:iCs w:val="1"/>
          <w:color w:val="auto"/>
        </w:rPr>
        <w:t>280G 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any such 280G Payment (a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shall be equal to the Reduced Amount. The “</w:t>
      </w:r>
      <w:r>
        <w:rPr>
          <w:rFonts w:ascii="Arial" w:cs="Arial" w:eastAsia="Arial" w:hAnsi="Arial"/>
          <w:sz w:val="19"/>
          <w:szCs w:val="19"/>
          <w:b w:val="1"/>
          <w:bCs w:val="1"/>
          <w:i w:val="1"/>
          <w:iCs w:val="1"/>
          <w:color w:val="auto"/>
        </w:rPr>
        <w:t>Reduced Amount</w:t>
      </w:r>
      <w:r>
        <w:rPr>
          <w:rFonts w:ascii="Arial" w:cs="Arial" w:eastAsia="Arial" w:hAnsi="Arial"/>
          <w:sz w:val="19"/>
          <w:szCs w:val="19"/>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9"/>
          <w:szCs w:val="19"/>
          <w:b w:val="1"/>
          <w:bCs w:val="1"/>
          <w:i w:val="1"/>
          <w:iCs w:val="1"/>
          <w:color w:val="auto"/>
        </w:rPr>
        <w:t>Reduction Method</w:t>
      </w:r>
      <w:r>
        <w:rPr>
          <w:rFonts w:ascii="Arial" w:cs="Arial" w:eastAsia="Arial" w:hAnsi="Arial"/>
          <w:sz w:val="19"/>
          <w:szCs w:val="19"/>
          <w:color w:val="auto"/>
        </w:rPr>
        <w:t>”) that results in the greatest economic benefit for you. If more than one method of reduction will result in the same economic benefit, the items so reduced will be reduced pro rata (the “</w:t>
      </w:r>
      <w:r>
        <w:rPr>
          <w:rFonts w:ascii="Arial" w:cs="Arial" w:eastAsia="Arial" w:hAnsi="Arial"/>
          <w:sz w:val="19"/>
          <w:szCs w:val="19"/>
          <w:b w:val="1"/>
          <w:bCs w:val="1"/>
          <w:i w:val="1"/>
          <w:iCs w:val="1"/>
          <w:color w:val="auto"/>
        </w:rPr>
        <w:t>Pro Rata Reduction Method</w:t>
      </w:r>
      <w:r>
        <w:rPr>
          <w:rFonts w:ascii="Arial" w:cs="Arial" w:eastAsia="Arial" w:hAnsi="Arial"/>
          <w:sz w:val="19"/>
          <w:szCs w:val="19"/>
          <w:color w:val="auto"/>
        </w:rPr>
        <w:t>”).</w:t>
      </w:r>
    </w:p>
    <w:p>
      <w:pPr>
        <w:sectPr>
          <w:pgSz w:w="11900" w:h="16838" w:orient="portrait"/>
          <w:cols w:equalWidth="0" w:num="1">
            <w:col w:w="10764"/>
          </w:cols>
          <w:pgMar w:left="896" w:top="537" w:right="239" w:bottom="1440" w:gutter="0" w:footer="0" w:header="0"/>
        </w:sectPr>
      </w:pPr>
    </w:p>
    <w:bookmarkStart w:id="108" w:name="page109"/>
    <w:bookmarkEnd w:id="108"/>
    <w:p>
      <w:pPr>
        <w:jc w:val="both"/>
        <w:ind w:firstLine="648"/>
        <w:spacing w:after="0" w:line="285" w:lineRule="auto"/>
        <w:rPr>
          <w:sz w:val="20"/>
          <w:szCs w:val="20"/>
          <w:color w:val="auto"/>
        </w:rPr>
      </w:pPr>
      <w:r>
        <w:rPr>
          <w:rFonts w:ascii="Arial" w:cs="Arial" w:eastAsia="Arial" w:hAnsi="Arial"/>
          <w:sz w:val="19"/>
          <w:szCs w:val="19"/>
          <w:color w:val="auto"/>
        </w:rPr>
        <w:t>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you as determined on an after-tax basis;</w:t>
      </w:r>
    </w:p>
    <w:p>
      <w:pPr>
        <w:spacing w:after="0" w:line="4" w:lineRule="exact"/>
        <w:rPr>
          <w:sz w:val="20"/>
          <w:szCs w:val="20"/>
          <w:color w:val="auto"/>
        </w:rPr>
      </w:pPr>
    </w:p>
    <w:p>
      <w:pPr>
        <w:jc w:val="both"/>
        <w:ind w:firstLine="8"/>
        <w:spacing w:after="0" w:line="244" w:lineRule="auto"/>
        <w:tabs>
          <w:tab w:leader="none" w:pos="352" w:val="left"/>
        </w:tabs>
        <w:numPr>
          <w:ilvl w:val="0"/>
          <w:numId w:val="59"/>
        </w:numPr>
        <w:rPr>
          <w:rFonts w:ascii="Arial" w:cs="Arial" w:eastAsia="Arial" w:hAnsi="Arial"/>
          <w:sz w:val="22"/>
          <w:szCs w:val="22"/>
          <w:color w:val="auto"/>
        </w:rPr>
      </w:pPr>
      <w:r>
        <w:rPr>
          <w:rFonts w:ascii="Arial" w:cs="Arial" w:eastAsia="Arial" w:hAnsi="Arial"/>
          <w:sz w:val="22"/>
          <w:szCs w:val="22"/>
          <w:color w:val="auto"/>
        </w:rPr>
        <w:t>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23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Unless you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of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you receive a Payment for which the Reduced Amount was determined pursuant to clause (x) of the first paragraph of this Section and the Internal Revenue Service determines thereafter that some portion of the Payment is subject to the Excise Tax, you shall promptly return to the Company a sufficient amount of the Payment (after reduction pursuant to clause (x) of the first paragraph of this Section so that no portion of the remaining Payment is subject to the Excise Tax. For the avoidance of doubt, if the Reduced Amount was determined pursuant to clause (y) in the first paragraph of this Section, you shall have no obligation to return any portion of the Payment pursuant to the preceding sentence.]</w:t>
      </w:r>
    </w:p>
    <w:p>
      <w:pPr>
        <w:spacing w:after="0" w:line="157" w:lineRule="exact"/>
        <w:rPr>
          <w:sz w:val="20"/>
          <w:szCs w:val="20"/>
          <w:color w:val="auto"/>
        </w:rPr>
      </w:pPr>
    </w:p>
    <w:p>
      <w:pPr>
        <w:ind w:left="1520" w:hanging="864"/>
        <w:spacing w:after="0"/>
        <w:tabs>
          <w:tab w:leader="none" w:pos="1520" w:val="left"/>
        </w:tabs>
        <w:numPr>
          <w:ilvl w:val="0"/>
          <w:numId w:val="60"/>
        </w:numPr>
        <w:rPr>
          <w:rFonts w:ascii="Arial" w:cs="Arial" w:eastAsia="Arial" w:hAnsi="Arial"/>
          <w:sz w:val="18"/>
          <w:szCs w:val="18"/>
          <w:color w:val="auto"/>
        </w:rPr>
      </w:pPr>
      <w:r>
        <w:rPr>
          <w:rFonts w:ascii="Arial" w:cs="Arial" w:eastAsia="Arial" w:hAnsi="Arial"/>
          <w:sz w:val="22"/>
          <w:szCs w:val="22"/>
          <w:b w:val="1"/>
          <w:bCs w:val="1"/>
          <w:color w:val="auto"/>
        </w:rPr>
        <w:t>Award not a Service Contract</w:t>
      </w:r>
      <w:r>
        <w:rPr>
          <w:rFonts w:ascii="Arial" w:cs="Arial" w:eastAsia="Arial" w:hAnsi="Arial"/>
          <w:sz w:val="22"/>
          <w:szCs w:val="22"/>
          <w:color w:val="auto"/>
        </w:rPr>
        <w:t>.</w:t>
      </w:r>
    </w:p>
    <w:p>
      <w:pPr>
        <w:jc w:val="both"/>
        <w:ind w:firstLine="1305"/>
        <w:spacing w:after="0" w:line="246" w:lineRule="auto"/>
        <w:tabs>
          <w:tab w:leader="none" w:pos="2144" w:val="left"/>
        </w:tabs>
        <w:numPr>
          <w:ilvl w:val="1"/>
          <w:numId w:val="60"/>
        </w:numPr>
        <w:rPr>
          <w:rFonts w:ascii="Arial" w:cs="Arial" w:eastAsia="Arial" w:hAnsi="Arial"/>
          <w:sz w:val="16"/>
          <w:szCs w:val="16"/>
          <w:color w:val="auto"/>
        </w:rPr>
      </w:pPr>
      <w:r>
        <w:rPr>
          <w:rFonts w:ascii="Arial" w:cs="Arial" w:eastAsia="Arial" w:hAnsi="Arial"/>
          <w:sz w:val="19"/>
          <w:szCs w:val="19"/>
          <w:color w:val="auto"/>
        </w:rPr>
        <w:t>Nothing in this Agreement (including, but not limited to, the vesting of your Award or the issuance of the shares subject to your Award), the Plan or any covenant of good faith and fair dealing that 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97" w:lineRule="exact"/>
        <w:rPr>
          <w:rFonts w:ascii="Arial" w:cs="Arial" w:eastAsia="Arial" w:hAnsi="Arial"/>
          <w:sz w:val="16"/>
          <w:szCs w:val="16"/>
          <w:color w:val="auto"/>
        </w:rPr>
      </w:pPr>
    </w:p>
    <w:p>
      <w:pPr>
        <w:jc w:val="both"/>
        <w:ind w:firstLine="1305"/>
        <w:spacing w:after="0" w:line="218" w:lineRule="auto"/>
        <w:tabs>
          <w:tab w:leader="none" w:pos="2155" w:val="left"/>
        </w:tabs>
        <w:numPr>
          <w:ilvl w:val="1"/>
          <w:numId w:val="60"/>
        </w:numPr>
        <w:rPr>
          <w:rFonts w:ascii="Arial" w:cs="Arial" w:eastAsia="Arial" w:hAnsi="Arial"/>
          <w:sz w:val="18"/>
          <w:szCs w:val="18"/>
          <w:color w:val="auto"/>
        </w:rPr>
      </w:pPr>
      <w:r>
        <w:rPr>
          <w:rFonts w:ascii="Arial" w:cs="Arial" w:eastAsia="Arial" w:hAnsi="Arial"/>
          <w:sz w:val="22"/>
          <w:szCs w:val="22"/>
          <w:color w:val="auto"/>
        </w:rPr>
        <w:t>The Company has the right to reorganize, sell, spin-out or otherwise restructure one or more of its businesses or Affiliates at any time or from time to time, as it deems appropriate (a “</w:t>
      </w:r>
      <w:r>
        <w:rPr>
          <w:rFonts w:ascii="Arial" w:cs="Arial" w:eastAsia="Arial" w:hAnsi="Arial"/>
          <w:sz w:val="22"/>
          <w:szCs w:val="22"/>
          <w:b w:val="1"/>
          <w:bCs w:val="1"/>
          <w:i w:val="1"/>
          <w:iCs w:val="1"/>
          <w:color w:val="auto"/>
        </w:rPr>
        <w:t>reorganization</w:t>
      </w:r>
      <w:r>
        <w:rPr>
          <w:rFonts w:ascii="Arial" w:cs="Arial" w:eastAsia="Arial" w:hAnsi="Arial"/>
          <w:sz w:val="22"/>
          <w:szCs w:val="22"/>
          <w:color w:val="auto"/>
        </w:rPr>
        <w: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This Agreement,</w:t>
      </w:r>
    </w:p>
    <w:p>
      <w:pPr>
        <w:sectPr>
          <w:pgSz w:w="11900" w:h="16838" w:orient="portrait"/>
          <w:cols w:equalWidth="0" w:num="1">
            <w:col w:w="11420"/>
          </w:cols>
          <w:pgMar w:left="240" w:top="564" w:right="239" w:bottom="1440" w:gutter="0" w:footer="0" w:header="0"/>
        </w:sectPr>
      </w:pPr>
    </w:p>
    <w:bookmarkStart w:id="109" w:name="page110"/>
    <w:bookmarkEnd w:id="109"/>
    <w:p>
      <w:pPr>
        <w:jc w:val="both"/>
        <w:spacing w:after="0" w:line="218" w:lineRule="auto"/>
        <w:rPr>
          <w:sz w:val="20"/>
          <w:szCs w:val="20"/>
          <w:color w:val="auto"/>
        </w:rPr>
      </w:pPr>
      <w:r>
        <w:rPr>
          <w:rFonts w:ascii="Arial" w:cs="Arial" w:eastAsia="Arial" w:hAnsi="Arial"/>
          <w:sz w:val="22"/>
          <w:szCs w:val="22"/>
          <w:color w:val="auto"/>
        </w:rPr>
        <w:t>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conduct a reorganization.</w:t>
      </w:r>
    </w:p>
    <w:p>
      <w:pPr>
        <w:spacing w:after="0" w:line="196" w:lineRule="exact"/>
        <w:rPr>
          <w:sz w:val="20"/>
          <w:szCs w:val="20"/>
          <w:color w:val="auto"/>
        </w:rPr>
      </w:pPr>
    </w:p>
    <w:p>
      <w:pPr>
        <w:ind w:left="1520" w:hanging="864"/>
        <w:spacing w:after="0"/>
        <w:tabs>
          <w:tab w:leader="none" w:pos="1520" w:val="left"/>
        </w:tabs>
        <w:numPr>
          <w:ilvl w:val="0"/>
          <w:numId w:val="61"/>
        </w:numPr>
        <w:rPr>
          <w:rFonts w:ascii="Arial" w:cs="Arial" w:eastAsia="Arial" w:hAnsi="Arial"/>
          <w:sz w:val="18"/>
          <w:szCs w:val="18"/>
          <w:color w:val="auto"/>
        </w:rPr>
      </w:pPr>
      <w:r>
        <w:rPr>
          <w:rFonts w:ascii="Arial" w:cs="Arial" w:eastAsia="Arial" w:hAnsi="Arial"/>
          <w:sz w:val="22"/>
          <w:szCs w:val="22"/>
          <w:b w:val="1"/>
          <w:bCs w:val="1"/>
          <w:color w:val="auto"/>
        </w:rPr>
        <w:t>Withholding Obligations.</w:t>
      </w:r>
    </w:p>
    <w:p>
      <w:pPr>
        <w:jc w:val="both"/>
        <w:ind w:firstLine="1305"/>
        <w:spacing w:after="0"/>
        <w:tabs>
          <w:tab w:leader="none" w:pos="2144" w:val="left"/>
        </w:tabs>
        <w:numPr>
          <w:ilvl w:val="1"/>
          <w:numId w:val="61"/>
        </w:numPr>
        <w:rPr>
          <w:rFonts w:ascii="Arial" w:cs="Arial" w:eastAsia="Arial" w:hAnsi="Arial"/>
          <w:sz w:val="16"/>
          <w:szCs w:val="16"/>
          <w:color w:val="auto"/>
        </w:rPr>
      </w:pPr>
      <w:r>
        <w:rPr>
          <w:rFonts w:ascii="Arial" w:cs="Arial" w:eastAsia="Arial" w:hAnsi="Arial"/>
          <w:sz w:val="19"/>
          <w:szCs w:val="19"/>
          <w:color w:val="auto"/>
        </w:rPr>
        <w:t>On each Vesting Date, and on or before the time you receive a distribution of the shares underlying your Restricted Stock Units, and at any other time as reasonably requested by the Company in accordance with applicable tax laws, you hereby authorize any required withholding from the Common Stock issuable to you and/or otherwise agree to make adequate provision in cash for any sums required to satisfy the federal, state, local and foreign tax withholding obligations of the Company or any Affiliate that arise in connection with your Award (the “</w:t>
      </w:r>
      <w:r>
        <w:rPr>
          <w:rFonts w:ascii="Arial" w:cs="Arial" w:eastAsia="Arial" w:hAnsi="Arial"/>
          <w:sz w:val="19"/>
          <w:szCs w:val="19"/>
          <w:b w:val="1"/>
          <w:bCs w:val="1"/>
          <w:i w:val="1"/>
          <w:iCs w:val="1"/>
          <w:color w:val="auto"/>
        </w:rPr>
        <w:t>Withholding Taxes</w:t>
      </w:r>
      <w:r>
        <w:rPr>
          <w:rFonts w:ascii="Arial" w:cs="Arial" w:eastAsia="Arial" w:hAnsi="Arial"/>
          <w:sz w:val="19"/>
          <w:szCs w:val="19"/>
          <w:color w:val="auto"/>
        </w:rPr>
        <w:t>”). Additionally,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(iii) permitting or requiring you to enter into a “same day sale” commitment, if applicable,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xml:space="preserve">”)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and/or its Affiliates; or (iv) withholding shares of Common Stock from the shares of Common Stock issued or otherwise issuable to you in connection with the Award with a Fair Market Value (measured as of the date shares of Common Stock are issued to pursuant to Section 6) equal to the amount of such Withholding Taxes;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number of such shares of Common Stock so withheld will not exceed the amount necessary to satisfy the Company’s required tax withholding obligations using the minimum statutory withholding rates for federal, state, local and foreign tax purposes, including payroll taxes, that are applicable to supplemental taxable income; and </w:t>
      </w:r>
      <w:r>
        <w:rPr>
          <w:rFonts w:ascii="Arial" w:cs="Arial" w:eastAsia="Arial" w:hAnsi="Arial"/>
          <w:sz w:val="19"/>
          <w:szCs w:val="19"/>
          <w:i w:val="1"/>
          <w:iCs w:val="1"/>
          <w:color w:val="auto"/>
        </w:rPr>
        <w:t>provided</w:t>
      </w:r>
      <w:r>
        <w:rPr>
          <w:rFonts w:ascii="Arial" w:cs="Arial" w:eastAsia="Arial" w:hAnsi="Arial"/>
          <w:sz w:val="19"/>
          <w:szCs w:val="19"/>
          <w:color w:val="auto"/>
        </w:rPr>
        <w:t>, further, that to the extent necessary to qualify for an exemption from application of Section 16(b) of the Exchange Act, if applicable, such share withholding procedure will be subject to the express prior approval of the Company’s Compensation Committee.</w:t>
      </w:r>
    </w:p>
    <w:p>
      <w:pPr>
        <w:spacing w:after="0" w:line="200" w:lineRule="exact"/>
        <w:rPr>
          <w:rFonts w:ascii="Arial" w:cs="Arial" w:eastAsia="Arial" w:hAnsi="Arial"/>
          <w:sz w:val="16"/>
          <w:szCs w:val="16"/>
          <w:color w:val="auto"/>
        </w:rPr>
      </w:pPr>
    </w:p>
    <w:p>
      <w:pPr>
        <w:spacing w:after="0" w:line="224" w:lineRule="exact"/>
        <w:rPr>
          <w:rFonts w:ascii="Arial" w:cs="Arial" w:eastAsia="Arial" w:hAnsi="Arial"/>
          <w:sz w:val="16"/>
          <w:szCs w:val="16"/>
          <w:color w:val="auto"/>
        </w:rPr>
      </w:pPr>
    </w:p>
    <w:p>
      <w:pPr>
        <w:ind w:right="20" w:firstLine="1305"/>
        <w:spacing w:after="0" w:line="239" w:lineRule="auto"/>
        <w:tabs>
          <w:tab w:leader="none" w:pos="2155" w:val="left"/>
        </w:tabs>
        <w:numPr>
          <w:ilvl w:val="1"/>
          <w:numId w:val="61"/>
        </w:numPr>
        <w:rPr>
          <w:rFonts w:ascii="Arial" w:cs="Arial" w:eastAsia="Arial" w:hAnsi="Arial"/>
          <w:sz w:val="18"/>
          <w:szCs w:val="18"/>
          <w:color w:val="auto"/>
        </w:rPr>
      </w:pPr>
      <w:r>
        <w:rPr>
          <w:rFonts w:ascii="Arial" w:cs="Arial" w:eastAsia="Arial" w:hAnsi="Arial"/>
          <w:sz w:val="22"/>
          <w:szCs w:val="22"/>
          <w:color w:val="auto"/>
        </w:rPr>
        <w:t>Unless the tax withholding obligations of the Company and/or any Affiliate are satisfied, the Company shall have no obligation to deliver to you any Common Stock.</w:t>
      </w:r>
    </w:p>
    <w:p>
      <w:pPr>
        <w:spacing w:after="0" w:line="198" w:lineRule="exact"/>
        <w:rPr>
          <w:rFonts w:ascii="Arial" w:cs="Arial" w:eastAsia="Arial" w:hAnsi="Arial"/>
          <w:sz w:val="18"/>
          <w:szCs w:val="18"/>
          <w:color w:val="auto"/>
        </w:rPr>
      </w:pPr>
    </w:p>
    <w:p>
      <w:pPr>
        <w:jc w:val="both"/>
        <w:ind w:firstLine="1305"/>
        <w:spacing w:after="0" w:line="222" w:lineRule="auto"/>
        <w:tabs>
          <w:tab w:leader="none" w:pos="2144" w:val="left"/>
        </w:tabs>
        <w:numPr>
          <w:ilvl w:val="1"/>
          <w:numId w:val="61"/>
        </w:numPr>
        <w:rPr>
          <w:rFonts w:ascii="Arial" w:cs="Arial" w:eastAsia="Arial" w:hAnsi="Arial"/>
          <w:sz w:val="18"/>
          <w:szCs w:val="18"/>
          <w:color w:val="auto"/>
        </w:rPr>
      </w:pPr>
      <w:r>
        <w:rPr>
          <w:rFonts w:ascii="Arial" w:cs="Arial" w:eastAsia="Arial" w:hAnsi="Arial"/>
          <w:sz w:val="22"/>
          <w:szCs w:val="22"/>
          <w:color w:val="auto"/>
        </w:rPr>
        <w:t>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92" w:lineRule="exact"/>
        <w:rPr>
          <w:rFonts w:ascii="Arial" w:cs="Arial" w:eastAsia="Arial" w:hAnsi="Arial"/>
          <w:sz w:val="18"/>
          <w:szCs w:val="18"/>
          <w:color w:val="auto"/>
        </w:rPr>
      </w:pPr>
    </w:p>
    <w:p>
      <w:pPr>
        <w:jc w:val="both"/>
        <w:ind w:firstLine="656"/>
        <w:spacing w:after="0" w:line="217" w:lineRule="auto"/>
        <w:tabs>
          <w:tab w:leader="none" w:pos="1521" w:val="left"/>
        </w:tabs>
        <w:numPr>
          <w:ilvl w:val="0"/>
          <w:numId w:val="61"/>
        </w:numPr>
        <w:rPr>
          <w:rFonts w:ascii="Arial" w:cs="Arial" w:eastAsia="Arial" w:hAnsi="Arial"/>
          <w:sz w:val="18"/>
          <w:szCs w:val="18"/>
          <w:color w:val="auto"/>
        </w:rPr>
      </w:pPr>
      <w:r>
        <w:rPr>
          <w:rFonts w:ascii="Arial" w:cs="Arial" w:eastAsia="Arial" w:hAnsi="Arial"/>
          <w:sz w:val="22"/>
          <w:szCs w:val="22"/>
          <w:b w:val="1"/>
          <w:bCs w:val="1"/>
          <w:color w:val="auto"/>
        </w:rPr>
        <w:t xml:space="preserve">Tax Consequences. </w:t>
      </w:r>
      <w:r>
        <w:rPr>
          <w:rFonts w:ascii="Arial" w:cs="Arial" w:eastAsia="Arial" w:hAnsi="Arial"/>
          <w:sz w:val="22"/>
          <w:szCs w:val="22"/>
          <w:color w:val="auto"/>
        </w:rPr>
        <w:t>The Company has no duty or obligation to minimize the tax consequences to you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194" w:lineRule="exact"/>
        <w:rPr>
          <w:rFonts w:ascii="Arial" w:cs="Arial" w:eastAsia="Arial" w:hAnsi="Arial"/>
          <w:sz w:val="18"/>
          <w:szCs w:val="18"/>
          <w:color w:val="auto"/>
        </w:rPr>
      </w:pPr>
    </w:p>
    <w:p>
      <w:pPr>
        <w:jc w:val="both"/>
        <w:ind w:firstLine="656"/>
        <w:spacing w:after="0" w:line="229" w:lineRule="auto"/>
        <w:tabs>
          <w:tab w:leader="none" w:pos="1521" w:val="left"/>
        </w:tabs>
        <w:numPr>
          <w:ilvl w:val="0"/>
          <w:numId w:val="61"/>
        </w:numPr>
        <w:rPr>
          <w:rFonts w:ascii="Arial" w:cs="Arial" w:eastAsia="Arial" w:hAnsi="Arial"/>
          <w:sz w:val="18"/>
          <w:szCs w:val="18"/>
          <w:color w:val="auto"/>
        </w:rPr>
      </w:pPr>
      <w:r>
        <w:rPr>
          <w:rFonts w:ascii="Arial" w:cs="Arial" w:eastAsia="Arial" w:hAnsi="Arial"/>
          <w:sz w:val="22"/>
          <w:szCs w:val="22"/>
          <w:b w:val="1"/>
          <w:bCs w:val="1"/>
          <w:color w:val="auto"/>
        </w:rPr>
        <w:t xml:space="preserve">Unsecured Obligation. </w:t>
      </w:r>
      <w:r>
        <w:rPr>
          <w:rFonts w:ascii="Arial" w:cs="Arial" w:eastAsia="Arial" w:hAnsi="Arial"/>
          <w:sz w:val="22"/>
          <w:szCs w:val="22"/>
          <w:color w:val="auto"/>
        </w:rPr>
        <w:t>Your Award is unfunded, and as a holder of a vested Award, you shall be considered an</w:t>
      </w:r>
      <w:r>
        <w:rPr>
          <w:rFonts w:ascii="Arial" w:cs="Arial" w:eastAsia="Arial" w:hAnsi="Arial"/>
          <w:sz w:val="22"/>
          <w:szCs w:val="22"/>
          <w:b w:val="1"/>
          <w:bCs w:val="1"/>
          <w:color w:val="auto"/>
        </w:rPr>
        <w:t xml:space="preserve"> </w:t>
      </w:r>
      <w:r>
        <w:rPr>
          <w:rFonts w:ascii="Arial" w:cs="Arial" w:eastAsia="Arial" w:hAnsi="Arial"/>
          <w:sz w:val="22"/>
          <w:szCs w:val="22"/>
          <w:color w:val="auto"/>
        </w:rPr>
        <w:t>unsecured creditor of the Company with respect to the Company’s obligation, if any, to issue shares or other property pursuant to this Agreement. You shall not have voting or any other rights as a</w:t>
      </w:r>
    </w:p>
    <w:p>
      <w:pPr>
        <w:sectPr>
          <w:pgSz w:w="11900" w:h="16838" w:orient="portrait"/>
          <w:cols w:equalWidth="0" w:num="1">
            <w:col w:w="11420"/>
          </w:cols>
          <w:pgMar w:left="240" w:top="537" w:right="239" w:bottom="1440" w:gutter="0" w:footer="0" w:header="0"/>
        </w:sectPr>
      </w:pPr>
    </w:p>
    <w:bookmarkStart w:id="110" w:name="page111"/>
    <w:bookmarkEnd w:id="110"/>
    <w:p>
      <w:pPr>
        <w:jc w:val="both"/>
        <w:spacing w:after="0" w:line="257" w:lineRule="auto"/>
        <w:rPr>
          <w:sz w:val="20"/>
          <w:szCs w:val="20"/>
          <w:color w:val="auto"/>
        </w:rPr>
      </w:pPr>
      <w:r>
        <w:rPr>
          <w:rFonts w:ascii="Arial" w:cs="Arial" w:eastAsia="Arial" w:hAnsi="Arial"/>
          <w:sz w:val="19"/>
          <w:szCs w:val="19"/>
          <w:color w:val="auto"/>
        </w:rPr>
        <w:t>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79" w:lineRule="exact"/>
        <w:rPr>
          <w:sz w:val="20"/>
          <w:szCs w:val="20"/>
          <w:color w:val="auto"/>
        </w:rPr>
      </w:pPr>
    </w:p>
    <w:p>
      <w:pPr>
        <w:jc w:val="both"/>
        <w:ind w:firstLine="656"/>
        <w:spacing w:after="0" w:line="215" w:lineRule="auto"/>
        <w:tabs>
          <w:tab w:leader="none" w:pos="1521" w:val="left"/>
        </w:tabs>
        <w:numPr>
          <w:ilvl w:val="0"/>
          <w:numId w:val="62"/>
        </w:numPr>
        <w:rPr>
          <w:rFonts w:ascii="Arial" w:cs="Arial" w:eastAsia="Arial" w:hAnsi="Arial"/>
          <w:sz w:val="18"/>
          <w:szCs w:val="18"/>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or request required or permitted hereunder shall be given in writing to each of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and shall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at the following addresses, or at such other address(es) as a party may designate by ten (10) days’ advance written notice to each of the other parties hereto:</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Kratos Defense &amp; Security Solutions, Incorporated</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Attn: Stock Administrator</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10680 Treena Street, Suite 600</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San Diego, CA 92131</w:t>
      </w:r>
    </w:p>
    <w:p>
      <w:pPr>
        <w:spacing w:after="0" w:line="196"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color w:val="auto"/>
        </w:rPr>
        <w:t>Your address as on file with the Company</w:t>
      </w:r>
    </w:p>
    <w:p>
      <w:pPr>
        <w:spacing w:after="0" w:line="2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 the time notice is given</w:t>
      </w:r>
    </w:p>
    <w:p>
      <w:pPr>
        <w:spacing w:after="0" w:line="182" w:lineRule="exact"/>
        <w:rPr>
          <w:sz w:val="20"/>
          <w:szCs w:val="20"/>
          <w:color w:val="auto"/>
        </w:rPr>
      </w:pPr>
    </w:p>
    <w:p>
      <w:pPr>
        <w:ind w:left="660" w:hanging="4"/>
        <w:spacing w:after="0" w:line="243" w:lineRule="auto"/>
        <w:tabs>
          <w:tab w:leader="none" w:pos="1533" w:val="left"/>
        </w:tabs>
        <w:numPr>
          <w:ilvl w:val="0"/>
          <w:numId w:val="63"/>
        </w:numPr>
        <w:rPr>
          <w:rFonts w:ascii="Arial" w:cs="Arial" w:eastAsia="Arial" w:hAnsi="Arial"/>
          <w:sz w:val="18"/>
          <w:szCs w:val="18"/>
          <w:color w:val="auto"/>
        </w:rPr>
      </w:pPr>
      <w:r>
        <w:rPr>
          <w:rFonts w:ascii="Arial" w:cs="Arial" w:eastAsia="Arial" w:hAnsi="Arial"/>
          <w:sz w:val="22"/>
          <w:szCs w:val="22"/>
          <w:b w:val="1"/>
          <w:bCs w:val="1"/>
          <w:color w:val="auto"/>
        </w:rPr>
        <w:t>Headings</w:t>
      </w:r>
      <w:r>
        <w:rPr>
          <w:rFonts w:ascii="Arial" w:cs="Arial" w:eastAsia="Arial" w:hAnsi="Arial"/>
          <w:sz w:val="22"/>
          <w:szCs w:val="22"/>
          <w:color w:val="auto"/>
        </w:rPr>
        <w:t>. The headings of the Sections in this Agreement are inserted for convenience only and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constitute a part of this Agreement or to affect the meaning of this Agreement.</w:t>
      </w:r>
    </w:p>
    <w:p>
      <w:pPr>
        <w:spacing w:after="0" w:line="190" w:lineRule="exact"/>
        <w:rPr>
          <w:rFonts w:ascii="Arial" w:cs="Arial" w:eastAsia="Arial" w:hAnsi="Arial"/>
          <w:sz w:val="18"/>
          <w:szCs w:val="18"/>
          <w:color w:val="auto"/>
        </w:rPr>
      </w:pPr>
    </w:p>
    <w:p>
      <w:pPr>
        <w:ind w:left="1520" w:hanging="864"/>
        <w:spacing w:after="0"/>
        <w:tabs>
          <w:tab w:leader="none" w:pos="1520" w:val="left"/>
        </w:tabs>
        <w:numPr>
          <w:ilvl w:val="0"/>
          <w:numId w:val="63"/>
        </w:numPr>
        <w:rPr>
          <w:rFonts w:ascii="Arial" w:cs="Arial" w:eastAsia="Arial" w:hAnsi="Arial"/>
          <w:sz w:val="18"/>
          <w:szCs w:val="18"/>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jc w:val="both"/>
        <w:ind w:firstLine="1305"/>
        <w:spacing w:after="0" w:line="222" w:lineRule="auto"/>
        <w:tabs>
          <w:tab w:leader="none" w:pos="2144" w:val="left"/>
        </w:tabs>
        <w:numPr>
          <w:ilvl w:val="1"/>
          <w:numId w:val="63"/>
        </w:numPr>
        <w:rPr>
          <w:rFonts w:ascii="Arial" w:cs="Arial" w:eastAsia="Arial" w:hAnsi="Arial"/>
          <w:sz w:val="18"/>
          <w:szCs w:val="18"/>
          <w:color w:val="auto"/>
        </w:rPr>
      </w:pPr>
      <w:r>
        <w:rPr>
          <w:rFonts w:ascii="Arial" w:cs="Arial" w:eastAsia="Arial" w:hAnsi="Arial"/>
          <w:sz w:val="22"/>
          <w:szCs w:val="22"/>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98" w:lineRule="exact"/>
        <w:rPr>
          <w:rFonts w:ascii="Arial" w:cs="Arial" w:eastAsia="Arial" w:hAnsi="Arial"/>
          <w:sz w:val="18"/>
          <w:szCs w:val="18"/>
          <w:color w:val="auto"/>
        </w:rPr>
      </w:pPr>
    </w:p>
    <w:p>
      <w:pPr>
        <w:ind w:firstLine="1305"/>
        <w:spacing w:after="0" w:line="239" w:lineRule="auto"/>
        <w:tabs>
          <w:tab w:leader="none" w:pos="2155" w:val="left"/>
        </w:tabs>
        <w:numPr>
          <w:ilvl w:val="1"/>
          <w:numId w:val="63"/>
        </w:numPr>
        <w:rPr>
          <w:rFonts w:ascii="Arial" w:cs="Arial" w:eastAsia="Arial" w:hAnsi="Arial"/>
          <w:sz w:val="18"/>
          <w:szCs w:val="18"/>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Award.</w:t>
      </w:r>
    </w:p>
    <w:p>
      <w:pPr>
        <w:spacing w:after="0" w:line="198" w:lineRule="exact"/>
        <w:rPr>
          <w:rFonts w:ascii="Arial" w:cs="Arial" w:eastAsia="Arial" w:hAnsi="Arial"/>
          <w:sz w:val="18"/>
          <w:szCs w:val="18"/>
          <w:color w:val="auto"/>
        </w:rPr>
      </w:pPr>
    </w:p>
    <w:p>
      <w:pPr>
        <w:ind w:firstLine="1305"/>
        <w:spacing w:after="0" w:line="313" w:lineRule="auto"/>
        <w:tabs>
          <w:tab w:leader="none" w:pos="2144" w:val="left"/>
        </w:tabs>
        <w:numPr>
          <w:ilvl w:val="1"/>
          <w:numId w:val="63"/>
        </w:numPr>
        <w:rPr>
          <w:rFonts w:ascii="Arial" w:cs="Arial" w:eastAsia="Arial" w:hAnsi="Arial"/>
          <w:sz w:val="16"/>
          <w:szCs w:val="16"/>
          <w:color w:val="auto"/>
        </w:rPr>
      </w:pPr>
      <w:r>
        <w:rPr>
          <w:rFonts w:ascii="Arial" w:cs="Arial" w:eastAsia="Arial" w:hAnsi="Arial"/>
          <w:sz w:val="19"/>
          <w:szCs w:val="19"/>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32" w:lineRule="exact"/>
        <w:rPr>
          <w:rFonts w:ascii="Arial" w:cs="Arial" w:eastAsia="Arial" w:hAnsi="Arial"/>
          <w:sz w:val="16"/>
          <w:szCs w:val="16"/>
          <w:color w:val="auto"/>
        </w:rPr>
      </w:pPr>
    </w:p>
    <w:p>
      <w:pPr>
        <w:ind w:firstLine="1305"/>
        <w:spacing w:after="0" w:line="239" w:lineRule="auto"/>
        <w:tabs>
          <w:tab w:leader="none" w:pos="2155" w:val="left"/>
        </w:tabs>
        <w:numPr>
          <w:ilvl w:val="1"/>
          <w:numId w:val="63"/>
        </w:numPr>
        <w:rPr>
          <w:rFonts w:ascii="Arial" w:cs="Arial" w:eastAsia="Arial" w:hAnsi="Arial"/>
          <w:sz w:val="18"/>
          <w:szCs w:val="18"/>
          <w:color w:val="auto"/>
        </w:rPr>
      </w:pPr>
      <w:r>
        <w:rPr>
          <w:rFonts w:ascii="Arial" w:cs="Arial" w:eastAsia="Arial" w:hAnsi="Arial"/>
          <w:sz w:val="22"/>
          <w:szCs w:val="22"/>
          <w:color w:val="auto"/>
        </w:rPr>
        <w:t>This Agreement shall be subject to all applicable laws, rules, and regulations, and to such approvals by any governmental agencies or national securities exchanges as may be required.</w:t>
      </w:r>
    </w:p>
    <w:p>
      <w:pPr>
        <w:spacing w:after="0" w:line="198" w:lineRule="exact"/>
        <w:rPr>
          <w:rFonts w:ascii="Arial" w:cs="Arial" w:eastAsia="Arial" w:hAnsi="Arial"/>
          <w:sz w:val="18"/>
          <w:szCs w:val="18"/>
          <w:color w:val="auto"/>
        </w:rPr>
      </w:pPr>
    </w:p>
    <w:p>
      <w:pPr>
        <w:jc w:val="both"/>
        <w:ind w:firstLine="1305"/>
        <w:spacing w:after="0" w:line="227" w:lineRule="auto"/>
        <w:tabs>
          <w:tab w:leader="none" w:pos="2144" w:val="left"/>
        </w:tabs>
        <w:numPr>
          <w:ilvl w:val="1"/>
          <w:numId w:val="63"/>
        </w:numPr>
        <w:rPr>
          <w:rFonts w:ascii="Arial" w:cs="Arial" w:eastAsia="Arial" w:hAnsi="Arial"/>
          <w:sz w:val="18"/>
          <w:szCs w:val="18"/>
          <w:color w:val="auto"/>
        </w:rPr>
      </w:pPr>
      <w:r>
        <w:rPr>
          <w:rFonts w:ascii="Arial" w:cs="Arial" w:eastAsia="Arial" w:hAnsi="Arial"/>
          <w:sz w:val="22"/>
          <w:szCs w:val="22"/>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94" w:lineRule="exact"/>
        <w:rPr>
          <w:rFonts w:ascii="Arial" w:cs="Arial" w:eastAsia="Arial" w:hAnsi="Arial"/>
          <w:sz w:val="18"/>
          <w:szCs w:val="18"/>
          <w:color w:val="auto"/>
        </w:rPr>
      </w:pPr>
    </w:p>
    <w:p>
      <w:pPr>
        <w:jc w:val="both"/>
        <w:ind w:firstLine="656"/>
        <w:spacing w:after="0" w:line="223" w:lineRule="auto"/>
        <w:tabs>
          <w:tab w:leader="none" w:pos="1521" w:val="left"/>
        </w:tabs>
        <w:numPr>
          <w:ilvl w:val="0"/>
          <w:numId w:val="63"/>
        </w:numPr>
        <w:rPr>
          <w:rFonts w:ascii="Arial" w:cs="Arial" w:eastAsia="Arial" w:hAnsi="Arial"/>
          <w:sz w:val="18"/>
          <w:szCs w:val="18"/>
          <w:color w:val="auto"/>
        </w:rPr>
      </w:pPr>
      <w:r>
        <w:rPr>
          <w:rFonts w:ascii="Arial" w:cs="Arial" w:eastAsia="Arial" w:hAnsi="Arial"/>
          <w:sz w:val="22"/>
          <w:szCs w:val="22"/>
          <w:b w:val="1"/>
          <w:bCs w:val="1"/>
          <w:color w:val="auto"/>
        </w:rPr>
        <w:t>Governing Plan Document</w:t>
      </w:r>
      <w:r>
        <w:rPr>
          <w:rFonts w:ascii="Arial" w:cs="Arial" w:eastAsia="Arial" w:hAnsi="Arial"/>
          <w:sz w:val="22"/>
          <w:szCs w:val="22"/>
          <w:color w:val="auto"/>
        </w:rPr>
        <w:t>. Your Award is subject to all the provisions of the Plan, the provisions of which are</w:t>
      </w:r>
      <w:r>
        <w:rPr>
          <w:rFonts w:ascii="Arial" w:cs="Arial" w:eastAsia="Arial" w:hAnsi="Arial"/>
          <w:sz w:val="22"/>
          <w:szCs w:val="22"/>
          <w:b w:val="1"/>
          <w:bCs w:val="1"/>
          <w:color w:val="auto"/>
        </w:rPr>
        <w:t xml:space="preserve"> </w:t>
      </w:r>
      <w:r>
        <w:rPr>
          <w:rFonts w:ascii="Arial" w:cs="Arial" w:eastAsia="Arial" w:hAnsi="Arial"/>
          <w:sz w:val="22"/>
          <w:szCs w:val="22"/>
          <w:color w:val="auto"/>
        </w:rPr>
        <w:t>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w:t>
      </w:r>
    </w:p>
    <w:p>
      <w:pPr>
        <w:sectPr>
          <w:pgSz w:w="11900" w:h="16838" w:orient="portrait"/>
          <w:cols w:equalWidth="0" w:num="1">
            <w:col w:w="11420"/>
          </w:cols>
          <w:pgMar w:left="240" w:top="537" w:right="239" w:bottom="1440" w:gutter="0" w:footer="0" w:header="0"/>
        </w:sectPr>
      </w:pPr>
    </w:p>
    <w:bookmarkStart w:id="111" w:name="page112"/>
    <w:bookmarkEnd w:id="111"/>
    <w:p>
      <w:pPr>
        <w:jc w:val="both"/>
        <w:spacing w:after="0" w:line="216" w:lineRule="auto"/>
        <w:rPr>
          <w:sz w:val="20"/>
          <w:szCs w:val="20"/>
          <w:color w:val="auto"/>
        </w:rPr>
      </w:pPr>
      <w:r>
        <w:rPr>
          <w:rFonts w:ascii="Arial" w:cs="Arial" w:eastAsia="Arial" w:hAnsi="Arial"/>
          <w:sz w:val="22"/>
          <w:szCs w:val="22"/>
          <w:color w:val="auto"/>
        </w:rPr>
        <w:t>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93" w:lineRule="exact"/>
        <w:rPr>
          <w:sz w:val="20"/>
          <w:szCs w:val="20"/>
          <w:color w:val="auto"/>
        </w:rPr>
      </w:pPr>
    </w:p>
    <w:p>
      <w:pPr>
        <w:jc w:val="both"/>
        <w:ind w:firstLine="656"/>
        <w:spacing w:after="0" w:line="219" w:lineRule="auto"/>
        <w:tabs>
          <w:tab w:leader="none" w:pos="1521" w:val="left"/>
        </w:tabs>
        <w:numPr>
          <w:ilvl w:val="0"/>
          <w:numId w:val="64"/>
        </w:numPr>
        <w:rPr>
          <w:rFonts w:ascii="Arial" w:cs="Arial" w:eastAsia="Arial" w:hAnsi="Arial"/>
          <w:sz w:val="18"/>
          <w:szCs w:val="18"/>
          <w:color w:val="auto"/>
        </w:rPr>
      </w:pPr>
      <w:r>
        <w:rPr>
          <w:rFonts w:ascii="Arial" w:cs="Arial" w:eastAsia="Arial" w:hAnsi="Arial"/>
          <w:sz w:val="22"/>
          <w:szCs w:val="22"/>
          <w:b w:val="1"/>
          <w:bCs w:val="1"/>
          <w:color w:val="auto"/>
        </w:rPr>
        <w:t xml:space="preserve">Effect on Other Employee Benefit Plans. </w:t>
      </w:r>
      <w:r>
        <w:rPr>
          <w:rFonts w:ascii="Arial" w:cs="Arial" w:eastAsia="Arial" w:hAnsi="Arial"/>
          <w:sz w:val="22"/>
          <w:szCs w:val="22"/>
          <w:color w:val="auto"/>
        </w:rPr>
        <w:t>The value of the Award subject to this Agreement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96" w:lineRule="exact"/>
        <w:rPr>
          <w:rFonts w:ascii="Arial" w:cs="Arial" w:eastAsia="Arial" w:hAnsi="Arial"/>
          <w:sz w:val="18"/>
          <w:szCs w:val="18"/>
          <w:color w:val="auto"/>
        </w:rPr>
      </w:pPr>
    </w:p>
    <w:p>
      <w:pPr>
        <w:ind w:firstLine="656"/>
        <w:spacing w:after="0" w:line="243" w:lineRule="auto"/>
        <w:tabs>
          <w:tab w:leader="none" w:pos="1521" w:val="left"/>
        </w:tabs>
        <w:numPr>
          <w:ilvl w:val="0"/>
          <w:numId w:val="64"/>
        </w:numPr>
        <w:rPr>
          <w:rFonts w:ascii="Arial" w:cs="Arial" w:eastAsia="Arial" w:hAnsi="Arial"/>
          <w:sz w:val="18"/>
          <w:szCs w:val="18"/>
          <w:color w:val="auto"/>
        </w:rPr>
      </w:pPr>
      <w:r>
        <w:rPr>
          <w:rFonts w:ascii="Arial" w:cs="Arial" w:eastAsia="Arial" w:hAnsi="Arial"/>
          <w:sz w:val="22"/>
          <w:szCs w:val="22"/>
          <w:b w:val="1"/>
          <w:bCs w:val="1"/>
          <w:color w:val="auto"/>
        </w:rPr>
        <w:t xml:space="preserve">Choice of Law. </w:t>
      </w:r>
      <w:r>
        <w:rPr>
          <w:rFonts w:ascii="Arial" w:cs="Arial" w:eastAsia="Arial" w:hAnsi="Arial"/>
          <w:sz w:val="22"/>
          <w:szCs w:val="22"/>
          <w:color w:val="auto"/>
        </w:rPr>
        <w:t>The interpretation, performance and enforcement of this Agreement shall be governed by the law</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California without regard to that state’s conflicts of laws rules.</w:t>
      </w:r>
    </w:p>
    <w:p>
      <w:pPr>
        <w:spacing w:after="0" w:line="190" w:lineRule="exact"/>
        <w:rPr>
          <w:rFonts w:ascii="Arial" w:cs="Arial" w:eastAsia="Arial" w:hAnsi="Arial"/>
          <w:sz w:val="18"/>
          <w:szCs w:val="18"/>
          <w:color w:val="auto"/>
        </w:rPr>
      </w:pPr>
    </w:p>
    <w:p>
      <w:pPr>
        <w:jc w:val="both"/>
        <w:ind w:firstLine="656"/>
        <w:spacing w:after="0" w:line="219" w:lineRule="auto"/>
        <w:tabs>
          <w:tab w:leader="none" w:pos="1521" w:val="left"/>
        </w:tabs>
        <w:numPr>
          <w:ilvl w:val="0"/>
          <w:numId w:val="64"/>
        </w:numPr>
        <w:rPr>
          <w:rFonts w:ascii="Arial" w:cs="Arial" w:eastAsia="Arial" w:hAnsi="Arial"/>
          <w:sz w:val="18"/>
          <w:szCs w:val="18"/>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all or any part of this Agreement or the Plan is declared by any court or governmental authority to</w:t>
      </w:r>
      <w:r>
        <w:rPr>
          <w:rFonts w:ascii="Arial" w:cs="Arial" w:eastAsia="Arial" w:hAnsi="Arial"/>
          <w:sz w:val="22"/>
          <w:szCs w:val="22"/>
          <w:b w:val="1"/>
          <w:bCs w:val="1"/>
          <w:color w:val="auto"/>
        </w:rPr>
        <w:t xml:space="preserve"> </w:t>
      </w:r>
      <w:r>
        <w:rPr>
          <w:rFonts w:ascii="Arial" w:cs="Arial" w:eastAsia="Arial" w:hAnsi="Arial"/>
          <w:sz w:val="22"/>
          <w:szCs w:val="22"/>
          <w:color w:val="auto"/>
        </w:rPr>
        <w:t>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96" w:lineRule="exact"/>
        <w:rPr>
          <w:rFonts w:ascii="Arial" w:cs="Arial" w:eastAsia="Arial" w:hAnsi="Arial"/>
          <w:sz w:val="18"/>
          <w:szCs w:val="18"/>
          <w:color w:val="auto"/>
        </w:rPr>
      </w:pPr>
    </w:p>
    <w:p>
      <w:pPr>
        <w:jc w:val="both"/>
        <w:ind w:firstLine="656"/>
        <w:spacing w:after="0" w:line="229" w:lineRule="auto"/>
        <w:tabs>
          <w:tab w:leader="none" w:pos="1521" w:val="left"/>
        </w:tabs>
        <w:numPr>
          <w:ilvl w:val="0"/>
          <w:numId w:val="64"/>
        </w:numPr>
        <w:rPr>
          <w:rFonts w:ascii="Arial" w:cs="Arial" w:eastAsia="Arial" w:hAnsi="Arial"/>
          <w:sz w:val="18"/>
          <w:szCs w:val="18"/>
          <w:color w:val="auto"/>
        </w:rPr>
      </w:pPr>
      <w:r>
        <w:rPr>
          <w:rFonts w:ascii="Arial" w:cs="Arial" w:eastAsia="Arial" w:hAnsi="Arial"/>
          <w:sz w:val="22"/>
          <w:szCs w:val="22"/>
          <w:b w:val="1"/>
          <w:bCs w:val="1"/>
          <w:color w:val="auto"/>
        </w:rPr>
        <w:t>Other Documents</w:t>
      </w:r>
      <w:r>
        <w:rPr>
          <w:rFonts w:ascii="Arial" w:cs="Arial" w:eastAsia="Arial" w:hAnsi="Arial"/>
          <w:sz w:val="22"/>
          <w:szCs w:val="22"/>
          <w:color w:val="auto"/>
        </w:rPr>
        <w:t>. You hereby acknowledge receipt or the right to receive a document providing the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required by Rule 428(b)(1) promulgated under the Securities Act. In addition, you acknowledge receipt of the Company’s </w:t>
      </w:r>
      <w:r>
        <w:rPr>
          <w:rFonts w:ascii="Arial" w:cs="Arial" w:eastAsia="Arial" w:hAnsi="Arial"/>
          <w:sz w:val="22"/>
          <w:szCs w:val="22"/>
          <w:i w:val="1"/>
          <w:iCs w:val="1"/>
          <w:color w:val="auto"/>
        </w:rPr>
        <w:t>Insider</w:t>
      </w:r>
      <w:r>
        <w:rPr>
          <w:rFonts w:ascii="Arial" w:cs="Arial" w:eastAsia="Arial" w:hAnsi="Arial"/>
          <w:sz w:val="22"/>
          <w:szCs w:val="22"/>
          <w:color w:val="auto"/>
        </w:rPr>
        <w:t xml:space="preserve"> </w:t>
      </w:r>
      <w:r>
        <w:rPr>
          <w:rFonts w:ascii="Arial" w:cs="Arial" w:eastAsia="Arial" w:hAnsi="Arial"/>
          <w:sz w:val="22"/>
          <w:szCs w:val="22"/>
          <w:i w:val="1"/>
          <w:iCs w:val="1"/>
          <w:color w:val="auto"/>
        </w:rPr>
        <w:t>Trading and Trading Window Policy</w:t>
      </w:r>
      <w:r>
        <w:rPr>
          <w:rFonts w:ascii="Arial" w:cs="Arial" w:eastAsia="Arial" w:hAnsi="Arial"/>
          <w:sz w:val="22"/>
          <w:szCs w:val="22"/>
          <w:color w:val="auto"/>
        </w:rPr>
        <w:t>.</w:t>
      </w:r>
    </w:p>
    <w:p>
      <w:pPr>
        <w:spacing w:after="0" w:line="194" w:lineRule="exact"/>
        <w:rPr>
          <w:rFonts w:ascii="Arial" w:cs="Arial" w:eastAsia="Arial" w:hAnsi="Arial"/>
          <w:sz w:val="18"/>
          <w:szCs w:val="18"/>
          <w:color w:val="auto"/>
        </w:rPr>
      </w:pPr>
    </w:p>
    <w:p>
      <w:pPr>
        <w:jc w:val="both"/>
        <w:ind w:firstLine="656"/>
        <w:spacing w:after="0" w:line="247" w:lineRule="auto"/>
        <w:tabs>
          <w:tab w:leader="none" w:pos="1521" w:val="left"/>
        </w:tabs>
        <w:numPr>
          <w:ilvl w:val="0"/>
          <w:numId w:val="64"/>
        </w:numPr>
        <w:rPr>
          <w:rFonts w:ascii="Arial" w:cs="Arial" w:eastAsia="Arial" w:hAnsi="Arial"/>
          <w:sz w:val="16"/>
          <w:szCs w:val="16"/>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This Agreement may not be modified, amended or terminated except by an instrument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signed 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91" w:lineRule="exact"/>
        <w:rPr>
          <w:rFonts w:ascii="Arial" w:cs="Arial" w:eastAsia="Arial" w:hAnsi="Arial"/>
          <w:sz w:val="16"/>
          <w:szCs w:val="16"/>
          <w:color w:val="auto"/>
        </w:rPr>
      </w:pPr>
    </w:p>
    <w:p>
      <w:pPr>
        <w:jc w:val="both"/>
        <w:ind w:firstLine="656"/>
        <w:spacing w:after="0" w:line="247" w:lineRule="auto"/>
        <w:tabs>
          <w:tab w:leader="none" w:pos="1521" w:val="left"/>
        </w:tabs>
        <w:numPr>
          <w:ilvl w:val="0"/>
          <w:numId w:val="64"/>
        </w:numPr>
        <w:rPr>
          <w:rFonts w:ascii="Arial" w:cs="Arial" w:eastAsia="Arial" w:hAnsi="Arial"/>
          <w:sz w:val="16"/>
          <w:szCs w:val="16"/>
          <w:color w:val="auto"/>
        </w:rPr>
      </w:pPr>
      <w:r>
        <w:rPr>
          <w:rFonts w:ascii="Arial" w:cs="Arial" w:eastAsia="Arial" w:hAnsi="Arial"/>
          <w:sz w:val="19"/>
          <w:szCs w:val="19"/>
          <w:b w:val="1"/>
          <w:bCs w:val="1"/>
          <w:color w:val="auto"/>
        </w:rPr>
        <w:t>Compliance with Section 409A of the Code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is intended to comply with the “short-term deferral”</w:t>
      </w:r>
      <w:r>
        <w:rPr>
          <w:rFonts w:ascii="Arial" w:cs="Arial" w:eastAsia="Arial" w:hAnsi="Arial"/>
          <w:sz w:val="19"/>
          <w:szCs w:val="19"/>
          <w:b w:val="1"/>
          <w:bCs w:val="1"/>
          <w:color w:val="auto"/>
        </w:rPr>
        <w:t xml:space="preserve"> </w:t>
      </w:r>
      <w:r>
        <w:rPr>
          <w:rFonts w:ascii="Arial" w:cs="Arial" w:eastAsia="Arial" w:hAnsi="Arial"/>
          <w:sz w:val="19"/>
          <w:szCs w:val="19"/>
          <w:color w:val="auto"/>
        </w:rPr>
        <w:t>rule set forth in Treasury 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w:t>
      </w:r>
    </w:p>
    <w:p>
      <w:pPr>
        <w:sectPr>
          <w:pgSz w:w="11900" w:h="16838" w:orient="portrait"/>
          <w:cols w:equalWidth="0" w:num="1">
            <w:col w:w="11420"/>
          </w:cols>
          <w:pgMar w:left="240" w:top="537" w:right="239" w:bottom="1440" w:gutter="0" w:footer="0" w:header="0"/>
        </w:sectPr>
      </w:pPr>
    </w:p>
    <w:bookmarkStart w:id="112" w:name="page113"/>
    <w:bookmarkEnd w:id="112"/>
    <w:p>
      <w:pPr>
        <w:jc w:val="both"/>
        <w:spacing w:after="0" w:line="219" w:lineRule="auto"/>
        <w:rPr>
          <w:sz w:val="20"/>
          <w:szCs w:val="20"/>
          <w:color w:val="auto"/>
        </w:rPr>
      </w:pPr>
      <w:r>
        <w:rPr>
          <w:rFonts w:ascii="Arial" w:cs="Arial" w:eastAsia="Arial" w:hAnsi="Arial"/>
          <w:sz w:val="22"/>
          <w:szCs w:val="22"/>
          <w:color w:val="auto"/>
        </w:rPr>
        <w:t>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2"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This Restricted Stock Unit Award Agreement shall be deemed to be signed by the Company and the Participant upon the signing by the Participant of the Restricted Stock Unit Grant Notice to which it is attached.</w:t>
      </w:r>
    </w:p>
    <w:p>
      <w:pPr>
        <w:sectPr>
          <w:pgSz w:w="11900" w:h="16838" w:orient="portrait"/>
          <w:cols w:equalWidth="0" w:num="1">
            <w:col w:w="11420"/>
          </w:cols>
          <w:pgMar w:left="240" w:top="537"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Ai Metrix, Inc.</w:t>
            </w:r>
          </w:p>
        </w:tc>
        <w:tc>
          <w:tcPr>
            <w:tcW w:w="4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Avtec Systems,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BSC Partners,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Carlsbad ISI,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Charleston Marine Containers,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Consolidated Turbine Specialists,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Oklahoma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Consolidated Turbine Specialists Canada, LLP</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Canada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Dallastown Realty I,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Dallastown Realty II,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DEI Services Corporation</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DFI Realty,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Digital Fusion Solutions,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Digital Fusion,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DTI Associates,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Elwood Investments,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Florida Turbine PR,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Puerto Rico</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Florida Turbine Technologies,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FTT America,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FTT UK Limited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FTT Deutschland GmbH</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General Microwave Israel (1987) Ltd.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General Microwave Israel Corporation</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General Microwave Corporation</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Gichner Europe Limited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Gichner Systems Group,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Gichner Systems International,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Haverstick Consulting,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Haverstick Government Solutions,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Ohio</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HGS Holdings,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JMA Associates,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Arabia, Ltd.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Saudi Arabia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Communications,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Communications Ltd.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Communications S.A.S.</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Defense (Australia) Pty Limited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Defense &amp; Rocket Support Services,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Holdings UK Ltd.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Integral Holdings,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Integral Systems International,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160"/>
          </w:cols>
          <w:pgMar w:left="500" w:top="135" w:right="239" w:bottom="1440" w:gutter="0" w:footer="0" w:header="0"/>
        </w:sectPr>
      </w:pPr>
    </w:p>
    <w:bookmarkStart w:id="114" w:name="page115"/>
    <w:bookmarkEnd w:id="114"/>
    <w:p>
      <w:pPr>
        <w:spacing w:after="0" w:line="1" w:lineRule="exact"/>
        <w:rPr>
          <w:sz w:val="20"/>
          <w:szCs w:val="20"/>
          <w:color w:val="auto"/>
        </w:rPr>
      </w:pPr>
    </w:p>
    <w:tbl>
      <w:tblPr>
        <w:tblLayout w:type="fixed"/>
        <w:tblInd w:w="262" w:type="dxa"/>
        <w:tblCellMar>
          <w:top w:w="0" w:type="dxa"/>
          <w:left w:w="0" w:type="dxa"/>
          <w:bottom w:w="0" w:type="dxa"/>
          <w:right w:w="0" w:type="dxa"/>
        </w:tblCellMar>
      </w:tblPr>
      <w:tr>
        <w:trPr>
          <w:trHeight w:val="274"/>
        </w:trPr>
        <w:tc>
          <w:tcPr>
            <w:tcW w:w="6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GMI Eyal Ltd.</w:t>
            </w:r>
          </w:p>
        </w:tc>
        <w:tc>
          <w:tcPr>
            <w:tcW w:w="4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Norway AS</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RT Logic,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Technology &amp; Training Solutions,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Unmanned Aerial Systems,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Unmanned Systems Solutions,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Space &amp; Missile Defense Systems,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Systems and Solutions,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KTT CORE,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LVDM,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Nevada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Madison Research Corporation</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Alabama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Micro Systems,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MSI Acquisition Corp.</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Polexis,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Reality Based IT Services Ltd.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Rocket Support Services,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 &amp; J Design,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SAT Corporation</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SCT Acquisition,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SCT Real Estate,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SecureInfo Corporation</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Shadow I,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Shadow II,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Summit Research Corporation</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Alabama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Turbine Export,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132" w:hanging="132"/>
        <w:spacing w:after="0"/>
        <w:tabs>
          <w:tab w:leader="none" w:pos="132"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80.1% owned by Kratos Defense &amp; Security Solutions, Inc.</w:t>
      </w:r>
    </w:p>
    <w:p>
      <w:pPr>
        <w:sectPr>
          <w:pgSz w:w="11900" w:h="16838" w:orient="portrait"/>
          <w:cols w:equalWidth="0" w:num="1">
            <w:col w:w="11172"/>
          </w:cols>
          <w:pgMar w:left="248" w:top="471" w:right="47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consent to the incorporation by reference in Registration Statement Nos. 333-53014, 333-71618, 333-74108, 333-161340, 333-172103, and 333-220339 on Form S-3; Registration Statement Nos. 333-150165, 333-155604, 333-167840, 333-174745, 333-174760, 333-177493, and 333-198265 on Form S-4; and Registration Statement Nos. 333-90455, 333-54818, 333-71702, 333-91852, 333-116903, 333-124957, 333-127060, 333-155317, 333-157826, 333-167839, 333-171257, 333-173383, 333-177494, 333-179977, 333-182910, 333-191156, 333-198268, 333-206620 and 333-219595 on Form S-8 of our report dated February 24, 2020, relating to the financial statements of Kratos Defense &amp; Security Solutions, Inc. and subsidiaries, and the effectiveness of Kratos Defense &amp; Security Solutions, Inc. and subsidiaries’ internal control over financial reporting appearing in this Annual Report on Form 10-K of Kratos Defense &amp; Security Solutions, Inc. for the fiscal year ended December 29, 2019.</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24, 2020</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5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67"/>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24, 2020</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420"/>
          </w:cols>
          <w:pgMar w:left="240" w:top="558"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In connection with the accompanying Annual Report of Kratos Defense &amp; Security Solutions, Inc. (the “Company”) on Form 10-K for the year ended December 29, 2019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24, 2020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5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In connection with the accompanying Annual Report of Kratos Defense &amp; Security Solutions, Inc. (the “Company”) on Form 10-K for the year ended December 29, 2019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24, 2020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420"/>
      </w:cols>
      <w:pgMar w:left="240" w:top="5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lowerLetter"/>
      <w:start w:val="2"/>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decimal"/>
      <w:start w:val="10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lowerLetter"/>
      <w:start w:val="3"/>
    </w:lvl>
  </w:abstractNum>
  <w:abstractNum w:abstractNumId="27">
    <w:nsid w:val="32FFF902"/>
    <w:multiLevelType w:val="hybridMultilevel"/>
    <w:lvl w:ilvl="0">
      <w:lvlJc w:val="left"/>
      <w:lvlText w:val="•"/>
      <w:numFmt w:val="bullet"/>
      <w:start w:val="1"/>
    </w:lvl>
    <w:lvl w:ilvl="1">
      <w:lvlJc w:val="left"/>
      <w:lvlText w:val="-"/>
      <w:numFmt w:val="bullet"/>
      <w:start w:val="1"/>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lowerLetter"/>
      <w:start w:val="2"/>
    </w:lvl>
  </w:abstractNum>
  <w:abstractNum w:abstractNumId="30">
    <w:nsid w:val="749ABB43"/>
    <w:multiLevelType w:val="hybridMultilevel"/>
    <w:lvl w:ilvl="0">
      <w:lvlJc w:val="left"/>
      <w:lvlText w:val="(%1)"/>
      <w:numFmt w:val="lowerLetter"/>
      <w:start w:val="4"/>
    </w:lvl>
  </w:abstractNum>
  <w:abstractNum w:abstractNumId="31">
    <w:nsid w:val="3DC240FB"/>
    <w:multiLevelType w:val="hybridMultilevel"/>
    <w:lvl w:ilvl="0">
      <w:lvlJc w:val="left"/>
      <w:lvlText w:val="(%1)"/>
      <w:numFmt w:val="lowerLetter"/>
      <w:start w:val="5"/>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lowerLetter"/>
      <w:start w:val="6"/>
    </w:lvl>
  </w:abstractNum>
  <w:abstractNum w:abstractNumId="34">
    <w:nsid w:val="75C6C33A"/>
    <w:multiLevelType w:val="hybridMultilevel"/>
    <w:lvl w:ilvl="0">
      <w:lvlJc w:val="left"/>
      <w:lvlText w:val="(%1)"/>
      <w:numFmt w:val="lowerLetter"/>
      <w:start w:val="8"/>
    </w:lvl>
  </w:abstractNum>
  <w:abstractNum w:abstractNumId="35">
    <w:nsid w:val="12E685FB"/>
    <w:multiLevelType w:val="hybridMultilevel"/>
    <w:lvl w:ilvl="0">
      <w:lvlJc w:val="left"/>
      <w:lvlText w:val="(%1)"/>
      <w:numFmt w:val="lowerRoman"/>
      <w:start w:val="1"/>
    </w:lvl>
  </w:abstractNum>
  <w:abstractNum w:abstractNumId="36">
    <w:nsid w:val="70C6A529"/>
    <w:multiLevelType w:val="hybridMultilevel"/>
    <w:lvl w:ilvl="0">
      <w:lvlJc w:val="left"/>
      <w:lvlText w:val="(%1)"/>
      <w:numFmt w:val="lowerLetter"/>
      <w:start w:val="10"/>
    </w:lvl>
  </w:abstractNum>
  <w:abstractNum w:abstractNumId="37">
    <w:nsid w:val="520EEDD1"/>
    <w:multiLevelType w:val="hybridMultilevel"/>
    <w:lvl w:ilvl="0">
      <w:lvlJc w:val="left"/>
      <w:lvlText w:val="(%1)"/>
      <w:numFmt w:val="lowerLetter"/>
      <w:start w:val="11"/>
    </w:lvl>
  </w:abstractNum>
  <w:abstractNum w:abstractNumId="38">
    <w:nsid w:val="374A3FE6"/>
    <w:multiLevelType w:val="hybridMultilevel"/>
    <w:lvl w:ilvl="0">
      <w:lvlJc w:val="left"/>
      <w:lvlText w:val="(%1)"/>
      <w:numFmt w:val="lowerLetter"/>
      <w:start w:val="12"/>
    </w:lvl>
  </w:abstractNum>
  <w:abstractNum w:abstractNumId="39">
    <w:nsid w:val="4F4EF005"/>
    <w:multiLevelType w:val="hybridMultilevel"/>
    <w:lvl w:ilvl="0">
      <w:lvlJc w:val="left"/>
      <w:lvlText w:val="(%1)"/>
      <w:numFmt w:val="lowerLetter"/>
      <w:start w:val="13"/>
    </w:lvl>
  </w:abstractNum>
  <w:abstractNum w:abstractNumId="40">
    <w:nsid w:val="23F9C13C"/>
    <w:multiLevelType w:val="hybridMultilevel"/>
    <w:lvl w:ilvl="0">
      <w:lvlJc w:val="left"/>
      <w:lvlText w:val="(%1)"/>
      <w:numFmt w:val="lowerLetter"/>
      <w:start w:val="14"/>
    </w:lvl>
  </w:abstractNum>
  <w:abstractNum w:abstractNumId="41">
    <w:nsid w:val="649BB77C"/>
    <w:multiLevelType w:val="hybridMultilevel"/>
    <w:lvl w:ilvl="0">
      <w:lvlJc w:val="left"/>
      <w:lvlText w:val="(%1)"/>
      <w:numFmt w:val="lowerLetter"/>
      <w:start w:val="16"/>
    </w:lvl>
  </w:abstractNum>
  <w:abstractNum w:abstractNumId="42">
    <w:nsid w:val="275AC794"/>
    <w:multiLevelType w:val="hybridMultilevel"/>
    <w:lvl w:ilvl="0">
      <w:lvlJc w:val="left"/>
      <w:lvlText w:val="(%1)"/>
      <w:numFmt w:val="lowerLetter"/>
      <w:start w:val="17"/>
    </w:lvl>
  </w:abstractNum>
  <w:abstractNum w:abstractNumId="43">
    <w:nsid w:val="39386575"/>
    <w:multiLevelType w:val="hybridMultilevel"/>
    <w:lvl w:ilvl="0">
      <w:lvlJc w:val="left"/>
      <w:lvlText w:val="(%1)"/>
      <w:numFmt w:val="lowerLetter"/>
      <w:start w:val="19"/>
    </w:lvl>
  </w:abstractNum>
  <w:abstractNum w:abstractNumId="44">
    <w:nsid w:val="1CF10FD8"/>
    <w:multiLevelType w:val="hybridMultilevel"/>
    <w:lvl w:ilvl="0">
      <w:lvlJc w:val="left"/>
      <w:lvlText w:val="(%1)"/>
      <w:numFmt w:val="lowerLetter"/>
      <w:start w:val="20"/>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2"/>
    </w:lvl>
  </w:abstractNum>
  <w:abstractNum w:abstractNumId="47">
    <w:nsid w:val="47398C89"/>
    <w:multiLevelType w:val="hybridMultilevel"/>
    <w:lvl w:ilvl="0">
      <w:lvlJc w:val="left"/>
      <w:lvlText w:val="(%1)"/>
      <w:numFmt w:val="lowerLetter"/>
      <w:start w:val="3"/>
    </w:lvl>
  </w:abstractNum>
  <w:abstractNum w:abstractNumId="48">
    <w:nsid w:val="354FE9F9"/>
    <w:multiLevelType w:val="hybridMultilevel"/>
    <w:lvl w:ilvl="0">
      <w:lvlJc w:val="left"/>
      <w:lvlText w:val="(%1)"/>
      <w:numFmt w:val="lowerLetter"/>
      <w:start w:val="10"/>
    </w:lvl>
  </w:abstractNum>
  <w:abstractNum w:abstractNumId="49">
    <w:nsid w:val="15B5AF5C"/>
    <w:multiLevelType w:val="hybridMultilevel"/>
    <w:lvl w:ilvl="0">
      <w:lvlJc w:val="left"/>
      <w:lvlText w:val="(%1)"/>
      <w:numFmt w:val="lowerRoman"/>
      <w:start w:val="3"/>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lowerLetter"/>
      <w:start w:val="3"/>
    </w:lvl>
  </w:abstractNum>
  <w:abstractNum w:abstractNumId="52">
    <w:nsid w:val="10233C99"/>
    <w:multiLevelType w:val="hybridMultilevel"/>
    <w:lvl w:ilvl="0">
      <w:lvlJc w:val="left"/>
      <w:lvlText w:val="(%1)"/>
      <w:numFmt w:val="decimal"/>
      <w:start w:val="3"/>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7E0C57B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6">
    <w:nsid w:val="77AE35EB"/>
    <w:multiLevelType w:val="hybridMultilevel"/>
    <w:lvl w:ilvl="0">
      <w:lvlJc w:val="left"/>
      <w:lvlText w:val="%1"/>
      <w:numFmt w:val="decimal"/>
      <w:start w:val="1"/>
    </w:lvl>
    <w:lvl w:ilvl="1">
      <w:lvlJc w:val="left"/>
      <w:lvlText w:val="(%2)"/>
      <w:numFmt w:val="lowerLetter"/>
      <w:start w:val="3"/>
    </w:lvl>
  </w:abstractNum>
  <w:abstractNum w:abstractNumId="57">
    <w:nsid w:val="579BE4F1"/>
    <w:multiLevelType w:val="hybridMultilevel"/>
    <w:lvl w:ilvl="0">
      <w:lvlJc w:val="left"/>
      <w:lvlText w:val="%1."/>
      <w:numFmt w:val="decimal"/>
      <w:start w:val="7"/>
    </w:lvl>
    <w:lvl w:ilvl="1">
      <w:lvlJc w:val="left"/>
      <w:lvlText w:val="(%2)"/>
      <w:numFmt w:val="lowerLetter"/>
      <w:start w:val="1"/>
    </w:lvl>
  </w:abstractNum>
  <w:abstractNum w:abstractNumId="58">
    <w:nsid w:val="310C50B3"/>
    <w:multiLevelType w:val="hybridMultilevel"/>
    <w:lvl w:ilvl="0">
      <w:lvlJc w:val="left"/>
      <w:lvlText w:val="(%1)"/>
      <w:numFmt w:val="upperLetter"/>
      <w:start w:val="2"/>
    </w:lvl>
  </w:abstractNum>
  <w:abstractNum w:abstractNumId="59">
    <w:nsid w:val="5FF87E05"/>
    <w:multiLevelType w:val="hybridMultilevel"/>
    <w:lvl w:ilvl="0">
      <w:lvlJc w:val="left"/>
      <w:lvlText w:val="%1."/>
      <w:numFmt w:val="decimal"/>
      <w:start w:val="11"/>
    </w:lvl>
    <w:lvl w:ilvl="1">
      <w:lvlJc w:val="left"/>
      <w:lvlText w:val="(%2)"/>
      <w:numFmt w:val="lowerLetter"/>
      <w:start w:val="1"/>
    </w:lvl>
  </w:abstractNum>
  <w:abstractNum w:abstractNumId="60">
    <w:nsid w:val="2F305DEF"/>
    <w:multiLevelType w:val="hybridMultilevel"/>
    <w:lvl w:ilvl="0">
      <w:lvlJc w:val="left"/>
      <w:lvlText w:val="%1."/>
      <w:numFmt w:val="decimal"/>
      <w:start w:val="12"/>
    </w:lvl>
    <w:lvl w:ilvl="1">
      <w:lvlJc w:val="left"/>
      <w:lvlText w:val="(%2)"/>
      <w:numFmt w:val="lowerLetter"/>
      <w:start w:val="1"/>
    </w:lvl>
  </w:abstractNum>
  <w:abstractNum w:abstractNumId="61">
    <w:nsid w:val="25A70BF7"/>
    <w:multiLevelType w:val="hybridMultilevel"/>
    <w:lvl w:ilvl="0">
      <w:lvlJc w:val="left"/>
      <w:lvlText w:val="%1."/>
      <w:numFmt w:val="decimal"/>
      <w:start w:val="15"/>
    </w:lvl>
  </w:abstractNum>
  <w:abstractNum w:abstractNumId="62">
    <w:nsid w:val="1DBABF00"/>
    <w:multiLevelType w:val="hybridMultilevel"/>
    <w:lvl w:ilvl="0">
      <w:lvlJc w:val="left"/>
      <w:lvlText w:val="%1."/>
      <w:numFmt w:val="decimal"/>
      <w:start w:val="16"/>
    </w:lvl>
    <w:lvl w:ilvl="1">
      <w:lvlJc w:val="left"/>
      <w:lvlText w:val="(%2)"/>
      <w:numFmt w:val="lowerLetter"/>
      <w:start w:val="1"/>
    </w:lvl>
  </w:abstractNum>
  <w:abstractNum w:abstractNumId="63">
    <w:nsid w:val="4AD084E9"/>
    <w:multiLevelType w:val="hybridMultilevel"/>
    <w:lvl w:ilvl="0">
      <w:lvlJc w:val="left"/>
      <w:lvlText w:val="%1."/>
      <w:numFmt w:val="decimal"/>
      <w:start w:val="19"/>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52" Type="http://schemas.openxmlformats.org/officeDocument/2006/relationships/image" Target="media/image8.png"/><Relationship Id="rId53" Type="http://schemas.openxmlformats.org/officeDocument/2006/relationships/image" Target="media/image9.png"/><Relationship Id="rId54" Type="http://schemas.openxmlformats.org/officeDocument/2006/relationships/image" Target="media/image10.png"/><Relationship Id="rId55" Type="http://schemas.openxmlformats.org/officeDocument/2006/relationships/image" Target="media/image11.png"/><Relationship Id="rId56" Type="http://schemas.openxmlformats.org/officeDocument/2006/relationships/image" Target="media/image12.png"/><Relationship Id="rId57" Type="http://schemas.openxmlformats.org/officeDocument/2006/relationships/image" Target="media/image13.png"/><Relationship Id="rId58" Type="http://schemas.openxmlformats.org/officeDocument/2006/relationships/image" Target="media/image14.png"/><Relationship Id="rId59" Type="http://schemas.openxmlformats.org/officeDocument/2006/relationships/image" Target="media/image15.png"/><Relationship Id="rId60" Type="http://schemas.openxmlformats.org/officeDocument/2006/relationships/image" Target="media/image16.png"/><Relationship Id="rId61" Type="http://schemas.openxmlformats.org/officeDocument/2006/relationships/image" Target="media/image17.png"/><Relationship Id="rId62" Type="http://schemas.openxmlformats.org/officeDocument/2006/relationships/image" Target="media/image18.png"/><Relationship Id="rId63" Type="http://schemas.openxmlformats.org/officeDocument/2006/relationships/image" Target="media/image19.png"/><Relationship Id="rId64" Type="http://schemas.openxmlformats.org/officeDocument/2006/relationships/image" Target="media/image20.png"/><Relationship Id="rId65" Type="http://schemas.openxmlformats.org/officeDocument/2006/relationships/image" Target="media/image21.png"/><Relationship Id="rId66" Type="http://schemas.openxmlformats.org/officeDocument/2006/relationships/image" Target="media/image22.png"/><Relationship Id="rId67" Type="http://schemas.openxmlformats.org/officeDocument/2006/relationships/image" Target="media/image23.png"/><Relationship Id="rId68" Type="http://schemas.openxmlformats.org/officeDocument/2006/relationships/image" Target="media/image24.png"/><Relationship Id="rId69" Type="http://schemas.openxmlformats.org/officeDocument/2006/relationships/image" Target="media/image25.png"/><Relationship Id="rId70" Type="http://schemas.openxmlformats.org/officeDocument/2006/relationships/image" Target="media/image26.png"/><Relationship Id="rId71" Type="http://schemas.openxmlformats.org/officeDocument/2006/relationships/image" Target="media/image27.png"/><Relationship Id="rId72" Type="http://schemas.openxmlformats.org/officeDocument/2006/relationships/image" Target="media/image28.png"/><Relationship Id="rId73" Type="http://schemas.openxmlformats.org/officeDocument/2006/relationships/image" Target="media/image29.png"/><Relationship Id="rId74" Type="http://schemas.openxmlformats.org/officeDocument/2006/relationships/image" Target="media/image30.png"/><Relationship Id="rId75" Type="http://schemas.openxmlformats.org/officeDocument/2006/relationships/image" Target="media/image31.png"/><Relationship Id="rId76" Type="http://schemas.openxmlformats.org/officeDocument/2006/relationships/image" Target="media/image32.png"/><Relationship Id="rId77" Type="http://schemas.openxmlformats.org/officeDocument/2006/relationships/image" Target="media/image33.png"/><Relationship Id="rId78" Type="http://schemas.openxmlformats.org/officeDocument/2006/relationships/image" Target="media/image34.png"/><Relationship Id="rId79" Type="http://schemas.openxmlformats.org/officeDocument/2006/relationships/image" Target="media/image35.png"/><Relationship Id="rId80" Type="http://schemas.openxmlformats.org/officeDocument/2006/relationships/image" Target="media/image36.png"/><Relationship Id="rId81" Type="http://schemas.openxmlformats.org/officeDocument/2006/relationships/image" Target="media/image37.png"/><Relationship Id="rId82" Type="http://schemas.openxmlformats.org/officeDocument/2006/relationships/image" Target="media/image38.png"/><Relationship Id="rId83" Type="http://schemas.openxmlformats.org/officeDocument/2006/relationships/image" Target="media/image39.png"/><Relationship Id="rId84" Type="http://schemas.openxmlformats.org/officeDocument/2006/relationships/image" Target="media/image40.png"/><Relationship Id="rId85" Type="http://schemas.openxmlformats.org/officeDocument/2006/relationships/image" Target="media/image41.png"/><Relationship Id="rId86" Type="http://schemas.openxmlformats.org/officeDocument/2006/relationships/image" Target="media/image42.png"/><Relationship Id="rId87" Type="http://schemas.openxmlformats.org/officeDocument/2006/relationships/image" Target="media/image43.png"/><Relationship Id="rId88" Type="http://schemas.openxmlformats.org/officeDocument/2006/relationships/image" Target="media/image44.png"/><Relationship Id="rId89" Type="http://schemas.openxmlformats.org/officeDocument/2006/relationships/image" Target="media/image45.png"/><Relationship Id="rId90" Type="http://schemas.openxmlformats.org/officeDocument/2006/relationships/image" Target="media/image46.png"/><Relationship Id="rId91" Type="http://schemas.openxmlformats.org/officeDocument/2006/relationships/image" Target="media/image47.png"/><Relationship Id="rId92" Type="http://schemas.openxmlformats.org/officeDocument/2006/relationships/image" Target="media/image48.png"/><Relationship Id="rId93" Type="http://schemas.openxmlformats.org/officeDocument/2006/relationships/image" Target="media/image49.png"/><Relationship Id="rId94" Type="http://schemas.openxmlformats.org/officeDocument/2006/relationships/image" Target="media/image50.png"/><Relationship Id="rId95" Type="http://schemas.openxmlformats.org/officeDocument/2006/relationships/image" Target="media/image51.png"/><Relationship Id="rId96" Type="http://schemas.openxmlformats.org/officeDocument/2006/relationships/image" Target="media/image52.png"/><Relationship Id="rId97" Type="http://schemas.openxmlformats.org/officeDocument/2006/relationships/image" Target="media/image53.png"/><Relationship Id="rId98" Type="http://schemas.openxmlformats.org/officeDocument/2006/relationships/image" Target="media/image54.png"/><Relationship Id="rId99" Type="http://schemas.openxmlformats.org/officeDocument/2006/relationships/image" Target="media/image55.png"/><Relationship Id="rId100" Type="http://schemas.openxmlformats.org/officeDocument/2006/relationships/image" Target="media/image56.png"/><Relationship Id="rId101" Type="http://schemas.openxmlformats.org/officeDocument/2006/relationships/image" Target="media/image57.png"/><Relationship Id="rId102" Type="http://schemas.openxmlformats.org/officeDocument/2006/relationships/image" Target="media/image58.png"/><Relationship Id="rId103" Type="http://schemas.openxmlformats.org/officeDocument/2006/relationships/image" Target="media/image59.png"/><Relationship Id="rId104" Type="http://schemas.openxmlformats.org/officeDocument/2006/relationships/image" Target="media/image60.png"/><Relationship Id="rId105" Type="http://schemas.openxmlformats.org/officeDocument/2006/relationships/image" Target="media/image61.png"/><Relationship Id="rId106" Type="http://schemas.openxmlformats.org/officeDocument/2006/relationships/image" Target="media/image62.png"/><Relationship Id="rId107" Type="http://schemas.openxmlformats.org/officeDocument/2006/relationships/image" Target="media/image63.png"/><Relationship Id="rId108" Type="http://schemas.openxmlformats.org/officeDocument/2006/relationships/image" Target="media/image64.png"/><Relationship Id="rId109" Type="http://schemas.openxmlformats.org/officeDocument/2006/relationships/image" Target="media/image65.png"/><Relationship Id="rId110" Type="http://schemas.openxmlformats.org/officeDocument/2006/relationships/image" Target="media/image66.png"/><Relationship Id="rId111" Type="http://schemas.openxmlformats.org/officeDocument/2006/relationships/image" Target="media/image67.png"/><Relationship Id="rId15" Type="http://schemas.openxmlformats.org/officeDocument/2006/relationships/hyperlink" Target="http://www.sec.gov/Archives/edgar/data/1069258/000106925815000029/ktos20150628ex-24.htm" TargetMode="External"/><Relationship Id="rId16" Type="http://schemas.openxmlformats.org/officeDocument/2006/relationships/hyperlink" Target="http://www.sec.gov/Archives/edgar/data/1069258/000106925818000021/ktos20180401ex-22.htm" TargetMode="External"/><Relationship Id="rId17" Type="http://schemas.openxmlformats.org/officeDocument/2006/relationships/hyperlink" Target="http://www.sec.gov/Archives/edgar/data/1069258/000106925819000017/exhibit23redacted.htm" TargetMode="External"/><Relationship Id="rId18" Type="http://schemas.openxmlformats.org/officeDocument/2006/relationships/hyperlink" Target="http://www.sec.gov/Archives/edgar/data/1069258/000106925817000009/ktos20161225ex-31.htm" TargetMode="External"/><Relationship Id="rId19" Type="http://schemas.openxmlformats.org/officeDocument/2006/relationships/hyperlink" Target="http://www.sec.gov/Archives/edgar/data/1069258/000106925817000009/ktos20161225ex-32.htm" TargetMode="External"/><Relationship Id="rId20" Type="http://schemas.openxmlformats.org/officeDocument/2006/relationships/hyperlink" Target="http://www.sec.gov/Archives/edgar/data/1069258/000106925817000009/kratoscommonformofcertif.htm" TargetMode="External"/><Relationship Id="rId21" Type="http://schemas.openxmlformats.org/officeDocument/2006/relationships/hyperlink" Target="http://www.sec.gov/Archives/edgar/data/1069258/000110465917069690/a17-27375_1ex4d1.htm" TargetMode="External"/><Relationship Id="rId22" Type="http://schemas.openxmlformats.org/officeDocument/2006/relationships/hyperlink" Target="http://www.sec.gov/Archives/edgar/data/1069258/000106925818000006/ktos20171231ex-45.htm" TargetMode="External"/><Relationship Id="rId23" Type="http://schemas.openxmlformats.org/officeDocument/2006/relationships/hyperlink" Target="http://www.sec.gov/Archives/edgar/data/1069258/000110465911043760/a11-14022_1ex10d8.htm" TargetMode="External"/><Relationship Id="rId24" Type="http://schemas.openxmlformats.org/officeDocument/2006/relationships/hyperlink" Target="http://www.sec.gov/Archives/edgar/data/1069258/000106925817000033/exhibit9911999espp.htm" TargetMode="External"/><Relationship Id="rId25" Type="http://schemas.openxmlformats.org/officeDocument/2006/relationships/hyperlink" Target="http://www.sec.gov/Archives/edgar/data/1069258/000089843000003415/0000898430-00-003415-0003.txt" TargetMode="External"/><Relationship Id="rId26" Type="http://schemas.openxmlformats.org/officeDocument/2006/relationships/hyperlink" Target="http://www.sec.gov/Archives/edgar/data/1069258/000089843000003415/0000898430-00-003415-0004.txt" TargetMode="External"/><Relationship Id="rId27" Type="http://schemas.openxmlformats.org/officeDocument/2006/relationships/hyperlink" Target="http://www.sec.gov/Archives/edgar/data/1069258/000110465905035184/a05-12199_1ex99d2.htm" TargetMode="External"/><Relationship Id="rId28" Type="http://schemas.openxmlformats.org/officeDocument/2006/relationships/hyperlink" Target="http://www.sec.gov/Archives/edgar/data/1069258/000110465905035184/a05-12199_1ex99d1.htm" TargetMode="External"/><Relationship Id="rId29" Type="http://schemas.openxmlformats.org/officeDocument/2006/relationships/hyperlink" Target="http://www.sec.gov/Archives/edgar/data/1069258/000110465907002926/a07-2027_1ex99d3.htm" TargetMode="External"/><Relationship Id="rId30" Type="http://schemas.openxmlformats.org/officeDocument/2006/relationships/hyperlink" Target="http://www.sec.gov/Archives/edgar/data/1069258/000110465911019265/a11-9736_1ex4d11.htm" TargetMode="External"/><Relationship Id="rId31" Type="http://schemas.openxmlformats.org/officeDocument/2006/relationships/hyperlink" Target="http://www.sec.gov/Archives/edgar/data/1069258/000110465911019265/a11-9736_1ex4d13.htm" TargetMode="External"/><Relationship Id="rId32" Type="http://schemas.openxmlformats.org/officeDocument/2006/relationships/hyperlink" Target="http://www.sec.gov/Archives/edgar/data/1069258/000110465911019265/a11-9736_1ex4d14.htm" TargetMode="External"/><Relationship Id="rId33" Type="http://schemas.openxmlformats.org/officeDocument/2006/relationships/hyperlink" Target="http://www.sec.gov/Archives/edgar/data/1069258/000110465911019265/a11-9736_1ex4d15.htm" TargetMode="External"/><Relationship Id="rId34" Type="http://schemas.openxmlformats.org/officeDocument/2006/relationships/hyperlink" Target="http://www.sec.gov/Archives/edgar/data/1069258/000104746911003699/a2203337zdef14a.htm" TargetMode="External"/><Relationship Id="rId35" Type="http://schemas.openxmlformats.org/officeDocument/2006/relationships/hyperlink" Target="http://www.sec.gov/Archives/edgar/data/1069258/000106925811000053/form8k1stamendto726credagrmt.htm" TargetMode="External"/><Relationship Id="rId36" Type="http://schemas.openxmlformats.org/officeDocument/2006/relationships/hyperlink" Target="http://www.sec.gov/Archives/edgar/data/1069258/000104746914003722/a2219439zdef14a.htm" TargetMode="External"/><Relationship Id="rId37" Type="http://schemas.openxmlformats.org/officeDocument/2006/relationships/hyperlink" Target="http://www.sec.gov/Archives/edgar/data/1069258/000110465911043760/a11-14022_1ex10d3.htm" TargetMode="External"/><Relationship Id="rId38" Type="http://schemas.openxmlformats.org/officeDocument/2006/relationships/hyperlink" Target="http://www.sec.gov/Archives/edgar/data/1069258/000110465911043760/a11-14022_1ex10d4.htm" TargetMode="External"/><Relationship Id="rId39" Type="http://schemas.openxmlformats.org/officeDocument/2006/relationships/hyperlink" Target="http://www.sec.gov/Archives/edgar/data/1069258/000104746910002038/a2197108zex-10_26.htm" TargetMode="External"/><Relationship Id="rId40" Type="http://schemas.openxmlformats.org/officeDocument/2006/relationships/hyperlink" Target="http://www.sec.gov/Archives/edgar/data/1069258/000110465912016313/a12-6623_1ex4d10.htm" TargetMode="External"/><Relationship Id="rId41" Type="http://schemas.openxmlformats.org/officeDocument/2006/relationships/hyperlink" Target="http://www.sec.gov/Archives/edgar/data/1069258/000110465912016313/a12-6623_1ex4d11.htm" TargetMode="External"/><Relationship Id="rId42" Type="http://schemas.openxmlformats.org/officeDocument/2006/relationships/hyperlink" Target="http://www.sec.gov/Archives/edgar/data/1069258/000106925812000020/ceiforms8.htm" TargetMode="External"/><Relationship Id="rId43" Type="http://schemas.openxmlformats.org/officeDocument/2006/relationships/hyperlink" Target="http://www.sec.gov/Archives/edgar/data/1069258/000106925815000005/q414earningsrelease.htm" TargetMode="External"/><Relationship Id="rId44" Type="http://schemas.openxmlformats.org/officeDocument/2006/relationships/hyperlink" Target="http://www.sec.gov/Archives/edgar/data/1069258/000106925815000023/poirierbonusagreement.htm" TargetMode="External"/><Relationship Id="rId45" Type="http://schemas.openxmlformats.org/officeDocument/2006/relationships/hyperlink" Target="http://www.sec.gov/Archives/edgar/data/1069258/000106925816000097/carraiemploymentagreement.htm" TargetMode="External"/><Relationship Id="rId46" Type="http://schemas.openxmlformats.org/officeDocument/2006/relationships/hyperlink" Target="http://www.sec.gov/Archives/edgar/data/1069258/000110465917069690/a17-27375_1ex10d1.htm" TargetMode="External"/><Relationship Id="rId47" Type="http://schemas.openxmlformats.org/officeDocument/2006/relationships/hyperlink" Target="http://www.sec.gov/Archives/edgar/data/1069258/000106925818000025/ktos201806118kexhibit101.htm" TargetMode="External"/><Relationship Id="rId48" Type="http://schemas.openxmlformats.org/officeDocument/2006/relationships/hyperlink" Target="http://www.sec.gov/Archives/edgar/data/1069258/000106925817000015/ktos20170326ex-102.htm" TargetMode="External"/><Relationship Id="rId49" Type="http://schemas.openxmlformats.org/officeDocument/2006/relationships/hyperlink" Target="http://www.sec.gov/Archives/edgar/data/1069258/000162828019002271/ktos20181230ex1034.htm" TargetMode="External"/><Relationship Id="rId50" Type="http://schemas.openxmlformats.org/officeDocument/2006/relationships/hyperlink" Target="http://www.sec.gov/Archives/edgar/data/1069258/000106925819000017/exchangeagreement.htm" TargetMode="External"/><Relationship Id="rId51" Type="http://schemas.openxmlformats.org/officeDocument/2006/relationships/hyperlink" Target="http://www.sec.gov/Archives/edgar/data/1069258/000106925819000028/ktos2019063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2020-02-24T15:50:46Z</dcterms:created>
  <dcterms:modified xsi:type="dcterms:W3CDTF">2020-02-24T15:50:46Z</dcterms:modified>
</cp:coreProperties>
</file>