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2"/>
        </w:rPr>
        <w:t>QUARTERLY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28,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001-34460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KRATOS DEFENSE &amp; SECURITY SOLUTIONS,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328" w:type="dxa"/>
        <w:jc w:val="center"/>
        <w:tblInd w:w="0" w:type="dxa"/>
        <w:tblLayout w:type="fixed"/>
        <w:tblCellMar>
          <w:top w:w="28" w:type="dxa"/>
          <w:left w:w="28" w:type="dxa"/>
          <w:bottom w:w="28" w:type="dxa"/>
          <w:right w:w="28" w:type="dxa"/>
        </w:tblCellMar>
      </w:tblPr>
      <w:tblGrid>
        <w:gridCol w:w="1193"/>
        <w:gridCol w:w="1047"/>
        <w:gridCol w:w="1059"/>
        <w:gridCol w:w="884"/>
        <w:gridCol w:w="884"/>
        <w:gridCol w:w="1261"/>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13-3818604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100" w:after="283"/>
              <w:jc w:val="center"/>
              <w:rPr/>
            </w:pPr>
            <w:r>
              <w:rPr/>
            </w:r>
          </w:p>
          <w:p>
            <w:pPr>
              <w:pStyle w:val="TableContents"/>
              <w:bidi w:val="0"/>
              <w:spacing w:lineRule="auto" w:line="240" w:before="100" w:after="283"/>
              <w:jc w:val="center"/>
              <w:rPr/>
            </w:pPr>
            <w:r>
              <w:rPr>
                <w:rFonts w:ascii="Times New Roman;serif" w:hAnsi="Times New Roman;serif"/>
                <w:b/>
                <w:color w:val="000000"/>
                <w:sz w:val="20"/>
              </w:rPr>
              <w:t>1 Chisholm Trail</w:t>
            </w:r>
            <w:r>
              <w:rPr>
                <w:rFonts w:ascii="Times New Roman;serif" w:hAnsi="Times New Roman;serif"/>
                <w:b/>
                <w:color w:val="000000"/>
                <w:sz w:val="18"/>
              </w:rPr>
              <w:t xml:space="preserve">, </w:t>
            </w:r>
            <w:r>
              <w:rPr>
                <w:rFonts w:ascii="Times New Roman;serif" w:hAnsi="Times New Roman;serif"/>
                <w:b/>
                <w:color w:val="000000"/>
                <w:sz w:val="20"/>
              </w:rPr>
              <w:t>Suite 300</w:t>
            </w:r>
            <w:r>
              <w:rPr>
                <w:color w:val="000000"/>
              </w:rPr>
              <w:t xml:space="preserve"> </w:t>
            </w:r>
          </w:p>
          <w:p>
            <w:pPr>
              <w:pStyle w:val="TableContents"/>
              <w:bidi w:val="0"/>
              <w:spacing w:lineRule="auto" w:line="240" w:before="0" w:after="0"/>
              <w:jc w:val="center"/>
              <w:rPr/>
            </w:pPr>
            <w:r>
              <w:rPr>
                <w:rFonts w:ascii="Times New Roman;serif" w:hAnsi="Times New Roman;serif"/>
                <w:b/>
                <w:color w:val="000000"/>
                <w:sz w:val="20"/>
              </w:rPr>
              <w:t>Round Rock</w:t>
            </w:r>
            <w:r>
              <w:rPr>
                <w:rFonts w:ascii="Times New Roman;serif" w:hAnsi="Times New Roman;serif"/>
                <w:b/>
                <w:color w:val="000000"/>
                <w:sz w:val="18"/>
              </w:rPr>
              <w:t>, TX</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78681</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(512) 238-9840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417"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60"/>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160"/>
              <w:ind w:left="0" w:right="0" w:firstLine="360"/>
              <w:jc w:val="left"/>
              <w:rPr>
                <w:color w:val="000000"/>
              </w:rPr>
            </w:pPr>
            <w:r>
              <w:rPr>
                <w:color w:val="000000"/>
              </w:rPr>
              <w:t>☐</w:t>
            </w:r>
          </w:p>
        </w:tc>
      </w:tr>
    </w:tbl>
    <w:p>
      <w:pPr>
        <w:pStyle w:val="TextBody"/>
        <w:bidi w:val="0"/>
        <w:spacing w:lineRule="auto" w:line="288" w:before="0" w:after="160"/>
        <w:ind w:left="0" w:right="0" w:firstLine="3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60"/>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July 31, 2026, 187,721,327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28,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58"/>
        <w:gridCol w:w="2958"/>
        <w:gridCol w:w="2965"/>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9b45b24ec4b4b1badf9bbabbdbcb90a_10">
              <w:r>
                <w:rPr>
                  <w:rStyle w:val="InternetLink"/>
                  <w:rFonts w:ascii="Times New Roman;serif" w:hAnsi="Times New Roman;serif"/>
                  <w:b/>
                  <w:color w:val="0000FF"/>
                  <w:sz w:val="20"/>
                  <w:u w:val="single"/>
                </w:rPr>
                <w:t>PART I. FINANCIAL INFORMATION</w:t>
              </w:r>
            </w:hyperlink>
          </w:p>
        </w:tc>
        <w:tc>
          <w:tcPr>
            <w:tcW w:w="513"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3">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3">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Condensed Consolidated Balance Sheets at June 28, 2026 (unaudited) and December 28,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22">
              <w:r>
                <w:rPr>
                  <w:rStyle w:val="InternetLink"/>
                  <w:rFonts w:ascii="Times New Roman;serif" w:hAnsi="Times New Roman;serif"/>
                  <w:b w:val="false"/>
                  <w:color w:val="000080"/>
                  <w:sz w:val="20"/>
                  <w:u w:val="single"/>
                </w:rPr>
                <w:t>Condensed Consolidated Statements of Operations for the Three</w:t>
              </w:r>
            </w:hyperlink>
            <w:hyperlink w:anchor="i59b45b24ec4b4b1badf9bbabbdbcb90a_22">
              <w:r>
                <w:rPr>
                  <w:rStyle w:val="InternetLink"/>
                  <w:rFonts w:ascii="Times New Roman;serif" w:hAnsi="Times New Roman;serif"/>
                  <w:b w:val="false"/>
                  <w:color w:val="000080"/>
                  <w:sz w:val="20"/>
                  <w:u w:val="single"/>
                </w:rPr>
                <w:t xml:space="preserve"> and Six</w:t>
              </w:r>
            </w:hyperlink>
            <w:hyperlink w:anchor="i59b45b24ec4b4b1badf9bbabbdbcb90a_22">
              <w:r>
                <w:rPr>
                  <w:rStyle w:val="InternetLink"/>
                  <w:rFonts w:ascii="Times New Roman;serif" w:hAnsi="Times New Roman;serif"/>
                  <w:b w:val="false"/>
                  <w:color w:val="000080"/>
                  <w:sz w:val="20"/>
                  <w:u w:val="single"/>
                </w:rPr>
                <w:t xml:space="preserve"> Months Ended June 28, 2026 and June 29, 2025 (unaudited) </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22">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25">
              <w:r>
                <w:rPr>
                  <w:rStyle w:val="InternetLink"/>
                  <w:rFonts w:ascii="Times New Roman;serif" w:hAnsi="Times New Roman;serif"/>
                  <w:b w:val="false"/>
                  <w:color w:val="000080"/>
                  <w:sz w:val="20"/>
                  <w:u w:val="single"/>
                </w:rPr>
                <w:t xml:space="preserve">Condensed Consolidated Statements of Comprehensive Income for the Three </w:t>
              </w:r>
            </w:hyperlink>
            <w:hyperlink w:anchor="i59b45b24ec4b4b1badf9bbabbdbcb90a_25">
              <w:r>
                <w:rPr>
                  <w:rStyle w:val="InternetLink"/>
                  <w:rFonts w:ascii="Times New Roman;serif" w:hAnsi="Times New Roman;serif"/>
                  <w:b w:val="false"/>
                  <w:color w:val="000080"/>
                  <w:sz w:val="20"/>
                  <w:u w:val="single"/>
                </w:rPr>
                <w:t xml:space="preserve">and Six </w:t>
              </w:r>
            </w:hyperlink>
            <w:hyperlink w:anchor="i59b45b24ec4b4b1badf9bbabbdbcb90a_25">
              <w:r>
                <w:rPr>
                  <w:rStyle w:val="InternetLink"/>
                  <w:rFonts w:ascii="Times New Roman;serif" w:hAnsi="Times New Roman;serif"/>
                  <w:b w:val="false"/>
                  <w:color w:val="000080"/>
                  <w:sz w:val="20"/>
                  <w:u w:val="single"/>
                </w:rPr>
                <w:t>Months Ended June 28, 2026 and June 29,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25">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28">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59b45b24ec4b4b1badf9bbabbdbcb90a_28">
              <w:r>
                <w:rPr>
                  <w:rStyle w:val="InternetLink"/>
                  <w:rFonts w:ascii="Times New Roman;serif" w:hAnsi="Times New Roman;serif"/>
                  <w:b w:val="false"/>
                  <w:color w:val="000080"/>
                  <w:sz w:val="20"/>
                  <w:u w:val="single"/>
                </w:rPr>
                <w:t xml:space="preserve">and </w:t>
              </w:r>
            </w:hyperlink>
            <w:hyperlink w:anchor="i59b45b24ec4b4b1badf9bbabbdbcb90a_28">
              <w:r>
                <w:rPr>
                  <w:rStyle w:val="InternetLink"/>
                  <w:rFonts w:ascii="Times New Roman;serif" w:hAnsi="Times New Roman;serif"/>
                  <w:b w:val="false"/>
                  <w:color w:val="000080"/>
                  <w:sz w:val="20"/>
                  <w:u w:val="single"/>
                </w:rPr>
                <w:t xml:space="preserve">Six </w:t>
              </w:r>
            </w:hyperlink>
            <w:hyperlink w:anchor="i59b45b24ec4b4b1badf9bbabbdbcb90a_28">
              <w:r>
                <w:rPr>
                  <w:rStyle w:val="InternetLink"/>
                  <w:rFonts w:ascii="Times New Roman;serif" w:hAnsi="Times New Roman;serif"/>
                  <w:b w:val="false"/>
                  <w:color w:val="000080"/>
                  <w:sz w:val="20"/>
                  <w:u w:val="single"/>
                </w:rPr>
                <w:t>Months Ended June 28, 2026 and June 29,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28">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34">
              <w:r>
                <w:rPr>
                  <w:rStyle w:val="InternetLink"/>
                  <w:rFonts w:ascii="Times New Roman;serif" w:hAnsi="Times New Roman;serif"/>
                  <w:b w:val="false"/>
                  <w:color w:val="000080"/>
                  <w:sz w:val="20"/>
                  <w:u w:val="single"/>
                </w:rPr>
                <w:t xml:space="preserve">Condensed Consolidated Statements of Cash Flows for the </w:t>
              </w:r>
            </w:hyperlink>
            <w:hyperlink w:anchor="i59b45b24ec4b4b1badf9bbabbdbcb90a_34">
              <w:r>
                <w:rPr>
                  <w:rStyle w:val="InternetLink"/>
                  <w:rFonts w:ascii="Times New Roman;serif" w:hAnsi="Times New Roman;serif"/>
                  <w:b w:val="false"/>
                  <w:color w:val="000080"/>
                  <w:sz w:val="20"/>
                  <w:u w:val="single"/>
                </w:rPr>
                <w:t>Six</w:t>
              </w:r>
            </w:hyperlink>
            <w:hyperlink w:anchor="i59b45b24ec4b4b1badf9bbabbdbcb90a_34">
              <w:r>
                <w:rPr>
                  <w:rStyle w:val="InternetLink"/>
                  <w:rFonts w:ascii="Times New Roman;serif" w:hAnsi="Times New Roman;serif"/>
                  <w:b w:val="false"/>
                  <w:color w:val="000080"/>
                  <w:sz w:val="20"/>
                  <w:u w:val="single"/>
                </w:rPr>
                <w:t xml:space="preserve"> Months Ended June 28, 2026 and June 29,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34">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37">
              <w:r>
                <w:rPr>
                  <w:rStyle w:val="InternetLink"/>
                  <w:rFonts w:ascii="Times New Roman;serif" w:hAnsi="Times New Roman;serif"/>
                  <w:b w:val="false"/>
                  <w:color w:val="0000FF"/>
                  <w:sz w:val="20"/>
                  <w:u w:val="single"/>
                </w:rPr>
                <w:t>Notes to Condensed Consolidated 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37">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00">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00">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33">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33">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33">
              <w:r>
                <w:rPr>
                  <w:rStyle w:val="InternetLink"/>
                  <w:rFonts w:ascii="Times New Roman;serif" w:hAnsi="Times New Roman;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36">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36">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36">
              <w:r>
                <w:rPr>
                  <w:rStyle w:val="InternetLink"/>
                  <w:rFonts w:ascii="Times New Roman;serif" w:hAnsi="Times New Roman;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9b45b24ec4b4b1badf9bbabbdbcb90a_139">
              <w:r>
                <w:rPr>
                  <w:rStyle w:val="InternetLink"/>
                  <w:rFonts w:ascii="Times New Roman;serif" w:hAnsi="Times New Roman;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42">
              <w:r>
                <w:rPr>
                  <w:rStyle w:val="InternetLink"/>
                  <w:rFonts w:ascii="Times New Roman;serif" w:hAnsi="Times New Roman;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42">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42">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45">
              <w:r>
                <w:rPr>
                  <w:rStyle w:val="InternetLink"/>
                  <w:rFonts w:ascii="Times New Roman;serif" w:hAnsi="Times New Roman;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45">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45">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48">
              <w:r>
                <w:rPr>
                  <w:rStyle w:val="InternetLink"/>
                  <w:rFonts w:ascii="Times New Roman;serif" w:hAnsi="Times New Roman;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48">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48">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51">
              <w:r>
                <w:rPr>
                  <w:rStyle w:val="InternetLink"/>
                  <w:rFonts w:ascii="Times New Roman;serif" w:hAnsi="Times New Roman;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51">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51">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54">
              <w:r>
                <w:rPr>
                  <w:rStyle w:val="InternetLink"/>
                  <w:rFonts w:ascii="Times New Roman;serif" w:hAnsi="Times New Roman;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54">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54">
              <w:r>
                <w:rPr>
                  <w:rStyle w:val="InternetLink"/>
                  <w:rFonts w:ascii="Times New Roman;serif" w:hAnsi="Times New Roman;serif"/>
                  <w:b w:val="false"/>
                  <w:color w:val="0000FF"/>
                  <w:sz w:val="20"/>
                  <w:u w:val="single"/>
                </w:rPr>
                <w:t>45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57">
              <w:r>
                <w:rPr>
                  <w:rStyle w:val="InternetLink"/>
                  <w:rFonts w:ascii="Times New Roman;serif" w:hAnsi="Times New Roman;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57">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57">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3">
              <w:r>
                <w:rPr>
                  <w:rStyle w:val="InternetLink"/>
                  <w:rFonts w:ascii="Times New Roman;serif" w:hAnsi="Times New Roman;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3">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b45b24ec4b4b1badf9bbabbdbcb90a_163">
              <w:r>
                <w:rPr>
                  <w:rStyle w:val="InternetLink"/>
                  <w:rFonts w:ascii="Times New Roman;serif" w:hAnsi="Times New Roman;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18"/>
        </w:rPr>
        <w:t>(in millions, except par value and number of shares)</w:t>
      </w:r>
    </w:p>
    <w:tbl>
      <w:tblPr>
        <w:tblW w:w="10205" w:type="dxa"/>
        <w:jc w:val="center"/>
        <w:tblInd w:w="0" w:type="dxa"/>
        <w:tblLayout w:type="fixed"/>
        <w:tblCellMar>
          <w:top w:w="28" w:type="dxa"/>
          <w:left w:w="28" w:type="dxa"/>
          <w:bottom w:w="28" w:type="dxa"/>
          <w:right w:w="28" w:type="dxa"/>
        </w:tblCellMar>
      </w:tblPr>
      <w:tblGrid>
        <w:gridCol w:w="2878"/>
        <w:gridCol w:w="2340"/>
        <w:gridCol w:w="2331"/>
        <w:gridCol w:w="208"/>
        <w:gridCol w:w="736"/>
        <w:gridCol w:w="115"/>
        <w:gridCol w:w="109"/>
        <w:gridCol w:w="109"/>
        <w:gridCol w:w="109"/>
        <w:gridCol w:w="238"/>
        <w:gridCol w:w="840"/>
        <w:gridCol w:w="192"/>
      </w:tblGrid>
      <w:tr>
        <w:trPr/>
        <w:tc>
          <w:tcPr>
            <w:tcW w:w="2878"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 net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Inventoried costs,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1,262.9 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joint venture</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Liabilities and Stockholders</w:t>
            </w:r>
            <w:r>
              <w:rPr>
                <w:color w:val="000000"/>
              </w:rPr>
              <w:t xml:space="preserve">’ </w:t>
            </w:r>
            <w:r>
              <w:rPr>
                <w:rFonts w:ascii="Times New Roman;serif" w:hAnsi="Times New Roman;serif"/>
                <w:b/>
                <w:color w:val="000000"/>
                <w:sz w:val="18"/>
              </w:rPr>
              <w:t>Equity</w:t>
            </w:r>
          </w:p>
        </w:tc>
        <w:tc>
          <w:tcPr>
            <w:tcW w:w="105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costs and earnings on uncompleted contracts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finance lease liabilities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net of current portion</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 liabilities, net of current portion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Stockholders</w:t>
            </w:r>
            <w:r>
              <w:rPr>
                <w:color w:val="000000"/>
              </w:rPr>
              <w:t xml:space="preserve">’ </w:t>
            </w:r>
            <w:r>
              <w:rPr>
                <w:rFonts w:ascii="Times New Roman;serif" w:hAnsi="Times New Roman;serif"/>
                <w:b w:val="false"/>
                <w:color w:val="000000"/>
                <w:sz w:val="18"/>
              </w:rPr>
              <w:t>equity:</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5,000,000 shares authorized, 0 shares issued and outstanding at June 28, 2026 and December 28, 2025</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245,000,000 shares authorized and 187,557,916 shares issued and outstanding at June 28, 2026; 195,000,000 shares authorized and 168,875,032 shares issued and outstanding at December 28, 2025.</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stockholders</w:t>
            </w:r>
            <w:r>
              <w:rPr>
                <w:color w:val="000000"/>
              </w:rPr>
              <w:t xml:space="preserve">’ </w:t>
            </w:r>
            <w:r>
              <w:rPr>
                <w:rFonts w:ascii="Times New Roman;serif" w:hAnsi="Times New Roman;serif"/>
                <w:b w:val="false"/>
                <w:color w:val="000000"/>
                <w:sz w:val="18"/>
              </w:rPr>
              <w:t>equity</w:t>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liabilities and stockholders</w:t>
            </w:r>
            <w:r>
              <w:rPr>
                <w:color w:val="000000"/>
              </w:rPr>
              <w:t xml:space="preserve">’ </w:t>
            </w:r>
            <w:r>
              <w:rPr>
                <w:rFonts w:ascii="Times New Roman;serif" w:hAnsi="Times New Roman;serif"/>
                <w:b w:val="false"/>
                <w:color w:val="000000"/>
                <w:sz w:val="18"/>
              </w:rPr>
              <w:t>equity</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w:t>
      </w:r>
    </w:p>
    <w:p>
      <w:pPr>
        <w:pStyle w:val="TextBody"/>
        <w:bidi w:val="0"/>
        <w:spacing w:lineRule="auto" w:line="288" w:before="0" w:after="0"/>
        <w:jc w:val="center"/>
        <w:rPr/>
      </w:pPr>
      <w:r>
        <w:rPr>
          <w:color w:val="000000"/>
        </w:rPr>
        <w:t> </w:t>
      </w:r>
      <w:r>
        <w:rPr>
          <w:rFonts w:ascii="Times New Roman;serif" w:hAnsi="Times New Roman;serif"/>
          <w:b/>
          <w:color w:val="000000"/>
          <w:sz w:val="16"/>
        </w:rPr>
        <w:t>(Unaudited)</w:t>
      </w:r>
    </w:p>
    <w:tbl>
      <w:tblPr>
        <w:tblW w:w="8976" w:type="dxa"/>
        <w:jc w:val="left"/>
        <w:tblInd w:w="0" w:type="dxa"/>
        <w:tblLayout w:type="fixed"/>
        <w:tblCellMar>
          <w:top w:w="28" w:type="dxa"/>
          <w:left w:w="28" w:type="dxa"/>
          <w:bottom w:w="28" w:type="dxa"/>
          <w:right w:w="28" w:type="dxa"/>
        </w:tblCellMar>
      </w:tblPr>
      <w:tblGrid>
        <w:gridCol w:w="1249"/>
        <w:gridCol w:w="1099"/>
        <w:gridCol w:w="1102"/>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3"/>
        <w:gridCol w:w="718"/>
        <w:gridCol w:w="199"/>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640.1 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Merger and acquisition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 for income taxes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2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income per common share</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 income per common share</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8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4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157.4 </w:t>
            </w:r>
          </w:p>
        </w:tc>
        <w:tc>
          <w:tcPr>
            <w:tcW w:w="14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4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9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0" w:after="0"/>
        <w:jc w:val="center"/>
        <w:rPr/>
      </w:pPr>
      <w:r>
        <w:rPr>
          <w:color w:val="000000"/>
        </w:rPr>
        <w:t> </w:t>
      </w: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37"/>
        <w:gridCol w:w="1703"/>
        <w:gridCol w:w="1669"/>
        <w:gridCol w:w="257"/>
        <w:gridCol w:w="493"/>
        <w:gridCol w:w="143"/>
        <w:gridCol w:w="109"/>
        <w:gridCol w:w="109"/>
        <w:gridCol w:w="109"/>
        <w:gridCol w:w="257"/>
        <w:gridCol w:w="493"/>
        <w:gridCol w:w="143"/>
        <w:gridCol w:w="109"/>
        <w:gridCol w:w="109"/>
        <w:gridCol w:w="109"/>
        <w:gridCol w:w="239"/>
        <w:gridCol w:w="568"/>
        <w:gridCol w:w="132"/>
        <w:gridCol w:w="109"/>
        <w:gridCol w:w="109"/>
        <w:gridCol w:w="109"/>
        <w:gridCol w:w="236"/>
        <w:gridCol w:w="562"/>
        <w:gridCol w:w="192"/>
      </w:tblGrid>
      <w:tr>
        <w:trPr/>
        <w:tc>
          <w:tcPr>
            <w:tcW w:w="213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 in unrealized cash flow hedge (net of taxes of $0.0 million and $0.1 million for the three and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8"/>
              </w:rPr>
              <w:t>month periods ended June 29, 2025)</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cumulative translation adjustment, net of tax</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509"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28, 2026 and June 29,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322"/>
        <w:gridCol w:w="134"/>
        <w:gridCol w:w="134"/>
        <w:gridCol w:w="134"/>
        <w:gridCol w:w="134"/>
        <w:gridCol w:w="134"/>
        <w:gridCol w:w="134"/>
        <w:gridCol w:w="134"/>
        <w:gridCol w:w="134"/>
        <w:gridCol w:w="109"/>
        <w:gridCol w:w="109"/>
        <w:gridCol w:w="109"/>
        <w:gridCol w:w="278"/>
        <w:gridCol w:w="278"/>
        <w:gridCol w:w="196"/>
        <w:gridCol w:w="109"/>
        <w:gridCol w:w="109"/>
        <w:gridCol w:w="109"/>
        <w:gridCol w:w="216"/>
        <w:gridCol w:w="414"/>
        <w:gridCol w:w="121"/>
        <w:gridCol w:w="109"/>
        <w:gridCol w:w="109"/>
        <w:gridCol w:w="109"/>
        <w:gridCol w:w="218"/>
        <w:gridCol w:w="770"/>
        <w:gridCol w:w="121"/>
        <w:gridCol w:w="109"/>
        <w:gridCol w:w="109"/>
        <w:gridCol w:w="109"/>
        <w:gridCol w:w="413"/>
        <w:gridCol w:w="794"/>
        <w:gridCol w:w="231"/>
        <w:gridCol w:w="109"/>
        <w:gridCol w:w="109"/>
        <w:gridCol w:w="109"/>
        <w:gridCol w:w="247"/>
        <w:gridCol w:w="722"/>
        <w:gridCol w:w="138"/>
        <w:gridCol w:w="109"/>
        <w:gridCol w:w="109"/>
        <w:gridCol w:w="109"/>
        <w:gridCol w:w="109"/>
        <w:gridCol w:w="109"/>
        <w:gridCol w:w="109"/>
        <w:gridCol w:w="109"/>
        <w:gridCol w:w="233"/>
        <w:gridCol w:w="826"/>
        <w:gridCol w:w="197"/>
      </w:tblGrid>
      <w:tr>
        <w:trPr/>
        <w:tc>
          <w:tcPr>
            <w:tcW w:w="3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3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1,387.6 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6"/>
            <w:tcBorders/>
          </w:tcPr>
          <w:p>
            <w:pPr>
              <w:pStyle w:val="TableContents"/>
              <w:bidi w:val="0"/>
              <w:spacing w:before="0" w:after="283"/>
              <w:jc w:val="left"/>
              <w:rPr>
                <w:sz w:val="4"/>
                <w:szCs w:val="4"/>
              </w:rPr>
            </w:pPr>
            <w:r>
              <w:rPr>
                <w:sz w:val="4"/>
                <w:szCs w:val="4"/>
              </w:rPr>
            </w:r>
          </w:p>
        </w:tc>
      </w:tr>
      <w:tr>
        <w:trPr/>
        <w:tc>
          <w:tcPr>
            <w:tcW w:w="13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issued and related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equity raise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3" w:type="dxa"/>
            <w:gridSpan w:val="6"/>
            <w:tcBorders/>
          </w:tcPr>
          <w:p>
            <w:pPr>
              <w:pStyle w:val="TableContents"/>
              <w:bidi w:val="0"/>
              <w:spacing w:before="0" w:after="283"/>
              <w:jc w:val="left"/>
              <w:rPr>
                <w:sz w:val="4"/>
                <w:szCs w:val="4"/>
              </w:rPr>
            </w:pPr>
            <w:r>
              <w:rPr>
                <w:sz w:val="4"/>
                <w:szCs w:val="4"/>
              </w:rPr>
            </w:r>
          </w:p>
        </w:tc>
      </w:tr>
      <w:tr>
        <w:trPr/>
        <w:tc>
          <w:tcPr>
            <w:tcW w:w="13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net of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1"/>
        <w:gridCol w:w="132"/>
        <w:gridCol w:w="132"/>
        <w:gridCol w:w="132"/>
        <w:gridCol w:w="132"/>
        <w:gridCol w:w="132"/>
        <w:gridCol w:w="132"/>
        <w:gridCol w:w="132"/>
        <w:gridCol w:w="132"/>
        <w:gridCol w:w="109"/>
        <w:gridCol w:w="109"/>
        <w:gridCol w:w="109"/>
        <w:gridCol w:w="278"/>
        <w:gridCol w:w="278"/>
        <w:gridCol w:w="196"/>
        <w:gridCol w:w="109"/>
        <w:gridCol w:w="109"/>
        <w:gridCol w:w="109"/>
        <w:gridCol w:w="216"/>
        <w:gridCol w:w="414"/>
        <w:gridCol w:w="121"/>
        <w:gridCol w:w="109"/>
        <w:gridCol w:w="109"/>
        <w:gridCol w:w="109"/>
        <w:gridCol w:w="216"/>
        <w:gridCol w:w="764"/>
        <w:gridCol w:w="120"/>
        <w:gridCol w:w="109"/>
        <w:gridCol w:w="109"/>
        <w:gridCol w:w="109"/>
        <w:gridCol w:w="422"/>
        <w:gridCol w:w="812"/>
        <w:gridCol w:w="237"/>
        <w:gridCol w:w="109"/>
        <w:gridCol w:w="109"/>
        <w:gridCol w:w="109"/>
        <w:gridCol w:w="246"/>
        <w:gridCol w:w="719"/>
        <w:gridCol w:w="137"/>
        <w:gridCol w:w="109"/>
        <w:gridCol w:w="109"/>
        <w:gridCol w:w="109"/>
        <w:gridCol w:w="109"/>
        <w:gridCol w:w="109"/>
        <w:gridCol w:w="109"/>
        <w:gridCol w:w="109"/>
        <w:gridCol w:w="232"/>
        <w:gridCol w:w="821"/>
        <w:gridCol w:w="201"/>
      </w:tblGrid>
      <w:tr>
        <w:trPr/>
        <w:tc>
          <w:tcPr>
            <w:tcW w:w="3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3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37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gridSpan w:val="6"/>
            <w:tcBorders/>
          </w:tcPr>
          <w:p>
            <w:pPr>
              <w:pStyle w:val="TableContents"/>
              <w:bidi w:val="0"/>
              <w:spacing w:before="0" w:after="283"/>
              <w:jc w:val="left"/>
              <w:rPr>
                <w:sz w:val="4"/>
                <w:szCs w:val="4"/>
              </w:rPr>
            </w:pPr>
            <w:r>
              <w:rPr>
                <w:sz w:val="4"/>
                <w:szCs w:val="4"/>
              </w:rPr>
            </w:r>
          </w:p>
        </w:tc>
      </w:tr>
      <w:tr>
        <w:trPr/>
        <w:tc>
          <w:tcPr>
            <w:tcW w:w="13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issued and related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equity raise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1" w:type="dxa"/>
            <w:gridSpan w:val="6"/>
            <w:tcBorders/>
          </w:tcPr>
          <w:p>
            <w:pPr>
              <w:pStyle w:val="TableContents"/>
              <w:bidi w:val="0"/>
              <w:spacing w:before="0" w:after="283"/>
              <w:jc w:val="left"/>
              <w:rPr>
                <w:sz w:val="4"/>
                <w:szCs w:val="4"/>
              </w:rPr>
            </w:pPr>
            <w:r>
              <w:rPr>
                <w:sz w:val="4"/>
                <w:szCs w:val="4"/>
              </w:rPr>
            </w:r>
          </w:p>
        </w:tc>
      </w:tr>
      <w:tr>
        <w:trPr/>
        <w:tc>
          <w:tcPr>
            <w:tcW w:w="13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3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28, 2026 and June 29,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1183" w:type="dxa"/>
        <w:jc w:val="center"/>
        <w:tblInd w:w="0" w:type="dxa"/>
        <w:tblLayout w:type="fixed"/>
        <w:tblCellMar>
          <w:top w:w="28" w:type="dxa"/>
          <w:left w:w="28" w:type="dxa"/>
          <w:bottom w:w="28" w:type="dxa"/>
          <w:right w:w="28" w:type="dxa"/>
        </w:tblCellMar>
      </w:tblPr>
      <w:tblGrid>
        <w:gridCol w:w="697"/>
        <w:gridCol w:w="244"/>
        <w:gridCol w:w="245"/>
        <w:gridCol w:w="109"/>
        <w:gridCol w:w="376"/>
        <w:gridCol w:w="109"/>
        <w:gridCol w:w="195"/>
        <w:gridCol w:w="195"/>
        <w:gridCol w:w="196"/>
        <w:gridCol w:w="278"/>
        <w:gridCol w:w="278"/>
        <w:gridCol w:w="109"/>
        <w:gridCol w:w="250"/>
        <w:gridCol w:w="250"/>
        <w:gridCol w:w="251"/>
        <w:gridCol w:w="196"/>
        <w:gridCol w:w="376"/>
        <w:gridCol w:w="109"/>
        <w:gridCol w:w="109"/>
        <w:gridCol w:w="109"/>
        <w:gridCol w:w="109"/>
        <w:gridCol w:w="196"/>
        <w:gridCol w:w="691"/>
        <w:gridCol w:w="109"/>
        <w:gridCol w:w="109"/>
        <w:gridCol w:w="109"/>
        <w:gridCol w:w="109"/>
        <w:gridCol w:w="342"/>
        <w:gridCol w:w="683"/>
        <w:gridCol w:w="191"/>
        <w:gridCol w:w="109"/>
        <w:gridCol w:w="109"/>
        <w:gridCol w:w="109"/>
        <w:gridCol w:w="235"/>
        <w:gridCol w:w="685"/>
        <w:gridCol w:w="131"/>
        <w:gridCol w:w="109"/>
        <w:gridCol w:w="109"/>
        <w:gridCol w:w="109"/>
        <w:gridCol w:w="196"/>
        <w:gridCol w:w="376"/>
        <w:gridCol w:w="109"/>
        <w:gridCol w:w="109"/>
        <w:gridCol w:w="109"/>
        <w:gridCol w:w="109"/>
        <w:gridCol w:w="214"/>
        <w:gridCol w:w="757"/>
        <w:gridCol w:w="170"/>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c>
          <w:tcPr>
            <w:tcW w:w="37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employee stock purchase plan and stock awards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issued and related taxes</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equity raise</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interest rate swap contract</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29, 2025</w:t>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3"/>
        <w:gridCol w:w="147"/>
        <w:gridCol w:w="147"/>
        <w:gridCol w:w="147"/>
        <w:gridCol w:w="147"/>
        <w:gridCol w:w="147"/>
        <w:gridCol w:w="147"/>
        <w:gridCol w:w="147"/>
        <w:gridCol w:w="147"/>
        <w:gridCol w:w="109"/>
        <w:gridCol w:w="109"/>
        <w:gridCol w:w="109"/>
        <w:gridCol w:w="278"/>
        <w:gridCol w:w="278"/>
        <w:gridCol w:w="196"/>
        <w:gridCol w:w="109"/>
        <w:gridCol w:w="109"/>
        <w:gridCol w:w="109"/>
        <w:gridCol w:w="216"/>
        <w:gridCol w:w="414"/>
        <w:gridCol w:w="121"/>
        <w:gridCol w:w="109"/>
        <w:gridCol w:w="109"/>
        <w:gridCol w:w="109"/>
        <w:gridCol w:w="211"/>
        <w:gridCol w:w="745"/>
        <w:gridCol w:w="117"/>
        <w:gridCol w:w="109"/>
        <w:gridCol w:w="109"/>
        <w:gridCol w:w="109"/>
        <w:gridCol w:w="403"/>
        <w:gridCol w:w="774"/>
        <w:gridCol w:w="226"/>
        <w:gridCol w:w="109"/>
        <w:gridCol w:w="109"/>
        <w:gridCol w:w="109"/>
        <w:gridCol w:w="243"/>
        <w:gridCol w:w="710"/>
        <w:gridCol w:w="135"/>
        <w:gridCol w:w="109"/>
        <w:gridCol w:w="109"/>
        <w:gridCol w:w="109"/>
        <w:gridCol w:w="109"/>
        <w:gridCol w:w="109"/>
        <w:gridCol w:w="109"/>
        <w:gridCol w:w="109"/>
        <w:gridCol w:w="227"/>
        <w:gridCol w:w="804"/>
        <w:gridCol w:w="190"/>
      </w:tblGrid>
      <w:tr>
        <w:trPr/>
        <w:tc>
          <w:tcPr>
            <w:tcW w:w="3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employee stock purchase plan and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issued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equity raise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15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7977" w:type="dxa"/>
        <w:jc w:val="left"/>
        <w:tblInd w:w="0" w:type="dxa"/>
        <w:tblLayout w:type="fixed"/>
        <w:tblCellMar>
          <w:top w:w="28" w:type="dxa"/>
          <w:left w:w="28" w:type="dxa"/>
          <w:bottom w:w="28" w:type="dxa"/>
          <w:right w:w="28" w:type="dxa"/>
        </w:tblCellMar>
      </w:tblPr>
      <w:tblGrid>
        <w:gridCol w:w="1942"/>
        <w:gridCol w:w="1703"/>
        <w:gridCol w:w="1710"/>
        <w:gridCol w:w="221"/>
        <w:gridCol w:w="781"/>
        <w:gridCol w:w="123"/>
        <w:gridCol w:w="109"/>
        <w:gridCol w:w="109"/>
        <w:gridCol w:w="109"/>
        <w:gridCol w:w="253"/>
        <w:gridCol w:w="718"/>
        <w:gridCol w:w="199"/>
      </w:tblGrid>
      <w:tr>
        <w:trPr/>
        <w:tc>
          <w:tcPr>
            <w:tcW w:w="1942"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lease right-of-use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doubtful accounts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acquisitions: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Unbilled receivables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Inventoried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Billings in excess of costs and earnings on uncompleted contracts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 and payable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acquisitions, net of cash acquired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state grant for capital construction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(375.3)</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common stock, net of issuance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under credit facility and term loan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finance leases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employee taxes withheld from share-based awards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shares issued under equity plans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536.3 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783.6 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44" w:type="dxa"/>
        <w:jc w:val="center"/>
        <w:tblInd w:w="0" w:type="dxa"/>
        <w:tblLayout w:type="fixed"/>
        <w:tblCellMar>
          <w:top w:w="28" w:type="dxa"/>
          <w:left w:w="28" w:type="dxa"/>
          <w:bottom w:w="28" w:type="dxa"/>
          <w:right w:w="28" w:type="dxa"/>
        </w:tblCellMar>
      </w:tblPr>
      <w:tblGrid>
        <w:gridCol w:w="1858"/>
        <w:gridCol w:w="1631"/>
        <w:gridCol w:w="1641"/>
        <w:gridCol w:w="196"/>
        <w:gridCol w:w="466"/>
        <w:gridCol w:w="109"/>
        <w:gridCol w:w="109"/>
        <w:gridCol w:w="109"/>
        <w:gridCol w:w="109"/>
        <w:gridCol w:w="196"/>
        <w:gridCol w:w="466"/>
        <w:gridCol w:w="154"/>
      </w:tblGrid>
      <w:tr>
        <w:trPr/>
        <w:tc>
          <w:tcPr>
            <w:tcW w:w="185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 recognized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included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issuance for contingent acquisition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issuance for acquisition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 references to the “Company” and “Kratos” refer to Kratos Defense &amp; Security Solutions, Inc., a Delaware corporation,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color w:val="000000"/>
          <w:sz w:val="20"/>
        </w:rPr>
        <w:t>(a)</w:t>
      </w:r>
      <w:r>
        <w:rPr>
          <w:color w:val="000000"/>
        </w:rPr>
        <w:t>    </w:t>
      </w: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The information as of June 28, 2026 and for the three and six months ended June 28, 2026 and June 29, 2025 is unaudited. The condensed consolidated balance sheet as of December 28, 2025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generally accepted accounting principles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28, 2025, included in the Company’s Annual Report on Form 10-K filed with the U.S. Securities and Exchange Commission (the “SEC”) on February 23, 2026 (the “Form 10-K”). Interim operating results are not necessarily indicative of operating results expected in subsequent periods or for the year as a whole.</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(b)    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100% owned subsidiaries. Investments in entities over which the Company has the ability to exercise significant influence, but not control, are accounted for under the equity method. All inter-company transactions have been eliminated in consolidation.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(c)    Fiscal Year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52/53 week fiscal year ending on the last Sunday of the calendar year. The three month periods ended June 28, 2026 and June 29, 2025 consisted of 13-week periods. There are 52 calendar weeks in the fiscal years ending on December 27, 2026 and December 28, 2025.</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Use of Estimates</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the Company’s accounting estimates for the six months ended June 28, 2026 as compared to the accounting estimates described in the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    Fair Value of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forward exchange contracts from time to time to manage foreign currency risks associated with certain transactions, specifically forecasted materials and salaries paid in foreign currencies. These derivative instruments are measured at fair value using observable market inputs such as interest rates. Based on these inputs, the derivative instruments are classified within Level 2 of the valuation hierarchy. At June 28, 2026, the derivative instruments were included in other current assets and other long-term liabilities on the Company's condensed consolidated balance sheets. At December 28, 2025, the Company did not have any forward exchange contracts in place.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had entered into an interest rate swap contract in order to mitigate the exposure to interest rate movements associated with the Company’s Term Loan A. On June 30, 2025, in anticipation of the extinguishment of all outstanding Term Loan A debt under the 2022 Credit Facility, the Company terminated this interest rate swap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and the related fair values of the Company’s derivative instruments measured at fair value on a recurring basis at June 28, 2026 and December 28, 2025 are presented in Note 14.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of all financial instruments, including cash equivalents, accounts receivable, unbilled receivables, accounts payable, accrued expenses, billings in excess of cost and earnings on uncompleted contracts and income taxes payable, approximated their estimated fair values at June 28, 2026 and December 28, 2025 due to the short-term nature of these instruments.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     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2025, the Financial Accounting Standards Board (“FASB”) issued Accounting Standard Update (“ASU”) No. 2025-10 </w:t>
      </w:r>
      <w:r>
        <w:rPr>
          <w:rFonts w:ascii="Times New Roman;serif" w:hAnsi="Times New Roman;serif"/>
          <w:b w:val="false"/>
          <w:i/>
          <w:color w:val="000000"/>
          <w:sz w:val="20"/>
        </w:rPr>
        <w:t xml:space="preserve">Accounting for Government Grants Received by Business Entities </w:t>
      </w:r>
      <w:r>
        <w:rPr>
          <w:rFonts w:ascii="Times New Roman;serif" w:hAnsi="Times New Roman;serif"/>
          <w:b w:val="false"/>
          <w:color w:val="000000"/>
          <w:sz w:val="20"/>
        </w:rPr>
        <w:t>(“ASU 2025-10”), which provides guidance on how companies should recognize, measure, and present government grants. The new standard ASU 2025-10 is effective for annual and interim reporting periods beginning after December 15, 2028. It allows for a modified prospective, modified retrospective, or retrospective approach to all government grants through a cumulative-effect adjustment. Early adoption is permitted. The Company is currently evaluating the impact of the adoption of ASU 2025-10 on its consolidated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(“ASU 2025-11”). ASU 2025-11 clarifies the applicability of Topic 270 and the form and content of interim financial statements. ASU 2025-11 requires entities to disclose material events occurring since the last annual reporting period. The amendments in this update are effective for fiscal years beginning after December 15, 2027, including interim periods within those fiscal years. Early adoption is permitted. The Company may apply the amendments either prospectively or retrospectively to all periods presented. The Company is currently evaluating the disclosure impact of ASU 2025-11; however, the standard is not expected to have a material impact on its consolidated financial position,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Targeted Improvements to the Accounting for Internal-Use Software (Subtopic 350-40) </w:t>
      </w:r>
      <w:r>
        <w:rPr>
          <w:rFonts w:ascii="Times New Roman;serif" w:hAnsi="Times New Roman;serif"/>
          <w:b w:val="false"/>
          <w:color w:val="000000"/>
          <w:sz w:val="20"/>
        </w:rPr>
        <w:t>(“ASU 2025-06”). ASU 2025-06 removes references to prescriptive software development stages and requires capitalization of internal-use software costs when it is probable that the software project will be completed and management has authorized and committed to funding the project. ASU 2025-06 is effective for the Company for fiscal years beginning after December 15, 2027, and interim periods within those fiscal years. The standard allows for prospective, modified prospective, or retrospective application to all periods presented. The Company is currently evaluating the impact of the adoption of ASU 2025-06 on its consolidated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November 2024, the FASB issued ASU No. 2024-03</w:t>
      </w:r>
      <w:r>
        <w:rPr>
          <w:rFonts w:ascii="Times New Roman;serif" w:hAnsi="Times New Roman;serif"/>
          <w:b w:val="false"/>
          <w:i/>
          <w:color w:val="000000"/>
          <w:sz w:val="20"/>
        </w:rPr>
        <w:t xml:space="preserve">, Income Statement (Topic 220): Reporting Comprehensive Income – Expense Disaggregation Disclosures </w:t>
      </w:r>
      <w:r>
        <w:rPr>
          <w:rFonts w:ascii="Times New Roman;serif" w:hAnsi="Times New Roman;serif"/>
          <w:b w:val="false"/>
          <w:color w:val="000000"/>
          <w:sz w:val="20"/>
        </w:rPr>
        <w:t>(“ASU 2024-03”)</w:t>
      </w:r>
      <w:r>
        <w:rPr>
          <w:rFonts w:ascii="Times New Roman;serif" w:hAnsi="Times New Roman;serif"/>
          <w:b w:val="false"/>
          <w:i/>
          <w:color w:val="000000"/>
          <w:sz w:val="20"/>
        </w:rPr>
        <w:t xml:space="preserve">, </w:t>
      </w:r>
      <w:r>
        <w:rPr>
          <w:rFonts w:ascii="Times New Roman;serif" w:hAnsi="Times New Roman;serif"/>
          <w:b w:val="false"/>
          <w:color w:val="000000"/>
          <w:sz w:val="20"/>
        </w:rPr>
        <w:t>which requires the disclosure of amounts of purchases of inventory, employee compensation, depreciation, and intangible asset amortization included in each relevant expense caption. It also requires companies to include certain amounts that are already required to be disclosed under current GAAP in the same disclosure. Additionally, it requires companies to disclose a qualitative description of the amounts remaining in relevant expense captions that are not separately disaggregated quantitatively, and to disclose the total amount of selling expenses and, in annual reporting periods, an entity’s definition of selling expenses. ASU 2024-03 will be effective for annual periods beginning after December 15, 2026 and interim periods beginning after December 15, 2027 with early adoption permitted. ASU 2024-03 may be applied on a prospective basis with the option to apply the standard retrospectively. The Company is currently evaluating the impact of the adoption of ASU 2024-03; however, the standard is only disclosure-based and is not expected to have an impact on the Company’s consolidated financial position, results of operations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accounting standards updates adopted and/or issued, but not effective until after June 28, 2026, are not expected to have a material effect on the Company’s consolidated financial position, results of operations and/or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 Joint Venture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26, 2025, the Company and RAFAEL Advanced Defense Systems, Ltd. (“RAFAEL”) announced an approximate 50/50 joint venture for the establishment of a U.S.-based merchant supplier of solid rocket motors (“SRMs”) and other energetics. The new joint venture, named Prometheus Energetics (“Prometheus”), will be headquartered on an approximately 500-acre site near the U.S. Navy and Army facility in Crane, Indiana. Kratos and RAFAEL (through its U.S. based subsidiary RAFAEL USA) have jointly committed up to a combined total of $175 million in capital for the establishment of Prometheus and required property, plant, equipment and personnel needed for the new, state-of-the-art SRM and energetics manufacturing campus and facilities. After construction of the plant and once RAFAEL’s technology transfer is completed and certified for operations, Prometheus is projected to begin production of SRMs and energetics in 2027. As of the date of this Quarterly Report, the Company has incurred minimal amounts of expense related to the establishment of Prometheus and has contributed approximately $11.9 million in capital which is recorded in the Condensed Consolidated Balance Sheets as “Investment in joint venture” accounted for under the equity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Acquisitions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Orbit Technologies Ltd.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4, 2025, the Company, Kratos Holdings U K Limited, a private limited company incorporated under the laws of England and Wales and an indirect wholly-owned subsidiary of the Company (“Kratos U K”), Kratos Acquisition Ltd., a company organized under the laws of the State of Israel and a direct wholly-owned subsidiary of Kratos U K (“Merger Sub”), and Orbit Technologies Ltd., a company organized under the laws of the State of Israel (“Orbit”), entered into an Agreement and Plan of Merger (the “Orbit Merger Agreement”), pursuant to which, on the terms and subject to the conditions set forth in the Orbit Merger Agreement, on March 2, 2026, Merger Sub merged with and into Orbit (the “Orbit Merger”), with Orbit continuing as the surviving corporation in the Orbit Merger as an indirect wholly-owned subsidiary of the Company and a direct subsidiary of Kratos U K. The Orbit Merger was completed on March 2, 2026. Prior to completion of the Orbit Merger, Orbit’s ordinary shares were publicly traded on the Tel Aviv Stock Exchange. The purchase price paid for 100 percent of the ordinary shares of Orbit was approximately $352.7 million in cash, which was funded via cash on the Company’s balance sheet. The purchase price was determined based on $13.725 for each Orbit ordinary share (the “Orbit Merger Consideration”), as set forth in the Orbit Merger Agreement. The acquired Orbit business is included in the KGS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Orbit is a leading global provider of mission-critical satellite-based communication systems for mobile and unmanned aerial, seaborne, undersea and land systems, military vehicles and other systems. Orbit provides its hardware, products, and systems to major air forces, traditional prime contractors and emerging new defense and space companies. Orbit’s customers are worldwide, including Israel, the United States, Europe and the Pacific region.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this acquisition have been included in the Company’s results of operations from the effective acquisition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Orbit business with Kratos’ related products and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consideration paid for the acquired Orbit business is as follows (in millions):</w:t>
      </w:r>
    </w:p>
    <w:p>
      <w:pPr>
        <w:pStyle w:val="TextBody"/>
        <w:bidi w:val="0"/>
        <w:spacing w:before="0" w:after="0"/>
        <w:ind w:left="0" w:right="0" w:firstLine="720"/>
        <w:jc w:val="left"/>
        <w:rPr/>
      </w:pPr>
      <w:r>
        <w:rPr/>
      </w:r>
    </w:p>
    <w:tbl>
      <w:tblPr>
        <w:tblW w:w="3018" w:type="dxa"/>
        <w:jc w:val="left"/>
        <w:tblInd w:w="0" w:type="dxa"/>
        <w:tblLayout w:type="fixed"/>
        <w:tblCellMar>
          <w:top w:w="28" w:type="dxa"/>
          <w:left w:w="28" w:type="dxa"/>
          <w:bottom w:w="28" w:type="dxa"/>
          <w:right w:w="28" w:type="dxa"/>
        </w:tblCellMar>
      </w:tblPr>
      <w:tblGrid>
        <w:gridCol w:w="617"/>
        <w:gridCol w:w="542"/>
        <w:gridCol w:w="551"/>
        <w:gridCol w:w="109"/>
        <w:gridCol w:w="109"/>
        <w:gridCol w:w="109"/>
        <w:gridCol w:w="211"/>
        <w:gridCol w:w="616"/>
        <w:gridCol w:w="154"/>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preliminary allocation of the purchase price over the estimated fair values of the Orbit assets acquired and liabilities assumed (in millions): </w:t>
      </w:r>
    </w:p>
    <w:p>
      <w:pPr>
        <w:pStyle w:val="TextBody"/>
        <w:bidi w:val="0"/>
        <w:spacing w:before="0" w:after="0"/>
        <w:jc w:val="left"/>
        <w:rPr/>
      </w:pPr>
      <w:r>
        <w:rPr/>
      </w:r>
    </w:p>
    <w:tbl>
      <w:tblPr>
        <w:tblW w:w="3917" w:type="dxa"/>
        <w:jc w:val="left"/>
        <w:tblInd w:w="0" w:type="dxa"/>
        <w:tblLayout w:type="fixed"/>
        <w:tblCellMar>
          <w:top w:w="28" w:type="dxa"/>
          <w:left w:w="28" w:type="dxa"/>
          <w:bottom w:w="28" w:type="dxa"/>
          <w:right w:w="28" w:type="dxa"/>
        </w:tblCellMar>
      </w:tblPr>
      <w:tblGrid>
        <w:gridCol w:w="942"/>
        <w:gridCol w:w="828"/>
        <w:gridCol w:w="839"/>
        <w:gridCol w:w="109"/>
        <w:gridCol w:w="109"/>
        <w:gridCol w:w="109"/>
        <w:gridCol w:w="211"/>
        <w:gridCol w:w="616"/>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Company’s preliminary estimate of fair value as of March 2, 2026, the identifiable intangible assets include the amounts in the following table ($ in millions):</w:t>
      </w:r>
    </w:p>
    <w:p>
      <w:pPr>
        <w:pStyle w:val="TextBody"/>
        <w:bidi w:val="0"/>
        <w:spacing w:before="0" w:after="0"/>
        <w:ind w:left="0" w:right="0" w:firstLine="720"/>
        <w:jc w:val="left"/>
        <w:rPr/>
      </w:pPr>
      <w:r>
        <w:rPr/>
      </w:r>
    </w:p>
    <w:tbl>
      <w:tblPr>
        <w:tblW w:w="4325" w:type="dxa"/>
        <w:jc w:val="left"/>
        <w:tblInd w:w="0" w:type="dxa"/>
        <w:tblLayout w:type="fixed"/>
        <w:tblCellMar>
          <w:top w:w="28" w:type="dxa"/>
          <w:left w:w="28" w:type="dxa"/>
          <w:bottom w:w="28" w:type="dxa"/>
          <w:right w:w="28" w:type="dxa"/>
        </w:tblCellMar>
      </w:tblPr>
      <w:tblGrid>
        <w:gridCol w:w="722"/>
        <w:gridCol w:w="634"/>
        <w:gridCol w:w="639"/>
        <w:gridCol w:w="449"/>
        <w:gridCol w:w="449"/>
        <w:gridCol w:w="451"/>
        <w:gridCol w:w="211"/>
        <w:gridCol w:w="61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Life</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Contracts and backlog</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of revenue and operating loss of the acquired Orbit business included in the Company’s consolidated statement of operations for the three months ended June 28, 2026 were $21.4 million and $3.5 million, respectively, and for the six months ended June 28, 2026 were $34.8 million and $0.1 million, respectively.</w:t>
      </w:r>
    </w:p>
    <w:p>
      <w:pPr>
        <w:pStyle w:val="TextBody"/>
        <w:bidi w:val="0"/>
        <w:spacing w:before="0" w:after="0"/>
        <w:ind w:left="0" w:right="0" w:firstLine="720"/>
        <w:jc w:val="left"/>
        <w:rPr/>
      </w:pPr>
      <w:r>
        <w:rPr/>
      </w:r>
    </w:p>
    <w:p>
      <w:pPr>
        <w:pStyle w:val="TextBody"/>
        <w:bidi w:val="0"/>
        <w:spacing w:lineRule="auto" w:line="24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goodwill recorded in this transaction is not tax-deductible.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Nomad Global Communication Solutions, Incorporated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11, 2026, the Company and the other parties thereto entered into an Agreement and Plan of Merger (the “Nomad Merger Agreement”) pursuant to which the Company acquired Nomad Global Communication Solutions, Incorporated, a Montana corporation (“Nomad”). The Nomad acquisition was consummated on February 11, 2026. Nomad is a company that focuses on the design and manufacture of connected mobile operations centers.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Nomad Merger Agreement, the purchase consideration consisted of (i) 972,136 shares of Kratos common stock with a fair value of $88.8 million issued on February 11, 2026 to the former Nomad shareholders in a private placement, and (ii) approximately $36.8 million in cash paid to extinguish certain of Nomad’s existing indebtedness and fund certain transaction-related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transaction includes post-closing contingent consideration and holdback arrangements with the following terms, measured at acquisition-date fair value in accordance with ASC 805: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Contingent Consideration ($10.0 million recognized amount): Corresponds to the contractual provision requiring the issuance of up to $10 million of additional shares of Kratos common stock upon the achievement of certain future financial performance metrics. This contingent consideration is classified as a liability and is subject to subsequent remeasurement through earnings at each reporting period until the contingencies are resolved.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Compliance, Tax, and Other Matters Holdback ($8.0 million recognized amount): Corresponds to holdback amounts set aside from the purchase price to satisfy potential post-closing adjustments or liabilities related to compliance, tax, and other specified matters. These amounts are held for potential claims by the Company against the sellers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the sellers or refundable to the Company upon resolution. During the six months ended June 28, 2026, the Company issued $1.0 million of common stock in partial settlement of certain holdback matters that were satisfied. Accordingly, on April 17, 2026, the Company registered 14,768 shares with the SEC of Kratos common stock issued to the former Nomad shareholders on April 16, 2026 related to the settlement of $1.0 million of certain holdback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Indemnification Holdback ($5.0 million recognized amount): Corresponds to holdback amounts designated for general post-closing indemnification claims. These funds are held for potential claims arising from breaches of representations or warranties and are payable to the sellers upon expiration of the holdback period, net of valid claims brought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price is subject to adjustment for net working capital and indebtedness, as defined in the Merger Agreement. Kratos granted the former shareholders of Nomad certain registration rights under the Nomad Merger Agreement and registered the 972,136 shares of Kratos common stock issued to the former Nomad shareholders on February 11, 2026 with the SEC on February 12, 2026. The Company incurred approximately $1.1 million of acquisition-related costs in connection with the Nomad acquisition, which were expensed as incurred and recorded within Selling, general and administrative expenses. The acquired Nomad business is included in the KGS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received the final valuation report from its external valuation experts and finalized the fair value of the tangible and identifiable intangible assets acquired and liabilities assumed. However, the overall purchase price allocation remains preliminary and subject to change during the measurement period (which will not exceed one year from the acquisition date). Specifically, the Company is still in the process of assessing and finalizing certain acquired tax positions and deferred taxes.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subsequent adjustments to these tax-related balances during the measurement period will result in a corresponding adjustment to goodwill. The Company does not expect any such adjustments to be material to its consolidated financial statements.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Nomad business with Kratos’ related products and customers.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has been accounted for using the acquisition method of accounting, which requires, among other things, that the identifiable assets acquired and the liabilities assumed be recognized at their fair values as of the acquisition date. These preliminary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consideration paid for the acquired Nomad business is as follows (in millions):</w:t>
      </w:r>
    </w:p>
    <w:p>
      <w:pPr>
        <w:pStyle w:val="TextBody"/>
        <w:bidi w:val="0"/>
        <w:spacing w:before="0" w:after="0"/>
        <w:ind w:left="0" w:right="0" w:firstLine="720"/>
        <w:jc w:val="left"/>
        <w:rPr/>
      </w:pPr>
      <w:r>
        <w:rPr/>
      </w:r>
    </w:p>
    <w:tbl>
      <w:tblPr>
        <w:tblW w:w="4473" w:type="dxa"/>
        <w:jc w:val="left"/>
        <w:tblInd w:w="0" w:type="dxa"/>
        <w:tblLayout w:type="fixed"/>
        <w:tblCellMar>
          <w:top w:w="28" w:type="dxa"/>
          <w:left w:w="28" w:type="dxa"/>
          <w:bottom w:w="28" w:type="dxa"/>
          <w:right w:w="28" w:type="dxa"/>
        </w:tblCellMar>
      </w:tblPr>
      <w:tblGrid>
        <w:gridCol w:w="1145"/>
        <w:gridCol w:w="1007"/>
        <w:gridCol w:w="1013"/>
        <w:gridCol w:w="109"/>
        <w:gridCol w:w="109"/>
        <w:gridCol w:w="109"/>
        <w:gridCol w:w="211"/>
        <w:gridCol w:w="61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 -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 - compliance, tax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 - indemnification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allocation of the purchase price over the estimated fair values of the Nomad assets acquired and liabilities assumed ($ in millions): </w:t>
      </w:r>
    </w:p>
    <w:p>
      <w:pPr>
        <w:pStyle w:val="TextBody"/>
        <w:bidi w:val="0"/>
        <w:spacing w:before="0" w:after="0"/>
        <w:ind w:left="0" w:right="0" w:firstLine="720"/>
        <w:jc w:val="left"/>
        <w:rPr/>
      </w:pPr>
      <w:r>
        <w:rPr/>
      </w:r>
    </w:p>
    <w:tbl>
      <w:tblPr>
        <w:tblW w:w="3917" w:type="dxa"/>
        <w:jc w:val="left"/>
        <w:tblInd w:w="0" w:type="dxa"/>
        <w:tblLayout w:type="fixed"/>
        <w:tblCellMar>
          <w:top w:w="28" w:type="dxa"/>
          <w:left w:w="28" w:type="dxa"/>
          <w:bottom w:w="28" w:type="dxa"/>
          <w:right w:w="28" w:type="dxa"/>
        </w:tblCellMar>
      </w:tblPr>
      <w:tblGrid>
        <w:gridCol w:w="942"/>
        <w:gridCol w:w="828"/>
        <w:gridCol w:w="839"/>
        <w:gridCol w:w="109"/>
        <w:gridCol w:w="109"/>
        <w:gridCol w:w="109"/>
        <w:gridCol w:w="211"/>
        <w:gridCol w:w="616"/>
        <w:gridCol w:w="154"/>
      </w:tblGrid>
      <w:tr>
        <w:trPr/>
        <w:tc>
          <w:tcPr>
            <w:tcW w:w="9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Company’s preliminary estimate of fair value as of February 11, 2026, the identifiable intangible assets include the amounts in the following table (in millions):</w:t>
      </w:r>
    </w:p>
    <w:p>
      <w:pPr>
        <w:pStyle w:val="TextBody"/>
        <w:bidi w:val="0"/>
        <w:spacing w:before="0" w:after="0"/>
        <w:ind w:left="0" w:right="0" w:firstLine="720"/>
        <w:jc w:val="left"/>
        <w:rPr/>
      </w:pPr>
      <w:r>
        <w:rPr/>
      </w:r>
    </w:p>
    <w:tbl>
      <w:tblPr>
        <w:tblW w:w="4220" w:type="dxa"/>
        <w:jc w:val="left"/>
        <w:tblInd w:w="0" w:type="dxa"/>
        <w:tblLayout w:type="fixed"/>
        <w:tblCellMar>
          <w:top w:w="28" w:type="dxa"/>
          <w:left w:w="28" w:type="dxa"/>
          <w:bottom w:w="28" w:type="dxa"/>
          <w:right w:w="28" w:type="dxa"/>
        </w:tblCellMar>
      </w:tblPr>
      <w:tblGrid>
        <w:gridCol w:w="722"/>
        <w:gridCol w:w="634"/>
        <w:gridCol w:w="639"/>
        <w:gridCol w:w="449"/>
        <w:gridCol w:w="449"/>
        <w:gridCol w:w="451"/>
        <w:gridCol w:w="211"/>
        <w:gridCol w:w="51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Life</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of revenue and operating loss of the Nomad acquisition included in the Company’s consolidated statement of operations for the three months ended June 28, 2026 were $18.8 million and $1.7 million, respectively, and for the six months ended June 28, 2026 were $26.2 million and $3.0 million, respectively. </w:t>
      </w:r>
    </w:p>
    <w:p>
      <w:pPr>
        <w:pStyle w:val="TextBody"/>
        <w:bidi w:val="0"/>
        <w:spacing w:before="0" w:after="0"/>
        <w:ind w:left="0" w:right="0" w:firstLine="720"/>
        <w:jc w:val="left"/>
        <w:rPr/>
      </w:pPr>
      <w:r>
        <w:rPr/>
      </w:r>
    </w:p>
    <w:p>
      <w:pPr>
        <w:pStyle w:val="TextBody"/>
        <w:bidi w:val="0"/>
        <w:spacing w:lineRule="auto" w:line="24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goodwill recorded in this transaction is not tax-deductible.</w:t>
      </w:r>
    </w:p>
    <w:p>
      <w:pPr>
        <w:pStyle w:val="TextBody"/>
        <w:bidi w:val="0"/>
        <w:spacing w:before="0" w:after="0"/>
        <w:ind w:left="0" w:right="0" w:firstLine="720"/>
        <w:jc w:val="left"/>
        <w:rPr/>
      </w:pPr>
      <w:r>
        <w:rPr/>
      </w:r>
    </w:p>
    <w:p>
      <w:pPr>
        <w:pStyle w:val="TextBody"/>
        <w:bidi w:val="0"/>
        <w:spacing w:lineRule="auto" w:line="247"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Pro Forma Financial Information (Unaudited)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supplemental condensed consolidated statements of operations information on an unaudited pro forma basis as if the acquisitions of Orbit and Nomad occurred on December 30, 2024 and include adjustments that were directly attributable to the Orbit and Nomad acquisition transactions. There are no material, nonrecurring pro forma adjustments directly attributable to the business combination included in the reported pro forma revenue and income. The pro forma results are for illustrative purposes only for the applicable period and do not purport to be indicative of the actual results that would have occurred had the applicable transaction been completed as of the beginning of the period, nor are they indicative of results of operations that may occur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28, 2026 and June 29, 2025 (all amounts, except per share amounts, are in millions):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9160" w:type="dxa"/>
        <w:jc w:val="center"/>
        <w:tblInd w:w="0" w:type="dxa"/>
        <w:tblLayout w:type="fixed"/>
        <w:tblCellMar>
          <w:top w:w="28" w:type="dxa"/>
          <w:left w:w="28" w:type="dxa"/>
          <w:bottom w:w="28" w:type="dxa"/>
          <w:right w:w="28" w:type="dxa"/>
        </w:tblCellMar>
      </w:tblPr>
      <w:tblGrid>
        <w:gridCol w:w="1120"/>
        <w:gridCol w:w="982"/>
        <w:gridCol w:w="987"/>
        <w:gridCol w:w="109"/>
        <w:gridCol w:w="109"/>
        <w:gridCol w:w="109"/>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6"/>
        <w:gridCol w:w="727"/>
        <w:gridCol w:w="142"/>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387.7 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840.3 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725.0 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net 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Pro forma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Basic pro forma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Diluted pro forma income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cMar>
              <w:top w:w="0" w:type="dxa"/>
              <w:left w:w="0" w:type="dxa"/>
              <w:bottom w:w="0" w:type="dxa"/>
              <w:right w:w="0" w:type="dxa"/>
            </w:tcMar>
            <w:vAlign w:val="center"/>
          </w:tcPr>
          <w:p>
            <w:pPr>
              <w:pStyle w:val="TableContents"/>
              <w:bidi w:val="0"/>
              <w:spacing w:lineRule="auto" w:line="199"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Norden Millimeter, Inc.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27, 2025, the Company and Kratos Microwave, Inc., a subsidiary of the Company (“Kratos Microwave”), entered into an Asset Purchase Agreement (the “Purchase Agreement”) to acquire certain of the assets (the “Purchased Assets”) of Norden Millimeter, Inc. (“Norden”) and assume certain liabilities (the “Assumed Liabilities”) of Norden. Norden focuses on microwave and millimeter wave products. Pursuant to the Purchase Agreement, on February 4, 2025, the acquisition was completed following the satisfaction of all closing conditions and (a) the Company issued 1,095,674 shares of its common stock, with a deemed value of $32.2 million, to Norden in a private placement, (b) the Company agreed to issue up to $6 million worth of additional shares of its common stock to Norden in the future upon release of certain holdback amounts, and (c) Kratos Microwave agreed to assume the Assumed Liabilities, in each case, in exchange for the Purchased Assets. Included in these Assumed Liabilities was a contingent bonus liability of $5.0 million payable to certain former employees of Norden. Kratos granted Norden certain registration rights under the Asset Purchase Agreement and registered the 1,095,674 shares with the SEC on February 7, 2025. The Purchased Assets and Assumed Liabilities are included in the KGS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this acquisition have been included in the Company’s results of operations from the effective acquisition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of the purchase price over the fair value of the tangible and identifiable intangible assets acquired and liabilities assumed in the acquisition was allocated to goodwill. The goodwill represents the value the Company expects to be created by integrating the acquired Norden assets with Kratos’ related products and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acquisition has been accounted for using the acquisition method of accounting, which requires, among other things, that the identifiable assets acquired and the liabilities assumed be recognized at their fair values as of the acquisition date. These fair value measurements are based primarily on significant inputs not observable in the marketplace and thus represent Level 3 measurements.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allocation of the purchase price over the estimated fair values of the Norden assets acquired and liabilities assumed (in millions): </w:t>
      </w:r>
    </w:p>
    <w:p>
      <w:pPr>
        <w:pStyle w:val="TextBody"/>
        <w:bidi w:val="0"/>
        <w:spacing w:before="0" w:after="0"/>
        <w:ind w:left="0" w:right="0" w:firstLine="720"/>
        <w:jc w:val="left"/>
        <w:rPr/>
      </w:pPr>
      <w:r>
        <w:rPr/>
      </w:r>
    </w:p>
    <w:tbl>
      <w:tblPr>
        <w:tblW w:w="3318" w:type="dxa"/>
        <w:jc w:val="left"/>
        <w:tblInd w:w="0" w:type="dxa"/>
        <w:tblLayout w:type="fixed"/>
        <w:tblCellMar>
          <w:top w:w="28" w:type="dxa"/>
          <w:left w:w="28" w:type="dxa"/>
          <w:bottom w:w="28" w:type="dxa"/>
          <w:right w:w="28" w:type="dxa"/>
        </w:tblCellMar>
      </w:tblPr>
      <w:tblGrid>
        <w:gridCol w:w="766"/>
        <w:gridCol w:w="673"/>
        <w:gridCol w:w="676"/>
        <w:gridCol w:w="109"/>
        <w:gridCol w:w="109"/>
        <w:gridCol w:w="109"/>
        <w:gridCol w:w="211"/>
        <w:gridCol w:w="51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identifiable intangible assets as of February 4, 2025 included customer relationships of $5.8 million with a useful life of 10 years, contracts and backlog of $1.4 million with a useful life of 2 years, developed technology of $1.4 million with a useful life of 5 years, trade names of $0.6 million with a useful life of 7 years, and a non-compete agreement valued at $0.5 million with a useful life of 5 years. The goodwill recorded in this transaction is expected to be tax-deductible.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value of customer relationships was estimated using the multi-period excess earnings method (“MPEEM”),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customer relationships, which were discounted at a rate of 7.5% to determine the fair value referred to above. The value of contracts and backlog referred to above was also estimated using MPEEM. The value of developed technology referred to above was estimated using the relief-from royalty method, an income approach (Level 3), which estimates the cost savings that accrue to the owner of the intangible asset that would otherwise be payable as royalties or license fees on revenues earned through the use of the asset. A royalty rate was applied to the projected revenues associated with the developed technology intangible asset to determine the amount of savings, which was discounted at a rate of 8.8% to determine the fair value. The value of trade names referred to above was also estimated using the relief-from royalty method. A royalty rate was applied to the projected revenues associated with the trade names intangible asset to determine the amount of savings, which was discounted at a rate of 8.8% to determine the fair value referred to above. Quantitative information about significant unobservable inputs utilized to measure the fair value of Level 3 assets includes a range of discount rates from 6% to 12% and a weighted average discount rate of 8.8%.</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of revenue and operating income of the acquired Norden assets included in the Company’s consolidated statement of operations for the year ended December 28, 2025 were $22.3 million and $2.6 million,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consideration paid for the acquired assets is as follows (in millions):</w:t>
      </w:r>
    </w:p>
    <w:p>
      <w:pPr>
        <w:pStyle w:val="TextBody"/>
        <w:bidi w:val="0"/>
        <w:spacing w:before="0" w:after="0"/>
        <w:jc w:val="left"/>
        <w:rPr/>
      </w:pPr>
      <w:r>
        <w:rPr/>
      </w:r>
    </w:p>
    <w:tbl>
      <w:tblPr>
        <w:tblW w:w="5883" w:type="dxa"/>
        <w:jc w:val="left"/>
        <w:tblInd w:w="0" w:type="dxa"/>
        <w:tblLayout w:type="fixed"/>
        <w:tblCellMar>
          <w:top w:w="28" w:type="dxa"/>
          <w:left w:w="28" w:type="dxa"/>
          <w:bottom w:w="28" w:type="dxa"/>
          <w:right w:w="28" w:type="dxa"/>
        </w:tblCellMar>
      </w:tblPr>
      <w:tblGrid>
        <w:gridCol w:w="1693"/>
        <w:gridCol w:w="1488"/>
        <w:gridCol w:w="1499"/>
        <w:gridCol w:w="109"/>
        <w:gridCol w:w="109"/>
        <w:gridCol w:w="109"/>
        <w:gridCol w:w="211"/>
        <w:gridCol w:w="511"/>
        <w:gridCol w:w="154"/>
      </w:tblGrid>
      <w:tr>
        <w:trPr/>
        <w:tc>
          <w:tcPr>
            <w:tcW w:w="169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issued and cash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 net of $1.1 million purchase price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adopted the FASB ASU 2014-09,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and the related amendments, which are codified into Accounting Standards Codification (“ASC”) 606 (“ASC 606”). To determine revenue recognition for arrangements that the Company determines are within the scope of ASC 606, the Company performs the following five steps: (i) identify the contract(s) with a customer; (ii) identify the performance obligations in each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incremental costs of obtaining a contract, primarily sales commissions, and certain costs to fulfill a contract when such costs are expected to be recovered. These costs are recorded within Other Current Assets or Other Assets on the Condensed Consolidated Balance Sheets. As of June 28, 2026, these assets were not expected to have a material effect on the Company’s consolidated financial position, results of operations and/or cash flows. The Company amortizes these costs on a systematic basis consistent with the transfer of control of the related goods or services. The Company also applies the practical expedient to expense the incremental costs of obtaining a contract when the expected amortization period is one year or less.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majority of contracts, the Company satisfies the underlying performance obligations over time as the customer obtains control or receives benefits as work is performed on the contract. The Company generally recognizes revenue over time as work is performed on long-term contracts because of the continuous transfer of control to the customer. For U.S.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contracts, this continuous transfer of control to the customer is supported by clauses in the contract that allow the customer to unilaterally terminate the contract for convenience, pay for costs incurred plus a reasonable profit and take control of any work in process. Similarly, for non-U.S. government contracts, the customer typically controls the work in process as evidenced either by contractual termination clauses or by our rights to payment of the transaction price associated with work performed to date on products or services that do not have an alternative use to the Company. As a result, under ASC 606, revenue is recognized over time using the cost-to-cost method (cost incurred relative to total estimated cost at completion).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calculates revenues from remaining performance obligations as the dollar value of the remaining performance obligations on executed contracts. On June 28, 2026, the Company had approximately $2.084 billion of remaining performance obligations. The Company expects to recognize approximately 35% of the remaining performance obligations as revenue in fiscal year 2026, an additional 35% in fiscal year 2027, and the balance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Contract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the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financial statements for the three and six-month periods ended June 28, 2026, and June 29, 2025. Likewise, total cumulative catch-up adjustments were not material for the three and six-month periods ended June 28, 2026, and June 29,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Contract Assets and Liabilities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contract assets and liabilities are as follows (in millions):</w:t>
      </w:r>
    </w:p>
    <w:tbl>
      <w:tblPr>
        <w:tblW w:w="6068" w:type="dxa"/>
        <w:jc w:val="center"/>
        <w:tblInd w:w="0" w:type="dxa"/>
        <w:tblLayout w:type="fixed"/>
        <w:tblCellMar>
          <w:top w:w="28" w:type="dxa"/>
          <w:left w:w="28" w:type="dxa"/>
          <w:bottom w:w="28" w:type="dxa"/>
          <w:right w:w="28" w:type="dxa"/>
        </w:tblCellMar>
      </w:tblPr>
      <w:tblGrid>
        <w:gridCol w:w="597"/>
        <w:gridCol w:w="525"/>
        <w:gridCol w:w="528"/>
        <w:gridCol w:w="260"/>
        <w:gridCol w:w="760"/>
        <w:gridCol w:w="134"/>
        <w:gridCol w:w="109"/>
        <w:gridCol w:w="109"/>
        <w:gridCol w:w="109"/>
        <w:gridCol w:w="348"/>
        <w:gridCol w:w="1017"/>
        <w:gridCol w:w="180"/>
        <w:gridCol w:w="109"/>
        <w:gridCol w:w="109"/>
        <w:gridCol w:w="109"/>
        <w:gridCol w:w="229"/>
        <w:gridCol w:w="669"/>
        <w:gridCol w:w="167"/>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Change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3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increased $113.0 million during the six months ended June 28, 2026, primarily due to higher unbilled receivables, net, including the impact of the recent acquisitions of Nomad and Orbit, during the six months ended June 28, 2026. There were no significant impairment losses related to any receivables or contract assets arising from the Company’s contracts with customers during the six months ended June 28, 2026. Contract liabilities increased $20.2 million during the six months ended June 28, 2026, primarily due to the impact of the recent acquisitions of Nomad and Orbit. For the three and six months ended June 28, 2026, the Company recognized revenue of $17.0 million and $47.8 million, respectively, that was previously included in the contract liabilities that existed at December 28, 2025. For the three and six months ended June 29, 2025, the Company recognized revenue of $15.8 million and $52.2 million, respectively, that was previously included in the contract liabilities that existed at December 29,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Disaggregation of Revenue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series of tables presents the Company’s revenue disaggregated by several categories. For the majority of contracts, revenue is recognized over time as work is performed on the contract.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contract type was as follows (in millions):</w:t>
      </w:r>
    </w:p>
    <w:tbl>
      <w:tblPr>
        <w:tblW w:w="8524" w:type="dxa"/>
        <w:jc w:val="left"/>
        <w:tblInd w:w="0" w:type="dxa"/>
        <w:tblLayout w:type="fixed"/>
        <w:tblCellMar>
          <w:top w:w="28" w:type="dxa"/>
          <w:left w:w="28" w:type="dxa"/>
          <w:bottom w:w="28" w:type="dxa"/>
          <w:right w:w="28" w:type="dxa"/>
        </w:tblCellMar>
      </w:tblPr>
      <w:tblGrid>
        <w:gridCol w:w="1087"/>
        <w:gridCol w:w="953"/>
        <w:gridCol w:w="959"/>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plus fee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Kratos Government Solutions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plus fee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customer was as follows (in millions):</w:t>
      </w:r>
    </w:p>
    <w:tbl>
      <w:tblPr>
        <w:tblW w:w="8674" w:type="dxa"/>
        <w:jc w:val="left"/>
        <w:tblInd w:w="0" w:type="dxa"/>
        <w:tblLayout w:type="fixed"/>
        <w:tblCellMar>
          <w:top w:w="28" w:type="dxa"/>
          <w:left w:w="28" w:type="dxa"/>
          <w:bottom w:w="28" w:type="dxa"/>
          <w:right w:w="28" w:type="dxa"/>
        </w:tblCellMar>
      </w:tblPr>
      <w:tblGrid>
        <w:gridCol w:w="1141"/>
        <w:gridCol w:w="1001"/>
        <w:gridCol w:w="1007"/>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Government </w:t>
            </w:r>
            <w:r>
              <w:rPr>
                <w:rFonts w:ascii="Times New Roman;serif" w:hAnsi="Times New Roman;serif"/>
                <w:b w:val="false"/>
                <w:color w:val="000000"/>
                <w:sz w:val="13"/>
              </w:rPr>
              <w:t>(1)</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and other customers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Kratos Government Solutions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Government </w:t>
            </w:r>
            <w:r>
              <w:rPr>
                <w:rFonts w:ascii="Times New Roman;serif" w:hAnsi="Times New Roman;serif"/>
                <w:b w:val="false"/>
                <w:color w:val="000000"/>
                <w:sz w:val="13"/>
              </w:rPr>
              <w:t>(1)</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Commercial and other customers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Sales to the U.S. Government include sales from contracts for which the Company is the prime contractor, as well as those for which the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Company is a subcontractor and the ultimate customer is the U.S. Government. Each of the Company’s segments derives substantial revenue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from the U.S. Government. These sales include foreign military sales contracted through the U.S. Government.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International sales include sales from contracts for which the Company is the prime contractor, as well as those for which the Company is 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subcontractor and the ultimate customer is an international customer. These sales include direct sales with governments outside the U.S. and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commercial sales with customers outside the U.S.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was as follows (in millions):</w:t>
      </w:r>
    </w:p>
    <w:tbl>
      <w:tblPr>
        <w:tblW w:w="7939" w:type="dxa"/>
        <w:jc w:val="left"/>
        <w:tblInd w:w="0" w:type="dxa"/>
        <w:tblLayout w:type="fixed"/>
        <w:tblCellMar>
          <w:top w:w="28" w:type="dxa"/>
          <w:left w:w="28" w:type="dxa"/>
          <w:bottom w:w="28" w:type="dxa"/>
          <w:right w:w="28" w:type="dxa"/>
        </w:tblCellMar>
      </w:tblPr>
      <w:tblGrid>
        <w:gridCol w:w="876"/>
        <w:gridCol w:w="767"/>
        <w:gridCol w:w="771"/>
        <w:gridCol w:w="253"/>
        <w:gridCol w:w="741"/>
        <w:gridCol w:w="131"/>
        <w:gridCol w:w="109"/>
        <w:gridCol w:w="109"/>
        <w:gridCol w:w="109"/>
        <w:gridCol w:w="253"/>
        <w:gridCol w:w="741"/>
        <w:gridCol w:w="131"/>
        <w:gridCol w:w="109"/>
        <w:gridCol w:w="109"/>
        <w:gridCol w:w="109"/>
        <w:gridCol w:w="253"/>
        <w:gridCol w:w="741"/>
        <w:gridCol w:w="131"/>
        <w:gridCol w:w="109"/>
        <w:gridCol w:w="109"/>
        <w:gridCol w:w="109"/>
        <w:gridCol w:w="251"/>
        <w:gridCol w:w="735"/>
        <w:gridCol w:w="183"/>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Other North America</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Middle East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color w:val="000000"/>
              </w:rPr>
            </w:pPr>
            <w:r>
              <w:rPr>
                <w:color w:val="000000"/>
              </w:rPr>
              <w:t>                 </w:t>
            </w: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Goodwill and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(a)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carrying amounts of goodwill as of June 28, 2026 and December 28, 2025 by reportable segment are as follows (in millions):</w:t>
      </w:r>
    </w:p>
    <w:tbl>
      <w:tblPr>
        <w:tblW w:w="619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76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28, 2026</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value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041" w:type="dxa"/>
        <w:jc w:val="left"/>
        <w:tblInd w:w="0" w:type="dxa"/>
        <w:tblLayout w:type="fixed"/>
        <w:tblCellMar>
          <w:top w:w="28" w:type="dxa"/>
          <w:left w:w="28" w:type="dxa"/>
          <w:bottom w:w="28" w:type="dxa"/>
          <w:right w:w="28" w:type="dxa"/>
        </w:tblCellMar>
      </w:tblPr>
      <w:tblGrid>
        <w:gridCol w:w="919"/>
        <w:gridCol w:w="802"/>
        <w:gridCol w:w="813"/>
        <w:gridCol w:w="211"/>
        <w:gridCol w:w="616"/>
        <w:gridCol w:w="109"/>
        <w:gridCol w:w="109"/>
        <w:gridCol w:w="109"/>
        <w:gridCol w:w="1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28,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preliminary goodwill (in millions):</w:t>
      </w:r>
    </w:p>
    <w:p>
      <w:pPr>
        <w:pStyle w:val="TextBody"/>
        <w:bidi w:val="0"/>
        <w:spacing w:before="0" w:after="0"/>
        <w:jc w:val="left"/>
        <w:rPr/>
      </w:pPr>
      <w:r>
        <w:rPr/>
      </w:r>
    </w:p>
    <w:tbl>
      <w:tblPr>
        <w:tblW w:w="9387" w:type="dxa"/>
        <w:jc w:val="left"/>
        <w:tblInd w:w="0" w:type="dxa"/>
        <w:tblLayout w:type="fixed"/>
        <w:tblCellMar>
          <w:top w:w="28" w:type="dxa"/>
          <w:left w:w="28" w:type="dxa"/>
          <w:bottom w:w="28" w:type="dxa"/>
          <w:right w:w="28" w:type="dxa"/>
        </w:tblCellMar>
      </w:tblPr>
      <w:tblGrid>
        <w:gridCol w:w="2130"/>
        <w:gridCol w:w="1873"/>
        <w:gridCol w:w="1877"/>
        <w:gridCol w:w="211"/>
        <w:gridCol w:w="616"/>
        <w:gridCol w:w="109"/>
        <w:gridCol w:w="109"/>
        <w:gridCol w:w="109"/>
        <w:gridCol w:w="109"/>
        <w:gridCol w:w="211"/>
        <w:gridCol w:w="616"/>
        <w:gridCol w:w="109"/>
        <w:gridCol w:w="109"/>
        <w:gridCol w:w="109"/>
        <w:gridCol w:w="109"/>
        <w:gridCol w:w="211"/>
        <w:gridCol w:w="61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as of December 28,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Orbit Technologies, Ltd.</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Nomad Global Communication Solutions, Incorporated.</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as of June 28,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Purchased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for finite-lived and indefinite-lived intangible assets (in millions): </w:t>
      </w:r>
    </w:p>
    <w:tbl>
      <w:tblPr>
        <w:tblW w:w="10205" w:type="dxa"/>
        <w:jc w:val="left"/>
        <w:tblInd w:w="0" w:type="dxa"/>
        <w:tblLayout w:type="fixed"/>
        <w:tblCellMar>
          <w:top w:w="28" w:type="dxa"/>
          <w:left w:w="28" w:type="dxa"/>
          <w:bottom w:w="28" w:type="dxa"/>
          <w:right w:w="28" w:type="dxa"/>
        </w:tblCellMar>
      </w:tblPr>
      <w:tblGrid>
        <w:gridCol w:w="987"/>
        <w:gridCol w:w="866"/>
        <w:gridCol w:w="870"/>
        <w:gridCol w:w="211"/>
        <w:gridCol w:w="616"/>
        <w:gridCol w:w="109"/>
        <w:gridCol w:w="109"/>
        <w:gridCol w:w="109"/>
        <w:gridCol w:w="109"/>
        <w:gridCol w:w="239"/>
        <w:gridCol w:w="717"/>
        <w:gridCol w:w="125"/>
        <w:gridCol w:w="109"/>
        <w:gridCol w:w="109"/>
        <w:gridCol w:w="109"/>
        <w:gridCol w:w="211"/>
        <w:gridCol w:w="616"/>
        <w:gridCol w:w="109"/>
        <w:gridCol w:w="109"/>
        <w:gridCol w:w="109"/>
        <w:gridCol w:w="109"/>
        <w:gridCol w:w="211"/>
        <w:gridCol w:w="616"/>
        <w:gridCol w:w="109"/>
        <w:gridCol w:w="109"/>
        <w:gridCol w:w="109"/>
        <w:gridCol w:w="109"/>
        <w:gridCol w:w="239"/>
        <w:gridCol w:w="717"/>
        <w:gridCol w:w="125"/>
        <w:gridCol w:w="109"/>
        <w:gridCol w:w="109"/>
        <w:gridCol w:w="109"/>
        <w:gridCol w:w="211"/>
        <w:gridCol w:w="511"/>
        <w:gridCol w:w="155"/>
      </w:tblGrid>
      <w:tr>
        <w:trPr/>
        <w:tc>
          <w:tcPr>
            <w:tcW w:w="98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28, 2025</w:t>
            </w:r>
          </w:p>
        </w:tc>
      </w:tr>
      <w:tr>
        <w:trPr/>
        <w:tc>
          <w:tcPr>
            <w:tcW w:w="2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Value</w:t>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finite-lived intangible assets:</w:t>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and backlog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technical know-how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Consolidated amortization expense related to intangible assets subject to amortization was $10.1 million and $2.8 million for the three months ended June 28, 2026 and June 29, 2025, respectively, and $15.9 million and $4.9 million for the </w:t>
      </w:r>
      <w:r>
        <w:rPr>
          <w:rFonts w:ascii="Arial;sans-serif" w:hAnsi="Arial;sans-serif"/>
          <w:b w:val="false"/>
          <w:color w:val="000000"/>
          <w:sz w:val="14"/>
        </w:rPr>
        <w:t>six</w:t>
      </w:r>
      <w:r>
        <w:rPr>
          <w:color w:val="000000"/>
        </w:rPr>
        <w:t xml:space="preserve"> </w:t>
      </w:r>
      <w:r>
        <w:rPr>
          <w:rFonts w:ascii="Times New Roman;serif" w:hAnsi="Times New Roman;serif"/>
          <w:b w:val="false"/>
          <w:color w:val="000000"/>
          <w:sz w:val="20"/>
        </w:rPr>
        <w:t>months ended June 28, 2026 and June 29, 2025, respectively.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of acquired intangible assets with finite lives for the remainder of 2026 and the next five fiscal years, and thereafter as of June 28, 2026 is as follows (in millions):</w:t>
      </w:r>
    </w:p>
    <w:tbl>
      <w:tblPr>
        <w:tblW w:w="1927" w:type="dxa"/>
        <w:jc w:val="left"/>
        <w:tblInd w:w="0" w:type="dxa"/>
        <w:tblLayout w:type="fixed"/>
        <w:tblCellMar>
          <w:top w:w="28" w:type="dxa"/>
          <w:left w:w="28" w:type="dxa"/>
          <w:bottom w:w="28" w:type="dxa"/>
          <w:right w:w="28" w:type="dxa"/>
        </w:tblCellMar>
      </w:tblPr>
      <w:tblGrid>
        <w:gridCol w:w="342"/>
        <w:gridCol w:w="300"/>
        <w:gridCol w:w="304"/>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Inventoried Costs,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Inventoried costs, net, consisted of the following components (in millions):</w:t>
      </w:r>
    </w:p>
    <w:p>
      <w:pPr>
        <w:pStyle w:val="TextBody"/>
        <w:bidi w:val="0"/>
        <w:spacing w:lineRule="auto" w:line="288" w:before="0" w:after="0"/>
        <w:jc w:val="left"/>
        <w:rPr>
          <w:color w:val="000000"/>
        </w:rPr>
      </w:pPr>
      <w:r>
        <w:rPr>
          <w:color w:val="000000"/>
        </w:rPr>
        <w:t> </w:t>
      </w:r>
    </w:p>
    <w:tbl>
      <w:tblPr>
        <w:tblW w:w="5411" w:type="dxa"/>
        <w:jc w:val="left"/>
        <w:tblInd w:w="0" w:type="dxa"/>
        <w:tblLayout w:type="fixed"/>
        <w:tblCellMar>
          <w:top w:w="28" w:type="dxa"/>
          <w:left w:w="28" w:type="dxa"/>
          <w:bottom w:w="28" w:type="dxa"/>
          <w:right w:w="28" w:type="dxa"/>
        </w:tblCellMar>
      </w:tblPr>
      <w:tblGrid>
        <w:gridCol w:w="847"/>
        <w:gridCol w:w="744"/>
        <w:gridCol w:w="749"/>
        <w:gridCol w:w="260"/>
        <w:gridCol w:w="760"/>
        <w:gridCol w:w="134"/>
        <w:gridCol w:w="109"/>
        <w:gridCol w:w="109"/>
        <w:gridCol w:w="109"/>
        <w:gridCol w:w="342"/>
        <w:gridCol w:w="999"/>
        <w:gridCol w:w="249"/>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inventoried costs, net</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Note 6. Net Income per Common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calculates net income per share in accordance with FASB ASC Topic 260,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(“Topic 260”)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Under Topic</w:t>
      </w:r>
      <w:r>
        <w:rPr>
          <w:color w:val="000000"/>
        </w:rPr>
        <w:t xml:space="preserve"> </w:t>
      </w:r>
      <w:r>
        <w:rPr>
          <w:rFonts w:ascii="Times New Roman;serif" w:hAnsi="Times New Roman;serif"/>
          <w:b w:val="false"/>
          <w:color w:val="000000"/>
          <w:sz w:val="20"/>
        </w:rPr>
        <w:t>260, basic net income per common share is calculated by dividing net income by the weighted-average number of common shares outstanding during the reporting period. Diluted net income per common share reflects the effects of potentially dilutive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Diluted net income per share for the three and six months ended June 28, 2026 included the dilutive effect of an aggregate of 1.5 million and 2.1 million shares, respectively, of the Company’s common stock granted to employees under stock-based compensation plans. Diluted net income per share for the three and six months ended June 29, 2025 included the dilutive effect of an aggregate of 1.7 million and 2.0 million shares, respectively, of the Company’s common stock granted to employees under stock-based compensation plans. </w:t>
      </w:r>
    </w:p>
    <w:p>
      <w:pPr>
        <w:pStyle w:val="TextBody"/>
        <w:bidi w:val="0"/>
        <w:spacing w:before="0" w:after="0"/>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Variable lease payments are generally expensed as incurred. Leases with an initial term of 12 months or less are not recorded on the balance sheet, and the expense for these short-term leases is recognized on a straight-line basis over the lease term.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depreciable life of lease assets and leasehold improvements is limited by the expected lease term, unless there is a transfer of title or purchase option reasonably certain of exercise.</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components of lease expense were as follows (in millions):</w:t>
      </w:r>
    </w:p>
    <w:tbl>
      <w:tblPr>
        <w:tblW w:w="9679" w:type="dxa"/>
        <w:jc w:val="left"/>
        <w:tblInd w:w="0" w:type="dxa"/>
        <w:tblLayout w:type="fixed"/>
        <w:tblCellMar>
          <w:top w:w="28" w:type="dxa"/>
          <w:left w:w="28" w:type="dxa"/>
          <w:bottom w:w="28" w:type="dxa"/>
          <w:right w:w="28" w:type="dxa"/>
        </w:tblCellMar>
      </w:tblPr>
      <w:tblGrid>
        <w:gridCol w:w="1505"/>
        <w:gridCol w:w="1321"/>
        <w:gridCol w:w="1328"/>
        <w:gridCol w:w="327"/>
        <w:gridCol w:w="629"/>
        <w:gridCol w:w="169"/>
        <w:gridCol w:w="109"/>
        <w:gridCol w:w="109"/>
        <w:gridCol w:w="109"/>
        <w:gridCol w:w="327"/>
        <w:gridCol w:w="629"/>
        <w:gridCol w:w="169"/>
        <w:gridCol w:w="109"/>
        <w:gridCol w:w="109"/>
        <w:gridCol w:w="109"/>
        <w:gridCol w:w="285"/>
        <w:gridCol w:w="692"/>
        <w:gridCol w:w="147"/>
        <w:gridCol w:w="109"/>
        <w:gridCol w:w="109"/>
        <w:gridCol w:w="109"/>
        <w:gridCol w:w="282"/>
        <w:gridCol w:w="683"/>
        <w:gridCol w:w="205"/>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 of use assets - finance leases</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 - finance leases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cost </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leases on the balance sheet were as follows (in millions):</w:t>
      </w:r>
    </w:p>
    <w:tbl>
      <w:tblPr>
        <w:tblW w:w="7556" w:type="dxa"/>
        <w:jc w:val="left"/>
        <w:tblInd w:w="0" w:type="dxa"/>
        <w:tblLayout w:type="fixed"/>
        <w:tblCellMar>
          <w:top w:w="28" w:type="dxa"/>
          <w:left w:w="28" w:type="dxa"/>
          <w:bottom w:w="28" w:type="dxa"/>
          <w:right w:w="28" w:type="dxa"/>
        </w:tblCellMar>
      </w:tblPr>
      <w:tblGrid>
        <w:gridCol w:w="1650"/>
        <w:gridCol w:w="1448"/>
        <w:gridCol w:w="1462"/>
        <w:gridCol w:w="253"/>
        <w:gridCol w:w="741"/>
        <w:gridCol w:w="131"/>
        <w:gridCol w:w="109"/>
        <w:gridCol w:w="109"/>
        <w:gridCol w:w="109"/>
        <w:gridCol w:w="372"/>
        <w:gridCol w:w="901"/>
        <w:gridCol w:w="271"/>
      </w:tblGrid>
      <w:tr>
        <w:trPr/>
        <w:tc>
          <w:tcPr>
            <w:tcW w:w="16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liabilities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 was as follows (in millions):</w:t>
      </w:r>
    </w:p>
    <w:tbl>
      <w:tblPr>
        <w:tblW w:w="10130" w:type="dxa"/>
        <w:jc w:val="left"/>
        <w:tblInd w:w="0" w:type="dxa"/>
        <w:tblLayout w:type="fixed"/>
        <w:tblCellMar>
          <w:top w:w="28" w:type="dxa"/>
          <w:left w:w="28" w:type="dxa"/>
          <w:bottom w:w="28" w:type="dxa"/>
          <w:right w:w="28" w:type="dxa"/>
        </w:tblCellMar>
      </w:tblPr>
      <w:tblGrid>
        <w:gridCol w:w="1665"/>
        <w:gridCol w:w="1467"/>
        <w:gridCol w:w="1473"/>
        <w:gridCol w:w="327"/>
        <w:gridCol w:w="629"/>
        <w:gridCol w:w="169"/>
        <w:gridCol w:w="109"/>
        <w:gridCol w:w="109"/>
        <w:gridCol w:w="109"/>
        <w:gridCol w:w="327"/>
        <w:gridCol w:w="629"/>
        <w:gridCol w:w="169"/>
        <w:gridCol w:w="109"/>
        <w:gridCol w:w="109"/>
        <w:gridCol w:w="109"/>
        <w:gridCol w:w="327"/>
        <w:gridCol w:w="629"/>
        <w:gridCol w:w="169"/>
        <w:gridCol w:w="109"/>
        <w:gridCol w:w="109"/>
        <w:gridCol w:w="109"/>
        <w:gridCol w:w="320"/>
        <w:gridCol w:w="616"/>
        <w:gridCol w:w="233"/>
      </w:tblGrid>
      <w:tr>
        <w:trPr/>
        <w:tc>
          <w:tcPr>
            <w:tcW w:w="166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cash paid for interest</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 financing cash flows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 operating cash flows (fixed payments)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supplemental noncash information (in millions):</w:t>
      </w:r>
    </w:p>
    <w:tbl>
      <w:tblPr>
        <w:tblW w:w="10205" w:type="dxa"/>
        <w:jc w:val="left"/>
        <w:tblInd w:w="0" w:type="dxa"/>
        <w:tblLayout w:type="fixed"/>
        <w:tblCellMar>
          <w:top w:w="28" w:type="dxa"/>
          <w:left w:w="28" w:type="dxa"/>
          <w:bottom w:w="28" w:type="dxa"/>
          <w:right w:w="28" w:type="dxa"/>
        </w:tblCellMar>
      </w:tblPr>
      <w:tblGrid>
        <w:gridCol w:w="1833"/>
        <w:gridCol w:w="1520"/>
        <w:gridCol w:w="1529"/>
        <w:gridCol w:w="306"/>
        <w:gridCol w:w="590"/>
        <w:gridCol w:w="158"/>
        <w:gridCol w:w="109"/>
        <w:gridCol w:w="109"/>
        <w:gridCol w:w="109"/>
        <w:gridCol w:w="306"/>
        <w:gridCol w:w="590"/>
        <w:gridCol w:w="158"/>
        <w:gridCol w:w="109"/>
        <w:gridCol w:w="109"/>
        <w:gridCol w:w="109"/>
        <w:gridCol w:w="234"/>
        <w:gridCol w:w="567"/>
        <w:gridCol w:w="300"/>
        <w:gridCol w:w="109"/>
        <w:gridCol w:w="109"/>
        <w:gridCol w:w="109"/>
        <w:gridCol w:w="254"/>
        <w:gridCol w:w="491"/>
        <w:gridCol w:w="388"/>
      </w:tblGrid>
      <w:tr>
        <w:trPr/>
        <w:tc>
          <w:tcPr>
            <w:tcW w:w="183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arising from obtaining right-of-use assets</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arising from obtaining right-of-use assets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9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3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maturity of lease liabilities is as follows (in millions):</w:t>
      </w:r>
    </w:p>
    <w:tbl>
      <w:tblPr>
        <w:tblW w:w="6536" w:type="dxa"/>
        <w:jc w:val="left"/>
        <w:tblInd w:w="0" w:type="dxa"/>
        <w:tblLayout w:type="fixed"/>
        <w:tblCellMar>
          <w:top w:w="28" w:type="dxa"/>
          <w:left w:w="28" w:type="dxa"/>
          <w:bottom w:w="28" w:type="dxa"/>
          <w:right w:w="28" w:type="dxa"/>
        </w:tblCellMar>
      </w:tblPr>
      <w:tblGrid>
        <w:gridCol w:w="1307"/>
        <w:gridCol w:w="1147"/>
        <w:gridCol w:w="1161"/>
        <w:gridCol w:w="346"/>
        <w:gridCol w:w="839"/>
        <w:gridCol w:w="180"/>
        <w:gridCol w:w="109"/>
        <w:gridCol w:w="109"/>
        <w:gridCol w:w="109"/>
        <w:gridCol w:w="264"/>
        <w:gridCol w:w="772"/>
        <w:gridCol w:w="193"/>
      </w:tblGrid>
      <w:tr>
        <w:trPr/>
        <w:tc>
          <w:tcPr>
            <w:tcW w:w="130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w:t>
            </w:r>
            <w:r>
              <w:rPr>
                <w:rFonts w:ascii="Times New Roman;serif" w:hAnsi="Times New Roman;serif"/>
                <w:b w:val="false"/>
                <w:color w:val="000000"/>
                <w:sz w:val="13"/>
              </w:rPr>
              <w:t>(1)</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the six months ended June 28, 2026.</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and the effective income tax rate are as follows ($ in millions):</w:t>
      </w:r>
    </w:p>
    <w:tbl>
      <w:tblPr>
        <w:tblW w:w="9331" w:type="dxa"/>
        <w:jc w:val="left"/>
        <w:tblInd w:w="0" w:type="dxa"/>
        <w:tblLayout w:type="fixed"/>
        <w:tblCellMar>
          <w:top w:w="28" w:type="dxa"/>
          <w:left w:w="28" w:type="dxa"/>
          <w:bottom w:w="28" w:type="dxa"/>
          <w:right w:w="28" w:type="dxa"/>
        </w:tblCellMar>
      </w:tblPr>
      <w:tblGrid>
        <w:gridCol w:w="1380"/>
        <w:gridCol w:w="1210"/>
        <w:gridCol w:w="1219"/>
        <w:gridCol w:w="267"/>
        <w:gridCol w:w="514"/>
        <w:gridCol w:w="343"/>
        <w:gridCol w:w="109"/>
        <w:gridCol w:w="109"/>
        <w:gridCol w:w="109"/>
        <w:gridCol w:w="267"/>
        <w:gridCol w:w="514"/>
        <w:gridCol w:w="343"/>
        <w:gridCol w:w="109"/>
        <w:gridCol w:w="109"/>
        <w:gridCol w:w="109"/>
        <w:gridCol w:w="267"/>
        <w:gridCol w:w="514"/>
        <w:gridCol w:w="343"/>
        <w:gridCol w:w="109"/>
        <w:gridCol w:w="109"/>
        <w:gridCol w:w="109"/>
        <w:gridCol w:w="264"/>
        <w:gridCol w:w="509"/>
        <w:gridCol w:w="396"/>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state and foreign income tax expense</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(ETR) for the three months ended June 28, 2026 increased to a provision of 37.1% from a provision of 35.4% in the prior year period. The provision for income taxes for the three months ended June 28, 2026 and the three months ended June 29, 2025 included a benefit of $1.7 million and $0.6 million, respectively, for stock compensation related items.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(ETR) for the six months ended June 28, 2026 decreased to a provision of 3.0% from a provision of 25.6% in the prior year period principally due to increased tax benefits related to stock-based compensation. The provision for income taxes for the six months ended June 28, 2026 and the six months ended June 29, 2025 includes a benefit of $8.9 million and $2.2 million, respectively, for stock compensation related items.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calculates its interim income tax provision in accordance with ASC Topic 270, “Interim Reporting,” and ASC Topic 740, “Accounting for Income Taxes.” The Company calculated the provision for income taxes during the interim reporting period by applying an estimate of the annual effective tax rate for the full fiscal year to “ordinary” income or loss (pretax income or loss excluding unusual or infrequently occurring discrete items) for the reporting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28, 2026, the Company had $28.8 million of unrecognized tax benefits. Included in the balance of unrecognized tax benefits at June 28, 2026 are $23.6 million that, if recognized, would impact the Company’s effective income tax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interest and penalties related to unrecognized tax benefits in its provision for income taxes. For the six months ended June 28, 2026 and June 29, 2025, the Company recorded $0.4 million and $0.1 million expense, respectively, related to the increase in interest and penalties. For the six months ended June 28, 2026 and June 29, 2025, there was no material benefit recorded related to the removal of interest and penalties.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has a framework to implement a global minimum corporate tax of 15% for companies with global revenue and profits above certain thresholds (referred to as Pillar 2). Although the U.S. has not enacted legislation to implement Pillar 2, certain countries in which we operate have adopted legislation, and other countries are in the process of introducing legislation to implement Pillar 2. The OECD issued new administrative guidance on January 5, 2026, with respect to Pillar 2 which modifies key aspects of the framework for countries to enact in their own laws. This new guidance reaffirms we do not expect Pillar 2 to have a material impact on our effective tax rate or our financial results or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Key income tax-related provisions of the OBBBA include the repeal of mandatory capitalization of U.S. based research and development expenditures under Internal Revenue Code (IRC) Section 174 (reinstating full expensing beginning in 2025), extension of bonus depreciation, and revisions to international tax regimes. The Company recognized the income tax effects of the OBBBA in the quarter it was enacted, and continues to recognize the tax effects, which were not material, in its quarter ended June 28,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2022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18, 2022, the Company completed the refinancing of its then-outstanding $90 million revolving credit facility and $300 million 6.5% Senior Secured Notes, with a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11. The Company incurred a loss on the extinguishment of the debt of $0.5 million during the three months ended September 28, 2025 related to the write-off of unamortized debt issuance costs. The undrawn $200 million revolving credit facility under the 2022 Credit Facility remained active and available to the Company through the February 20, 2026 refinancing described below.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Credit Facility was governed by a Credit Agreement (the “2022 Credit Agreement”), which established a five-year senior secured credit facility which was comprised of a $200 million Revolving Credit Facility (which included sub-facilities for the incurrence of up to $10.0 million of swingline loans and the issuance of up to $50.0 million of Letters of Credit) and the $200 million Term Loan A. The 2022 Credit Agreement contemplated uncommitted incremental credit facilities of up to $200 million (which amount would be reduced by the aggregate amount of any and all incremental credit facilities actually established under the 2022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and the term loan credit facility could take the form of base rate loans or Secured Overnight Financing Rate (“SOFR”) loans. Base rate loans under the 2022 Credit Agreement bore interest at a rate per annum equal to the sum of the Applicable Margin (as defined in the Credit Agreement) from time to time in effect plus the highest of (i) the Agent’s (as defined in the 2022 Credit Agreement) prime lending rate, as in effect at such time, (ii) the Federal Funds Rate (as defined in the 2022 Credit Agreement), as in effect at such time, plus 0.50%, (iii) the Adjusted Term SOFR (as defined in the 2022 Credit Agreement) for a one-month tenor in effect on such day, plus 1.00% and (iv) 1.00%. SOFR loans will bear interest at a rate per annum equal to the sum of the Applicable Margin from time to time in effect plus the Adjusted Term SOFR for an Interest Period (as defined in the 2022 Credit Agreement) selected by the Company of one, three or six months. The Applicable Margin varied between 1.25% and 2.25% per annum for SOFR loans and between 0.25% and 1.25% per annum for base rate loans, and is based on the Company’s total net leverage ratio from time to time.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Credit Agreement contained certain covenants, which included, but were not limited to, restrictions on indebtedness, liens, fundamental changes, restricted payments, asset sales, and investments, and placed limits on various other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28, 2023, the Company entered into an interest rate swap contract to hedge U.S. dollar-one month Term SOFR in order to fix the interest rate movements associated with the Company’s Term Loan A. The initial hedge amount was $195.0 million and amortized in accordance with Term Loan A. The swap was at a fixed rate of one-month term SOFR of 3.721% and settled monthly on the last day of each calendar month. The swap had an effective date of May 1, 2023 and was scheduled to terminate on May 1, 2026. On June 30, 2025, in anticipation of the extinguishment of Term Loan A, the Company terminated the swap. The Company received a payment of approximately $0.3 million representing the termination value of the swap. Refer to Note 14 for further discussion of the accounting treatment of the swap arrangement.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completed the refinancing of its 2022 Credit Facility with a new 5-year $300 million Revolving Credit Facility described below. There were no outstanding borrowings under the 2022 Credit Facility subsequent to the repayment in full of the Term Loan A under the 2022 Credit Facility on July 2, 2025. The outstanding letters of credit under the 2022 Credit Facility were transferred to the 2026 Credit Agreement described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2026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entered into a Credit Agreement (the “2026 Credit Agreement”), by and among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the guarantors from time to time party thereto, the lenders from time to time party thereto (the “Lenders”),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PNC Bank, National Association (the “Administrative Agent”), in its capacity as administrative agent, and as swingline loan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lender and issuing lender. The 2026 Credit Agreement establishes a five-year senior secured credit facility which is comprised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a $300 million revolving credit facility (which includes sub-facilities for the incurrence of up to $35.0 million of swingline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and the issuance of up to $50.0 million of Letters of Credit). Letters of credit outstanding under the 2022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have been transferred to the 2026 Credit Agreement. The 2026 Credit Agreement contemplates uncommitted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credit facilities of up to $135.0 million. The Company incurred $1.4 million of debt issuance costs associated with the 2026 Credit Agreement. As of June 28, 2026, the Company has no amounts outstanding under the Revolving Credit Facility, with $300.0 million remaining in borrowing capacity, less approximately $2.1 million of letters of domestic letters of credit outstanding. Foreign letters of credit outstanding of $29.0 million do not impact the availability of the Revolving Credit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take the form of base rate loans or SOFR loans. Base rate loans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2026 Credit Agreement will bear interest at a rate per annum equal to the sum of the Applicable Margin (as defined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Credit Agreement) from time to time in effect plus the highest of (i) the Overnight Bank Funding Rate (as defined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Credit Agreement), as in effect at such time, plus 0.50%, (ii) the Administrative Agent’s prime lending rate, as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at such time, and (iii) the Daily Simple SOFR (as defined in the 2026 Credit Agreement) plus 1.00%, so long as Daily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Simple SOFR is offered, ascertainable and not unlawful. SOFR loans will bear interest at a rate per annum equal to the sum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Applicable Margin from time to time in effect plus the Term SOFR Rate for an Interest Period (as defined in the 2026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selected by the Company of one (1), three (3) or six (6) months. The Applicable Margin varies between 1.00%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 per annum for SOFR loans and between 0.00% and 1.00% per annum for base rate loans, and is based on the Company’s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leverage ratio from time to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2026 Credit Agreement contains certain covenants, which include, but are not limited to, restrictions on indebtedness, liens, fundamental changes, restricted payments, asset sales, and investments, and places limits on various other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Events of default under the terms of the 2026 Credit Agreement include, but are not limited 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Failure of the Company to pay any principal of any loans in full when due and payable;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Failure of the Company to pay any interest on any loan or any fee or other amount payable under the 2026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within five business days after the date when due and payable;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Failure of the Company or any of its subsidiaries to comply with certain covenants and agreements, subject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applicable grace periods and/or notice requirements;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Any representation or warranty made or deemed made by or on behalf of the Company or any of its subsidiaries in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Credit Agreement or in any certificate, report, financial statement or other document submitted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Administrative Agent or the Lenders by the Company or the Guarantors pursuant to or in connection with the 2026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or any other loan document shall prove to be incorrect in any material respect (other than any representation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warranty that is expressly qualified by a Material Adverse Effect (as defined in the 2026 Credit Agreement) or other materiality,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which case such representation or warranty shall prove to be incorrect in any respect) when made or deemed made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submitted.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notice requirements and other conditions, upon the occurrence of an event of default, commitments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be terminated and the principal of, and interest then outstanding on, all of the loans may become immediately due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payable; however, where an event of default arises from certain bankruptcy events, the commitments shall automatically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terminate and the principal of, and interest then outstanding on, all of the loans shall become immediately due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execution of the transactions contemplated by the 2026 Credit Agreement, the 2022 Credit Agreement was terminated.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2026 Credit Agreement, the Company is subject to certain restrictions on its ability to pay dividends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make other distributions or payments on account of any redemption, retirement or purchase of any capital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capitalized these costs to Other current assets and Other assets and is amortizing the debt issuance costs over the term of the facility. The unamortized balances at June 28, 2026 and December 28, 2025 were $1.6 million and $0.4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the Company’s unmanned aerial, unmanned ground, unmanned seaborne and command, control and communications system products. The KGS and US reportable segments provide products, solutions and services for mission critical National Security programs. KGS and US customers primarily include National Security related agencies, the DoW, intelligence agencies and classified agencies, and to a lesser degree, international government agencies and domestic and international commercial customers.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not any significant intersegment sales, cost of sales and profit for the three and six month periods ended June 28, 2026 and June 29,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is the President and Chief Executive Officer. The chief operating decision maker uses segment operating income (loss) predominantly in the annual budget and forecasting process. The chief operating decision maker considers budget-to-actual variances on a quarterly basis when making decisions about the allocation of operating and capital resources to each segment. The chief operating decision maker also uses segment operating income (loss) to assess the performance of each segment by comparing the results of each segment with one another and in determining the compensation of certain employees.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Summary Operating Results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below provide information about the Company’s reportable segments. In these tables total segment operating income (loss) of the reportable business segments is reconciled to the corresponding consolidated amount. “Unallocated amounts” includes costs for merger and acquisition expenses, stock-based compensation expenses, interest income (expense), net, and other income (expense), net, items not considered part of management’s evaluation of segment operating income. See Note 3 (Revenue Recognition) to these condensed consolidated financial statements for segment revenues disaggregated by contract type, customer and geographic region. The summary operating results for the Company’s reportable segments for the three and six month periods ended June 28, 2026 and June 29, 2025, are as follows (in millions): </w:t>
      </w:r>
    </w:p>
    <w:tbl>
      <w:tblPr>
        <w:tblW w:w="6528" w:type="dxa"/>
        <w:jc w:val="left"/>
        <w:tblInd w:w="0" w:type="dxa"/>
        <w:tblLayout w:type="fixed"/>
        <w:tblCellMar>
          <w:top w:w="28" w:type="dxa"/>
          <w:left w:w="28" w:type="dxa"/>
          <w:bottom w:w="28" w:type="dxa"/>
          <w:right w:w="28" w:type="dxa"/>
        </w:tblCellMar>
      </w:tblPr>
      <w:tblGrid>
        <w:gridCol w:w="213"/>
        <w:gridCol w:w="189"/>
        <w:gridCol w:w="189"/>
        <w:gridCol w:w="189"/>
        <w:gridCol w:w="189"/>
        <w:gridCol w:w="189"/>
        <w:gridCol w:w="189"/>
        <w:gridCol w:w="189"/>
        <w:gridCol w:w="189"/>
        <w:gridCol w:w="189"/>
        <w:gridCol w:w="189"/>
        <w:gridCol w:w="189"/>
        <w:gridCol w:w="189"/>
        <w:gridCol w:w="189"/>
        <w:gridCol w:w="189"/>
        <w:gridCol w:w="189"/>
        <w:gridCol w:w="189"/>
        <w:gridCol w:w="189"/>
        <w:gridCol w:w="196"/>
        <w:gridCol w:w="556"/>
        <w:gridCol w:w="109"/>
        <w:gridCol w:w="109"/>
        <w:gridCol w:w="109"/>
        <w:gridCol w:w="109"/>
        <w:gridCol w:w="196"/>
        <w:gridCol w:w="376"/>
        <w:gridCol w:w="109"/>
        <w:gridCol w:w="109"/>
        <w:gridCol w:w="109"/>
        <w:gridCol w:w="109"/>
        <w:gridCol w:w="196"/>
        <w:gridCol w:w="556"/>
        <w:gridCol w:w="154"/>
      </w:tblGrid>
      <w:tr>
        <w:trPr/>
        <w:tc>
          <w:tcPr>
            <w:tcW w:w="2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28, 2026</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102" w:type="dxa"/>
            <w:gridSpan w:val="15"/>
            <w:tcBorders/>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Merger and acquisition related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$89.9 million or 20% of total revenue for the three months ended June 28, 2026. Revenues from any one foreign country did not exceed 10% of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6529" w:type="dxa"/>
        <w:jc w:val="left"/>
        <w:tblInd w:w="0" w:type="dxa"/>
        <w:tblLayout w:type="fixed"/>
        <w:tblCellMar>
          <w:top w:w="28" w:type="dxa"/>
          <w:left w:w="28" w:type="dxa"/>
          <w:bottom w:w="28" w:type="dxa"/>
          <w:right w:w="28" w:type="dxa"/>
        </w:tblCellMar>
      </w:tblPr>
      <w:tblGrid>
        <w:gridCol w:w="214"/>
        <w:gridCol w:w="189"/>
        <w:gridCol w:w="189"/>
        <w:gridCol w:w="189"/>
        <w:gridCol w:w="189"/>
        <w:gridCol w:w="189"/>
        <w:gridCol w:w="189"/>
        <w:gridCol w:w="189"/>
        <w:gridCol w:w="189"/>
        <w:gridCol w:w="189"/>
        <w:gridCol w:w="189"/>
        <w:gridCol w:w="189"/>
        <w:gridCol w:w="189"/>
        <w:gridCol w:w="189"/>
        <w:gridCol w:w="189"/>
        <w:gridCol w:w="189"/>
        <w:gridCol w:w="189"/>
        <w:gridCol w:w="189"/>
        <w:gridCol w:w="196"/>
        <w:gridCol w:w="556"/>
        <w:gridCol w:w="109"/>
        <w:gridCol w:w="109"/>
        <w:gridCol w:w="109"/>
        <w:gridCol w:w="109"/>
        <w:gridCol w:w="196"/>
        <w:gridCol w:w="376"/>
        <w:gridCol w:w="109"/>
        <w:gridCol w:w="109"/>
        <w:gridCol w:w="109"/>
        <w:gridCol w:w="109"/>
        <w:gridCol w:w="196"/>
        <w:gridCol w:w="556"/>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28, 2026</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102" w:type="dxa"/>
            <w:gridSpan w:val="15"/>
            <w:tcBorders/>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related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$166.3 million or 20% of total revenue for the six months ended June 28, 2026. Revenues from any one foreign country did not exceed 10% of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6528" w:type="dxa"/>
        <w:jc w:val="left"/>
        <w:tblInd w:w="0" w:type="dxa"/>
        <w:tblLayout w:type="fixed"/>
        <w:tblCellMar>
          <w:top w:w="28" w:type="dxa"/>
          <w:left w:w="28" w:type="dxa"/>
          <w:bottom w:w="28" w:type="dxa"/>
          <w:right w:w="28" w:type="dxa"/>
        </w:tblCellMar>
      </w:tblPr>
      <w:tblGrid>
        <w:gridCol w:w="213"/>
        <w:gridCol w:w="189"/>
        <w:gridCol w:w="189"/>
        <w:gridCol w:w="189"/>
        <w:gridCol w:w="189"/>
        <w:gridCol w:w="189"/>
        <w:gridCol w:w="189"/>
        <w:gridCol w:w="189"/>
        <w:gridCol w:w="189"/>
        <w:gridCol w:w="189"/>
        <w:gridCol w:w="189"/>
        <w:gridCol w:w="189"/>
        <w:gridCol w:w="189"/>
        <w:gridCol w:w="189"/>
        <w:gridCol w:w="189"/>
        <w:gridCol w:w="189"/>
        <w:gridCol w:w="189"/>
        <w:gridCol w:w="189"/>
        <w:gridCol w:w="196"/>
        <w:gridCol w:w="556"/>
        <w:gridCol w:w="109"/>
        <w:gridCol w:w="109"/>
        <w:gridCol w:w="109"/>
        <w:gridCol w:w="109"/>
        <w:gridCol w:w="196"/>
        <w:gridCol w:w="376"/>
        <w:gridCol w:w="109"/>
        <w:gridCol w:w="109"/>
        <w:gridCol w:w="109"/>
        <w:gridCol w:w="109"/>
        <w:gridCol w:w="196"/>
        <w:gridCol w:w="556"/>
        <w:gridCol w:w="154"/>
      </w:tblGrid>
      <w:tr>
        <w:trPr/>
        <w:tc>
          <w:tcPr>
            <w:tcW w:w="2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29, 2025</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w:t>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w:t>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102" w:type="dxa"/>
            <w:gridSpan w:val="15"/>
            <w:tcBorders/>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segment operating income (loss)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related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(expense), net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$61.2 million or 17% of total revenue for the three months ended June 29, 2025. Revenues from any one foreign country did not exceed 10% of total revenues.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6548" w:type="dxa"/>
        <w:jc w:val="left"/>
        <w:tblInd w:w="0" w:type="dxa"/>
        <w:tblLayout w:type="fixed"/>
        <w:tblCellMar>
          <w:top w:w="28" w:type="dxa"/>
          <w:left w:w="28" w:type="dxa"/>
          <w:bottom w:w="28" w:type="dxa"/>
          <w:right w:w="28" w:type="dxa"/>
        </w:tblCellMar>
      </w:tblPr>
      <w:tblGrid>
        <w:gridCol w:w="214"/>
        <w:gridCol w:w="189"/>
        <w:gridCol w:w="189"/>
        <w:gridCol w:w="189"/>
        <w:gridCol w:w="189"/>
        <w:gridCol w:w="189"/>
        <w:gridCol w:w="189"/>
        <w:gridCol w:w="189"/>
        <w:gridCol w:w="189"/>
        <w:gridCol w:w="189"/>
        <w:gridCol w:w="189"/>
        <w:gridCol w:w="189"/>
        <w:gridCol w:w="189"/>
        <w:gridCol w:w="189"/>
        <w:gridCol w:w="189"/>
        <w:gridCol w:w="189"/>
        <w:gridCol w:w="189"/>
        <w:gridCol w:w="189"/>
        <w:gridCol w:w="196"/>
        <w:gridCol w:w="556"/>
        <w:gridCol w:w="109"/>
        <w:gridCol w:w="109"/>
        <w:gridCol w:w="109"/>
        <w:gridCol w:w="109"/>
        <w:gridCol w:w="196"/>
        <w:gridCol w:w="376"/>
        <w:gridCol w:w="109"/>
        <w:gridCol w:w="109"/>
        <w:gridCol w:w="109"/>
        <w:gridCol w:w="109"/>
        <w:gridCol w:w="196"/>
        <w:gridCol w:w="466"/>
        <w:gridCol w:w="109"/>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29, 2025</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260" w:type="dxa"/>
            <w:gridSpan w:val="13"/>
            <w:tcBorders/>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development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segment 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segment operating income</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related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from foreign customers were approximately $122.3 million or 19% of total revenue for the six months ended June 29, 2025. Revenues from any one foreign country did not exceed 10% of total revenues.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16" w:type="dxa"/>
        <w:jc w:val="left"/>
        <w:tblInd w:w="0" w:type="dxa"/>
        <w:tblLayout w:type="fixed"/>
        <w:tblCellMar>
          <w:top w:w="28" w:type="dxa"/>
          <w:left w:w="28" w:type="dxa"/>
          <w:bottom w:w="28" w:type="dxa"/>
          <w:right w:w="28" w:type="dxa"/>
        </w:tblCellMar>
      </w:tblPr>
      <w:tblGrid>
        <w:gridCol w:w="206"/>
        <w:gridCol w:w="182"/>
        <w:gridCol w:w="182"/>
        <w:gridCol w:w="182"/>
        <w:gridCol w:w="182"/>
        <w:gridCol w:w="182"/>
        <w:gridCol w:w="182"/>
        <w:gridCol w:w="182"/>
        <w:gridCol w:w="182"/>
        <w:gridCol w:w="182"/>
        <w:gridCol w:w="182"/>
        <w:gridCol w:w="182"/>
        <w:gridCol w:w="182"/>
        <w:gridCol w:w="182"/>
        <w:gridCol w:w="182"/>
        <w:gridCol w:w="182"/>
        <w:gridCol w:w="182"/>
        <w:gridCol w:w="182"/>
        <w:gridCol w:w="293"/>
        <w:gridCol w:w="710"/>
        <w:gridCol w:w="151"/>
        <w:gridCol w:w="109"/>
        <w:gridCol w:w="109"/>
        <w:gridCol w:w="109"/>
        <w:gridCol w:w="293"/>
        <w:gridCol w:w="710"/>
        <w:gridCol w:w="151"/>
        <w:gridCol w:w="293"/>
        <w:gridCol w:w="710"/>
        <w:gridCol w:w="151"/>
        <w:gridCol w:w="109"/>
        <w:gridCol w:w="109"/>
        <w:gridCol w:w="109"/>
        <w:gridCol w:w="245"/>
        <w:gridCol w:w="594"/>
        <w:gridCol w:w="361"/>
      </w:tblGrid>
      <w:tr>
        <w:trPr/>
        <w:tc>
          <w:tcPr>
            <w:tcW w:w="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00" w:type="dxa"/>
            <w:gridSpan w:val="18"/>
            <w:tcBorders/>
            <w:tcMar>
              <w:top w:w="0" w:type="dxa"/>
              <w:left w:w="0" w:type="dxa"/>
              <w:bottom w:w="0" w:type="dxa"/>
              <w:right w:w="0" w:type="dxa"/>
            </w:tcMar>
            <w:vAlign w:val="center"/>
          </w:tcPr>
          <w:p>
            <w:pPr>
              <w:pStyle w:val="TableContents"/>
              <w:bidi w:val="0"/>
              <w:spacing w:lineRule="auto" w:line="268" w:before="0" w:after="0"/>
              <w:ind w:left="0" w:right="0" w:hanging="720"/>
              <w:jc w:val="left"/>
              <w:rPr>
                <w:rFonts w:ascii="Times New Roman;serif" w:hAnsi="Times New Roman;serif"/>
                <w:b/>
                <w:color w:val="000000"/>
                <w:sz w:val="18"/>
              </w:rPr>
            </w:pPr>
            <w:r>
              <w:rPr>
                <w:rFonts w:ascii="Times New Roman;serif" w:hAnsi="Times New Roman;serif"/>
                <w:b/>
                <w:color w:val="000000"/>
                <w:sz w:val="18"/>
              </w:rPr>
              <w:t>(b) Capital Expenditures (in millions):</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Government Solutions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Unmanned Systems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16.8</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 capital expenditures</w:t>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30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78" w:type="dxa"/>
        <w:jc w:val="left"/>
        <w:tblInd w:w="0" w:type="dxa"/>
        <w:tblLayout w:type="fixed"/>
        <w:tblCellMar>
          <w:top w:w="28" w:type="dxa"/>
          <w:left w:w="28" w:type="dxa"/>
          <w:bottom w:w="28" w:type="dxa"/>
          <w:right w:w="28" w:type="dxa"/>
        </w:tblCellMar>
      </w:tblPr>
      <w:tblGrid>
        <w:gridCol w:w="352"/>
        <w:gridCol w:w="310"/>
        <w:gridCol w:w="310"/>
        <w:gridCol w:w="310"/>
        <w:gridCol w:w="310"/>
        <w:gridCol w:w="310"/>
        <w:gridCol w:w="310"/>
        <w:gridCol w:w="310"/>
        <w:gridCol w:w="310"/>
        <w:gridCol w:w="310"/>
        <w:gridCol w:w="310"/>
        <w:gridCol w:w="310"/>
        <w:gridCol w:w="293"/>
        <w:gridCol w:w="710"/>
        <w:gridCol w:w="151"/>
        <w:gridCol w:w="109"/>
        <w:gridCol w:w="109"/>
        <w:gridCol w:w="109"/>
        <w:gridCol w:w="293"/>
        <w:gridCol w:w="698"/>
        <w:gridCol w:w="163"/>
        <w:gridCol w:w="293"/>
        <w:gridCol w:w="710"/>
        <w:gridCol w:w="151"/>
        <w:gridCol w:w="109"/>
        <w:gridCol w:w="109"/>
        <w:gridCol w:w="109"/>
        <w:gridCol w:w="289"/>
        <w:gridCol w:w="700"/>
        <w:gridCol w:w="211"/>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2"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 Depreciation and Amortization (in millions):</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376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Government Solutions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Unmanned Systems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376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81" w:type="dxa"/>
        <w:jc w:val="left"/>
        <w:tblInd w:w="0" w:type="dxa"/>
        <w:tblLayout w:type="fixed"/>
        <w:tblCellMar>
          <w:top w:w="28" w:type="dxa"/>
          <w:left w:w="28" w:type="dxa"/>
          <w:bottom w:w="28" w:type="dxa"/>
          <w:right w:w="28" w:type="dxa"/>
        </w:tblCellMar>
      </w:tblPr>
      <w:tblGrid>
        <w:gridCol w:w="1272"/>
        <w:gridCol w:w="1114"/>
        <w:gridCol w:w="1123"/>
        <w:gridCol w:w="227"/>
        <w:gridCol w:w="802"/>
        <w:gridCol w:w="126"/>
        <w:gridCol w:w="109"/>
        <w:gridCol w:w="109"/>
        <w:gridCol w:w="109"/>
        <w:gridCol w:w="299"/>
        <w:gridCol w:w="1056"/>
        <w:gridCol w:w="235"/>
      </w:tblGrid>
      <w:tr>
        <w:trPr/>
        <w:tc>
          <w:tcPr>
            <w:tcW w:w="127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68" w:before="0" w:after="160"/>
              <w:jc w:val="left"/>
              <w:rPr>
                <w:rFonts w:ascii="Times New Roman;serif" w:hAnsi="Times New Roman;serif"/>
                <w:b/>
                <w:color w:val="000000"/>
                <w:sz w:val="18"/>
              </w:rPr>
            </w:pPr>
            <w:r>
              <w:rPr>
                <w:rFonts w:ascii="Times New Roman;serif" w:hAnsi="Times New Roman;serif"/>
                <w:b/>
                <w:color w:val="000000"/>
                <w:sz w:val="18"/>
              </w:rPr>
              <w:t>(d) Reportable Segment Assets (in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28,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Government Solutions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1,472.9 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Unmanned Systems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438.7</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 assets</w:t>
            </w:r>
          </w:p>
        </w:tc>
        <w:tc>
          <w:tcPr>
            <w:tcW w:w="10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1,911.6 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Corporate assets</w:t>
            </w:r>
            <w:r>
              <w:rPr>
                <w:rFonts w:ascii="Times New Roman;serif" w:hAnsi="Times New Roman;serif"/>
                <w:b w:val="false"/>
                <w:color w:val="000000"/>
                <w:sz w:val="12"/>
              </w:rPr>
              <w:t>(1)</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2,467.2 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10"/>
        </w:rPr>
        <w:t>(1)</w:t>
      </w:r>
      <w:r>
        <w:rPr>
          <w:rFonts w:ascii="Times New Roman;serif" w:hAnsi="Times New Roman;serif"/>
          <w:b w:val="false"/>
          <w:i/>
          <w:color w:val="000000"/>
          <w:sz w:val="16"/>
        </w:rPr>
        <w:t>Corporate assets primarily include cash and cash equivalents, deferred income tax assets, and property, plant and equipment used in our corporate operations.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of foreign subsidiaries in the KGS segment were $705.1 million and $300.5 million as of June 28, 2026 and December 28, 2025, respectively. As of June 28, 2026, long-lived assets located in Israel totaled $75.2 million, represented approximately 16% of our total consolidated long-lived assets. With the exception of Israel, no single foreign country accounted for more than 10% of the Company’s total long-lived assets. For purposes of this disclosure, long-lived assets consist of property and equipment, net and operating lease right-of-use assets, and exclude cash, receivables,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Stockholders Equity -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12, 2026, at the Company’s Annual Meeting of Stockholders, the stockholders approved an amendment to the Company’s Certificate of Incorporation. The amendment increased the number of authorized shares of the Company’s common stock, par value $0.001 per share, from 195,000,000 shares to 245,000,000 shares. The amendment became effective upon its filing with the Secretary of State of Delaware on May 20,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26, 2026, the Company sold 16,428,571 shares of its common stock at a public offering price of $84.00 per share in an underwritten offering. The Company received gross proceeds of approximately $1,380.0 million. After deducting underwriting fees and other offering expenses, the Company received approximately $1,348.4 million in net proceeds. The Company has used and intends to continue to use the net proceeds from the offering to fund (i) capital expenditures, (ii) product and software development, (iii) acquisitions, including the recent acquisitions of Nomad and Orbit, and (iv)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27, 2025, the Company sold 14,935,065 shares of its common stock at a public offering price of $38.50 per share in an underwritten offering. The Company received gross proceeds of approximately $575.0 million. After deducting underwriting fees and other offering expenses, the Company received approximately $555.9 million in net proceeds. The Company has used and expects to continue to use the net proceeds of this public equity offering (i) to fund investments and capital expenditures to scale and successfully execute on large, mission critical National Security priorities related to existing programs, recent program awards and significant high-probability pipeline opportunities; (ii) to finance important customer and program targeted acquisitions; (iii) and for general corporate purposes, including pay-down of debt and to pay fees and expenses in connection with this public equity offering. On July 2, 2025, the Company used a portion of the proceeds of the June 2025 public equity offering to pay off the then-outstanding $177.5 million aggregate principal amount of the Term Loan A debt, plus accrued interest, under the 2022 Credit Facility. Following such repayment of the Term Loan A debt, the $200 million revolving credit facility under the 2022 Credit Facility remained undrawn and available to the Company until the 2026 Credit Agreement was executed on February 20, 2026.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$318.4 million and $248.7 million, or 69% and 71% of total Kratos revenue, for the three months ended June 28, 2026 and June 29, 2025, respectively, and $573.1 million and $454.2 million, or 69% and 69% of total Kratos revenue, for the six months ended June 28, 2026 and June 29, 2025, respectively.</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Commitments and 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monetary significance any such losses, damages or remedies may have on the condensed consolidated financial statements; and the unique facts and circumstances of the particular matter that may give rise to additional factors.</w:t>
      </w:r>
    </w:p>
    <w:p>
      <w:pPr>
        <w:pStyle w:val="TextBody"/>
        <w:bidi w:val="0"/>
        <w:spacing w:before="0" w:after="0"/>
        <w:ind w:left="0" w:right="0" w:firstLine="720"/>
        <w:jc w:val="left"/>
        <w:rPr/>
      </w:pPr>
      <w:r>
        <w:rPr/>
      </w:r>
    </w:p>
    <w:p>
      <w:pPr>
        <w:pStyle w:val="TextBody"/>
        <w:bidi w:val="0"/>
        <w:spacing w:lineRule="auto" w:line="417" w:before="0" w:after="160"/>
        <w:ind w:left="0" w:right="0" w:hanging="720"/>
        <w:jc w:val="left"/>
        <w:rPr>
          <w:color w:val="000000"/>
        </w:rPr>
      </w:pPr>
      <w:r>
        <w:rPr>
          <w:color w:val="000000"/>
        </w:rPr>
        <w:t>    </w:t>
      </w:r>
      <w:r>
        <w:rPr>
          <w:rFonts w:ascii="Times New Roman;serif" w:hAnsi="Times New Roman;serif"/>
          <w:b/>
          <w:color w:val="000000"/>
          <w:sz w:val="20"/>
        </w:rPr>
        <w:t>Legal and Regulatory Matters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U.S. Government Cost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the DoW are subject to audit by the Defense Contract Audit Agency (“DCAA”). As a result of these audits, from time to time the Company is advised of claims concerning potential disallowed, overstated or disputed costs. For example, during the course of audits of the Company’s contracts, the DCAA is closely examining and questioning certain of the established and disclosed practices that it had previously audited and accepted. The Company’s personnel regularly scrutinize costs incurred and allocated to contracts with the U.S. Government for compliance with regulatory standards. For those Company subsidiaries and fiscal years which have not yet been audited by the DCAA or for those audits which are in process which have not yet been completed by the DCAA, the Company cannot reasonably estimate the range of loss, if any, that may result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Litigation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normal and routine litigation arising from the ordinary course and conduct of business and, at times, as a result of mergers, acquisitions and dispositions. Such disputes include, for example, commercial, employment, intellectual property, environmental, and securities matters. The aggregate amounts accrued for these matters were not material to the condensed consolidated financial statements as of June 28, 2026. The Company intends to defend itself in any such matters and does not currently believe that the outcome of any such matters will have a material adverse impact on the Company’s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 portfolio consists of forward exchange contracts used to manage foreign currency risks and previously consisted of an interest rate swap contract to hedge U.S. dollar-one month Term SOFR in order to mitigate the exposure to interest rate movements associated with the Company’s Term Loan A. As noted below, the interest rate swap was terminated on June 30, 2025. Derivative financial instruments are recognized on the condensed consolidated balance sheets as either assets or liabilities and are measured at fair value.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Forward Exchange Contracts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 fair values of the foreign currency exchange contracts are recorded each period in earnings. The notional value of the Company’s foreign currency exchange contracts at June 28, 2026 was $30.2 million. At June 28, 2026, the fair value amounts of the foreign currency exchange contracts were a $0.2 million asset and a $0.2 million liability. The net gain from these forward exchange contracts was $0.7 million for the six months ended June 28, 2026, and is included in other income (expense). As of December 28, 2025, the Company did not use hedge accounting for its foreign currency exchange contracts.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Interest Rate Swap Contract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28, 2023, the Company entered into an interest rate swap contract with an initial notional amount of $195.0 million to manage the variability of cash flows associated with the Term Loan A. The interest rate swap contract originally matured on May 1, 2026 and was terminated on June 30, 2025. The swap was at a fixed SOFR of 3.721% and settled monthly on the last day of each calendar month. The Company designated the interest rate swap contract as a cash flow hedge and assessed the hedge effectiveness both at the onset of the hedge and at regular intervals throughout the life of the derivative. Changes in fair value (gains and losses) related to derivative financial instruments that qualify as cash flow hedges were deferred in Accumulated Other Comprehensive Income (Loss) (“AOCI”) until the underlying transaction was reflected in earnings. The net gain reclassed from AOCI from the interest rate swap reflected in earnings was $0.3 million and $0.6 million for the three and six months ended June 29, 2025, respectively, and was recorded as an offset to 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in anticipation of the extinguishment of all outstanding Term Loan A debt under the 2022 Credit Facility, the Company terminated the interest rate swap contract referred to above. The Company received a payment of approximately $0.3 million representing the termination value of the interest rate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Collaborative Arrangement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June 3, 2025, the Company and GE Aerospace (“GE”) announced a formal teaming agreement to advance the development and production of engines for the next generation of affordable unmanned aerial systems and Collaborative Combat Aircraft-type (CCA-type) aircraft. This teaming agreement supersedes an earlier letter of intent and memorandum of understanding between the Company and GE related to the development, testing and fielding of these engines. Under this arrangement, Kratos and GE share in the risks and rewards of the program through various revenue, cost and profit-sharing payment structures. In accordance with FASB ASC Topic 808, </w:t>
      </w:r>
      <w:r>
        <w:rPr>
          <w:rFonts w:ascii="Times New Roman;serif" w:hAnsi="Times New Roman;serif"/>
          <w:b w:val="false"/>
          <w:i/>
          <w:color w:val="000000"/>
          <w:sz w:val="20"/>
        </w:rPr>
        <w:t>Collaborative Arrangements</w:t>
      </w:r>
      <w:r>
        <w:rPr>
          <w:rFonts w:ascii="Times New Roman;serif" w:hAnsi="Times New Roman;serif"/>
          <w:b w:val="false"/>
          <w:color w:val="000000"/>
          <w:sz w:val="20"/>
        </w:rPr>
        <w:t xml:space="preserve">, (“Topic 808”), the accounting for the arrangement is within the scope of ASC 606 for those promised goods and services for which GE is a customer, and the related amounts are presented in revenues and cost of sales as the promised goods and services are provided. The ASC 606 considerations and facts discussed in </w:t>
      </w:r>
      <w:r>
        <w:rPr>
          <w:rFonts w:ascii="Times New Roman;serif" w:hAnsi="Times New Roman;serif"/>
          <w:b w:val="false"/>
          <w:i/>
          <w:color w:val="000000"/>
          <w:sz w:val="20"/>
        </w:rPr>
        <w:t>Note 3. Revenue Recognition</w:t>
      </w:r>
      <w:r>
        <w:rPr>
          <w:color w:val="000000"/>
        </w:rPr>
        <w:t xml:space="preserve"> </w:t>
      </w:r>
      <w:r>
        <w:rPr>
          <w:rFonts w:ascii="Times New Roman;serif" w:hAnsi="Times New Roman;serif"/>
          <w:b w:val="false"/>
          <w:color w:val="000000"/>
          <w:sz w:val="20"/>
        </w:rPr>
        <w:t>apply to this arrangement. Amounts disclosed through June 28, 2026 include activity under the July 22, 2024 memorandum of understanding and the June 3, 2025 superseding teaming agreement. Through June 28, 2026, Kratos has recorded inception-to-date revenues of $34.5 million and cost of sales of $34.5 million related to this arrangement. For the three and six months ended June 28, 2026, Kratos has recorded revenues of $0.8 million and $3.0 million, respectively, and cost of sales of $0.8 million and $2.6 million, respectively, related to this arrangement.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(this “Quarterly Report”) contains “forward-looking statements” relating to our future financial performance, the market for our services, our opportunities, and our expected future capital expenditures.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in “Item 1A-Risk Factors” of our Annual Report on Form 10-K for the fiscal year ended December 28, 2025 filed with the U.S. Securities and Exchange Commission (the “SEC”) on February 23, 2026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All references to “us,” “we,” “our,” the “Company” and “Kratos” refer to Kratos Defense &amp; Security Solutions, Inc., a Delaware corporation, and its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Kratos is a technology, products, system and software company addressing the defense, national security, and commercial markets. Kratos makes true internally funded research, development, capital and other investments, to rapidly develop, produce and field solutions that address our customers’ mission critical needs and requirements. At Kratos, affordability is a technology, and we utilize proven, leading-edge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We believe that there is a generational recapitalization of the defense industrial base and weapon systems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including the procurement of supply chain components for 3,000 jet engines we expect to produce in the next 15 months to address backlog,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demand, current opportunity pipeline, and expected and potential future program and contract awards, including from or with the Department of War, traditional legacy prime systems integrators and partners and new defense technology companies. Additional investments include: unmanned jet powered aircraft including Kratos Valkyrie ahead of potential contract award; a hypersonic system fabrication and integration facility including for Kratos Zeus solid rocket motors (SRMs) and Erinyes hypersonic flight systems in Indiana; the purchase of long lead items for 60 Oriole SRM’s and 60 Zeus SRM’s for ballistic missile defense; related, hypersonic or other expected customer missions; relocation and expansion of our small turbojet engine production capacity in Michigan; establishment of a planned small turbofan jet engine production facility in Oklahoma; establishment of a radar maintenance overhaul and upgrade facility in Indiana; establishment of a hypersonic system related arc chamber in Indiana;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Advanced Defense Systems, Ltd and the new turbofan production facility in Oklahoma related to our arrangement with GE Aerospace are expected to ramp up in 2026 and 2027.</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Industry Update</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United States, its allies and NATO are currently rebuilding their respective Defense Industrial Bases and there is currently an ongoing global recapitalization of weapon systems under way as a result of the deteriorating geopolitical situation, including as related to Russia, China, Iran, North Korea, etc. On July 4, 2025, the One Big Beautiful Bill Act (OBBBA), previously known as the Reconciliation Bill, was enacted. The OBBBA appropriated an additional $156 billion for defense spending and national security priorities and is expected to result in increased investment by the DoW in defense modernization projects and increasing weapons and armaments production capacity. Approximately $113 billion of the $156 billion in OBBBA funding for defense and national security priorities was initially intended to be added to the final 2026 defense appropriations bill, as described below. The appropriated funds will remain available to be obligated until September 30, 2029 and expended through FY 2035. The OBBBA is expected to result in increased investments by the DoW in defense modernization projects and Pacific region deterrence.</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February 3, 2026 President Trump signed the Consolidated Appropriations Act, 2026 (H.R. 7148) a $1.2 trillion funding package, that ended a brief government shutdown that began on February 1, 2026. This law provides funding for most federal agencies, including the DoW, through September 30, 2026. The funding bill includes $838.7 billion in defense appropriations for the DoW. This $838.7 billion, plus the approximate $113 billion included in the OBBBA noted above, and including approximately $45 billion in Department of Energy National Security related funds, brought the initial expected total U.S. Federal Fiscal Year 2026 National Security spend to approximately $1 trillion. In February, 2026, the Secretary of War announced that the $156 billion in the OBBBA for defense and National Security would be entirely expended in fiscal 2026, increasing the expected 2026 National Security spend above $1 trillion.</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On April 3, 2026, the Administration released the Fiscal Year 2027 Defense request proposal. This proposal seeks a $1.5 trillion defense expenditure, including a large discretionary base funding of approximately $1.15 trillion and an additional $350 billion of mandatory funding through a new reconciliation bill. The fiscal 2027 Defense Request and related Reconciliation Bill are expected to include significant funding for Golden Dome, Space and Satellite communications, unmanned systems and artificial intelligence, missiles, radars and air defense systems, the nuclear triad and many other systems, initiatives and programs. Additionally, the Administration recently submitted an $88 billion supplemental funding request for FY 2026, of which $67 billion is intended to address costs associated with the Iran conflict and other defense priorities. The FY 2027 defense budget proposal and the 2026 supplemental funding request are subject to Congressional approval, and it is not assured when or if they will be enacted at the levels proposed or that increases in funding will result into increased orders for our programs.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potential challenges presented by the recent U.S. Government shutdown, Presidential and Congressional changes, the current budgetary and deficit funding environment, the Trump Administration’s stated fiscal policies, the uncertain tariff situation, the conflicts in Iran, Israel, Ukraine and Taiwan funding support, potential continuing heightened levels of inflation, ongoing supply chain disruption, and the challenging appropriations process, among other items, all continue to potentially create significant short and long-term risks to the industry and the Company. Additionally, the Trump Administration has executed certain executive orders directly related to significantly changing the current DoW procurement policies and procedures, and the Federal Acquisition Regulations, the potential impact of such changes, if effected either by executive orders or changes to the relevant law, to the industry, and to Kratos, is unknown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continued budget and deficit funding pressures (which are expected), CRAs (which are also expected), future Federal Government debt ceiling issues, and potential Federal Government shutdowns could have serious negative consequences for the security of our country and the defense industrial base, including the Company and the related customers, employees, suppliers, investors, and communities that rely on companies in the defense industrial base. It is possible that budget and program decisions made in such an uncertain environment would have long-term implications for our Company and the entire defense industry. Additionally, funding for certain programs, including those in which we currently participate or are pursuing, may be reduced, delayed or cancelled, and budget uncertainty or funding cuts globally could adversely affect the viability of our customers, partners, teammates, subcontractors, suppliers, and our employee base.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Such a dynamic and challenging federal, DoW and National Security related budgetary environment may negatively impact our customers, partners, suppliers, business and programs, and could have a material adverse effect on our forecasts, estimates, financial position, results of operations and/or cash flows.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also continue to be affected by various unfavorable macroeconomic conditions including adverse supply chain disruptions as well as cost increases that continue throughout the industry and for Kratos, and related delays in the receipt and delivery of materials, parts, supplies, etc., including the impact of the increased demand for certain electronics and SD cards resulting from consumption by AI data centers, which in certain instances and for certain items is significant. To mitigate the impact of these delays, we have implemented advanced and larger lot purchases of certain materials and parts, which has resulted in an increased use of our working capital, which is expected to continue. In addition, inflation and the related increased costs of inputs needed to execute our business, including materials, parts, supplies, consultants, subcontractors, vendors, etc., have significantly increased our business costs and have adversely impacted our operations, profit margins and financial forecasts.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Additionally, an industry wide shortage of qualified labor, and the cost of that labor for the Company and its labor base is a significant operational challenge. The cost of labor has increased significantly and current challenges in hiring, obtaining and retaining employees, including those employees requiring National Security clearances, is adversely impacting Kratos’ ability to execute its business. The challenge of retaining skilled experienced production personnel has continued to negatively impact our operating margins, especially on our longer-term firm fixed-priced production contracts. There is also a significant industry wide labor shortage, including in the Science, Technology, Engineering, and Math (STEM) discipline areas, and also including employees willing and/or able to obtain National Security clearances, and for high level manufacturing and production disciplines.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do believe that our business is well-positioned, including in areas that the Trump Administration, the DoW, national security related and other customers currently indicate are priorities for future defense spending. As noted above, we believe that there is a generational recapitalization of weapon systems and the defense industrial base occurring with the U.S. and its allies to address peer and near peer threats, including Russia, China, North Korea and Iran. We believe that the Company’s position as a proven provider of military grade hardware, systems and software to address these threats for and with our customers and partners is recognized in the industry. We believe that the Company’s military grade hardware, software and solution offerings, including jet unmanned aerial drones, rocket and hypersonic systems, C5ISR and air defense systems, jet engine and propulsion systems for missiles, drones, hypersonic and supersonic vehicles, microwave electronics for missile, radar and air defense systems, space and satellite communication systems and training systems, address mission critical priority areas of the DoW.</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The Company currently operates in two reportable segments, KGS and US. The KGS reportable segment is comprised of an aggregation of KGS operating segments, including our microwave electronics products, space, satellite and cyber, training solutions, C5ISR/modular systems, turbine technologies, and defense and rocket support services operating segments. The US reportable segment consists of our unmanned aerial, unmanned ground, unmanned seaborne and command, control and communications system businesses.</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10 of the accompanying unaudited condensed consolidated financial statements. From a customer and solutions perspective, we view our business as an integrated whole, leveraging skills and assets wherever possible.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 of Results for the Three Months Ended June 28, 2026 to the Three Months Ended June 29,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w:t>
      </w:r>
      <w:r>
        <w:rPr>
          <w:color w:val="000000"/>
        </w:rPr>
        <w:t xml:space="preserve">  </w:t>
      </w:r>
      <w:r>
        <w:rPr>
          <w:rFonts w:ascii="Times New Roman;serif" w:hAnsi="Times New Roman;serif"/>
          <w:b w:val="false"/>
          <w:color w:val="000000"/>
          <w:sz w:val="20"/>
        </w:rPr>
        <w:t>Revenues by reporting segment for the three months ended June 28, 2026 and June 29, 2025 are as follows (dollars in millions):</w:t>
      </w:r>
    </w:p>
    <w:tbl>
      <w:tblPr>
        <w:tblW w:w="8194" w:type="dxa"/>
        <w:jc w:val="left"/>
        <w:tblInd w:w="0" w:type="dxa"/>
        <w:tblLayout w:type="fixed"/>
        <w:tblCellMar>
          <w:top w:w="28" w:type="dxa"/>
          <w:left w:w="28" w:type="dxa"/>
          <w:bottom w:w="28" w:type="dxa"/>
          <w:right w:w="28" w:type="dxa"/>
        </w:tblCellMar>
      </w:tblPr>
      <w:tblGrid>
        <w:gridCol w:w="1087"/>
        <w:gridCol w:w="953"/>
        <w:gridCol w:w="959"/>
        <w:gridCol w:w="253"/>
        <w:gridCol w:w="741"/>
        <w:gridCol w:w="131"/>
        <w:gridCol w:w="109"/>
        <w:gridCol w:w="109"/>
        <w:gridCol w:w="109"/>
        <w:gridCol w:w="253"/>
        <w:gridCol w:w="741"/>
        <w:gridCol w:w="131"/>
        <w:gridCol w:w="109"/>
        <w:gridCol w:w="109"/>
        <w:gridCol w:w="109"/>
        <w:gridCol w:w="211"/>
        <w:gridCol w:w="616"/>
        <w:gridCol w:w="109"/>
        <w:gridCol w:w="109"/>
        <w:gridCol w:w="109"/>
        <w:gridCol w:w="109"/>
        <w:gridCol w:w="255"/>
        <w:gridCol w:w="256"/>
        <w:gridCol w:w="517"/>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Kratos Government Solutions</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$107.3 million to $458.8 million for the three months ended June 28, 2026 from $351.5 million for the three months ended June 29, 2025. Revenues in our KGS segment increased $101.4 million primarily due to increased revenues in our Defense Rocket Support business driven by our hypersonic systems business, as well as growth in our turbine technologies, microwave products and space and training businesses, and the contribution of $18.8 million in revenue from the recent acquisition of Nomad Global Communication Solutions, and $21.4 million in revenue from the recent acquisition of Orbit Technologies. Revenues in our US segment were $79.1 million for the three months ended June 28, 2026, an increase of $5.9 million from $73.2 million in the three months ended June 29, 2025, primarily as a result of Valkyrie aircraft related production during the three months ended June 28,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increased $72.5 million to $289.1 million for the three months ended June 28, 2026 from $216.6 million for the three months ended June 29, 2025, primarily due to the acquisitions of Nomad and Orbit, as well as increased production in our KGS and US segments. As a percentage of total consolidated revenues, product sales were 63.0% for the three months ended June 28, 2026 as compared to 61.6% for the three months ended June 29, 2025. Service revenues increased by $34.8 million to $169.7 million for the three months ended June 28, 2026 from $134.9 million for the three months ended June 29, 2025, primarily related to increased activity in our defense rocket support business in our KGS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Cost of revenues increased $81.0 million to $358.7 million for the three months ended June 28, 2026 from $277.7 million for the three months ended June 29, 2025. The increase in cost of revenues was primarily due to increased revenues in our Defense Rocket Support business driven by our hypersonic systems business, as well as the acquisitions of Nomad and Orbit and the impact of increased labor and material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Gross Margin</w:t>
      </w:r>
      <w:r>
        <w:rPr>
          <w:rFonts w:ascii="Times New Roman;serif" w:hAnsi="Times New Roman;serif"/>
          <w:b w:val="false"/>
          <w:color w:val="000000"/>
          <w:sz w:val="20"/>
        </w:rPr>
        <w:t>.  Gross margin increased to 21.8% for the three months ended June 28, 2026 from 21.0% for the three months ended June 29, 2025. Margins on services increased to 22.5% for the three months ended June 28, 2026 from 20.5% for the three months ended June 29, 2025. Margins on products increased to 21.4% for the three months ended June 28, 2026 from 21.3% for the three months ended June 29, 2025. Margins in the KGS segment increased to 22.9% for the three months ended June 28, 2026 from 22.3% for the three months ended June 29, 2025. Margins in the US segment increased to 16.7% for the three months ended June 28, 2026 from 15.8% for the three months ended June 29,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Selling, General and Administrative (“SG&amp;A”) Expenses</w:t>
      </w:r>
      <w:r>
        <w:rPr>
          <w:rFonts w:ascii="Times New Roman;serif" w:hAnsi="Times New Roman;serif"/>
          <w:b w:val="false"/>
          <w:color w:val="000000"/>
          <w:sz w:val="20"/>
        </w:rPr>
        <w:t>.  SG&amp;A expenses increased $27.4 million to $87.3 million for the three months ended June 28, 2026 from $59.9 million for the three months ended June 29, 2025 due primarily to increased amortization expense of $8.8 million related to the acquisitions of Nomad and Orbit, increased stock compensation expense of $7.7 million, and the impact of increased revenue volume and headcount. As a percentage of revenues, SG&amp;A increased to 19.0% at June 28, 2026 from 17.0% at June 29,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Research and Development (“R&amp;D”) Expenses.</w:t>
      </w:r>
      <w:r>
        <w:rPr>
          <w:color w:val="000000"/>
        </w:rPr>
        <w:t xml:space="preserve">  </w:t>
      </w:r>
      <w:r>
        <w:rPr>
          <w:rFonts w:ascii="Times New Roman;serif" w:hAnsi="Times New Roman;serif"/>
          <w:b w:val="false"/>
          <w:color w:val="000000"/>
          <w:sz w:val="20"/>
        </w:rPr>
        <w:t xml:space="preserve">R&amp;D expenses increased to $13.6 million for the three months ended June 28, 2026 from $10.2 million for June 29, 2025 primarily due to the acquisition of Orbit. As a percentage of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R&amp;D increased to 3.0% for the three months ended June 28, 2026 from 2.9% for the three months ended June 29, 2025.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Total Other Income, Net.</w:t>
      </w:r>
      <w:r>
        <w:rPr>
          <w:color w:val="000000"/>
        </w:rPr>
        <w:t xml:space="preserve">  </w:t>
      </w:r>
      <w:r>
        <w:rPr>
          <w:rFonts w:ascii="Times New Roman;serif" w:hAnsi="Times New Roman;serif"/>
          <w:b w:val="false"/>
          <w:color w:val="000000"/>
          <w:sz w:val="20"/>
        </w:rPr>
        <w:t>The total other income, net was $8.6 million for the three months ended June 28, 2026 and $0.9 million for the three months ended June 29, 2025. The net change of $7.7 million between the three months ended June 29, 2025 and the three months ended June 28, 2026 is primarily related to the reduction of interest expense from the payoff of our long-term debt on July 2, 2025 and an increase in interest income on cash balances, which increased following our June 27, 2025 and February 26, 2026 public offerings.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Provision for Income Taxes.</w:t>
      </w:r>
      <w:r>
        <w:rPr>
          <w:color w:val="000000"/>
        </w:rPr>
        <w:t> </w:t>
      </w:r>
      <w:r>
        <w:rPr>
          <w:rFonts w:ascii="Times New Roman;serif" w:hAnsi="Times New Roman;serif"/>
          <w:b w:val="false"/>
          <w:color w:val="000000"/>
          <w:sz w:val="20"/>
        </w:rPr>
        <w:t>The provision for income taxes for the three months ended June 28, 2026 and the three months ended June 29, 2025 was $2.6 million and $1.7 million, respectively. The provision for income taxes for the three months ended June 28, 2026 and three months ended June 29, 2025 included a benefit of $1.7 million and $0.6 million, respectively, for stock compensation related items. For the three months ended June 28, 2026 and June 29, 2025, the Company utilized the annual effective tax rate method based on the forecasted information provided.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Comparison of Results for the Six Months Ended June 28, 2026 to the Six Months Ended June 29,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w:t>
      </w:r>
      <w:r>
        <w:rPr>
          <w:rFonts w:ascii="Times New Roman;serif" w:hAnsi="Times New Roman;serif"/>
          <w:b w:val="false"/>
          <w:color w:val="000000"/>
          <w:sz w:val="20"/>
        </w:rPr>
        <w:t>. Revenues by reporting segment for the six months ended June 28, 2026 and June 29, 2025 are as follows (dollars in millions):</w:t>
      </w:r>
    </w:p>
    <w:tbl>
      <w:tblPr>
        <w:tblW w:w="8315" w:type="dxa"/>
        <w:jc w:val="left"/>
        <w:tblInd w:w="0" w:type="dxa"/>
        <w:tblLayout w:type="fixed"/>
        <w:tblCellMar>
          <w:top w:w="28" w:type="dxa"/>
          <w:left w:w="28" w:type="dxa"/>
          <w:bottom w:w="28" w:type="dxa"/>
          <w:right w:w="28" w:type="dxa"/>
        </w:tblCellMar>
      </w:tblPr>
      <w:tblGrid>
        <w:gridCol w:w="1130"/>
        <w:gridCol w:w="992"/>
        <w:gridCol w:w="998"/>
        <w:gridCol w:w="253"/>
        <w:gridCol w:w="741"/>
        <w:gridCol w:w="131"/>
        <w:gridCol w:w="109"/>
        <w:gridCol w:w="109"/>
        <w:gridCol w:w="109"/>
        <w:gridCol w:w="253"/>
        <w:gridCol w:w="741"/>
        <w:gridCol w:w="131"/>
        <w:gridCol w:w="109"/>
        <w:gridCol w:w="109"/>
        <w:gridCol w:w="109"/>
        <w:gridCol w:w="211"/>
        <w:gridCol w:w="616"/>
        <w:gridCol w:w="109"/>
        <w:gridCol w:w="109"/>
        <w:gridCol w:w="109"/>
        <w:gridCol w:w="109"/>
        <w:gridCol w:w="255"/>
        <w:gridCol w:w="256"/>
        <w:gridCol w:w="517"/>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Kratos Government Solutions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Unmanned Systems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$175.7 million to $829.8 million for the six months ended June 28, 2026 from $654.1 million for the six months ended June 29, 2025. Revenues in our KGS segment increased $150.3 million, primarily due to increased revenues in our Defense Rocket Support business driven by our hypersonic business, as well as growth in our Space, Cyber and Training, Turbine Technologies and Microwave Products businesses, and the contribution of $26.2 million and $34.8 million in revenues from the acquisitions of Nomad and Orbit, respectively. Revenues in our US segment were $161.7 million for the six months ended June 28, 2026, an increase of $25.4 million from $136.3 million for the six months ended June 29, 2025, primarily reflecting increased tactical drone activity during the six months ended June 28,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 sales increased $109.3 million to $526.1 million for the six months ended June 28, 2026 from $416.8 million for the six months ended June 29, 2025, primarily due to increased production activity in the Company’s US Segment and in the Defense Rocket Support, Space, Training and Cyber, Microwave Products and Turbine Technologies businesses in KGS, as well as the acquisitions of Nomad and Orbit. As a percentage of total revenue, product sales were 63.4% for the six months ended June 28, 2026 as compared to 63.7% for the six months ended June 29, 2025. Service revenues increased by $66.4 million to $303.7 million for the six months ended June 28, 2026 from $237.3 million for the six months ended June 29, 2025. The increase was primarily related to increased activity in our defense rocket support businesses in our KGS segment.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Cost of Revenues</w:t>
      </w:r>
      <w:r>
        <w:rPr>
          <w:rFonts w:ascii="Times New Roman;serif" w:hAnsi="Times New Roman;serif"/>
          <w:b w:val="false"/>
          <w:color w:val="000000"/>
          <w:sz w:val="20"/>
        </w:rPr>
        <w:t>. Cost of revenues increased $133.4 million to $640.1 million for the six months ended June 28, 2026 from $506.7 million for the six months ended June 29, 2025. The increase in cost of revenues was primarily a result of the increase in revenues discussed above as well as the impact of increased labor and material costs.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Gross Margin. </w:t>
      </w:r>
      <w:r>
        <w:rPr>
          <w:rFonts w:ascii="Times New Roman;serif" w:hAnsi="Times New Roman;serif"/>
          <w:b w:val="false"/>
          <w:color w:val="000000"/>
          <w:sz w:val="20"/>
        </w:rPr>
        <w:t>Gross margin increased to 22.9% for the six months ended June 28, 2026 from 22.5% for the six months ended June 29, 2025. Gross margin on services increased to 24.0% for the six months ended June 28, 2026 from 22.9% for the six months ended June 29, 2025. Gross margin on product sales decreased to 22.2% for the six months ended June 28, 2026 from 22.3% for the six months ended June 29, 2025. Gross margin in the KGS segment was 24.3% for the six months ended June 28, 2026, consistent with 24.3% for the six months ended June 29, 2025. Gross margin in the US segment increased to 16.9% for the six months ended June 28, 2026 from 15.8% for the six months ended June 29, 2025 due primarily to the more favorable mix of revenues in the six months ended June 28,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Selling, General and Administrative (“SG&amp;A”) Expenses</w:t>
      </w:r>
      <w:r>
        <w:rPr>
          <w:rFonts w:ascii="Times New Roman;serif" w:hAnsi="Times New Roman;serif"/>
          <w:b w:val="false"/>
          <w:color w:val="000000"/>
          <w:sz w:val="20"/>
        </w:rPr>
        <w:t xml:space="preserve">. SG&amp;A expenses increased $42.7 million from $116.9 million for the six months ended June 29, 2025 to $159.6 million for the six months ended June 28, 2026 due to increased amortization expense of $13.4 million related to the acquisitions of Nomad and Orbit, increased stock compensation expense of $14.0 million, and the impact of increased revenue volume and headcount. As a percentage of revenues, SG&amp;A increased to 19.2% at June 28, 2026, from 17.9% at June 29,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Research and Development (“R&amp;D”) Expenses</w:t>
      </w:r>
      <w:r>
        <w:rPr>
          <w:rFonts w:ascii="Times New Roman;serif" w:hAnsi="Times New Roman;serif"/>
          <w:b w:val="false"/>
          <w:color w:val="000000"/>
          <w:sz w:val="20"/>
        </w:rPr>
        <w:t>. R&amp;D expenses were $24.3 million for the six months ended June 28, 2026 and $20.2 million for the six months ended June 29, 2025. As a percentage of revenues, R&amp;D expenses decreased to 2.9% for the six months ended June 28, 2026 from 3.1% for the six months ended June 29, 2025. R&amp;D expenses are made by the Company, typically in conjunction with our customers, for the Company to achieve a “first to market” position with our products or technology. We also invest in R&amp;D expenses to achieve market leading “designed in” positions on major programs, platforms or systems.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Total Other Income (Expense), Net. </w:t>
      </w:r>
      <w:r>
        <w:rPr>
          <w:rFonts w:ascii="Times New Roman;serif" w:hAnsi="Times New Roman;serif"/>
          <w:b w:val="false"/>
          <w:color w:val="000000"/>
          <w:sz w:val="20"/>
        </w:rPr>
        <w:t>Total other income (expense), net increased to income of $13.7 million for the six months ended June 28, 2026 from expense of $0.3 million for the six months ended June 29, 2025. The increase in total other income (expense), net of $14.0 million was primarily related to the reduction of interest expense from the payoff of our Term Loan A debt on July 2, 2025 and an increase in interest income on cash balances which increased following our June 27, 2025 and February 27, 2026 public offerings, and due to the receipt of a research and development tax related refund received by one of the Company’s international businesses.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Provision (benefit) for Income Taxes</w:t>
      </w:r>
      <w:r>
        <w:rPr>
          <w:rFonts w:ascii="Times New Roman;serif" w:hAnsi="Times New Roman;serif"/>
          <w:b w:val="false"/>
          <w:color w:val="000000"/>
          <w:sz w:val="20"/>
        </w:rPr>
        <w:t xml:space="preserve">. The provision for income taxes for the six months ended June 28, 2026 and the six months ended June 29, 2025 was $0.5 million and $2.6 million, respectively. The provision for income taxes for the six months ended June 28, 2026 and the six months ended June 29, 2025 include a benefit of $8.9 million and $2.2 million, respectively, for stock compensation related items. For the six months ended June 28, 2026 and June 29, 2025, the Company utilized the annual effective tax rate method based on the forecasted information provided.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28, 2026, we had approximately $2.084 billion of total backlog, of which $1.572 billion was funded. We expect to recognize approximately 35% of the remaining total backlog as revenue in fiscal year 2026, an additional 35% in fiscal year 2027 and the balance thereafter. Our comparable total backlog balance as of June 29, 2025, was approximately $1.414 billion, of which $1.125 billion was funded. Backlog as of June 28, 2026 as compared to June 29, 2025 has increased primarily as a result of contract awards in our Space, Satellite and Training, Defense Rocket Support Services, Microwave Products and Unmanned Systems businesses, as well as the impact of the acquisitions of Nomad and Orbit which contributed approximately $243.4 million to the increase in backlog.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a subsequent appropriation and the procuring agency allocates funding to the contract.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Contracts undertaken by us may extend beyond one year. Accordingly, portions are carried forward from one year to the next as part of backlog. Because many factors affect the scheduling of projects, no assurance can be given as to when or if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our backlog until a related contract award is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28, 2026, we had cash and cash equivalents of $1,437.6 million compared with cash and cash equivalents of $560.6 million as of December 28, 2025, which includes $78.1 million and $30.3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United States they could be repatriated, and their repatriation into the United States may cause us to incur additional foreign withholding taxes. We do not currently intend to repatriate these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long-term debt at June 28, 2026 remains at zero reflecting the extinguishment on July 2, 2025 of all outstanding Term Loan A debt under the 2022 Credit Facility. The then outstanding Term Loan A aggregate principal balance of $177.5 million, plus accrued interest, was paid in full utilizing a portion of the proceeds we received from the June 27, 2025 public equity offering that generated net proceeds of approximately $555.9 million, which is described further in Note 11 to the accompanying unaudited condensed consolidated financial statements. The new undrawn $300.0 million revolving credit facility (see Note 9) remains active and available to the Company less approximately $2.1 million of domestic letters of credit outstanding. Foreign letters of credit outstanding of $29.0 million do not impact the availability of the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our operating cash flow to finance trade accounts receivable, fund necessary increases in inventory including increasing inventory stock levels and advance buys in larger lot sizes to gain pricing benefits where possible, in order to mitigate the impact of supply chain disruptions and price increases, utilize working capital to fund revenue growth, fund prepayments required for long lead items necessary for production, fund internal investments of engineering and software development costs, fund capital expenditures, our internal research and development investments and our ongoing operations, service our debt, enhance our security infrastructure, including cyber security infrastructure, and make strategic acquisitions. Financing trade accounts receivable is necessary because, on average, our customers do not pay us as quickly as we pay our vendors and employees for their goods and services because a number of our receivables are contractually billable and due to us only when certain contractual milestones are achieved. Financing increases in inventory balances are necessary to fulfill shipment requirements to meet delivery schedules of our customers, to fund advanced inventory purchases to mitigate supply chain disruptions and fluctuations in demand for critical components, and to fund production for work in progress and increased inventory levels and prepayments for long-lead materials related to production and revenue growth. These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have increased and have recently negatively impacted our operating cash flows due to actions we have taken to advance inventory purchases in an attempt to mitigate supply chain disruptions and to bolster our inventory levels. For the six months ended June 28, 2026, approximately $36.6 million of operating cash flow use was related to increases in prepaid expenses and other assets which also include certain vendor prepayments and deposits related to the procurement of long-lead materials and inventory and certain investments we are making for unmanned systems initiatives. Cash from continuing operations is primarily derived from our customer contracts in progress and associated changes in working capital components. Our days sales outstanding (“DSO”) have decreased from 124 days as of December 28, 2025 to 114 days at June 28, 2026, primarily reflecting the timing of outstanding contractual billing milestones and our internal revenue growth as well as the impact of the recent Nomad and Orbit acquisitions. Our DSO's are impacted by the achievement of contractual billing milestones such as equipment shipments and deliveries on certain products, the receipt of contractual funding, and for certain flight requirements that must be fulfilled on certain aerial target programs, or final milestone billings which are not due until completion on certain projects, and therefore we are unable to contractually bill for amounts outstanding related to those milestones at this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our net cash provided by (used in) operating activities, investing activities, and financing activities from our condensed consolidated statements of cash flows is as follows (in millions):</w:t>
      </w:r>
    </w:p>
    <w:tbl>
      <w:tblPr>
        <w:tblW w:w="6205" w:type="dxa"/>
        <w:jc w:val="center"/>
        <w:tblInd w:w="0" w:type="dxa"/>
        <w:tblLayout w:type="fixed"/>
        <w:tblCellMar>
          <w:top w:w="28" w:type="dxa"/>
          <w:left w:w="28" w:type="dxa"/>
          <w:bottom w:w="28" w:type="dxa"/>
          <w:right w:w="28" w:type="dxa"/>
        </w:tblCellMar>
      </w:tblPr>
      <w:tblGrid>
        <w:gridCol w:w="1256"/>
        <w:gridCol w:w="1101"/>
        <w:gridCol w:w="1108"/>
        <w:gridCol w:w="262"/>
        <w:gridCol w:w="728"/>
        <w:gridCol w:w="135"/>
        <w:gridCol w:w="109"/>
        <w:gridCol w:w="109"/>
        <w:gridCol w:w="109"/>
        <w:gridCol w:w="211"/>
        <w:gridCol w:w="586"/>
        <w:gridCol w:w="491"/>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$38.4 million for the six months ended June 28, 2026. Net cash used in operating activities for the six months ended June 28, 2026 was primarily a result of net income of $16.3 million and changes in net working capital accounts of $134.2 million partially offset by noncash charges of $79.5 million which primarily includes stock compensation, depreciation and amortization. Net cash used in operating activities was $40.9 million for the six months ended June 29, 2025. Net cash used in operating activities for the six months ended June 29, 2025 was primarily a result of net income of $7.4 million and changes in net working capital accounts of $94.1 million partially offset by noncash charges of $45.8 million which includes stock compensation, depreciation and amortization.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Net cash used in investing activities was $375.3 million for the six months ended June 28, 2026 and is comprised primarily of $346.8 million of payments for acquisitions and $37.1 million of capital expenditures. During the six months ended June 28, 2026, capital expenditures of approximately $10.9 million were incurred in our US business, primarily related to our unmanned tactical initiative. We expect our capital expenditures for fiscal year 2026 to continue to be significant for investments we are making, specifically in our US business totaling approximately $35 to $40 million, including approximately $25 to $30 million for capital aerial drones and related support equipment. The Company is currently producing or anticipates producing several versions of the Valkyrie within the 24 unit production, based on routine communications with the customers, which mix and ultimate duration of the 24 Lot Build may change as a result. The Company’s small jet engines are currently “designed in” on certain cruise missiles and loitering munitions, certain of which the Company may receive indications of or production contracts for, which could result in the Company ordering or acquiring related hardware for in 2026, which could impact our cash flow. Net cash used in investing activities was $43.1 million for the six months ended June 29, 2025 and is comprised of $43.1 million in capital expenditures. During the six months ended June 29, 2025, capital expenditures of approximately $16.8 million were incurred in our US business, primarily related to our unmanned tactical initiative. During the six months ended June 28, 2026, the company funded $6.9 million related to its investment in the Prometheus Energetics (“Prometheus”) joint venture with RAFAEL Advanced Defense Systems, Ltd. (“RAFAEL”).</w:t>
      </w:r>
      <w:r>
        <w:rPr>
          <w:color w:val="000000"/>
        </w:rPr>
        <w:t xml:space="preserve"> </w:t>
      </w:r>
      <w:r>
        <w:rPr>
          <w:rFonts w:ascii="Times New Roman;serif" w:hAnsi="Times New Roman;serif"/>
          <w:b w:val="false"/>
          <w:color w:val="000000"/>
          <w:sz w:val="20"/>
        </w:rPr>
        <w:t>Kratos and RAFAEL (through its U.S. based subsidiary RAFAEL USA) have jointly committed up to a combined total of $175 million in capital for the establishment of Prometheus and required property, plant, equity and personnel needed for the new, state-of-the-art SRM and energetics manufacturing campus and facilities.</w:t>
      </w:r>
      <w:r>
        <w:rPr>
          <w:color w:val="000000"/>
        </w:rPr>
        <w:t xml:space="preserve"> </w:t>
      </w:r>
      <w:r>
        <w:rPr>
          <w:rFonts w:ascii="Times New Roman;serif" w:hAnsi="Times New Roman;serif"/>
          <w:b w:val="false"/>
          <w:color w:val="000000"/>
          <w:sz w:val="20"/>
        </w:rPr>
        <w:t>The Company expects to fund approximately $50 million to the Prometheus joint venture during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$1,291.2 million for the six months ended June 28, 2026, which included net proceeds from the issuance of common stock of approximately $1,348.4 million (see Note 11 to the accompanying unaudited condensed consolidated financial statements) and employee stock purchase plan receipts of $5.3 million. These receipts were partially offset by payroll withholding taxes paid from vested restricted stock traded for taxes of $59.1 million, and payments made on financing lease obligations of $2.0 million. Net cash used in financing activities was $536.3 million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six months ended June 29, 2025, which included employee stock purchase plan receipts of $4.6 million and net proceeds from the issuance of common stock of approximately $555.9 million (see Note 11 to the accompanying unaudited condensed consolidated financial statements). These proceeds were partially offset by $5.0 million of principal payments on our Term Loan A, payroll withholding taxes paid from vested restricted stock traded for taxes of $18.3 million and payments made on financing lease obligations of $0.9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2022 Credit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18, 2022, the Company completed the refinancing of its then-outstanding $90 million revolving credit facility and $300 million 6.5% Senior Secured Notes, with a 5-year $200 million Revolving Credit Facility and 5-year $200 million Term Loan A (collectively, the “2022 Credit Facility”). The Company incurred debt issuance costs of $3.3 million associated with the 2022 Credit Facility. On July 2, 2025, the Company extinguished all outstanding Term Loan A debt under the 2022 Credit Facility. The then-outstanding Term Loan A aggregate principal balance of $177.5 million, plus accrued interest, was paid in full utilizing a portion of the proceeds received from the June 27, 2025 public equity offering, which is described further in Note 11. The Company incurred a loss on the extinguishment of the debt of $0.5 million during the three months ended September 28, 2025 related to the write-off of unamortized debt issuance costs. This loss is included in Other income (expense) in the condensed consolidated statement of operations. The undrawn $200 million revolving credit facility under the 2022 Credit Facility remained active and available to the Company through the February 20, 2026 refinancing described below.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Credit Facility was governed by a Credit Agreement (the “2022 Credit Agreement”), which established a 5-year senior secured credit facility which was comprised of a $200 million Revolving Credit Facility (which included sub-facilities for the incurrence of up to $10.0 million of swingline loans and the issuance of up to $50.0 million of Letters of Credit) and the $200 million Term Loan A. The 2022 Credit Agreement contemplated uncommitted incremental credit facilities of up to $200 million (which amount would be reduced by the aggregate amount of any and all incremental credit facilities actually established under the 2022 Credit Agreement) plus additional uncommitted incremental capacity subject to a limitation based on the Company’s pro forma total net leverage ratio (including any such additional uncommitted incremental capacity).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and the term loan credit facility may take the form of base rate loans or Secured Overnight Financing Rate (“SOFR”) loans. Base rate loans under the 2022 Credit Agreement bore interest at a rate per annum equal to the sum of the Applicable Margin (as defined in the Credit Agreement) from time to time in effect plus the highest of (i) the Agent’s (as defined in the 2022 Credit Agreement) prime lending rate, as in effect at such time, (ii) the Federal Funds Rate (as defined in the 2022 Credit Agreement), as in effect at such time, plus 0.50%, (iii) the Adjusted Term SOFR (as defined in the 2022 Credit Agreement) for a one-month tenor in effect on such day, plus 1.00% and (iv) 1.00%. SOFR loans will bear interest at a rate per annum equal to the sum of the Applicable Margin from time to time in effect plus the Adjusted Term SOFR for an Interest Period (as defined in the 2022 Credit Agreement) selected by the Company of one, three or six months. The Applicable Margin varied between 1.25% and 2.25% per annum for SOFR loans and between 0.25% and 1.25% per annum for base rate loans, and is based on the Company’s total net leverage ratio from time to time.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2022 Credit Agreement contained certain covenants, which included, but were not limited to, restrictions on indebtedness, liens, fundamental changes, restricted payments, asset sales, and investments, and placed limits on various other payments. The Company was in compliance with the covenants contained in the 2022 Credit Agreement as of the February 20, 2026 refinancing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28, 2023, the Company entered into an interest rate swap contract to hedge U.S. dollar-one month Term SOFR in order to fix the interest rate movements associated with the Company’s Term Loan A. The initial hedge amount was $195.0 million and amortized in accordance with Term Loan A. The swap was at a fixed rate of one-month term SOFR of 3.721% and settled monthly on the last day of each calendar month. The swap had an effective date of May 1, 2023 and was scheduled to terminate on May 1, 2026. On June 30, 2025, in anticipation of the extinguishment of Term Loan A, the Company terminated the swap. The Company received a payment of approximately $0.3 million representing the termination value of the swap. Refer to Note 14 for further discussion of the accounting treatment of the swap arrangement.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completed the refinancing of its 2022 Credit Facility with a new 5-year $300 million Revolving Credit Facility described below. There were no outstanding borrowings under the 2022 Credit Facility subsequent to the repayment in full of the Term Loan A under the 2022 Credit Facility on July 2, 2025. The outstanding letters of credit under the 2022 Credit Facility were transferred to the 2026 Credit Agreement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2026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20, 2026, the Company entered into a Credit Agreement (the “2026 Credit Agreement”), by and among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the guarantors from time to time party thereto, the lenders from time to time party thereto (the “Lenders”),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PNC Bank, National Association (the “Administrative Agent”), in its capacity as administrative agent, and as swingline loan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lender and issuing lender. The 2026 Credit Agreement establishes a five-year senior secured credit facility which is comprised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a $300 million revolving credit facility (which includes sub-facilities for the incurrence of up to $35.0 million of swingline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and the issuance of up to $50.0 million of Letters of Credit). Letters of credit outstanding under the 2022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have been transferred to the 2026 Credit Agreement. The 2026 Credit Agreement contemplates uncommitted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incremental credit facilities of up to $135.0 million. As of June 28, 2026, the Company has no amounts outstanding under the Revolving Credit Facility, with $300.0 million remaining in borrowing capacity, less approximately $2.1 million of domestic letters of credit outstanding. Foreign letters of credit outstanding of $29.0 million does not impact the availability of the Revolving Credit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2026 Credit Agreement are guaranteed by the Guarantors (as defined in the 2026 Credit Agreement). The Company’s obligations under the 2026 Credit Agreement and the Guarantors’ obligations under the Guaranty and Security Agreement (as defined in the 2026 Credit Agreement) are secured by first priority security interests in all assets of the loan parties that have executed the Guaranty and Security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may take the form of base rate loans or SOFR loans. Base rate loans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2026 Credit Agreement will bear interest at a rate per annum equal to the sum of the Applicable Margin (as defined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Credit Agreement) from time to time in effect plus the highest of (i) the Overnight Bank Funding Rate (as defined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2026 Credit Agreement), as in effect at such time, plus 0.50%, (ii) the Administrative Agent’s prime lending rate, as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at such time, and (iii) the Daily Simple SOFR (as defined in the 2026 Credit Agreement) plus 1.00%, so long as Daily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Simple SOFR is offered, ascertainable and not unlawful. SOFR loans will bear interest a rate per annum equal to the sum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Applicable Margin from time to time in effect plus the Term SOFR Rate for an Interest Period (as defined in the 2026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selected by the Company of one (1), three (3) or six (6) months. The Applicable Margin varies between 1.00%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2.00% per annum for SOFR loans and between 0.00% and 1.00% per annum for base rate loans, and is based on the Company’s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leverage ratio from time to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2026 Credit Agreement contains certain covenants, which include, but are not limited to, restrictions on indebtedness, liens, fundamental changes, restricted payments, asset sales, and investments, and places limits on various other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Events of default under the terms of the 2026 Credit Agreement include, but are not limited to: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Failure of the Company to pay any principal of any loans in full when due and payable;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Failure of the Company to pay any interest on any loan or any fee or other amount payable under the 2026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within five business days after the date when due and payable;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Failure of the Company or any of its subsidiaries to comply with certain covenants and agreements, subject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applicable grace periods and/or notice requirements; and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0"/>
        </w:rPr>
        <w:t>Any representation or warranty made or deemed made by or on behalf of the Company or any of its subsidiaries in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2026 Credit Agreement or in any certificate, report, financial statement or other document submitted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Administrative Agent or the Lenders by the Company or the Guarantors pursuant to or in connection with the 2026 Credit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Agreement or any other loan document shall prove to be incorrect in any material respect (other than any representation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warranty that is expressly qualified by a Material Adverse Effect (as defined in the 2026 Credit Agreement) or other materiality,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which case such representation or warranty shall prove to be incorrect in any respect) when made or deemed made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submitted.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notice requirements and other conditions, upon the occurrence of an event of default, commitments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be terminated and the principal of, and interest then outstanding on, all of the loans may become immediately due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payable; however, where an event of default arises from certain bankruptcy events, the commitments shall automatically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terminate and the principal of, and interest then outstanding on, all of the loans shall become immediately due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payable.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execution of the consummation of the transactions contemplated by the 2026 Credit Agreement,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2022 Credit Agreement was terminated.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2026 Credit Agreement, the Company is subject to certain restrictions on its ability to pay dividends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make other distributions or payments on account of any redemption, retirement or purchase of any capital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capitalized and is amortizing the debt issuance costs over the term of the facility. The unamortized balance at June 28, 2026 and December 28, 2025 were $1.6 million and $0.4 million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Liquidity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cash on hand, together with funds available under the undrawn $300.0 million revolving credit facility under the 2026 Credit Facility and cash expected to be generated from operating activities, will be sufficient to fund our anticipated working capital and other cash needs for at least the next 12 months. As discussed below and in Part I, Item 1A, “Risk Factors” of our Annual Report on Form 10-K, our quarterly and annual operating results have fluctuated in the past and may vary in the future due to a variety of factors, many of which are outside our control. If the conditions in our industry deteriorate or our customers cancel or postpone projects or if we are unable to sufficiently increase our revenues or further reduce our expenses, we may experience a significant long-term negative impact to our financial results and cash flows from operations. In such a situation, we could fall out of compliance with our financial and other covenants, which, if not waived, could limit our liquidity and capital resources.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Principles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discussion of our financial condition and results of operations is based on the condensed consolidated financial statements included in this Quarterly Report on Form 10-Q.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three and six months ended June 28, 2026, include the activity of Nomad Global Communication Solutions, Incorporated ("Nomad GCS"), which was acquired on February 11, 2026, and Orbit Technologies, Ltd. ("Orbit"), which was acquired on March 2,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ASC 805, Business Combinations, the initial purchase price allocations for these acquisitions remain provisional as of June 28, 2026. The identification and valuation of intangible assets for Nomad GCS have been finalized, subject to pending tax-related adjustments, while the valuation for Orbit remains in progress. Accordingly, the excess of purchase consideration over the preliminary fair values of net assets acquired has been allocated to goodwill.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identifying and valuing intangible assets requires significant management judgment and the use of estimates, including projected future cash flows and appropriate discount rates. These provisional estimates are subject to change during the measurement period (not to exceed one year from the acquisition dates) as additional information is obtained.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future allocation of value from non-amortizing goodwill to finite-lived identifiable intangible assets will likely result in an increase in amortization expense in future periods and may impact our deferred tax accounts. We will continue to evaluate the provisional amounts recognized for these acquisitions at each reporting period during the measurement period to determine if any adjustments are necessary based on new information obtained about facts and circumstances that existed as of the acquisition dates. We expect to refine these provisional amounts as the formal valuation processes for both acquisitions progresses.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significant changes to our “Critical Accounting Policies or Estimates” as compared to the significant accounting policies described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December 28, 2025, there have been no material changes in the quantitative or qualitative aspects of our market risk profile. For additional information regarding our exposure to certain market risks, see “Item 7A. Quantitative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Qualitative Disclosures About Market Risk” included in our Annual Report on Form 10-K</w:t>
      </w:r>
      <w:r>
        <w:rPr>
          <w:color w:val="000000"/>
        </w:rPr>
        <w:t xml:space="preserve"> </w:t>
      </w:r>
      <w:r>
        <w:rPr>
          <w:rFonts w:ascii="Times New Roman;serif" w:hAnsi="Times New Roman;serif"/>
          <w:b w:val="false"/>
          <w:color w:val="000000"/>
          <w:sz w:val="20"/>
        </w:rPr>
        <w:t>for the fiscal year ended December 28, 2025 that we filed with the SEC on February 23,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Conclusions Regarding the Effectiveness of Disclosure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foregoing, our Principal Executive Officer and Principal Financial Officer concluded that our disclosure controls and procedures were effective at the reasonable assurance level as of June 28, 2026.</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During the fiscal quarter ended March 29, 2026, the Company completed the acquisitions of Orbit Technologies Ltd. on March 2, 2026 and Nomad Global Communication Solutions, Incorporated on February 11, 2026. The Company is in the process of integrating the operations, systems and internal controls of these acquired businesses into its overall internal control over financial reporting environment and, as part of that process, is evaluating and, where appropriate, implementing additional controls and procedures related to financial reporting, including controls over purchase accounting and related estimates. Other than the integration activities associated with these acquisitions, there were no changes in the Company’s internal control over financial reporting during the fiscal quarter ended June 28,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13 of the Notes to condensed consolidated financial statements contained within this Quarterly Report for a discussion of our legal proceedings.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us and our common stock, we urge you to carefully consider the risks and other information in this Quarterly Report on Form 10-Q, as well as the risk factors disclosed in Item 1A. to Part I of our Annual Reports on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16, 2026, pursuant to an Agreement and Plan of Merger among the Company, Nomad Global Communication Solutions, Incorporated, a Montana corporation (“Nomad”), the shareholders of Nomad, and the other parties thereto, the Company issued 14,768 shares of its common stock to the former Nomad shareholders. The shares were issued as part of the consideration for the Company’s acquisition of all of the outstanding capital stock of Nomad. The shares were issued in reliance upon the exemption from the registration requirements of the Securities Act provided by Section 4(a)(2) of the Securities Act as sales by an issuer not involving any public offering.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Rule 10b5-1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28, 2026, none of our directors or officers (as defined in Rule 16a-1 under the Exchange Act) adopted, modified or terminated a "Rule 10b5-1 trading arrangement" or "non-Rule 10b5-1 trading arrangement" (as those terms are defined in Item 408 of Regulation S-K), except as described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97"/>
        <w:gridCol w:w="543"/>
        <w:gridCol w:w="532"/>
        <w:gridCol w:w="540"/>
        <w:gridCol w:w="339"/>
        <w:gridCol w:w="339"/>
        <w:gridCol w:w="343"/>
        <w:gridCol w:w="348"/>
        <w:gridCol w:w="348"/>
        <w:gridCol w:w="350"/>
        <w:gridCol w:w="348"/>
        <w:gridCol w:w="348"/>
        <w:gridCol w:w="350"/>
        <w:gridCol w:w="629"/>
        <w:gridCol w:w="629"/>
        <w:gridCol w:w="630"/>
        <w:gridCol w:w="545"/>
        <w:gridCol w:w="268"/>
        <w:gridCol w:w="246"/>
        <w:gridCol w:w="246"/>
        <w:gridCol w:w="246"/>
        <w:gridCol w:w="246"/>
        <w:gridCol w:w="246"/>
        <w:gridCol w:w="246"/>
        <w:gridCol w:w="376"/>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1615"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1021"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104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Applicable Date</w:t>
            </w:r>
          </w:p>
        </w:tc>
        <w:tc>
          <w:tcPr>
            <w:tcW w:w="1046"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c>
          <w:tcPr>
            <w:tcW w:w="1888" w:type="dxa"/>
            <w:gridSpan w:val="3"/>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Rule 10b5-1 Trading Arrangement? (Y/N)</w:t>
            </w:r>
            <w:r>
              <w:rPr>
                <w:rFonts w:ascii="Times New Roman;serif" w:hAnsi="Times New Roman;serif"/>
                <w:b/>
                <w:color w:val="000000"/>
                <w:sz w:val="12"/>
              </w:rPr>
              <w:t>(1)</w:t>
            </w:r>
          </w:p>
        </w:tc>
        <w:tc>
          <w:tcPr>
            <w:tcW w:w="2665" w:type="dxa"/>
            <w:gridSpan w:val="9"/>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Number of Securities Subject to Trading Arrangement</w:t>
            </w:r>
          </w:p>
        </w:tc>
      </w:tr>
      <w:tr>
        <w:trPr/>
        <w:tc>
          <w:tcPr>
            <w:tcW w:w="924"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DeMarco</w:t>
            </w:r>
          </w:p>
        </w:tc>
        <w:tc>
          <w:tcPr>
            <w:tcW w:w="1615" w:type="dxa"/>
            <w:gridSpan w:val="3"/>
            <w:vMerge w:val="restart"/>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Executive Officer, President</w:t>
            </w:r>
          </w:p>
        </w:tc>
        <w:tc>
          <w:tcPr>
            <w:tcW w:w="1021"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Modification</w:t>
            </w:r>
          </w:p>
        </w:tc>
        <w:tc>
          <w:tcPr>
            <w:tcW w:w="1046"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5/15/2026</w:t>
            </w:r>
          </w:p>
        </w:tc>
        <w:tc>
          <w:tcPr>
            <w:tcW w:w="1046"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8/15/2029</w:t>
            </w:r>
          </w:p>
        </w:tc>
        <w:tc>
          <w:tcPr>
            <w:tcW w:w="1888"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w:t>
            </w:r>
          </w:p>
        </w:tc>
        <w:tc>
          <w:tcPr>
            <w:tcW w:w="1059" w:type="dxa"/>
            <w:gridSpan w:val="3"/>
            <w:vMerge w:val="restart"/>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1,500,000</w:t>
            </w:r>
          </w:p>
        </w:tc>
        <w:tc>
          <w:tcPr>
            <w:tcW w:w="1606" w:type="dxa"/>
            <w:gridSpan w:val="6"/>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924"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615"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021" w:type="dxa"/>
            <w:gridSpan w:val="3"/>
            <w:vMerge w:val="continue"/>
            <w:tcBorders>
              <w:top w:val="single" w:sz="8" w:space="0" w:color="000000"/>
              <w:left w:val="single" w:sz="8" w:space="0" w:color="000000"/>
            </w:tcBorders>
            <w:shd w:fill="FFFFFF" w:val="clear"/>
            <w:tcMar>
              <w:top w:w="52" w:type="dxa"/>
              <w:bottom w:w="0" w:type="dxa"/>
              <w:right w:w="0" w:type="dxa"/>
            </w:tcMar>
            <w:vAlign w:val="center"/>
          </w:tcPr>
          <w:p>
            <w:pPr>
              <w:pStyle w:val="Normal"/>
              <w:bidi w:val="0"/>
              <w:jc w:val="left"/>
              <w:rPr/>
            </w:pPr>
            <w:r>
              <w:rPr/>
            </w:r>
          </w:p>
        </w:tc>
        <w:tc>
          <w:tcPr>
            <w:tcW w:w="1046"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046"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888"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059" w:type="dxa"/>
            <w:gridSpan w:val="3"/>
            <w:vMerge w:val="continue"/>
            <w:tcBorders>
              <w:top w:val="single" w:sz="8" w:space="0" w:color="000000"/>
              <w:left w:val="single" w:sz="8" w:space="0" w:color="000000"/>
            </w:tcBorders>
            <w:shd w:fill="FFFFFF" w:val="clear"/>
            <w:tcMar>
              <w:top w:w="52" w:type="dxa"/>
              <w:bottom w:w="0" w:type="dxa"/>
              <w:right w:w="0" w:type="dxa"/>
            </w:tcMar>
            <w:vAlign w:val="center"/>
          </w:tcPr>
          <w:p>
            <w:pPr>
              <w:pStyle w:val="Normal"/>
              <w:bidi w:val="0"/>
              <w:jc w:val="left"/>
              <w:rPr/>
            </w:pPr>
            <w:r>
              <w:rPr/>
            </w:r>
          </w:p>
        </w:tc>
        <w:tc>
          <w:tcPr>
            <w:tcW w:w="1606" w:type="dxa"/>
            <w:gridSpan w:val="6"/>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(4)</w:t>
            </w:r>
          </w:p>
        </w:tc>
      </w:tr>
      <w:tr>
        <w:trPr/>
        <w:tc>
          <w:tcPr>
            <w:tcW w:w="924"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Deanna Lund</w:t>
            </w:r>
          </w:p>
        </w:tc>
        <w:tc>
          <w:tcPr>
            <w:tcW w:w="1615" w:type="dxa"/>
            <w:gridSpan w:val="3"/>
            <w:vMerge w:val="restart"/>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w:t>
            </w:r>
          </w:p>
        </w:tc>
        <w:tc>
          <w:tcPr>
            <w:tcW w:w="1021"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1046"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6/13/2026</w:t>
            </w:r>
          </w:p>
        </w:tc>
        <w:tc>
          <w:tcPr>
            <w:tcW w:w="1046"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12/31/2028</w:t>
            </w:r>
          </w:p>
        </w:tc>
        <w:tc>
          <w:tcPr>
            <w:tcW w:w="1888"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w:t>
            </w:r>
          </w:p>
        </w:tc>
        <w:tc>
          <w:tcPr>
            <w:tcW w:w="1059" w:type="dxa"/>
            <w:gridSpan w:val="3"/>
            <w:vMerge w:val="restart"/>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199,285</w:t>
            </w:r>
          </w:p>
        </w:tc>
        <w:tc>
          <w:tcPr>
            <w:tcW w:w="1606" w:type="dxa"/>
            <w:gridSpan w:val="6"/>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924"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615"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021" w:type="dxa"/>
            <w:gridSpan w:val="3"/>
            <w:vMerge w:val="continue"/>
            <w:tcBorders>
              <w:top w:val="single" w:sz="8" w:space="0" w:color="000000"/>
              <w:left w:val="single" w:sz="8" w:space="0" w:color="000000"/>
            </w:tcBorders>
            <w:shd w:fill="CCEEFF" w:val="clear"/>
            <w:tcMar>
              <w:top w:w="52" w:type="dxa"/>
              <w:bottom w:w="0" w:type="dxa"/>
              <w:right w:w="0" w:type="dxa"/>
            </w:tcMar>
            <w:vAlign w:val="center"/>
          </w:tcPr>
          <w:p>
            <w:pPr>
              <w:pStyle w:val="Normal"/>
              <w:bidi w:val="0"/>
              <w:jc w:val="left"/>
              <w:rPr/>
            </w:pPr>
            <w:r>
              <w:rPr/>
            </w:r>
          </w:p>
        </w:tc>
        <w:tc>
          <w:tcPr>
            <w:tcW w:w="1046"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046"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888"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059" w:type="dxa"/>
            <w:gridSpan w:val="3"/>
            <w:vMerge w:val="continue"/>
            <w:tcBorders>
              <w:top w:val="single" w:sz="8" w:space="0" w:color="000000"/>
              <w:left w:val="single" w:sz="8" w:space="0" w:color="000000"/>
            </w:tcBorders>
            <w:shd w:fill="CCEEFF" w:val="clear"/>
            <w:tcMar>
              <w:top w:w="52" w:type="dxa"/>
              <w:bottom w:w="0" w:type="dxa"/>
              <w:right w:w="0" w:type="dxa"/>
            </w:tcMar>
            <w:vAlign w:val="center"/>
          </w:tcPr>
          <w:p>
            <w:pPr>
              <w:pStyle w:val="Normal"/>
              <w:bidi w:val="0"/>
              <w:jc w:val="left"/>
              <w:rPr/>
            </w:pPr>
            <w:r>
              <w:rPr/>
            </w:r>
          </w:p>
        </w:tc>
        <w:tc>
          <w:tcPr>
            <w:tcW w:w="1606" w:type="dxa"/>
            <w:gridSpan w:val="6"/>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924"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Thomas Mills</w:t>
            </w:r>
          </w:p>
        </w:tc>
        <w:tc>
          <w:tcPr>
            <w:tcW w:w="1615"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C5ISR Systems</w:t>
            </w:r>
          </w:p>
        </w:tc>
        <w:tc>
          <w:tcPr>
            <w:tcW w:w="1021"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1046"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5/29/2026</w:t>
            </w:r>
          </w:p>
        </w:tc>
        <w:tc>
          <w:tcPr>
            <w:tcW w:w="1046"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9/01/2027</w:t>
            </w:r>
          </w:p>
        </w:tc>
        <w:tc>
          <w:tcPr>
            <w:tcW w:w="1888"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w:t>
            </w:r>
          </w:p>
        </w:tc>
        <w:tc>
          <w:tcPr>
            <w:tcW w:w="1059" w:type="dxa"/>
            <w:gridSpan w:val="3"/>
            <w:vMerge w:val="restart"/>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9,011</w:t>
            </w:r>
          </w:p>
        </w:tc>
        <w:tc>
          <w:tcPr>
            <w:tcW w:w="1606" w:type="dxa"/>
            <w:gridSpan w:val="6"/>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924"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615"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021" w:type="dxa"/>
            <w:gridSpan w:val="3"/>
            <w:vMerge w:val="continue"/>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Normal"/>
              <w:bidi w:val="0"/>
              <w:jc w:val="left"/>
              <w:rPr/>
            </w:pPr>
            <w:r>
              <w:rPr/>
            </w:r>
          </w:p>
        </w:tc>
        <w:tc>
          <w:tcPr>
            <w:tcW w:w="1046"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046"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888"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059" w:type="dxa"/>
            <w:gridSpan w:val="3"/>
            <w:vMerge w:val="continue"/>
            <w:tcBorders>
              <w:top w:val="single" w:sz="8" w:space="0" w:color="000000"/>
              <w:left w:val="single" w:sz="8" w:space="0" w:color="000000"/>
              <w:bottom w:val="single" w:sz="8" w:space="0" w:color="000000"/>
            </w:tcBorders>
            <w:shd w:fill="FFFFFF" w:val="clear"/>
            <w:tcMar>
              <w:top w:w="52" w:type="dxa"/>
              <w:bottom w:w="30" w:type="dxa"/>
              <w:right w:w="0" w:type="dxa"/>
            </w:tcMar>
            <w:vAlign w:val="center"/>
          </w:tcPr>
          <w:p>
            <w:pPr>
              <w:pStyle w:val="Normal"/>
              <w:bidi w:val="0"/>
              <w:jc w:val="left"/>
              <w:rPr/>
            </w:pPr>
            <w:r>
              <w:rPr/>
            </w:r>
          </w:p>
        </w:tc>
        <w:tc>
          <w:tcPr>
            <w:tcW w:w="1606" w:type="dxa"/>
            <w:gridSpan w:val="6"/>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924"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Marie Mendoza</w:t>
            </w:r>
          </w:p>
        </w:tc>
        <w:tc>
          <w:tcPr>
            <w:tcW w:w="1615"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Senior Vice President, General Counsel</w:t>
            </w:r>
          </w:p>
        </w:tc>
        <w:tc>
          <w:tcPr>
            <w:tcW w:w="1021"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1046"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6/12/2026</w:t>
            </w:r>
          </w:p>
        </w:tc>
        <w:tc>
          <w:tcPr>
            <w:tcW w:w="1046"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11/15/2028</w:t>
            </w:r>
          </w:p>
        </w:tc>
        <w:tc>
          <w:tcPr>
            <w:tcW w:w="1888"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w:t>
            </w:r>
          </w:p>
        </w:tc>
        <w:tc>
          <w:tcPr>
            <w:tcW w:w="1059" w:type="dxa"/>
            <w:gridSpan w:val="3"/>
            <w:vMerge w:val="restart"/>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43,002</w:t>
            </w:r>
          </w:p>
        </w:tc>
        <w:tc>
          <w:tcPr>
            <w:tcW w:w="1606" w:type="dxa"/>
            <w:gridSpan w:val="6"/>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924"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615"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046"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046"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888"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1059"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606" w:type="dxa"/>
            <w:gridSpan w:val="6"/>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924"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 Jarvis</w:t>
            </w:r>
          </w:p>
        </w:tc>
        <w:tc>
          <w:tcPr>
            <w:tcW w:w="1615"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c>
          <w:tcPr>
            <w:tcW w:w="1021" w:type="dxa"/>
            <w:gridSpan w:val="3"/>
            <w:vMerge w:val="restart"/>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1046"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6/15/2026</w:t>
            </w:r>
          </w:p>
        </w:tc>
        <w:tc>
          <w:tcPr>
            <w:tcW w:w="1046"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12/31/2026</w:t>
            </w:r>
          </w:p>
        </w:tc>
        <w:tc>
          <w:tcPr>
            <w:tcW w:w="1888" w:type="dxa"/>
            <w:gridSpan w:val="3"/>
            <w:vMerge w:val="restart"/>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w:t>
            </w:r>
          </w:p>
        </w:tc>
        <w:tc>
          <w:tcPr>
            <w:tcW w:w="1059" w:type="dxa"/>
            <w:gridSpan w:val="3"/>
            <w:vMerge w:val="restart"/>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20,123</w:t>
            </w:r>
          </w:p>
        </w:tc>
        <w:tc>
          <w:tcPr>
            <w:tcW w:w="1606" w:type="dxa"/>
            <w:gridSpan w:val="6"/>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924" w:type="dxa"/>
            <w:gridSpan w:val="3"/>
            <w:vMerge w:val="continue"/>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Normal"/>
              <w:bidi w:val="0"/>
              <w:jc w:val="left"/>
              <w:rPr/>
            </w:pPr>
            <w:r>
              <w:rPr/>
            </w:r>
          </w:p>
        </w:tc>
        <w:tc>
          <w:tcPr>
            <w:tcW w:w="1615"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1046"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046"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888" w:type="dxa"/>
            <w:gridSpan w:val="3"/>
            <w:vMerge w:val="continue"/>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Normal"/>
              <w:bidi w:val="0"/>
              <w:jc w:val="left"/>
              <w:rPr/>
            </w:pPr>
            <w:r>
              <w:rPr/>
            </w:r>
          </w:p>
        </w:tc>
        <w:tc>
          <w:tcPr>
            <w:tcW w:w="1059" w:type="dxa"/>
            <w:gridSpan w:val="3"/>
            <w:vMerge w:val="continue"/>
            <w:tcBorders>
              <w:left w:val="single" w:sz="8" w:space="0" w:color="000000"/>
              <w:bottom w:val="single" w:sz="8" w:space="0" w:color="000000"/>
            </w:tcBorders>
            <w:shd w:fill="FFFFFF" w:val="clear"/>
            <w:tcMar>
              <w:top w:w="0" w:type="dxa"/>
              <w:bottom w:w="30" w:type="dxa"/>
              <w:right w:w="0" w:type="dxa"/>
            </w:tcMar>
            <w:vAlign w:val="center"/>
          </w:tcPr>
          <w:p>
            <w:pPr>
              <w:pStyle w:val="Normal"/>
              <w:bidi w:val="0"/>
              <w:jc w:val="left"/>
              <w:rPr/>
            </w:pPr>
            <w:r>
              <w:rPr/>
            </w:r>
          </w:p>
        </w:tc>
        <w:tc>
          <w:tcPr>
            <w:tcW w:w="1606" w:type="dxa"/>
            <w:gridSpan w:val="6"/>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924"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Fendley</w:t>
            </w:r>
          </w:p>
        </w:tc>
        <w:tc>
          <w:tcPr>
            <w:tcW w:w="1615"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Unmanned Systems</w:t>
            </w:r>
          </w:p>
        </w:tc>
        <w:tc>
          <w:tcPr>
            <w:tcW w:w="1021"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1046"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5/11/2026</w:t>
            </w:r>
          </w:p>
        </w:tc>
        <w:tc>
          <w:tcPr>
            <w:tcW w:w="1046"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8/31/2027</w:t>
            </w:r>
          </w:p>
        </w:tc>
        <w:tc>
          <w:tcPr>
            <w:tcW w:w="1888" w:type="dxa"/>
            <w:gridSpan w:val="3"/>
            <w:vMerge w:val="restart"/>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w:t>
            </w:r>
          </w:p>
        </w:tc>
        <w:tc>
          <w:tcPr>
            <w:tcW w:w="1059" w:type="dxa"/>
            <w:gridSpan w:val="3"/>
            <w:vMerge w:val="restart"/>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84,000</w:t>
            </w:r>
          </w:p>
        </w:tc>
        <w:tc>
          <w:tcPr>
            <w:tcW w:w="1606" w:type="dxa"/>
            <w:gridSpan w:val="6"/>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924"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615"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021"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046"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046"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888" w:type="dxa"/>
            <w:gridSpan w:val="3"/>
            <w:vMerge w:val="continue"/>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Normal"/>
              <w:bidi w:val="0"/>
              <w:jc w:val="left"/>
              <w:rPr/>
            </w:pPr>
            <w:r>
              <w:rPr/>
            </w:r>
          </w:p>
        </w:tc>
        <w:tc>
          <w:tcPr>
            <w:tcW w:w="1059" w:type="dxa"/>
            <w:gridSpan w:val="3"/>
            <w:vMerge w:val="continue"/>
            <w:tcBorders>
              <w:left w:val="single" w:sz="8" w:space="0" w:color="000000"/>
              <w:bottom w:val="single" w:sz="8" w:space="0" w:color="000000"/>
            </w:tcBorders>
            <w:shd w:fill="CCEEFF" w:val="clear"/>
            <w:tcMar>
              <w:top w:w="0" w:type="dxa"/>
              <w:bottom w:w="30" w:type="dxa"/>
              <w:right w:w="0" w:type="dxa"/>
            </w:tcMar>
            <w:vAlign w:val="center"/>
          </w:tcPr>
          <w:p>
            <w:pPr>
              <w:pStyle w:val="Normal"/>
              <w:bidi w:val="0"/>
              <w:jc w:val="left"/>
              <w:rPr/>
            </w:pPr>
            <w:r>
              <w:rPr/>
            </w:r>
          </w:p>
        </w:tc>
        <w:tc>
          <w:tcPr>
            <w:tcW w:w="1606" w:type="dxa"/>
            <w:gridSpan w:val="6"/>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7666" w:type="dxa"/>
            <w:gridSpan w:val="21"/>
            <w:tcBorders/>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7666" w:type="dxa"/>
            <w:gridSpan w:val="21"/>
            <w:tcBorders/>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7666" w:type="dxa"/>
            <w:gridSpan w:val="21"/>
            <w:tcBorders/>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7666" w:type="dxa"/>
            <w:gridSpan w:val="21"/>
            <w:tcBorders/>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924"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7666"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Denotes whether the trading arrangement is intended to satisfy the affirmative defense of Rule 10b5-1(c).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On May 15, 2026, Mr. DeMarco modified a Rule 10b5-1 trading arrangement that was previously adopted on March 6, 2026 for the sale of up to 800,000 shares of our common stock over a period ending June 5, 2029.</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This number represents the maximum number of shares of our common stock that may be sold pursuant to the trading arrangement. The number of shares actually sold will depend on the satisfaction of certain conditions set forth in the trading arrangement.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2"/>
        </w:rPr>
        <w:t xml:space="preserve">(4) </w:t>
      </w:r>
      <w:r>
        <w:rPr>
          <w:rFonts w:ascii="Times New Roman;serif" w:hAnsi="Times New Roman;serif"/>
          <w:b w:val="false"/>
          <w:color w:val="000000"/>
          <w:sz w:val="18"/>
        </w:rPr>
        <w:t>As of June 28, 2026, Mr. DeMarco beneficially owned (including indirect holdings) 1,124,690 shares of our common stock. In addition, as of June 28, 2026, 745,000 deferred restricted stock units (RSUs) granted to Mr. DeMarco, representing non-qualified deferred compensation, have vested but remain subject to a previously agreed to 5-year deferral period before issuance and release, which substantially all subject RSUs are scheduled to be released by January 2029, and an additional 750,000 RSUs granted to Mr. DeMarco are currently unvested and will only vest upon achievement of applicable vesting terms described in our proxy statement on Schedule 14A filed with the SEC on April 2, 2026. Each RSU represents a contingent right to receive one share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9"/>
        <w:gridCol w:w="238"/>
        <w:gridCol w:w="239"/>
        <w:gridCol w:w="109"/>
        <w:gridCol w:w="109"/>
        <w:gridCol w:w="109"/>
        <w:gridCol w:w="1598"/>
        <w:gridCol w:w="1598"/>
        <w:gridCol w:w="1609"/>
        <w:gridCol w:w="109"/>
        <w:gridCol w:w="109"/>
        <w:gridCol w:w="109"/>
        <w:gridCol w:w="170"/>
        <w:gridCol w:w="170"/>
        <w:gridCol w:w="171"/>
        <w:gridCol w:w="109"/>
        <w:gridCol w:w="109"/>
        <w:gridCol w:w="109"/>
        <w:gridCol w:w="333"/>
        <w:gridCol w:w="333"/>
        <w:gridCol w:w="334"/>
        <w:gridCol w:w="109"/>
        <w:gridCol w:w="109"/>
        <w:gridCol w:w="109"/>
        <w:gridCol w:w="210"/>
        <w:gridCol w:w="210"/>
        <w:gridCol w:w="211"/>
        <w:gridCol w:w="109"/>
        <w:gridCol w:w="109"/>
        <w:gridCol w:w="109"/>
        <w:gridCol w:w="255"/>
        <w:gridCol w:w="255"/>
        <w:gridCol w:w="367"/>
      </w:tblGrid>
      <w:tr>
        <w:trPr/>
        <w:tc>
          <w:tcPr>
            <w:tcW w:w="26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br/>
              <w:t>Period End</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Furnished</w:t>
              <w:br/>
              <w:t>Herewith</w:t>
            </w:r>
          </w:p>
        </w:tc>
      </w:tr>
      <w:tr>
        <w:trPr/>
        <w:tc>
          <w:tcPr>
            <w:tcW w:w="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ktos20260628ex-31.htm">
              <w:r>
                <w:rPr>
                  <w:rStyle w:val="InternetLink"/>
                  <w:rFonts w:ascii="Times New Roman;serif" w:hAnsi="Times New Roman;serif"/>
                  <w:b w:val="false"/>
                  <w:color w:val="0000FF"/>
                  <w:sz w:val="20"/>
                  <w:u w:val="single"/>
                </w:rPr>
                <w:t>Amended and Restated Certificate of Incorporation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Amended and Restated Bylaws of Kratos Defense &amp; Security Solutions,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05/24/2024</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02/27/2017</w:t>
              <w:b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60628ex-311.htm">
              <w:r>
                <w:rPr>
                  <w:rStyle w:val="InternetLink"/>
                  <w:rFonts w:ascii="Times New Roman;serif" w:hAnsi="Times New Roman;serif"/>
                  <w:b w:val="false"/>
                  <w:color w:val="0000FF"/>
                  <w:sz w:val="20"/>
                  <w:u w:val="single"/>
                </w:rPr>
                <w:t>Certification of Chief Executive Officer pursuant to Section 302 of the Sarbanes 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60628ex-312.htm">
              <w:r>
                <w:rPr>
                  <w:rStyle w:val="InternetLink"/>
                  <w:rFonts w:ascii="Times New Roman;serif" w:hAnsi="Times New Roman;serif"/>
                  <w:b w:val="false"/>
                  <w:color w:val="0000FF"/>
                  <w:sz w:val="20"/>
                  <w:u w:val="single"/>
                </w:rPr>
                <w:t xml:space="preserve">Certification of Chief Financial Officer pursuant to Section 302 of the Sarbanes 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60628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 for Eric M. DeMarco.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tos20260628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 for Deanna Lund.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Inline XBRL Instance Document-the instance document does not appear in the Interactive Data File because its XBRL tags are embedded within the Inline XBRL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Inline XBRL Taxonomy Extension Schema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Inline XBRL Taxonomy Extension Calculation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Inline XBRL Taxonomy Extension Definition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Inline XBRL Taxonomy Extension Label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9b45b24ec4b4b1badf9bbabbdbcb90a_16">
              <w:r>
                <w:rPr>
                  <w:rStyle w:val="InternetLink"/>
                  <w:rFonts w:ascii="Times New Roman;serif" w:hAnsi="Times New Roman;serif"/>
                  <w:b w:val="false"/>
                  <w:color w:val="0000FF"/>
                  <w:sz w:val="20"/>
                  <w:u w:val="single"/>
                </w:rPr>
                <w:t>Inline XBRL Taxonomy Extension Presentation Linkbase Document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82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708"/>
        <w:gridCol w:w="708"/>
        <w:gridCol w:w="708"/>
        <w:gridCol w:w="1225"/>
        <w:gridCol w:w="1225"/>
        <w:gridCol w:w="17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DEFENSE &amp; SECURITY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Eric M. DeMarco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Deanna H. Lund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Maria Cervantes de Burgreen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 and Corporate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69" w:after="283"/>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before="15" w:after="283"/>
        <w:jc w:val="left"/>
        <w:rPr/>
      </w:pPr>
      <w:r>
        <w:rPr/>
      </w:r>
    </w:p>
    <w:p>
      <w:pPr>
        <w:pStyle w:val="TextBody"/>
        <w:bidi w:val="0"/>
        <w:spacing w:lineRule="auto" w:line="573" w:before="0" w:after="0"/>
        <w:jc w:val="left"/>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 a corporation organized and existing under and by virtue of the General Corporation Law of the State of Delaware (the "Corporation"), hereby certifies as follows:</w:t>
      </w:r>
    </w:p>
    <w:p>
      <w:pPr>
        <w:pStyle w:val="TextBody"/>
        <w:bidi w:val="0"/>
        <w:spacing w:before="4" w:after="283"/>
        <w:jc w:val="left"/>
        <w:rPr/>
      </w:pPr>
      <w:r>
        <w:rPr/>
      </w:r>
    </w:p>
    <w:p>
      <w:pPr>
        <w:pStyle w:val="TextBody"/>
        <w:bidi w:val="0"/>
        <w:spacing w:lineRule="auto" w:line="288" w:before="0" w:after="0"/>
        <w:ind w:left="0" w:right="0" w:hanging="164"/>
        <w:jc w:val="left"/>
        <w:rPr>
          <w:rFonts w:ascii="Times New Roman;serif" w:hAnsi="Times New Roman;serif"/>
          <w:b w:val="false"/>
          <w:color w:val="000000"/>
          <w:sz w:val="16"/>
        </w:rPr>
      </w:pPr>
      <w:r>
        <w:rPr>
          <w:rFonts w:ascii="Times New Roman;serif" w:hAnsi="Times New Roman;serif"/>
          <w:b w:val="false"/>
          <w:color w:val="000000"/>
          <w:sz w:val="16"/>
        </w:rPr>
        <w:t>1.The name of the Corporation is Wireless Facilities, Inc.</w:t>
      </w:r>
    </w:p>
    <w:p>
      <w:pPr>
        <w:pStyle w:val="TextBody"/>
        <w:bidi w:val="0"/>
        <w:spacing w:before="11" w:after="283"/>
        <w:jc w:val="left"/>
        <w:rPr/>
      </w:pPr>
      <w:r>
        <w:rPr/>
      </w:r>
    </w:p>
    <w:p>
      <w:pPr>
        <w:pStyle w:val="TextBody"/>
        <w:bidi w:val="0"/>
        <w:spacing w:lineRule="auto" w:line="288" w:before="0" w:after="0"/>
        <w:ind w:left="0" w:right="0" w:hanging="164"/>
        <w:jc w:val="left"/>
        <w:rPr>
          <w:rFonts w:ascii="Times New Roman;serif" w:hAnsi="Times New Roman;serif"/>
          <w:b w:val="false"/>
          <w:color w:val="000000"/>
          <w:sz w:val="16"/>
        </w:rPr>
      </w:pPr>
      <w:r>
        <w:rPr>
          <w:rFonts w:ascii="Times New Roman;serif" w:hAnsi="Times New Roman;serif"/>
          <w:b w:val="false"/>
          <w:color w:val="000000"/>
          <w:sz w:val="16"/>
        </w:rPr>
        <w:t>2.The original name of this Corporation is Wireless Facilities, Inc. and</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the date of filing the original Certificate of Incorporation of this Corporation with the Secretary of State of the State of Delaware was July 7, 1997.</w:t>
      </w:r>
    </w:p>
    <w:p>
      <w:pPr>
        <w:pStyle w:val="TextBody"/>
        <w:bidi w:val="0"/>
        <w:spacing w:before="5" w:after="283"/>
        <w:jc w:val="left"/>
        <w:rPr/>
      </w:pPr>
      <w:r>
        <w:rPr/>
      </w:r>
    </w:p>
    <w:p>
      <w:pPr>
        <w:pStyle w:val="TextBody"/>
        <w:bidi w:val="0"/>
        <w:spacing w:lineRule="auto" w:line="288" w:before="0" w:after="0"/>
        <w:ind w:left="0" w:right="0" w:hanging="167"/>
        <w:jc w:val="left"/>
        <w:rPr>
          <w:rFonts w:ascii="Times New Roman;serif" w:hAnsi="Times New Roman;serif"/>
          <w:b w:val="false"/>
          <w:color w:val="000000"/>
          <w:sz w:val="16"/>
        </w:rPr>
      </w:pPr>
      <w:r>
        <w:rPr>
          <w:rFonts w:ascii="Times New Roman;serif" w:hAnsi="Times New Roman;serif"/>
          <w:b w:val="false"/>
          <w:color w:val="000000"/>
          <w:sz w:val="16"/>
        </w:rPr>
        <w:t>3.The Amended and Restated Certificate of Incorporation of this</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Corporation, in the form attached hereto as Exhibit A, has been duly adopted by the Board of Directors and by the stockholders of the corporation in accordance with Sections 228, 242 and 245 of the General Corporation Law of the State of Delaware.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4.The Amended and Restated Certificate of Incorporation so adopted reads in full as set forth in Exhibit A attached hereto and hereby incorporated by reference.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WITNESS WHEREOF, Wireless Facilities, Inc. has caused this Amended and Restated Certificate of Incorporation to be signed by its Chief Executive</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Officer and Secretary this 2nd day of November, 1999.</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 Massih Tayebi</w:t>
      </w:r>
    </w:p>
    <w:p>
      <w:pPr>
        <w:pStyle w:val="TextBody"/>
        <w:bidi w:val="0"/>
        <w:spacing w:lineRule="auto" w:line="288" w:before="71" w:after="283"/>
        <w:jc w:val="left"/>
        <w:rPr>
          <w:rFonts w:ascii="Times New Roman;serif" w:hAnsi="Times New Roman;serif"/>
          <w:b w:val="false"/>
          <w:color w:val="000000"/>
          <w:sz w:val="16"/>
        </w:rPr>
      </w:pPr>
      <w:r>
        <w:rPr>
          <w:rFonts w:ascii="Times New Roman;serif" w:hAnsi="Times New Roman;serif"/>
          <w:b w:val="false"/>
          <w:color w:val="000000"/>
          <w:sz w:val="16"/>
        </w:rPr>
        <w:t>Massih Tayebi, Ph.D.</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Chief Executive Officer and Secretary</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0" w:after="0"/>
        <w:ind w:left="0" w:right="0" w:hanging="103"/>
        <w:jc w:val="left"/>
        <w:rPr>
          <w:rFonts w:ascii="Times New Roman;serif" w:hAnsi="Times New Roman;serif"/>
          <w:b w:val="false"/>
          <w:color w:val="000000"/>
          <w:sz w:val="16"/>
        </w:rPr>
      </w:pPr>
      <w:r>
        <w:rPr>
          <w:rFonts w:ascii="Times New Roman;serif" w:hAnsi="Times New Roman;serif"/>
          <w:b w:val="false"/>
          <w:color w:val="000000"/>
          <w:sz w:val="16"/>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16"/>
        </w:rPr>
      </w:pPr>
      <w:r>
        <w:rPr>
          <w:rFonts w:ascii="Times New Roman;serif" w:hAnsi="Times New Roman;serif"/>
          <w:b w:val="false"/>
          <w:color w:val="000000"/>
          <w:sz w:val="16"/>
        </w:rPr>
        <w:t>Exhibit A</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 OF</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I.</w:t>
      </w:r>
    </w:p>
    <w:p>
      <w:pPr>
        <w:pStyle w:val="TextBody"/>
        <w:bidi w:val="0"/>
        <w:spacing w:before="10" w:after="283"/>
        <w:jc w:val="left"/>
        <w:rPr/>
      </w:pPr>
      <w:r>
        <w:rPr/>
      </w:r>
    </w:p>
    <w:p>
      <w:pPr>
        <w:pStyle w:val="TextBody"/>
        <w:bidi w:val="0"/>
        <w:spacing w:lineRule="auto" w:line="573" w:before="0" w:after="0"/>
        <w:jc w:val="left"/>
        <w:rPr>
          <w:rFonts w:ascii="Times New Roman;serif" w:hAnsi="Times New Roman;serif"/>
          <w:b w:val="false"/>
          <w:color w:val="000000"/>
          <w:sz w:val="16"/>
        </w:rPr>
      </w:pPr>
      <w:r>
        <w:rPr>
          <w:rFonts w:ascii="Times New Roman;serif" w:hAnsi="Times New Roman;serif"/>
          <w:b w:val="false"/>
          <w:color w:val="000000"/>
          <w:sz w:val="16"/>
        </w:rPr>
        <w:t>The name of this corporation is Wireless Facilities, Inc. II.</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address of the registered office of the corporation in the State of Delaware is 9 East Loockerman Street, City of Dover, County of Kent, and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name of the registered agent of the corporation in the State of Delaware at such address is National Registered Agents, Inc.</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III.</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The purpose of this corporation is to engage in any lawful act or activity</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for which a corporation may be organized under the General Corporation Law of the State of Delaware.</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IV.</w:t>
      </w:r>
    </w:p>
    <w:p>
      <w:pPr>
        <w:pStyle w:val="TextBody"/>
        <w:bidi w:val="0"/>
        <w:spacing w:before="11" w:after="283"/>
        <w:jc w:val="left"/>
        <w:rPr/>
      </w:pPr>
      <w:r>
        <w:rPr/>
      </w:r>
    </w:p>
    <w:p>
      <w:pPr>
        <w:pStyle w:val="TextBody"/>
        <w:bidi w:val="0"/>
        <w:spacing w:lineRule="auto" w:line="288" w:before="0" w:after="0"/>
        <w:ind w:left="0" w:right="0" w:hanging="206"/>
        <w:jc w:val="left"/>
        <w:rPr>
          <w:rFonts w:ascii="Times New Roman;serif" w:hAnsi="Times New Roman;serif"/>
          <w:b w:val="false"/>
          <w:color w:val="000000"/>
          <w:sz w:val="16"/>
        </w:rPr>
      </w:pPr>
      <w:r>
        <w:rPr>
          <w:rFonts w:ascii="Times New Roman;serif" w:hAnsi="Times New Roman;serif"/>
          <w:b w:val="false"/>
          <w:color w:val="000000"/>
          <w:sz w:val="16"/>
        </w:rPr>
        <w:t>A.This corporation is authorized to issue two classes of stock to be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designated, respectively, "Common Stock" and "Preferred Stock." The total number of shares which the corporation is authorized to issue is two hundred million (200,000,000) shares. One hundred ninety five million (195,000,000) shares shall</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 Common Stock, each having a par value of one tenth of one cent ($0.001). Five million (5,000,000) shares shall be Preferred Stock, each having a par value of</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one tenth of one cent ($0.001).</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B.The Preferred Stock may be issued from time to time in one or more series. The Board of Directors is hereby authorized, by filing a certificate (a</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Designation") pursuant to the Delaware General Corporation Law, to fix or alter from time to time the designation, powers, preferences and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rights of the shares of each such series and the qualifications, limitations or restrictions of any wholly unissued series of Preferred Stock, and to establish from time to time the number of shares constituting any such series or any of them; and to increase or decrease the number of shares of any series subsequent to the issuance of shares of that series, but not below the number of shares of such series then outstanding. In case the number of shares of any series shall</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 decreased in accordance with the foregoing sentence, the shares constituting such decrease shall resume the status that they had prior to the adoption of the resolution originally fixing the number of shares of such series.</w:t>
      </w:r>
    </w:p>
    <w:p>
      <w:pPr>
        <w:pStyle w:val="TextBody"/>
        <w:bidi w:val="0"/>
        <w:spacing w:before="3" w:after="283"/>
        <w:jc w:val="left"/>
        <w:rPr/>
      </w:pPr>
      <w:r>
        <w:rPr/>
      </w:r>
    </w:p>
    <w:p>
      <w:pPr>
        <w:pStyle w:val="TextBody"/>
        <w:bidi w:val="0"/>
        <w:spacing w:lineRule="auto" w:line="288" w:before="0" w:after="0"/>
        <w:ind w:left="0" w:right="0" w:hanging="103"/>
        <w:jc w:val="left"/>
        <w:rPr>
          <w:rFonts w:ascii="Times New Roman;serif" w:hAnsi="Times New Roman;serif"/>
          <w:b w:val="false"/>
          <w:color w:val="000000"/>
          <w:sz w:val="16"/>
        </w:rPr>
      </w:pPr>
      <w:r>
        <w:rPr>
          <w:rFonts w:ascii="Times New Roman;serif" w:hAnsi="Times New Roman;serif"/>
          <w:b w:val="false"/>
          <w:color w:val="000000"/>
          <w:sz w:val="16"/>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left"/>
        <w:rPr>
          <w:rFonts w:ascii="Times New Roman;serif" w:hAnsi="Times New Roman;serif"/>
          <w:b w:val="false"/>
          <w:color w:val="000000"/>
          <w:sz w:val="16"/>
        </w:rPr>
      </w:pPr>
      <w:r>
        <w:rPr>
          <w:rFonts w:ascii="Times New Roman;serif" w:hAnsi="Times New Roman;serif"/>
          <w:b w:val="false"/>
          <w:color w:val="000000"/>
          <w:sz w:val="16"/>
        </w:rPr>
        <w:t>V.</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For the management of the business and for the conduct of the affairs of the corporation, and in further definition, limitation and regulation 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powers of the corporation, of its directors and of its stockholders or any class thereof, as the case may be, it is further provided that:</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A.1. The management of the business and the conduct of the affairs of the corporation shall be vested in its Board of Directors. The number of directors which shall constitute the whole Board of Directors shall be fixed exclusively by one or more resolutions adopted by the Board of Directors.</w:t>
      </w:r>
    </w:p>
    <w:p>
      <w:pPr>
        <w:pStyle w:val="TextBody"/>
        <w:bidi w:val="0"/>
        <w:spacing w:before="5" w:after="283"/>
        <w:jc w:val="left"/>
        <w:rPr/>
      </w:pPr>
      <w:r>
        <w:rPr/>
      </w:r>
    </w:p>
    <w:p>
      <w:pPr>
        <w:pStyle w:val="TextBody"/>
        <w:bidi w:val="0"/>
        <w:spacing w:lineRule="auto" w:line="288" w:before="0" w:after="0"/>
        <w:ind w:left="0" w:right="0" w:hanging="162"/>
        <w:jc w:val="left"/>
        <w:rPr/>
      </w:pPr>
      <w:r>
        <w:rPr>
          <w:rFonts w:ascii="Times New Roman;serif" w:hAnsi="Times New Roman;serif"/>
          <w:b w:val="false"/>
          <w:color w:val="000000"/>
          <w:sz w:val="14"/>
        </w:rPr>
        <w:t>2.</w:t>
      </w:r>
      <w:r>
        <w:rPr>
          <w:rFonts w:ascii="Times New Roman;serif" w:hAnsi="Times New Roman;serif"/>
          <w:b w:val="false"/>
          <w:color w:val="000000"/>
          <w:sz w:val="16"/>
        </w:rPr>
        <w:t>Board of Directors</w:t>
      </w:r>
    </w:p>
    <w:p>
      <w:pPr>
        <w:pStyle w:val="TextBody"/>
        <w:bidi w:val="0"/>
        <w:spacing w:before="10" w:after="283"/>
        <w:jc w:val="left"/>
        <w:rPr/>
      </w:pPr>
      <w:r>
        <w:rPr/>
      </w:r>
    </w:p>
    <w:p>
      <w:pPr>
        <w:pStyle w:val="TextBody"/>
        <w:bidi w:val="0"/>
        <w:spacing w:lineRule="auto" w:line="288" w:before="1" w:after="283"/>
        <w:ind w:left="0" w:right="0" w:hanging="157"/>
        <w:jc w:val="left"/>
        <w:rPr>
          <w:rFonts w:ascii="Times New Roman;serif" w:hAnsi="Times New Roman;serif"/>
          <w:b w:val="false"/>
          <w:color w:val="000000"/>
          <w:sz w:val="16"/>
        </w:rPr>
      </w:pPr>
      <w:r>
        <w:rPr>
          <w:rFonts w:ascii="Times New Roman;serif" w:hAnsi="Times New Roman;serif"/>
          <w:b w:val="false"/>
          <w:color w:val="000000"/>
          <w:sz w:val="16"/>
        </w:rPr>
        <w:t>a.Directors shall be elected at each annual meeting of stockholders</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to hold office until the next annual meeting. Each director shall hold office either until the expiration of the term for which elected or appointed and until a successor has been elected and qualified, or until such director's death,</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resignation or removal. No decrease in the number of directors constituting the Board of Directors shall shorten the term of any incumbent director.</w:t>
      </w:r>
    </w:p>
    <w:p>
      <w:pPr>
        <w:pStyle w:val="TextBody"/>
        <w:bidi w:val="0"/>
        <w:spacing w:before="5" w:after="283"/>
        <w:jc w:val="left"/>
        <w:rPr/>
      </w:pPr>
      <w:r>
        <w:rPr/>
      </w:r>
    </w:p>
    <w:p>
      <w:pPr>
        <w:pStyle w:val="TextBody"/>
        <w:bidi w:val="0"/>
        <w:spacing w:lineRule="auto" w:line="288" w:before="0" w:after="0"/>
        <w:ind w:left="0" w:right="0" w:hanging="167"/>
        <w:jc w:val="left"/>
        <w:rPr>
          <w:rFonts w:ascii="Times New Roman;serif" w:hAnsi="Times New Roman;serif"/>
          <w:b w:val="false"/>
          <w:color w:val="000000"/>
          <w:sz w:val="16"/>
        </w:rPr>
      </w:pPr>
      <w:r>
        <w:rPr>
          <w:rFonts w:ascii="Times New Roman;serif" w:hAnsi="Times New Roman;serif"/>
          <w:b w:val="false"/>
          <w:color w:val="000000"/>
          <w:sz w:val="16"/>
        </w:rPr>
        <w:t>b.No person entitled to vote at an election for directors may</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cumulate votes to which such person is entitled, unless, at the time of such election, the corporation (i) is subject to Section 2115(b) of the California General Corporation Law ("CGCL") and (ii) is not a "listed" corporation or ceases to be a "listed" corporation under Section 301.5 of the CGCL. During this time, every stockholder entitled to vote at an election for directors may</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cumulate such stockholder's votes and give one candidate a number of votes equal to the number of directors to be elected multiplied by the number of votes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pStyle w:val="TextBody"/>
        <w:bidi w:val="0"/>
        <w:spacing w:before="3" w:after="283"/>
        <w:jc w:val="left"/>
        <w:rPr/>
      </w:pPr>
      <w:r>
        <w:rPr/>
      </w:r>
    </w:p>
    <w:p>
      <w:pPr>
        <w:pStyle w:val="TextBody"/>
        <w:bidi w:val="0"/>
        <w:spacing w:lineRule="auto" w:line="288" w:before="0" w:after="0"/>
        <w:ind w:left="0" w:right="0" w:hanging="161"/>
        <w:jc w:val="left"/>
        <w:rPr/>
      </w:pPr>
      <w:r>
        <w:rPr>
          <w:rFonts w:ascii="Times New Roman;serif" w:hAnsi="Times New Roman;serif"/>
          <w:b w:val="false"/>
          <w:color w:val="000000"/>
          <w:sz w:val="14"/>
        </w:rPr>
        <w:t>3.</w:t>
      </w:r>
      <w:r>
        <w:rPr>
          <w:rFonts w:ascii="Times New Roman;serif" w:hAnsi="Times New Roman;serif"/>
          <w:b w:val="false"/>
          <w:color w:val="000000"/>
          <w:sz w:val="16"/>
        </w:rPr>
        <w:t>Removal of Directors</w:t>
      </w:r>
    </w:p>
    <w:p>
      <w:pPr>
        <w:pStyle w:val="TextBody"/>
        <w:bidi w:val="0"/>
        <w:spacing w:before="11" w:after="283"/>
        <w:jc w:val="left"/>
        <w:rPr/>
      </w:pPr>
      <w:r>
        <w:rPr/>
      </w:r>
    </w:p>
    <w:p>
      <w:pPr>
        <w:pStyle w:val="TextBody"/>
        <w:bidi w:val="0"/>
        <w:spacing w:lineRule="auto" w:line="288" w:before="0" w:after="0"/>
        <w:ind w:left="0" w:right="0" w:hanging="157"/>
        <w:jc w:val="left"/>
        <w:rPr>
          <w:rFonts w:ascii="Times New Roman;serif" w:hAnsi="Times New Roman;serif"/>
          <w:b w:val="false"/>
          <w:color w:val="000000"/>
          <w:sz w:val="16"/>
        </w:rPr>
      </w:pPr>
      <w:r>
        <w:rPr>
          <w:rFonts w:ascii="Times New Roman;serif" w:hAnsi="Times New Roman;serif"/>
          <w:b w:val="false"/>
          <w:color w:val="000000"/>
          <w:sz w:val="16"/>
        </w:rPr>
        <w:t>a.During such time or times that the corporation is subject to</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Section 2115(b) of the CGCL, the Board of Directors or any individual director may be removed from office at any time without cause by the affirmative vote of the holders of at least a majority of the outstanding shares entitled to vote on such removal; provided, however,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49935"/>
                <wp:effectExtent l="0" t="0" r="0" b="0"/>
                <wp:wrapNone/>
                <wp:docPr id="51" name="Frame5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number of directors authorized at the time of such director's most recent election were then being elected.</w:t>
      </w:r>
    </w:p>
    <w:p>
      <w:pPr>
        <w:pStyle w:val="TextBody"/>
        <w:bidi w:val="0"/>
        <w:spacing w:before="5" w:after="283"/>
        <w:jc w:val="left"/>
        <w:rPr/>
      </w:pPr>
      <w:r>
        <w:rPr/>
      </w:r>
    </w:p>
    <w:p>
      <w:pPr>
        <w:pStyle w:val="TextBody"/>
        <w:bidi w:val="0"/>
        <w:spacing w:lineRule="auto" w:line="288" w:before="0" w:after="0"/>
        <w:ind w:left="0" w:right="0" w:hanging="168"/>
        <w:jc w:val="left"/>
        <w:rPr>
          <w:rFonts w:ascii="Times New Roman;serif" w:hAnsi="Times New Roman;serif"/>
          <w:b w:val="false"/>
          <w:color w:val="000000"/>
          <w:sz w:val="16"/>
        </w:rPr>
      </w:pPr>
      <w:r>
        <w:rPr>
          <w:rFonts w:ascii="Times New Roman;serif" w:hAnsi="Times New Roman;serif"/>
          <w:b w:val="false"/>
          <w:color w:val="000000"/>
          <w:sz w:val="16"/>
        </w:rPr>
        <w:t>b.At any time or times that the corporation is not subject to</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Section 2115(b) of the CGCL and subject to any limitations imposed by law, Section A(3)(a) above shall not apply and the Board of Directors or any director may be removed from office at any time with or without cause by the affirmative vote of the holders of a majority of the voting power of all then-outstanding shares of voting stock of the corporation, entitled to vote at an election of directors.</w:t>
      </w:r>
    </w:p>
    <w:p>
      <w:pPr>
        <w:pStyle w:val="TextBody"/>
        <w:bidi w:val="0"/>
        <w:spacing w:before="4" w:after="283"/>
        <w:jc w:val="left"/>
        <w:rPr/>
      </w:pPr>
      <w:r>
        <w:rPr/>
      </w:r>
    </w:p>
    <w:p>
      <w:pPr>
        <w:pStyle w:val="TextBody"/>
        <w:bidi w:val="0"/>
        <w:spacing w:lineRule="auto" w:line="288" w:before="0" w:after="0"/>
        <w:ind w:left="0" w:right="0" w:hanging="155"/>
        <w:jc w:val="left"/>
        <w:rPr/>
      </w:pPr>
      <w:r>
        <w:rPr>
          <w:rFonts w:ascii="Times New Roman;serif" w:hAnsi="Times New Roman;serif"/>
          <w:b w:val="false"/>
          <w:color w:val="000000"/>
          <w:sz w:val="14"/>
        </w:rPr>
        <w:t>4.</w:t>
      </w:r>
      <w:r>
        <w:rPr>
          <w:rFonts w:ascii="Times New Roman;serif" w:hAnsi="Times New Roman;serif"/>
          <w:b w:val="false"/>
          <w:color w:val="000000"/>
          <w:sz w:val="16"/>
        </w:rPr>
        <w:t>Vacancies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c.Subject to the rights of the holders of any series of Preferred Stock, any vacancies on the Board of Directors resulting from death,</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resignation, disqualification, removal or other causes and any newly created directorshipsresulting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of the directors then in office, even though less than a quorum of the Board of Directors, and not by the stockholders (except as stockholders may have such rights as described below).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before="3" w:after="283"/>
        <w:jc w:val="left"/>
        <w:rPr/>
      </w:pPr>
      <w:r>
        <w:rPr/>
      </w:r>
    </w:p>
    <w:p>
      <w:pPr>
        <w:pStyle w:val="TextBody"/>
        <w:bidi w:val="0"/>
        <w:spacing w:lineRule="auto" w:line="288" w:before="1" w:after="283"/>
        <w:ind w:left="0" w:right="0" w:hanging="165"/>
        <w:jc w:val="left"/>
        <w:rPr>
          <w:rFonts w:ascii="Times New Roman;serif" w:hAnsi="Times New Roman;serif"/>
          <w:b w:val="false"/>
          <w:color w:val="000000"/>
          <w:sz w:val="16"/>
        </w:rPr>
      </w:pPr>
      <w:r>
        <w:rPr>
          <w:rFonts w:ascii="Times New Roman;serif" w:hAnsi="Times New Roman;serif"/>
          <w:b w:val="false"/>
          <w:color w:val="000000"/>
          <w:sz w:val="16"/>
        </w:rPr>
        <w:t>d.If at the time of filling any vacancy or any newly created</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directorship, the directors then in office shall constitute less than a majority</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of the whole board (as constituted immediately prior to any such increase), the Delaware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offices as aforesaid, which election shall be governed by Section 211 of the DGCL.</w:t>
      </w:r>
    </w:p>
    <w:p>
      <w:pPr>
        <w:pStyle w:val="TextBody"/>
        <w:bidi w:val="0"/>
        <w:spacing w:before="5" w:after="283"/>
        <w:jc w:val="left"/>
        <w:rPr/>
      </w:pPr>
      <w:r>
        <w:rPr/>
      </w:r>
    </w:p>
    <w:p>
      <w:pPr>
        <w:pStyle w:val="TextBody"/>
        <w:bidi w:val="0"/>
        <w:spacing w:lineRule="auto" w:line="288" w:before="0" w:after="0"/>
        <w:ind w:left="0" w:right="0" w:hanging="157"/>
        <w:jc w:val="left"/>
        <w:rPr>
          <w:rFonts w:ascii="Times New Roman;serif" w:hAnsi="Times New Roman;serif"/>
          <w:b w:val="false"/>
          <w:color w:val="000000"/>
          <w:sz w:val="16"/>
        </w:rPr>
      </w:pPr>
      <w:r>
        <w:rPr>
          <w:rFonts w:ascii="Times New Roman;serif" w:hAnsi="Times New Roman;serif"/>
          <w:b w:val="false"/>
          <w:color w:val="000000"/>
          <w:sz w:val="16"/>
        </w:rPr>
        <w:t>e.At any time or times that the Corporation is subject to Section</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2115(b) of the CGCL, if, after the filling of any vacancy by the directors then in office, where the number of such directors voting to fill, such vacancy who have been elected by stockholders shall constitute less than a majority of the directors then in office, then</w:t>
      </w:r>
    </w:p>
    <w:p>
      <w:pPr>
        <w:pStyle w:val="TextBody"/>
        <w:bidi w:val="0"/>
        <w:spacing w:before="5" w:after="283"/>
        <w:jc w:val="left"/>
        <w:rPr/>
      </w:pPr>
      <w:r>
        <w:rPr/>
      </w:r>
    </w:p>
    <w:p>
      <w:pPr>
        <w:pStyle w:val="TextBody"/>
        <w:bidi w:val="0"/>
        <w:spacing w:lineRule="auto" w:line="288" w:before="0" w:after="0"/>
        <w:ind w:left="0" w:right="0" w:hanging="196"/>
        <w:jc w:val="left"/>
        <w:rPr>
          <w:rFonts w:ascii="Times New Roman;serif" w:hAnsi="Times New Roman;serif"/>
          <w:b w:val="false"/>
          <w:color w:val="000000"/>
          <w:sz w:val="16"/>
        </w:rPr>
      </w:pPr>
      <w:r>
        <w:rPr>
          <w:rFonts w:ascii="Times New Roman;serif" w:hAnsi="Times New Roman;serif"/>
          <w:b w:val="false"/>
          <w:color w:val="000000"/>
          <w:sz w:val="16"/>
        </w:rPr>
        <w:t>(i)Any holder or holders of an aggregate of five percent (5%) or</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more of the total number of shares at the time outstanding having the right to vote for those directors may call a special meeting of stockholders; or</w:t>
      </w:r>
    </w:p>
    <w:p>
      <w:pPr>
        <w:pStyle w:val="TextBody"/>
        <w:bidi w:val="0"/>
        <w:spacing w:before="5" w:after="283"/>
        <w:jc w:val="left"/>
        <w:rPr/>
      </w:pPr>
      <w:r>
        <w:rPr/>
      </w:r>
    </w:p>
    <w:p>
      <w:pPr>
        <w:pStyle w:val="TextBody"/>
        <w:bidi w:val="0"/>
        <w:spacing w:lineRule="auto" w:line="288" w:before="1" w:after="283"/>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(ii)The Superior Court of the proper county shall, upon</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application of such stockholder or stockholders, summarily order a special meeting of stockholders, to be held to elect the entire board, all in accordance with Section 305(c) of the CGCL. The term of office of any director shall terminate upon that election of a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49935"/>
                <wp:effectExtent l="0" t="0" r="0" b="0"/>
                <wp:wrapNone/>
                <wp:docPr id="52" name="Frame5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191"/>
        <w:jc w:val="left"/>
        <w:rPr>
          <w:rFonts w:ascii="Times New Roman;serif" w:hAnsi="Times New Roman;serif"/>
          <w:b w:val="false"/>
          <w:color w:val="000000"/>
          <w:sz w:val="16"/>
        </w:rPr>
      </w:pPr>
      <w:r>
        <w:rPr>
          <w:rFonts w:ascii="Times New Roman;serif" w:hAnsi="Times New Roman;serif"/>
          <w:b w:val="false"/>
          <w:color w:val="000000"/>
          <w:sz w:val="16"/>
        </w:rPr>
        <w:t>B.1. Subject to paragraph (h) of Section 43 of the Bylaws, the Bylaws may</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be altered or amended or new Bylaws adopted by the affirmative vote of at least sixty-six and two-thirds percent (66-2/3%) of the voting power of all 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then-outstanding shares of the voting stock of the Corporation entitled to vote. The Board of Directors shall also have the power to adopt, amend, or repeal Bylaws.</w:t>
      </w:r>
    </w:p>
    <w:p>
      <w:pPr>
        <w:pStyle w:val="TextBody"/>
        <w:bidi w:val="0"/>
        <w:spacing w:before="5" w:after="283"/>
        <w:jc w:val="left"/>
        <w:rPr/>
      </w:pPr>
      <w:r>
        <w:rPr/>
      </w:r>
    </w:p>
    <w:p>
      <w:pPr>
        <w:pStyle w:val="TextBody"/>
        <w:bidi w:val="0"/>
        <w:spacing w:lineRule="auto" w:line="285" w:before="0" w:after="0"/>
        <w:jc w:val="left"/>
        <w:rPr/>
      </w:pPr>
      <w:r>
        <w:rPr>
          <w:rFonts w:ascii="Times New Roman;serif" w:hAnsi="Times New Roman;serif"/>
          <w:b w:val="false"/>
          <w:color w:val="000000"/>
          <w:sz w:val="14"/>
        </w:rPr>
        <w:t>2.</w:t>
      </w:r>
      <w:r>
        <w:rPr>
          <w:rFonts w:ascii="Times New Roman;serif" w:hAnsi="Times New Roman;serif"/>
          <w:b w:val="false"/>
          <w:color w:val="000000"/>
          <w:sz w:val="16"/>
        </w:rPr>
        <w:t>The directors of the Corporation need not be elected by written ballot unless the Bylaws so provide.</w:t>
      </w:r>
    </w:p>
    <w:p>
      <w:pPr>
        <w:pStyle w:val="TextBody"/>
        <w:bidi w:val="0"/>
        <w:spacing w:before="5" w:after="283"/>
        <w:jc w:val="left"/>
        <w:rPr/>
      </w:pPr>
      <w:r>
        <w:rPr/>
      </w:r>
    </w:p>
    <w:p>
      <w:pPr>
        <w:pStyle w:val="TextBody"/>
        <w:bidi w:val="0"/>
        <w:spacing w:lineRule="auto" w:line="288" w:before="0" w:after="0"/>
        <w:ind w:left="0" w:right="0" w:hanging="167"/>
        <w:jc w:val="left"/>
        <w:rPr/>
      </w:pPr>
      <w:r>
        <w:rPr>
          <w:rFonts w:ascii="Times New Roman;serif" w:hAnsi="Times New Roman;serif"/>
          <w:b w:val="false"/>
          <w:color w:val="000000"/>
          <w:sz w:val="14"/>
        </w:rPr>
        <w:t>3.</w:t>
      </w:r>
      <w:r>
        <w:rPr>
          <w:rFonts w:ascii="Times New Roman;serif" w:hAnsi="Times New Roman;serif"/>
          <w:b w:val="false"/>
          <w:color w:val="000000"/>
          <w:sz w:val="16"/>
        </w:rPr>
        <w:t>No action shall be taken by the stockholders of the Corporation</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except at an annual or special meeting of stockholders called in accordance with the Bylaws. No action shall be taken by the stockholders by written consent.</w:t>
      </w:r>
    </w:p>
    <w:p>
      <w:pPr>
        <w:pStyle w:val="TextBody"/>
        <w:bidi w:val="0"/>
        <w:spacing w:before="4" w:after="283"/>
        <w:jc w:val="left"/>
        <w:rPr/>
      </w:pPr>
      <w:r>
        <w:rPr/>
      </w:r>
    </w:p>
    <w:p>
      <w:pPr>
        <w:pStyle w:val="TextBody"/>
        <w:bidi w:val="0"/>
        <w:spacing w:lineRule="auto" w:line="288" w:before="1" w:after="283"/>
        <w:ind w:left="0" w:right="0" w:hanging="168"/>
        <w:jc w:val="left"/>
        <w:rPr/>
      </w:pPr>
      <w:r>
        <w:rPr>
          <w:rFonts w:ascii="Times New Roman;serif" w:hAnsi="Times New Roman;serif"/>
          <w:b w:val="false"/>
          <w:color w:val="000000"/>
          <w:sz w:val="14"/>
        </w:rPr>
        <w:t>4.</w:t>
      </w:r>
      <w:r>
        <w:rPr>
          <w:rFonts w:ascii="Times New Roman;serif" w:hAnsi="Times New Roman;serif"/>
          <w:b w:val="false"/>
          <w:color w:val="000000"/>
          <w:sz w:val="16"/>
        </w:rPr>
        <w:t>Advance notice of stockholder nominations for the election of</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directors and of business to be brought by stockholders before any meeting of the stockholders of the Corporation shall be given in the manner provided in the Bylaws of the Corporation.</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VI.</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A.The liability of the directors for monetary damages shall be eliminated to the fullest extent under applicable law.</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B.This corporation is authorized to provide indemnification of agents (as defined in Section 317 of the CGCL) for breach of duty to the corporation and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its shareholders through bylaw provisions or through agreements with the agents, or through shareholder resolutions, or otherwise, in excess 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indemnification otherwise permitted by Section 317 of the CGCL, subject, at any time or times the corporation is subject to Section 2115(b) to the limits on</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such excess indemnification set forth in Section 204 of the CGCL.</w:t>
      </w:r>
    </w:p>
    <w:p>
      <w:pPr>
        <w:pStyle w:val="TextBody"/>
        <w:bidi w:val="0"/>
        <w:spacing w:before="10" w:after="283"/>
        <w:jc w:val="left"/>
        <w:rPr/>
      </w:pPr>
      <w:r>
        <w:rPr/>
      </w:r>
    </w:p>
    <w:p>
      <w:pPr>
        <w:pStyle w:val="TextBody"/>
        <w:bidi w:val="0"/>
        <w:spacing w:lineRule="auto" w:line="285" w:before="0" w:after="0"/>
        <w:jc w:val="both"/>
        <w:rPr>
          <w:rFonts w:ascii="Times New Roman;serif" w:hAnsi="Times New Roman;serif"/>
          <w:b w:val="false"/>
          <w:color w:val="000000"/>
          <w:sz w:val="16"/>
        </w:rPr>
      </w:pPr>
      <w:r>
        <w:rPr>
          <w:rFonts w:ascii="Times New Roman;serif" w:hAnsi="Times New Roman;serif"/>
          <w:b w:val="false"/>
          <w:color w:val="000000"/>
          <w:sz w:val="16"/>
        </w:rPr>
        <w:t>C.Any repeal or modification of this Article VI shall be prospective and shall not affect the rights under this Article VI in effect at the time of the alleged occurrence of any act or omission to act giving rise to liability or indemnification.</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VII.</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A.The corporation reserves the right to amend, alter, change or repeal any provision contained in this Certificate of Incorporation, in the manner now or hereafter prescribed by statute, except as provided in paragraph B of this Article VII, and all rights conferred upon the stockholders herein are granted subject to this reservation.</w:t>
      </w:r>
    </w:p>
    <w:p>
      <w:pPr>
        <w:pStyle w:val="TextBody"/>
        <w:bidi w:val="0"/>
        <w:spacing w:before="4" w:after="283"/>
        <w:jc w:val="left"/>
        <w:rPr/>
      </w:pPr>
      <w:r>
        <w:rPr/>
      </w:r>
    </w:p>
    <w:p>
      <w:pPr>
        <w:pStyle w:val="TextBody"/>
        <w:bidi w:val="0"/>
        <w:spacing w:lineRule="auto" w:line="288" w:before="1" w:after="283"/>
        <w:ind w:left="0" w:right="0" w:hanging="194"/>
        <w:jc w:val="left"/>
        <w:rPr>
          <w:rFonts w:ascii="Times New Roman;serif" w:hAnsi="Times New Roman;serif"/>
          <w:b w:val="false"/>
          <w:color w:val="000000"/>
          <w:sz w:val="16"/>
        </w:rPr>
      </w:pPr>
      <w:r>
        <w:rPr>
          <w:rFonts w:ascii="Times New Roman;serif" w:hAnsi="Times New Roman;serif"/>
          <w:b w:val="false"/>
          <w:color w:val="000000"/>
          <w:sz w:val="16"/>
        </w:rPr>
        <w:t>B.Notwithstanding any other provisions of this Certificate of</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Incorporation or any provision of law which might otherwise permit a lesser vote or no vote, but in addition to any affirmative vote of the holders of any particular class or series of the voting stock required by law, this Certificate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of Incorporation or any Preferred Stock Designation, the affirmative vote of the holders of at least sixty-six and two-thirds percent (66-2/3%) of the voting power of all of the then-outstanding shares of the voting stock, voting together as a single class, shall be required to alter, amend or repeal Articles V, VI,</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and 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28040"/>
                <wp:effectExtent l="0" t="0" r="0" b="0"/>
                <wp:wrapNone/>
                <wp:docPr id="53" name="Frame53"/>
                <a:graphic xmlns:a="http://schemas.openxmlformats.org/drawingml/2006/main">
                  <a:graphicData uri="http://schemas.microsoft.com/office/word/2010/wordprocessingShape">
                    <wps:wsp>
                      <wps:cNvSpPr txBox="1"/>
                      <wps:spPr>
                        <a:xfrm>
                          <a:off x="0" y="0"/>
                          <a:ext cx="6480175" cy="82804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4"/>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5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 descr=""/>
                                    <pic:cNvPicPr>
                                      <a:picLocks noChangeAspect="1" noChangeArrowheads="1"/>
                                    </pic:cNvPicPr>
                                  </pic:nvPicPr>
                                  <pic:blipFill>
                                    <a:blip r:embed="rId5"/>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left"/>
        <w:rPr>
          <w:rFonts w:ascii="Times New Roman;serif" w:hAnsi="Times New Roman;serif"/>
          <w:b w:val="false"/>
          <w:color w:val="000000"/>
          <w:sz w:val="16"/>
        </w:rPr>
      </w:pPr>
      <w:r>
        <w:rPr>
          <w:rFonts w:ascii="Times New Roman;serif" w:hAnsi="Times New Roman;serif"/>
          <w:b w:val="false"/>
          <w:color w:val="000000"/>
          <w:sz w:val="16"/>
        </w:rPr>
        <w:t>CERTIFICATE OF DESIGNATIONS, PREFERENCES AND RIGHTS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of</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SERIES A PREFERRED STOCK</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of</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 Masood K. Tayebi, Chief Executive Officer of WIRELESS FACILITIES, INC., a corporation organized and existing under the laws of the State of Delaware (the "Corporation"), in accordance with the provisions of Section 151 of the Delaware General Corporation Law, DO HEREBY CERTIFY:</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That pursuant to the authority conferred upon the Board of Directors of the Corporation (the "Board of Directors") by the Certificate of Incorporation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and by Section 151(g) of the Delaware General Corporation Law, on October 9, 2001, the Board of Directors adopted the following resolution, creating a series of shares of convertible preferred stock, Series A, designated as "Series A Preferred Stock":</w:t>
      </w:r>
    </w:p>
    <w:p>
      <w:pPr>
        <w:pStyle w:val="TextBody"/>
        <w:bidi w:val="0"/>
        <w:spacing w:before="4"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"RESOLVED, that pursuant to the authority vested in the Board of Directors (the "Board of Directors") of WIRELESS FACILITIES, INC., a corporation organized and existing under the laws of the State of Delaware (the "Corporation"), by the Certificate of Incorporation of the Corporation (the "Certificate of Incorporation"), the Board of Directors does hereby provide for the authorization and issuance of a series of convertible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Series A, par value U.S.$0.001 per share, of the Corporation, to be designated "Series A Preferred Stock," initially consisting of 63,637 shares, and to the extent that the designations, powers, preferences, and relative participating, optional, or other special rights, and the qualifications, limitations, and restrictions of the Series A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are not stated and expressed in the Certificate of Incorporation, the Board of Directors does hereby fix and herein state and express such designations, powers, preferences, and relative participating, optional, or other special rights, and the qualifications, limitations, and restrictions thereof, as follows:</w:t>
      </w:r>
    </w:p>
    <w:p>
      <w:pPr>
        <w:pStyle w:val="TextBody"/>
        <w:bidi w:val="0"/>
        <w:spacing w:before="3"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1.Designation and Rank.</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(a)Sixty-three thousand six hundred thirty-seven (63,637) shares of the preferred stock of the Corporation, par value $0.001 per share, shall be designated and known as the "Series A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(b)The Series A Preferred Stock shall rank senior and prior to the common stock, par value U.S.$0.001 per share, of the Corporation (the "Common Stock"), and all other classes or series of the capital stock (other than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of the Corporation (now or hereafter authorized or issued), with respect to the payment of any dividends, the conversion rights set forth herein and any payment upon liquidation or redemption. The Corporation may not issue any additional classes or series of preferred stock with liquidation, redemption or conversion rights or right of payment of any kind that is senior to the Series A Preferred Stock, except pursuant to Section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35660"/>
                <wp:effectExtent l="0" t="0" r="0" b="0"/>
                <wp:wrapNone/>
                <wp:docPr id="56" name="Frame54"/>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 descr=""/>
                                          <pic:cNvPicPr>
                                            <a:picLocks noChangeAspect="1" noChangeArrowheads="1"/>
                                          </pic:cNvPicPr>
                                        </pic:nvPicPr>
                                        <pic:blipFill>
                                          <a:blip r:embed="rId6"/>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7"/>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2.Dividend Rights.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From and after the date hereof, when and if the Board of Directors declares</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a dividend or distribution payable with respect to the then-outstanding shares</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of Common Stock (other than in additional shares of Common Stock or Common Stock Equivalents (as defined in Section 4(e)(i) below), the holders of the Series A</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shall be entitled to the amount of dividends per share in the</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same form as such Common Stock dividends that would be payable on the largest number of whole shares of Common Stock into which a holder's aggregate shares of Series A Preferred Stock could then be converted pursuant to Section 4 hereof (such number to be determined as of the record date for the determination of holders of Common Stock entitled to receive such dividend).</w:t>
      </w:r>
    </w:p>
    <w:p>
      <w:pPr>
        <w:pStyle w:val="TextBody"/>
        <w:bidi w:val="0"/>
        <w:spacing w:before="4" w:after="283"/>
        <w:jc w:val="left"/>
        <w:rPr/>
      </w:pPr>
      <w:r>
        <w:rPr/>
      </w:r>
    </w:p>
    <w:p>
      <w:pPr>
        <w:pStyle w:val="TextBody"/>
        <w:bidi w:val="0"/>
        <w:spacing w:lineRule="auto" w:line="288" w:before="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3.Liquidation Rights.</w:t>
      </w:r>
    </w:p>
    <w:p>
      <w:pPr>
        <w:pStyle w:val="TextBody"/>
        <w:bidi w:val="0"/>
        <w:spacing w:before="10" w:after="283"/>
        <w:jc w:val="left"/>
        <w:rPr/>
      </w:pPr>
      <w:r>
        <w:rPr/>
      </w:r>
    </w:p>
    <w:p>
      <w:pPr>
        <w:pStyle w:val="TextBody"/>
        <w:bidi w:val="0"/>
        <w:spacing w:lineRule="auto" w:line="288" w:before="0" w:after="0"/>
        <w:ind w:left="0" w:right="0" w:hanging="214"/>
        <w:jc w:val="left"/>
        <w:rPr>
          <w:rFonts w:ascii="Times New Roman;serif" w:hAnsi="Times New Roman;serif"/>
          <w:b w:val="false"/>
          <w:color w:val="000000"/>
          <w:sz w:val="16"/>
        </w:rPr>
      </w:pPr>
      <w:r>
        <w:rPr>
          <w:rFonts w:ascii="Times New Roman;serif" w:hAnsi="Times New Roman;serif"/>
          <w:b w:val="false"/>
          <w:color w:val="000000"/>
          <w:sz w:val="16"/>
        </w:rPr>
        <w:t>(a)Liquidation Events. The occurrence of any of the following events</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shall be deemed a "Liquidation": (i) any liquidation, dissolution, or winding-up of the affairs of the Corporation; (ii) any transaction or series of related transactions in which securities of the Corporation representing 50% or more of the combined voting power of the Corporation's then outstanding voting securities are acquired by a person, entity or group of related persons or entities, excluding any consolidation or merger effected exclusively to change the domicile of the Corporation; (iii) any consolidation, merger or reorganization of the Corporation with or into any other corporation or other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entity or person pursuant to which the holders of the Corporation's outstanding securities receive, pursuant to such transaction, securities in the surviving entity that represent less than 50% of the voting power of such surviving entity; or (iv) any sale, lease, exclusive license or other disposition of all</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or substantially all of the assets of the Corporation.</w:t>
      </w:r>
    </w:p>
    <w:p>
      <w:pPr>
        <w:pStyle w:val="TextBody"/>
        <w:bidi w:val="0"/>
        <w:spacing w:before="9" w:after="283"/>
        <w:jc w:val="left"/>
        <w:rPr/>
      </w:pPr>
      <w:r>
        <w:rPr/>
      </w:r>
    </w:p>
    <w:p>
      <w:pPr>
        <w:pStyle w:val="TextBody"/>
        <w:bidi w:val="0"/>
        <w:spacing w:lineRule="auto" w:line="288" w:before="1" w:after="283"/>
        <w:ind w:left="0" w:right="0" w:hanging="226"/>
        <w:jc w:val="left"/>
        <w:rPr>
          <w:rFonts w:ascii="Times New Roman;serif" w:hAnsi="Times New Roman;serif"/>
          <w:b w:val="false"/>
          <w:color w:val="000000"/>
          <w:sz w:val="16"/>
        </w:rPr>
      </w:pPr>
      <w:r>
        <w:rPr>
          <w:rFonts w:ascii="Times New Roman;serif" w:hAnsi="Times New Roman;serif"/>
          <w:b w:val="false"/>
          <w:color w:val="000000"/>
          <w:sz w:val="16"/>
        </w:rPr>
        <w:t>(b)Liquidation Preference.</w:t>
      </w:r>
    </w:p>
    <w:p>
      <w:pPr>
        <w:pStyle w:val="TextBody"/>
        <w:bidi w:val="0"/>
        <w:spacing w:before="10" w:after="283"/>
        <w:jc w:val="left"/>
        <w:rPr/>
      </w:pPr>
      <w:r>
        <w:rPr/>
      </w:r>
    </w:p>
    <w:p>
      <w:pPr>
        <w:pStyle w:val="TextBody"/>
        <w:bidi w:val="0"/>
        <w:spacing w:lineRule="auto" w:line="288" w:before="0" w:after="0"/>
        <w:ind w:left="0" w:right="0" w:hanging="197"/>
        <w:jc w:val="left"/>
        <w:rPr>
          <w:rFonts w:ascii="Times New Roman;serif" w:hAnsi="Times New Roman;serif"/>
          <w:b w:val="false"/>
          <w:color w:val="000000"/>
          <w:sz w:val="16"/>
        </w:rPr>
      </w:pPr>
      <w:r>
        <w:rPr>
          <w:rFonts w:ascii="Times New Roman;serif" w:hAnsi="Times New Roman;serif"/>
          <w:b w:val="false"/>
          <w:color w:val="000000"/>
          <w:sz w:val="16"/>
        </w:rPr>
        <w:t>(i)In the event of any Liquidation, whether voluntary or involuntary,</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before any payment of cash or distribution of other property shall be made to the holders of Common Stock, or any other class or series of stock subordinate in liquidation preference to the Series A Preferred Stock, the holders of the Series A Preferred Stock shall be entitled to receive out of the assets of the Corporation legally available for distribution to its stockholders, on behalf of each share of Series A Preferred Stock held by such holder, U.S.$550.00 (the "Original Issue Price") (as appropriately adjusted for any combinations, divisions, or similar recapitalizations affecting the Series A Preferred Stock after issuance) and all accumulated or accrued and unpaid dividends thereon (collectively, the "Series A Liquidation Preference").</w:t>
      </w:r>
    </w:p>
    <w:p>
      <w:pPr>
        <w:pStyle w:val="TextBody"/>
        <w:bidi w:val="0"/>
        <w:spacing w:before="4"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(ii)If, upon any Liquidation, the assets of the Corporation available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for distribution to its stockholders are insufficient to pay the holders of the Series A Preferred Stock the full amounts to which they are entitled pursuant to clause (b)(i) above, the holders of the Series A Preferred Stock shall share pro rata in any distribution of assets in proportion to the respective amounts which would be payable to the holders of the Series A Preferred Stock and any other class or series of capital stock of the Corporation ranking on par with the Series A Preferred Stock in respect of the shares held by them if all amounts payable to them in respect of such were paid in full pursuant to clause (b)(i) above.</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35660"/>
                <wp:effectExtent l="0" t="0" r="0" b="0"/>
                <wp:wrapNone/>
                <wp:docPr id="59" name="Frame55"/>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6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 descr=""/>
                                          <pic:cNvPicPr>
                                            <a:picLocks noChangeAspect="1" noChangeArrowheads="1"/>
                                          </pic:cNvPicPr>
                                        </pic:nvPicPr>
                                        <pic:blipFill>
                                          <a:blip r:embed="rId8"/>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6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 descr=""/>
                                    <pic:cNvPicPr>
                                      <a:picLocks noChangeAspect="1" noChangeArrowheads="1"/>
                                    </pic:cNvPicPr>
                                  </pic:nvPicPr>
                                  <pic:blipFill>
                                    <a:blip r:embed="rId9"/>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1" w:after="283"/>
        <w:ind w:left="0" w:right="0" w:hanging="251"/>
        <w:jc w:val="left"/>
        <w:rPr>
          <w:rFonts w:ascii="Times New Roman;serif" w:hAnsi="Times New Roman;serif"/>
          <w:b w:val="false"/>
          <w:color w:val="000000"/>
          <w:sz w:val="16"/>
        </w:rPr>
      </w:pPr>
      <w:r>
        <w:rPr>
          <w:rFonts w:ascii="Times New Roman;serif" w:hAnsi="Times New Roman;serif"/>
          <w:b w:val="false"/>
          <w:color w:val="000000"/>
          <w:sz w:val="16"/>
        </w:rPr>
        <w:t>(iii)After the distributions described in clause (b)(i) or (b)(ii)</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above have been paid, subject to the rights of any other class or series of capital stock of the Corporation that may from time to time come into existence, the remaining assets of the Corporation available for distribution to stockholders shall be distributed among the holders of Common Stock pro rata based on the number of shares of Common Stock held by each.</w:t>
      </w:r>
    </w:p>
    <w:p>
      <w:pPr>
        <w:pStyle w:val="TextBody"/>
        <w:bidi w:val="0"/>
        <w:spacing w:before="5" w:after="283"/>
        <w:jc w:val="left"/>
        <w:rPr/>
      </w:pPr>
      <w:r>
        <w:rPr/>
      </w:r>
    </w:p>
    <w:p>
      <w:pPr>
        <w:pStyle w:val="TextBody"/>
        <w:bidi w:val="0"/>
        <w:spacing w:lineRule="auto" w:line="288" w:before="0" w:after="0"/>
        <w:ind w:left="0" w:right="0" w:hanging="214"/>
        <w:jc w:val="left"/>
        <w:rPr>
          <w:rFonts w:ascii="Times New Roman;serif" w:hAnsi="Times New Roman;serif"/>
          <w:b w:val="false"/>
          <w:color w:val="000000"/>
          <w:sz w:val="16"/>
        </w:rPr>
      </w:pPr>
      <w:r>
        <w:rPr>
          <w:rFonts w:ascii="Times New Roman;serif" w:hAnsi="Times New Roman;serif"/>
          <w:b w:val="false"/>
          <w:color w:val="000000"/>
          <w:sz w:val="16"/>
        </w:rPr>
        <w:t>(c)Non-Cash Distributions. If any distribution to be made pursuant to</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this Section 3 is to be paid other than in cash or Common Stock or Common Stock Equivalents, the value of such distribution will be deemed its fair market value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as determined in good faith by the Board of Directors. Any securities shall be valued as follows:</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(i)Securities not subject to investment letter or other similar restrictions on free marketability covered by clause (ii) below:</w:t>
      </w:r>
    </w:p>
    <w:p>
      <w:pPr>
        <w:pStyle w:val="TextBody"/>
        <w:bidi w:val="0"/>
        <w:spacing w:before="5" w:after="283"/>
        <w:jc w:val="left"/>
        <w:rPr/>
      </w:pPr>
      <w:r>
        <w:rPr/>
      </w:r>
    </w:p>
    <w:p>
      <w:pPr>
        <w:pStyle w:val="TextBody"/>
        <w:bidi w:val="0"/>
        <w:spacing w:lineRule="auto" w:line="288" w:before="1" w:after="283"/>
        <w:ind w:left="0" w:right="0" w:hanging="214"/>
        <w:jc w:val="left"/>
        <w:rPr>
          <w:rFonts w:ascii="Times New Roman;serif" w:hAnsi="Times New Roman;serif"/>
          <w:b w:val="false"/>
          <w:color w:val="000000"/>
          <w:sz w:val="16"/>
        </w:rPr>
      </w:pPr>
      <w:r>
        <w:rPr>
          <w:rFonts w:ascii="Times New Roman;serif" w:hAnsi="Times New Roman;serif"/>
          <w:b w:val="false"/>
          <w:color w:val="000000"/>
          <w:sz w:val="16"/>
        </w:rPr>
        <w:t>(1)if traded on a securities exchange or through the Nasdaq</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National Market, the value shall be deemed to be the average of the closing prices of the securities on such quotation system over the thirty (30) trading day period ending three (3) trading days prior to the occurrence of the Liquidation;</w:t>
      </w:r>
    </w:p>
    <w:p>
      <w:pPr>
        <w:pStyle w:val="TextBody"/>
        <w:bidi w:val="0"/>
        <w:spacing w:before="5" w:after="283"/>
        <w:jc w:val="left"/>
        <w:rPr/>
      </w:pPr>
      <w:r>
        <w:rPr/>
      </w:r>
    </w:p>
    <w:p>
      <w:pPr>
        <w:pStyle w:val="TextBody"/>
        <w:bidi w:val="0"/>
        <w:spacing w:lineRule="auto" w:line="288" w:before="0" w:after="0"/>
        <w:ind w:left="0" w:right="0" w:hanging="214"/>
        <w:jc w:val="left"/>
        <w:rPr>
          <w:rFonts w:ascii="Times New Roman;serif" w:hAnsi="Times New Roman;serif"/>
          <w:b w:val="false"/>
          <w:color w:val="000000"/>
          <w:sz w:val="16"/>
        </w:rPr>
      </w:pPr>
      <w:r>
        <w:rPr>
          <w:rFonts w:ascii="Times New Roman;serif" w:hAnsi="Times New Roman;serif"/>
          <w:b w:val="false"/>
          <w:color w:val="000000"/>
          <w:sz w:val="16"/>
        </w:rPr>
        <w:t>(2)if actively traded over-the-counter, the value shall be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deemed to be the average of the closing bid or sale prices (whichever is applicable) over the thirty (30) trading day period ending three (3) trading days prior to the occurrence of the Liquidation; and</w:t>
      </w:r>
    </w:p>
    <w:p>
      <w:pPr>
        <w:pStyle w:val="TextBody"/>
        <w:bidi w:val="0"/>
        <w:spacing w:before="5" w:after="283"/>
        <w:jc w:val="left"/>
        <w:rPr/>
      </w:pPr>
      <w:r>
        <w:rPr/>
      </w:r>
    </w:p>
    <w:p>
      <w:pPr>
        <w:pStyle w:val="TextBody"/>
        <w:bidi w:val="0"/>
        <w:spacing w:lineRule="auto" w:line="288" w:before="0" w:after="0"/>
        <w:ind w:left="0" w:right="0" w:hanging="214"/>
        <w:jc w:val="left"/>
        <w:rPr>
          <w:rFonts w:ascii="Times New Roman;serif" w:hAnsi="Times New Roman;serif"/>
          <w:b w:val="false"/>
          <w:color w:val="000000"/>
          <w:sz w:val="16"/>
        </w:rPr>
      </w:pPr>
      <w:r>
        <w:rPr>
          <w:rFonts w:ascii="Times New Roman;serif" w:hAnsi="Times New Roman;serif"/>
          <w:b w:val="false"/>
          <w:color w:val="000000"/>
          <w:sz w:val="16"/>
        </w:rPr>
        <w:t>(3)if there is no active public market, the value shall be the</w:t>
      </w:r>
    </w:p>
    <w:p>
      <w:pPr>
        <w:pStyle w:val="TextBody"/>
        <w:bidi w:val="0"/>
        <w:spacing w:lineRule="auto" w:line="288" w:before="6" w:after="283"/>
        <w:jc w:val="left"/>
        <w:rPr>
          <w:rFonts w:ascii="Times New Roman;serif" w:hAnsi="Times New Roman;serif"/>
          <w:b w:val="false"/>
          <w:color w:val="000000"/>
          <w:sz w:val="16"/>
        </w:rPr>
      </w:pPr>
      <w:r>
        <w:rPr>
          <w:rFonts w:ascii="Times New Roman;serif" w:hAnsi="Times New Roman;serif"/>
          <w:b w:val="false"/>
          <w:color w:val="000000"/>
          <w:sz w:val="16"/>
        </w:rPr>
        <w:t>fair market value thereof, as determined by the Board of Directors.</w:t>
      </w:r>
    </w:p>
    <w:p>
      <w:pPr>
        <w:pStyle w:val="TextBody"/>
        <w:bidi w:val="0"/>
        <w:spacing w:before="10"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(ii)The method of valuation of securities subject to investment</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letter or other restrictions on free marketability (other than restrictions arising solely by virtue of a stockholder's status as an affiliate or former affiliate) shall be to effectuate an appropriate discount from the market value, as determined by clause (i)(1), (2) or (3) of this Section 3(c), so as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reflect the approximate fair market value thereof, as determined by the Board of Directors.</w:t>
      </w:r>
    </w:p>
    <w:p>
      <w:pPr>
        <w:pStyle w:val="TextBody"/>
        <w:bidi w:val="0"/>
        <w:spacing w:before="4" w:after="283"/>
        <w:jc w:val="left"/>
        <w:rPr/>
      </w:pPr>
      <w:r>
        <w:rPr/>
      </w:r>
    </w:p>
    <w:p>
      <w:pPr>
        <w:pStyle w:val="TextBody"/>
        <w:bidi w:val="0"/>
        <w:spacing w:lineRule="auto" w:line="288" w:before="0" w:after="0"/>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(iii)The holders of at least a majority of the outstanding Series A</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Preferred Stock shall have the right to challenge any determination by the Board of Directors of fair market value pursuant to this Section 3(c), in which case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determination of fair market value shall be made by an independent appraiser selected jointly by the Board of Directors and the challenging parties, the cost of such appraisal to be borne equally by the Corporation and the challenging parties.</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4.Conversion Rights.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holders of the Series A Preferred Stock shall have conversion rights as follows (the "Conversion Right"):</w:t>
      </w:r>
    </w:p>
    <w:p>
      <w:pPr>
        <w:pStyle w:val="TextBody"/>
        <w:bidi w:val="0"/>
        <w:spacing w:before="5" w:after="283"/>
        <w:jc w:val="left"/>
        <w:rPr/>
      </w:pPr>
      <w:r>
        <w:rPr/>
      </w:r>
    </w:p>
    <w:p>
      <w:pPr>
        <w:pStyle w:val="TextBody"/>
        <w:bidi w:val="0"/>
        <w:spacing w:lineRule="auto" w:line="288" w:before="0" w:after="0"/>
        <w:ind w:left="0" w:right="0" w:hanging="214"/>
        <w:jc w:val="left"/>
        <w:rPr>
          <w:rFonts w:ascii="Times New Roman;serif" w:hAnsi="Times New Roman;serif"/>
          <w:b w:val="false"/>
          <w:color w:val="000000"/>
          <w:sz w:val="16"/>
        </w:rPr>
      </w:pPr>
      <w:r>
        <w:rPr>
          <w:rFonts w:ascii="Times New Roman;serif" w:hAnsi="Times New Roman;serif"/>
          <w:b w:val="false"/>
          <w:color w:val="000000"/>
          <w:sz w:val="16"/>
        </w:rPr>
        <w:t>(a)Conversion Price. The "Conversion Price" shall, initially, be U.S.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$5.50 per share and shall be subject to adjustment as set forth below in Sections 4(e) and 4(f).</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35660"/>
                <wp:effectExtent l="0" t="0" r="0" b="0"/>
                <wp:wrapNone/>
                <wp:docPr id="62" name="Frame56"/>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6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 descr=""/>
                                          <pic:cNvPicPr>
                                            <a:picLocks noChangeAspect="1" noChangeArrowheads="1"/>
                                          </pic:cNvPicPr>
                                        </pic:nvPicPr>
                                        <pic:blipFill>
                                          <a:blip r:embed="rId10"/>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6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 descr=""/>
                                    <pic:cNvPicPr>
                                      <a:picLocks noChangeAspect="1" noChangeArrowheads="1"/>
                                    </pic:cNvPicPr>
                                  </pic:nvPicPr>
                                  <pic:blipFill>
                                    <a:blip r:embed="rId11"/>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1" w:after="283"/>
        <w:ind w:left="0" w:right="0" w:hanging="226"/>
        <w:jc w:val="left"/>
        <w:rPr>
          <w:rFonts w:ascii="Times New Roman;serif" w:hAnsi="Times New Roman;serif"/>
          <w:b w:val="false"/>
          <w:color w:val="000000"/>
          <w:sz w:val="16"/>
        </w:rPr>
      </w:pPr>
      <w:r>
        <w:rPr>
          <w:rFonts w:ascii="Times New Roman;serif" w:hAnsi="Times New Roman;serif"/>
          <w:b w:val="false"/>
          <w:color w:val="000000"/>
          <w:sz w:val="16"/>
        </w:rPr>
        <w:t>(b)Automatic Conversion. If the closing price for the shares of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Corporation's Common Stock (trading on a securities exchange or through Nasdaq National Market or other national exchange or market) exceeds $11.00 per share</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(as adjusted for events described in Section 4(e)(ii) and 4(e)(iii) below) for</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any thirty consecutive trading day period that begins after July 29, 2004, then, upon such occurrence, each share of Series A Preferred Stock shall be automatically converted into such number of fully paid and non-assessable shares of Common Stock as is determined by dividing (x) the Original Issue Price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such share of Series A Preferred Stock (including any accumulated or accrued but unpaid dividends thereon) by (y) the Conversion Price. The date of such conversion is herein referred to as the "Conversion Date."</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(c)Optional Conversion. The holders of the Series A Preferred Stock shall have the right, at any time, to convert the shares of Series A Preferred Stock</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held by such holder into that number of shares of Common Stock into which such shares are convertible pursuant to Section 4(b) ("Optional Conversion"). In the event of any Optional Conversion, the date of the such conversion shall be referred to as the "Optional Conversion Date."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(d)Mechanics of Conversion. On the Conversion Date or Optional Conversion Date, as the case may be, (x) each holder shall tender such holder's shares of Series A Preferred Stock to the Corporation for cancellation, free and clear of encumbrances of any type or nature, and (y) the Corporation shall cause to be delivered to such holder a number of shares of Common Stock as calculated pursuant to Section 4(b) above, free and clear of encumbrances of any type or nature. Each holder and the Corporation shall take all other necessary or appropriate actions in connection with or to effect such closing.</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(e)Certain Adjustments. To the extent that the holders of Series A Preferred Stock do not participate fully with other stockholders 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Corporation with respect to dividends paid pursuant to Section 2 hereof, the following adjustments shall be made to the Conversion Price: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(i)Adjustment for Common Stock Dividends and Distributions. If, at any time after the original issue date of the Series A Preferred Stock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"Original Issue Date"), the Corporation makes, or fixes a record date for the determination of holders of Common Stock entitled to receive, a dividend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other distribution payable in additional shares of Common Stock or Common Stock Equivalents, in each such event the Conversion Price that is then in effect</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shall be decreased as of the time of such issuance or, in the event such record date is fixed, as of the close of business on such record date, by multiplying the Conversion Price then in effect by a fraction (i) the numerator of which is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total number of shares of Common Stock and Common Stock Equivalents issued and outstanding immediately prior to the time of such issuance or the close of business on such record date, and (ii) the denominator of which is the total</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and Common Stock Equivalents issued and outstanding immediately prior to the time of such issuance or the close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business on such record date plus the number of shares of Common Stock or Common Stock Equivalents issuable in payment of such dividend or distribution;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provided, however, that if such record date is fixed and such dividend is not fully paid or if such distribution is not fully made on the date fixed therefor,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Conversion Price shall be recomputed accordingly as of the close of business on such record date and thereafter the Conversion Price shall be adjusted pursuant to this Section 4(e)(i) to reflect the actual payment of such dividend</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or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35660"/>
                <wp:effectExtent l="0" t="0" r="0" b="0"/>
                <wp:wrapNone/>
                <wp:docPr id="65" name="Frame5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12"/>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6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 descr=""/>
                                    <pic:cNvPicPr>
                                      <a:picLocks noChangeAspect="1" noChangeArrowheads="1"/>
                                    </pic:cNvPicPr>
                                  </pic:nvPicPr>
                                  <pic:blipFill>
                                    <a:blip r:embed="rId13"/>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left"/>
        <w:rPr>
          <w:rFonts w:ascii="Times New Roman;serif" w:hAnsi="Times New Roman;serif"/>
          <w:b w:val="false"/>
          <w:color w:val="000000"/>
          <w:sz w:val="16"/>
        </w:rPr>
      </w:pPr>
      <w:r>
        <w:rPr>
          <w:rFonts w:ascii="Times New Roman;serif" w:hAnsi="Times New Roman;serif"/>
          <w:b w:val="false"/>
          <w:color w:val="000000"/>
          <w:sz w:val="16"/>
        </w:rPr>
        <w:t>A "Common Stock Equivalent" shall mean each share of Common</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Stock into which securities or property or rights are convertible, exchangeable or exercisable for or into shares of Common Stock, or otherwise entitle the holder thereof to receive directly or indirectly, any of the foregoing.</w:t>
      </w:r>
    </w:p>
    <w:p>
      <w:pPr>
        <w:pStyle w:val="TextBody"/>
        <w:bidi w:val="0"/>
        <w:spacing w:before="5" w:after="283"/>
        <w:jc w:val="left"/>
        <w:rPr/>
      </w:pPr>
      <w:r>
        <w:rPr/>
      </w:r>
    </w:p>
    <w:p>
      <w:pPr>
        <w:pStyle w:val="TextBody"/>
        <w:bidi w:val="0"/>
        <w:spacing w:lineRule="auto" w:line="288" w:before="0" w:after="0"/>
        <w:ind w:left="0" w:right="0" w:hanging="213"/>
        <w:jc w:val="left"/>
        <w:rPr>
          <w:rFonts w:ascii="Times New Roman;serif" w:hAnsi="Times New Roman;serif"/>
          <w:b w:val="false"/>
          <w:color w:val="000000"/>
          <w:sz w:val="16"/>
        </w:rPr>
      </w:pPr>
      <w:r>
        <w:rPr>
          <w:rFonts w:ascii="Times New Roman;serif" w:hAnsi="Times New Roman;serif"/>
          <w:b w:val="false"/>
          <w:color w:val="000000"/>
          <w:sz w:val="16"/>
        </w:rPr>
        <w:t>(ii)Adjustments for Stock Splits, Stock Subdivisions and</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Combinations. If, at any time after the Original Issue Date, the Corporation subdivides or combines the Common Stock without making a corresponding subdivision or combination of the Series A Preferred Stock, (A) in the case of a subdivision (including a stock split), the Conversion Price in effect immediately prior to such event shall be proportionately decreased and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purchasable thereunder shall be proportionately increased, and (B) in the case of a combination (including a reverse stock</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split), the Conversion Price in effect immediately prior to such event shall be proportionately increased and the number of shares of Common Stock purchasable thereunder shall be proportionately decreased. Any adjustment under this Section 4(e)(ii) shall become effective at the close of business on the date the</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subdivision or combination becomes effective.</w:t>
      </w:r>
    </w:p>
    <w:p>
      <w:pPr>
        <w:pStyle w:val="TextBody"/>
        <w:bidi w:val="0"/>
        <w:spacing w:before="10" w:after="283"/>
        <w:jc w:val="left"/>
        <w:rPr/>
      </w:pPr>
      <w:r>
        <w:rPr/>
      </w:r>
    </w:p>
    <w:p>
      <w:pPr>
        <w:pStyle w:val="TextBody"/>
        <w:bidi w:val="0"/>
        <w:spacing w:lineRule="auto" w:line="288" w:before="0" w:after="0"/>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(iii)Adjustments for Reclassification, Reorganization and</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Consolidation. In case of (A) any reclassification, reorganization, change or conversion of securities of the class issuable upon conversion of the Series A Preferred Stock (other than a change in par value, or from par value to no par value) into other shares or securities of the Corporation, or (B) any merger or consolidation of the Corporation with or into another entity (other than a Liquidation or a merger or consolidation with another entity in which the Corporation is the acquiring and the surviving entity and that does not result in any reclassification or change of outstanding securities issuable upon conversion of the Series A Preferred Stock) each holder of shares of Series A Preferred Stock shall have the right to receive, in lieu of the shares of Common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otherwise issuable upon the conversion of its shares of Series A Preferred Stock (and accumulated or accrued and unpaid dividends then-outstanding thereunder) in accordance with Section 4(b), the kind and amount of shares of stock and other securities, money and property receivable upon such reclassification, reorganization, change, merger or consolidation upon conversion by a holder of the maximum number of shares of Common Stock into which such shares of Series A Preferred Stock could have been converted immediately prior to such reclassification, reorganization, change, merger or consolidation, all subject to further adjustment as provided herein or with respect to such other securities or property by the terms thereof.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provisions of this clause (iii) shall similarly attach to successive reclassifications, reorganizations, changes, mergers and consolidations.</w:t>
      </w:r>
    </w:p>
    <w:p>
      <w:pPr>
        <w:pStyle w:val="TextBody"/>
        <w:bidi w:val="0"/>
        <w:spacing w:before="3"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(f)Antidilution Adjustments. To the extent that (i) the Corporation issues after the Original Issue Date and before April 29, 2003, Additional</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Shares of Common Stock (as defined below) (in one or more transactions, whether or not related), (ii) each such issuance is at an Effective Price (as defined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below) per share less than Conversion Price then in effect and (iii) the aggregate gross proceeds of such issuances exceed $15 million, then the Conversion Price shall be adjusted to equal the lowest Effective Price received by the Corporation pursuant to any such issuance. The previous sentence will apply to any issuances of Additional Shares of Common Stock after the $15 million threshold has been met (provided any such issuance is below the Conversion Price then in effect) but will not apply to any issuance of Additional Shares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35660"/>
                <wp:effectExtent l="0" t="0" r="0" b="0"/>
                <wp:wrapNone/>
                <wp:docPr id="68" name="Frame58"/>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6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 descr=""/>
                                          <pic:cNvPicPr>
                                            <a:picLocks noChangeAspect="1" noChangeArrowheads="1"/>
                                          </pic:cNvPicPr>
                                        </pic:nvPicPr>
                                        <pic:blipFill>
                                          <a:blip r:embed="rId14"/>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7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 descr=""/>
                                    <pic:cNvPicPr>
                                      <a:picLocks noChangeAspect="1" noChangeArrowheads="1"/>
                                    </pic:cNvPicPr>
                                  </pic:nvPicPr>
                                  <pic:blipFill>
                                    <a:blip r:embed="rId15"/>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Common Stock occurring after April 29, 2003. Notwithstanding the foregoing, the Conversion Price shall in no event be lower than U.S.$3.77.</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(i)For the purpose of making any adjustment required under Section 4(f), the consideration received by the Company for any issue or sale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shall (A) to the extent it consists of cash, be computed at the net amount of cash received by the Company after deduction of any underwriting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similar commissions, compensation or concessions paid or allowed by the Company in connection with such issue or sale but without deduction of any expenses payable by the Company (except for purposes of determining if the $15 million threshold referred to above has been met, in which case the consideration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received will be deemed to be the aggregate gross proceeds received by the Company), (B) to the extent it consists of property other than cash, be computed at the fair value of that property as determined in good faith by the Board of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 provided, however, that the holders of at least a majority of the outstanding Series A Preferred Stock shall have the right to challenge any determination by the Board of Directors of fair market value pursuant to this Section 4(f)(i), in which case the determination of fair market value shall be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made by an independent appraiser selected jointly by the Board of Directors and the challenging parties, the cost of such appraisal to be borne equally by the Corporation and the challenging parties.</w:t>
      </w:r>
    </w:p>
    <w:p>
      <w:pPr>
        <w:pStyle w:val="TextBody"/>
        <w:bidi w:val="0"/>
        <w:spacing w:before="2" w:after="283"/>
        <w:jc w:val="left"/>
        <w:rPr/>
      </w:pPr>
      <w:r>
        <w:rPr/>
      </w:r>
    </w:p>
    <w:p>
      <w:pPr>
        <w:pStyle w:val="TextBody"/>
        <w:bidi w:val="0"/>
        <w:spacing w:lineRule="auto" w:line="288" w:before="0" w:after="0"/>
        <w:ind w:left="0" w:right="0" w:hanging="213"/>
        <w:jc w:val="left"/>
        <w:rPr>
          <w:rFonts w:ascii="Times New Roman;serif" w:hAnsi="Times New Roman;serif"/>
          <w:b w:val="false"/>
          <w:color w:val="000000"/>
          <w:sz w:val="16"/>
        </w:rPr>
      </w:pPr>
      <w:r>
        <w:rPr>
          <w:rFonts w:ascii="Times New Roman;serif" w:hAnsi="Times New Roman;serif"/>
          <w:b w:val="false"/>
          <w:color w:val="000000"/>
          <w:sz w:val="16"/>
        </w:rPr>
        <w:t>(ii)For the purpose of the adjustment required under this Section</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4(f), if the Company issues or sells (A) stock or other securities convertible into, Additional Shares of Common Stock (such convertible stock or securities being herein referred to as "Convertible Securities") or (B) rights or options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for the purchase of Additional Shares of Common Stock or Convertible Securities and if the Effective Price of such Additional Shares of Common Stock is less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than the Conversion Price, in each case the Company shall be deemed to have issued at the time of the issuance of such rights or options or Convertible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the maximum number of Additional Shares of Common Stock issuable upon exercise or conversion thereof and to have received as consideration for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such shares an amount equal to the total amount of the consideration, if any, received by the Company for the issuance of such rights or options or Convertible Securities, plus, in the case of such rights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options, the minimum amounts of consideration, if any, payable to the Company upon the exercise of such rights or options, plus, in the case of Convertible Securities, the minimum amounts of consideration, if any, payable to the Company (other than by cancellation of liabilities or obligations evidenced by such Convertible Securities) upon the conversion thereof; provided that if in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case of Convertible Securities the minimum amounts of such consideration cannot be ascertained, but are a function of antidilution or similar protective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clauses, the Company shall be deemed to have received the minimum amounts of consideration without reference to such clauses; provided further that 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35660"/>
                <wp:effectExtent l="0" t="0" r="0" b="0"/>
                <wp:wrapNone/>
                <wp:docPr id="71" name="Frame59"/>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 descr=""/>
                                          <pic:cNvPicPr>
                                            <a:picLocks noChangeAspect="1" noChangeArrowheads="1"/>
                                          </pic:cNvPicPr>
                                        </pic:nvPicPr>
                                        <pic:blipFill>
                                          <a:blip r:embed="rId16"/>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 descr=""/>
                                    <pic:cNvPicPr>
                                      <a:picLocks noChangeAspect="1" noChangeArrowheads="1"/>
                                    </pic:cNvPicPr>
                                  </pic:nvPicPr>
                                  <pic:blipFill>
                                    <a:blip r:embed="rId17"/>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7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8" descr=""/>
                    <pic:cNvPicPr>
                      <a:picLocks noChangeAspect="1" noChangeArrowheads="1"/>
                    </pic:cNvPicPr>
                  </pic:nvPicPr>
                  <pic:blipFill>
                    <a:blip r:embed="rId18"/>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 No further adjustment of the Conversion Price, as adjusted upon the issuance of such rights, options or Convertible Securities, shall be made as a result of the actual issuance of Additional Shares of Common Stock on the exercise of any such rights or options or the conversion of any</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such Convertible Securities. If any such rights or options or the conversion privilege represented by any such Convertible Securities shall expire without having been exercised, the Conversion Price, as adjusted upon the issuance of such rights, options or Convertible Securities, shall be readjusted to the Conversion Price which would have been in effect had an adjustment been made on the basis that the only Additional Shares of Common Stock so issued were the Additional Shares of Common Stock, if any, actually issued or sold on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w:t>
      </w:r>
    </w:p>
    <w:p>
      <w:pPr>
        <w:pStyle w:val="TextBody"/>
        <w:bidi w:val="0"/>
        <w:spacing w:before="2"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"Additional Shares of Common Stock" shall mean all shares of Common Stock issued by the Company or deemed to be issued pursuant to this Section 4(f), whether or not subsequently reacquired or retired by the Company other than (A) shares of Common Stock and/or options, warrants or other Common Stock purchase rights, and the Common Stock issued or issuable pursuant to such options, warrants or other rights to employees, officers or directors of, or consultants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or advisors to the Company or any subsidiary pursuant to stock purchase or stock option plans or other arrangements that are approved by the Board; (B) shares of Common Stock issued or issuable pursuant to any equipment loan or leasing arrangement, or debt financing from a bank or similar financial institution; (C) shares of Common Stock issued or issuable in connection with licensing transactions involving the Company and other entities, including (1) joint ventures, manufacturing, marketing or distribution arrangements or (2)</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technology transfer or development arrangements; provided that such transactions in (1) and (2) and the issuance of shares therein has been approved by a</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majority of the members of the Company's Board of Directors and the aggregate number of shares so issued does not exceed four million (4,000,000)(as adjusted for stock splits, stock dividends, stock combinations, recapitalizatons and the like); and (D) any other issuances approved by the holders of a majority of the Series A Preferred Stock then outstanding.</w:t>
      </w:r>
    </w:p>
    <w:p>
      <w:pPr>
        <w:pStyle w:val="TextBody"/>
        <w:bidi w:val="0"/>
        <w:spacing w:before="3"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"Effective Price" of Additional Shares of Common Stock shall mean the quotient determined by dividing the total number of Additional Shares of Common Stock issued or sold, or deemed to have been issued or sold by the Company under this Section 4(f), into the aggregate consideration received, or deemed to have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been received by the Company for such issue under this Section 4(f), for such Additional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49935"/>
                <wp:effectExtent l="0" t="0" r="0" b="0"/>
                <wp:wrapNone/>
                <wp:docPr id="75" name="Frame6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5.Other Distributions.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the event the Corporation provides the holders of its Common Stock with consideration that is not otherwise addressed in Section 4 (including, without limitation, declaring a distribution payable in securities, assets, cash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evidences of indebtedness issued by other persons or the Corporation (excluding cash dividends declared and paid by the Corporation out of retained earnings)), then, in each such case, the holders of the Series A Preferred Stock shall be entitled to a pro rata share of any such distribution as though such holders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were holders of the number of shares of Common Stock of the Corporation as though the Series A Preferred Stock had been converted in whole as of the record date fixed for the determination of the holders of Common Stock of the Corporation entitled to receive such distribution.</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6.Recapitalizations.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 at any time there occurs a recapitalization of the Common Stock (other than a subdivision, combination, or merger or sale of assets provided for in Section 4 hereof), the holders of the Series A Preferred Stock shall be entitled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to receive upon conversion of the Series A Preferred Stock the number of shares of capital stock or other securities or property of the Corporation or otherwise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to which a holder of the Common Stock deliverable upon conversion would have been entitled on such recapitalization. In any such case, appropriate adjustment shall be made in the application of the provisions of Section 4 hereof with respect to the rights of the holders of the Series A Preferred Stock after the recapitalization to the end that the provisions of Section 4 hereof (including adjustment of the Conversion Price then in effect and the number of shares purchasable upon conversion of the Series A Preferred Stock) shall be applicable after that event as nearly equivalent as may be practicable.</w:t>
      </w:r>
    </w:p>
    <w:p>
      <w:pPr>
        <w:pStyle w:val="TextBody"/>
        <w:bidi w:val="0"/>
        <w:spacing w:before="3" w:after="283"/>
        <w:jc w:val="left"/>
        <w:rPr/>
      </w:pPr>
      <w:r>
        <w:rPr/>
      </w:r>
    </w:p>
    <w:p>
      <w:pPr>
        <w:pStyle w:val="TextBody"/>
        <w:bidi w:val="0"/>
        <w:spacing w:lineRule="auto" w:line="288" w:before="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7.No Impairment.</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will not, by amendment of the Certificate of Incorporation or through any reorganization, recapitalization, transfer of assets, consolidation, merger, dissolution, issuance or sale of securities or any other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voluntary action, avoid or seek to avoid the observance or performance of any of the terms to be observed or performed hereunder by the Corporation, but will at all times in good faith assist in the carrying out of all the provisions hereof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and in the taking of all such action as may be necessary or appropriate in order to protect the Conversion Right of the holders of the Series A Preferred Stock against impairment.</w:t>
      </w:r>
    </w:p>
    <w:p>
      <w:pPr>
        <w:pStyle w:val="TextBody"/>
        <w:bidi w:val="0"/>
        <w:spacing w:before="4" w:after="283"/>
        <w:jc w:val="left"/>
        <w:rPr/>
      </w:pPr>
      <w:r>
        <w:rPr/>
      </w:r>
    </w:p>
    <w:p>
      <w:pPr>
        <w:pStyle w:val="TextBody"/>
        <w:bidi w:val="0"/>
        <w:spacing w:lineRule="auto" w:line="288" w:before="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8.No Fractional Shares and Certificate as to Adjustments.</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(a)No fractional shares of Common Stock will be issued upon the conversion of any share or shares of the Series A Preferred Stock. All shares of Common Stock (including fractions thereof) issuable upon conversion of more than one share of Series A Preferred Stock by a holder shall be aggregated for purposes of determining whether the conversion would result in the issuance of any fractional share. If, after the aforementioned aggregation, the conversion would result in the issuance of a fraction of a share of Common Stock, the Corporation shall, in lieu of issuing any fractional share, pay the holder otherwise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entitled to such fraction a sum in cash equal to such fraction multiplied by the closing price of the Corporation's Common Stock on the Nasdaq National Market (or any other national securities exchange on which the Common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35660"/>
                <wp:effectExtent l="0" t="0" r="0" b="0"/>
                <wp:wrapNone/>
                <wp:docPr id="76" name="Frame6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7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9" descr=""/>
                                          <pic:cNvPicPr>
                                            <a:picLocks noChangeAspect="1" noChangeArrowheads="1"/>
                                          </pic:cNvPicPr>
                                        </pic:nvPicPr>
                                        <pic:blipFill>
                                          <a:blip r:embed="rId19"/>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7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9" descr=""/>
                                    <pic:cNvPicPr>
                                      <a:picLocks noChangeAspect="1" noChangeArrowheads="1"/>
                                    </pic:cNvPicPr>
                                  </pic:nvPicPr>
                                  <pic:blipFill>
                                    <a:blip r:embed="rId20"/>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Stock is then traded) on the day immediately preceding the conversion. All calculations under Section 4 hereof and this Section 8(a) shall be made to the nearest cent or to the nearest share, as the case may be.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(b)Upon the occurrence of each adjustment or readjustment of the Conversion Price pursuant to Section 4 hereof, the Corporation, at its expense,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shall promptly compute such adjustment or readjustment in accordance with the terms hereof and prepare and furnish to each holder of shares of Series A Preferred Stock a certificate setting forth such adjustment or readjustment and showing in detail the facts upon which such adjustment or readjustment is based. The Corporation shall, upon the written request at any time of any holder of Series A Preferred Stock, use its reasonable best efforts to furnish or cause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 furnished to such holder a like certificate setting forth (i) such adjustment or readjustment, (ii) the Conversion Price at the time in effect, and (iii)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and the amount, if any, of other property which at the time would be received upon the conversion of a share of Series A</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w:t>
      </w:r>
    </w:p>
    <w:p>
      <w:pPr>
        <w:pStyle w:val="TextBody"/>
        <w:bidi w:val="0"/>
        <w:spacing w:before="9"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9.Reservation of Stock Issuable Upon Conversion.</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shall at all times reserve and keep available out of its authorized but unissued shares of Common Stock, solely for the purpose of effecting the conversion of the shares of the Series A Preferred Stock, such number of its shares of Common Stock that shall from time to time be sufficient to effect the conversion of all outstanding shares of the Series A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and if at any time the number of authorized but unissued shares of Common Stock not otherwise reserved for issuance shall not be sufficient to effect the conversion of all then outstanding shares of the Series A Preferred Stock, the Corporation shall take such corporate action that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its Certificate of Incorporation.</w:t>
      </w:r>
    </w:p>
    <w:p>
      <w:pPr>
        <w:pStyle w:val="TextBody"/>
        <w:bidi w:val="0"/>
        <w:spacing w:before="4"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10.Notices.</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Any notice required by the provisions hereof to be given to the holders of shares of Series A Preferred Stock shall be given in writing and shall be deemed to have been given (i) in the case of personal or hand delivery, on the date of such delivery, (ii) in the case of an internationally-recognized overnight delivery courier, on the second business day after the date when sent, (iii) in the case of mailing, on the fifth business day following that day on which the piece of mail containing such communication is posted and (iv) in the case of facsimile transmission, the date of telephone confirmation of receipt.</w:t>
      </w:r>
    </w:p>
    <w:p>
      <w:pPr>
        <w:pStyle w:val="TextBody"/>
        <w:bidi w:val="0"/>
        <w:spacing w:before="4" w:after="283"/>
        <w:jc w:val="left"/>
        <w:rPr/>
      </w:pPr>
      <w:r>
        <w:rPr/>
      </w:r>
    </w:p>
    <w:p>
      <w:pPr>
        <w:pStyle w:val="TextBody"/>
        <w:bidi w:val="0"/>
        <w:spacing w:lineRule="auto" w:line="288" w:before="0" w:after="0"/>
        <w:ind w:left="0" w:right="0" w:hanging="213"/>
        <w:jc w:val="left"/>
        <w:rPr>
          <w:rFonts w:ascii="Times New Roman;serif" w:hAnsi="Times New Roman;serif"/>
          <w:b w:val="false"/>
          <w:color w:val="000000"/>
          <w:sz w:val="16"/>
        </w:rPr>
      </w:pPr>
      <w:r>
        <w:rPr>
          <w:rFonts w:ascii="Times New Roman;serif" w:hAnsi="Times New Roman;serif"/>
          <w:b w:val="false"/>
          <w:color w:val="000000"/>
          <w:sz w:val="16"/>
        </w:rPr>
        <w:t>11.Voting Rights.</w:t>
      </w:r>
    </w:p>
    <w:p>
      <w:pPr>
        <w:pStyle w:val="TextBody"/>
        <w:bidi w:val="0"/>
        <w:spacing w:before="10"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Holders of Series A Preferred Stock shall be entitled to vote on all</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matters submitted to a vote of the holders of the Corporation's Common Stock, including with respect to the election of directors of the Corporation, on an as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 converted to Common Stock basis; provided, however, that the number of votes to which the Series A Preferred Stock is entitled shall be based on a conversion price of $5.50 per share, giving effect to any future adjustments pursuant to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35660"/>
                <wp:effectExtent l="0" t="0" r="0" b="0"/>
                <wp:wrapNone/>
                <wp:docPr id="79" name="Frame62"/>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8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0" descr=""/>
                                          <pic:cNvPicPr>
                                            <a:picLocks noChangeAspect="1" noChangeArrowheads="1"/>
                                          </pic:cNvPicPr>
                                        </pic:nvPicPr>
                                        <pic:blipFill>
                                          <a:blip r:embed="rId21"/>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8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0" descr=""/>
                                    <pic:cNvPicPr>
                                      <a:picLocks noChangeAspect="1" noChangeArrowheads="1"/>
                                    </pic:cNvPicPr>
                                  </pic:nvPicPr>
                                  <pic:blipFill>
                                    <a:blip r:embed="rId22"/>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8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1" descr=""/>
                    <pic:cNvPicPr>
                      <a:picLocks noChangeAspect="1" noChangeArrowheads="1"/>
                    </pic:cNvPicPr>
                  </pic:nvPicPr>
                  <pic:blipFill>
                    <a:blip r:embed="rId23"/>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4(e) above, but without giving any effect to any future adjustments pursuant to Section 4(f) above.</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12.Protective Provisions.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Subject to the rights of any series of preferred stock that may from time to time come into existence, so long as any shares of Series A Preferred Stock are outstanding, the Corporation shall not without first obtaining the approval (by vote or written consent, as provided by law) of the holders of at least a majority of the then-outstanding shares of Series A Preferred Stock, voting separately as a series:</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(a)amend its Certificate of Incorporation (including the filing of a Certificate of Designations) so as to (i) increase the number of authorized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shares of the Corporation's preferred stock or (ii) affect adversely the shares of Series A Preferred Stock or any holder thereof, including, without limitation, by creating any additional series of preferred stock (or issuing shares under any such series) that is senior or pari passu in liquidation preference, redemption right, conversion rights or right of payment to the Series A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(b)after the date of this Certificate of Designation, create any new debt instrument or create or increase any new or existing bank line (or similar arrangement pursuant to which the Company is or becomes indebted), so that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Company's total indebtedness pursuant to such instruments, lines or arrangements exceeds $105,000,000 in the aggregate; or</w:t>
      </w:r>
    </w:p>
    <w:p>
      <w:pPr>
        <w:pStyle w:val="TextBody"/>
        <w:bidi w:val="0"/>
        <w:spacing w:before="4"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(c)change the rights of the holders of the Series A Preferred Stock in any other respect;</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provided, however, that the authorization and issuance of additional shares of Common Stock, and creation of any series of preferred stock (or issuing shares under any such series) that is junior in right of payment upon liquidation, redemption, conversion and payment rights and otherwise to the Series A Preferred Stock shall not be deemed to adversely affect the rights, preferences or privileges of the Series A Preferred Stock or any holder thereof or change the rights of the holders of the Series A Preferred Stock in any other respect.</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Series A Preferred Stock shall have no preemptive rights pursuant hereto.</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13.Legend.</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Series A Preferred Stock and any underlying shares of Common Stock will be issued under an exemption or exemptions from registration under the Act.</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Accordingly, the certificates evidencing the Series A Preferred Stock and the underlying Common Stock shall, upon issuance, contain a legend, substantially in the form as follows:</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SECURITIES REPRESENTED HEREBY HAVE NOT BEEN REGISTERED UNDER THE U.S. SECURITIES ACT OF 1933, AS AMENDED (THE "ACT"), OR APPLICABLE STATE SECURITIES LAWS AND NO INTEREST HEREIN MAY BE SOLD, TRANSFERRED OR OTHERWISE DISPOSED OF UNLESS (1) A REGISTRATION STATEMENT WITH RESPECT TO SUCH SECURITIES SHALL BE EFFECTIVE 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49935"/>
                <wp:effectExtent l="0" t="0" r="0" b="0"/>
                <wp:wrapNone/>
                <wp:docPr id="83" name="Frame6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r>
                                    <w:br w:type="page"/>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8" w:after="283"/>
        <w:jc w:val="left"/>
        <w:rPr>
          <w:rFonts w:ascii="Times New Roman;serif" w:hAnsi="Times New Roman;serif"/>
          <w:b w:val="false"/>
          <w:color w:val="000000"/>
          <w:sz w:val="16"/>
        </w:rPr>
      </w:pPr>
      <w:r>
        <w:rPr>
          <w:rFonts w:ascii="Times New Roman;serif" w:hAnsi="Times New Roman;serif"/>
          <w:b w:val="false"/>
          <w:color w:val="000000"/>
          <w:sz w:val="16"/>
        </w:rPr>
        <w:t>THE ACT AND ANY APPLICABLE STATE SECURITIES LAWS OR (2) SUCH SECURITIES ARE TRANSFERRED PURSUANT TO RULE 144 PROMULGATED UNDER THE ACT (OR ANY SUCCESSOR RULE) OR (3) THE ISSUER OF THESE SECURITIES SHALL HAVE RECEIVED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 OPINION OF COUNSEL FOR THE HOLDER OF THESE SECURITIES REASONABLY SATISFACTORY TO THE ISSUER THAT NO VIOLATION OF THE ACT OR SIMILAR STATE SECURITIES LAWS WILL BE INVOLVED IN SUCH TRANSFER.</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14.Status of Converted Stock.</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the event any shares of Series A Preferred Stock shall be converted pursuant to Section 4 hereof, the shares so converted shall be canceled and shall not be reissuable by the Corporation.</w:t>
      </w:r>
    </w:p>
    <w:p>
      <w:pPr>
        <w:pStyle w:val="TextBody"/>
        <w:bidi w:val="0"/>
        <w:spacing w:before="80" w:after="283"/>
        <w:jc w:val="left"/>
        <w:rPr/>
      </w:pPr>
      <w:r>
        <w:rPr/>
        <w:drawing>
          <wp:inline distT="0" distB="0" distL="0" distR="0">
            <wp:extent cx="6276975" cy="14605"/>
            <wp:effectExtent l="0" t="0" r="0" b="0"/>
            <wp:docPr id="8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2" descr=""/>
                    <pic:cNvPicPr>
                      <a:picLocks noChangeAspect="1" noChangeArrowheads="1"/>
                    </pic:cNvPicPr>
                  </pic:nvPicPr>
                  <pic:blipFill>
                    <a:blip r:embed="rId24"/>
                    <a:stretch>
                      <a:fillRect/>
                    </a:stretch>
                  </pic:blipFill>
                  <pic:spPr bwMode="auto">
                    <a:xfrm>
                      <a:off x="0" y="0"/>
                      <a:ext cx="6276975" cy="14605"/>
                    </a:xfrm>
                    <a:prstGeom prst="rect">
                      <a:avLst/>
                    </a:prstGeom>
                  </pic:spPr>
                </pic:pic>
              </a:graphicData>
            </a:graphic>
          </wp:inline>
        </w:drawing>
      </w:r>
    </w:p>
    <w:p>
      <w:pPr>
        <w:pStyle w:val="TextBody"/>
        <w:bidi w:val="0"/>
        <w:spacing w:lineRule="auto" w:line="573" w:before="0" w:after="0"/>
        <w:jc w:val="left"/>
        <w:rPr>
          <w:rFonts w:ascii="Times New Roman;serif" w:hAnsi="Times New Roman;serif"/>
          <w:b w:val="false"/>
          <w:color w:val="000000"/>
          <w:sz w:val="16"/>
        </w:rPr>
      </w:pPr>
      <w:r>
        <w:rPr>
          <w:rFonts w:ascii="Times New Roman;serif" w:hAnsi="Times New Roman;serif"/>
          <w:b w:val="false"/>
          <w:color w:val="000000"/>
          <w:sz w:val="16"/>
        </w:rPr>
        <w:t>[Signature page follows]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8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80" w:after="283"/>
        <w:jc w:val="left"/>
        <w:rPr/>
      </w:pPr>
      <w:r>
        <w:rPr/>
        <w:drawing>
          <wp:inline distT="0" distB="0" distL="0" distR="0">
            <wp:extent cx="6276975" cy="14605"/>
            <wp:effectExtent l="0" t="0" r="0" b="0"/>
            <wp:docPr id="8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3" descr=""/>
                    <pic:cNvPicPr>
                      <a:picLocks noChangeAspect="1" noChangeArrowheads="1"/>
                    </pic:cNvPicPr>
                  </pic:nvPicPr>
                  <pic:blipFill>
                    <a:blip r:embed="rId25"/>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IN WITNESS WHEREOF, said Wireless Facilities, Inc. has caused this Certificate of Designations to be signed by Masood K. Tayebi, its Chief Executive Officer, as of October 29, 2001.</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By: /s/ Masood K. Tayebi</w: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Name: Masood K. Tayebi 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49935"/>
                <wp:effectExtent l="0" t="0" r="0" b="0"/>
                <wp:wrapNone/>
                <wp:docPr id="87" name="Frame6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r>
                                    <w:br w:type="page"/>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2" w:after="283"/>
        <w:jc w:val="left"/>
        <w:rPr/>
      </w:pPr>
      <w:r>
        <w:rPr/>
        <w:drawing>
          <wp:inline distT="0" distB="0" distL="0" distR="0">
            <wp:extent cx="6276975" cy="14605"/>
            <wp:effectExtent l="0" t="0" r="0" b="0"/>
            <wp:docPr id="8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4" descr=""/>
                    <pic:cNvPicPr>
                      <a:picLocks noChangeAspect="1" noChangeArrowheads="1"/>
                    </pic:cNvPicPr>
                  </pic:nvPicPr>
                  <pic:blipFill>
                    <a:blip r:embed="rId26"/>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FORM OF CERTIFICATE OF DESIGNATIONS</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CERTIFICATE OF DESIGNATIONS, PREFERENCES AND RIGHTS</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of</w:t>
      </w:r>
    </w:p>
    <w:p>
      <w:pPr>
        <w:pStyle w:val="TextBody"/>
        <w:bidi w:val="0"/>
        <w:spacing w:lineRule="auto" w:line="288" w:before="6" w:after="283"/>
        <w:jc w:val="left"/>
        <w:rPr>
          <w:rFonts w:ascii="Times New Roman;serif" w:hAnsi="Times New Roman;serif"/>
          <w:b w:val="false"/>
          <w:color w:val="000000"/>
          <w:sz w:val="16"/>
        </w:rPr>
      </w:pPr>
      <w:r>
        <w:rPr>
          <w:rFonts w:ascii="Times New Roman;serif" w:hAnsi="Times New Roman;serif"/>
          <w:b w:val="false"/>
          <w:color w:val="000000"/>
          <w:sz w:val="16"/>
        </w:rPr>
        <w:t>SERIES B PREFERRED STOCK</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of</w:t>
      </w:r>
    </w:p>
    <w:p>
      <w:pPr>
        <w:pStyle w:val="TextBody"/>
        <w:bidi w:val="0"/>
        <w:spacing w:lineRule="auto" w:line="288" w:before="6" w:after="283"/>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 Masood K. Tayebi, Chief Executive Officer of WIRELESS FACILITIES, INC., a corporation organized and existing under the laws of the State of Delaware (the "Corporation" or the "Company")), in accordance with the provisions of Section 151 of the Delaware General Corporation Law, DO HEREBY CERTIFY:</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That pursuant to the authority conferred upon the Board of Directors of the Corporation (the "Board of Directors") by the Certificate of Incorporation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and by Section 151(g) of the Delaware General Corporation Law, on May 16, 2002, the Board of Directors adopted the following resolution, creating a series of shares of convertible preferred stock, Series B, designated as "Series B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"RESOLVED, that pursuant to the authority vested in the Board of Directors (the "Board of Directors") of WIRELESS FACILITIES, INC., a corporation organized and existing under the laws of the State of Delaware (the "Corporation"), by the Certificate of Incorporation of the Corporation (the "Certificate of Incorporation"), the Board of Directors does hereby provide for the authorization and issuance of a series of convertible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Series B, par value U.S.$0.001 per share, of the Corporation, to be designated "Series B Preferred Stock," initially consisting of 90,000 shares, and to the extent that the designations, powers, preferences, and relative participating, optional, or other special rights, and the qualifications, limitations, and restrictions of the Series B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are not stated and expressed in the Certificate of Incorporation, the Board of Directors does hereby fix and herein state and express such designations, powers, preferences, and relative participating, optional, or other special rights, and the qualifications, limitations, and restrictions thereof, as follows:</w:t>
      </w:r>
    </w:p>
    <w:p>
      <w:pPr>
        <w:pStyle w:val="TextBody"/>
        <w:bidi w:val="0"/>
        <w:spacing w:before="3"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1.Designation and Rank.</w:t>
      </w:r>
    </w:p>
    <w:p>
      <w:pPr>
        <w:pStyle w:val="TextBody"/>
        <w:bidi w:val="0"/>
        <w:spacing w:before="11" w:after="283"/>
        <w:jc w:val="left"/>
        <w:rPr/>
      </w:pPr>
      <w:r>
        <w:rPr/>
      </w:r>
    </w:p>
    <w:p>
      <w:pPr>
        <w:pStyle w:val="TextBody"/>
        <w:bidi w:val="0"/>
        <w:spacing w:lineRule="auto" w:line="288" w:before="0" w:after="0"/>
        <w:ind w:left="0" w:right="0" w:hanging="227"/>
        <w:jc w:val="left"/>
        <w:rPr>
          <w:rFonts w:ascii="Times New Roman;serif" w:hAnsi="Times New Roman;serif"/>
          <w:b w:val="false"/>
          <w:color w:val="000000"/>
          <w:sz w:val="16"/>
        </w:rPr>
      </w:pPr>
      <w:r>
        <w:rPr>
          <w:rFonts w:ascii="Times New Roman;serif" w:hAnsi="Times New Roman;serif"/>
          <w:b w:val="false"/>
          <w:color w:val="000000"/>
          <w:sz w:val="16"/>
        </w:rPr>
        <w:t>(a)Ninety thousand (90,000) shares of the preferred stock of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Corporation, par value $0.001 per share, shall be designated and known as the "Series B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(b)The Series B Preferred Stock shall rank senior and prior to the common stock, par value U.S.$0.001 per share, of the Corporation (the "Common Stock"), and all other classes or series of the capital stock (other than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of the Corporation (now or hereafter authorized or issued), with respect to the payment of any dividends, the conversion rights set forth herein and any payment upon liquidation or redemption. The Series B Preferred Stock shall rank on par with the Series A Preferred Stock of the Corporation with respect to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any dividends, the conversion rights set forth herein and any payment upon liquidation or redemption. The Corporation may not issue any additional classes or series of preferred stock with liquidation, redemption or conversion rights or right of payment of any kind that is senior to the Series B Preferred Stock, except pursuant to Section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49935"/>
                <wp:effectExtent l="0" t="0" r="0" b="0"/>
                <wp:wrapNone/>
                <wp:docPr id="89" name="Frame6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2.Dividend Rights.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From and after the date hereof, when and if the Board of Directors declares</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a dividend or distribution payable with respect to the then-outstanding shares</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of Common Stock (other than in additional shares of Common Stock or Common Stock Equivalents (as defined in Section 4(e)(i) below), the holders of the Series B</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shall be entitled to the amount of dividends per share in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same form as such Common Stock dividends that would be payable on the largest number of whole shares of Common Stock into which a holder's aggregate shares of Series B Preferred Stock could then be converted pursuant to Section 4 hereof (such number to be determined as of the record date for the determination of holders of Common Stock entitled to receive such dividend).</w:t>
      </w:r>
    </w:p>
    <w:p>
      <w:pPr>
        <w:pStyle w:val="TextBody"/>
        <w:bidi w:val="0"/>
        <w:spacing w:before="5"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3.Liquidation Rights.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(a)Liquidation Events. The occurrence of any of the following events shall be deemed a "Liquidation": (i) any liquidation, dissolution, or winding-up of the affairs of the Corporation; (ii) any transaction or series of related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transactions in which securities of the Corporation representing 50% or more of the combined voting power of the Corporation's then outstanding voting securities are acquired by a person, entity or group of related persons or entities, excluding any consolidation or merger effected exclusively to change the domicile of the Corporation; (iii) any consolidation, merger or reorganization of the Corporation with or into any other corporation or other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entity or person pursuant to which the holders of the Corporation's outstanding securities receive, pursuant to such transaction, securities in the surviving entity that represent less than 50% of the voting power of such surviving entity; or (iv) any sale, lease, exclusive license or other disposition of all</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or substantially all of the assets of the Corporation.</w:t>
      </w:r>
    </w:p>
    <w:p>
      <w:pPr>
        <w:pStyle w:val="TextBody"/>
        <w:bidi w:val="0"/>
        <w:spacing w:before="9" w:after="283"/>
        <w:jc w:val="left"/>
        <w:rPr/>
      </w:pPr>
      <w:r>
        <w:rPr/>
      </w:r>
    </w:p>
    <w:p>
      <w:pPr>
        <w:pStyle w:val="TextBody"/>
        <w:bidi w:val="0"/>
        <w:spacing w:lineRule="auto" w:line="288" w:before="0" w:after="0"/>
        <w:ind w:left="0" w:right="0" w:hanging="232"/>
        <w:jc w:val="left"/>
        <w:rPr>
          <w:rFonts w:ascii="Times New Roman;serif" w:hAnsi="Times New Roman;serif"/>
          <w:b w:val="false"/>
          <w:color w:val="000000"/>
          <w:sz w:val="16"/>
        </w:rPr>
      </w:pPr>
      <w:r>
        <w:rPr>
          <w:rFonts w:ascii="Times New Roman;serif" w:hAnsi="Times New Roman;serif"/>
          <w:b w:val="false"/>
          <w:color w:val="000000"/>
          <w:sz w:val="16"/>
        </w:rPr>
        <w:t>(b)Liquidation Preference.</w:t>
      </w:r>
    </w:p>
    <w:p>
      <w:pPr>
        <w:pStyle w:val="TextBody"/>
        <w:bidi w:val="0"/>
        <w:spacing w:before="11" w:after="283"/>
        <w:jc w:val="left"/>
        <w:rPr/>
      </w:pPr>
      <w:r>
        <w:rPr/>
      </w:r>
    </w:p>
    <w:p>
      <w:pPr>
        <w:pStyle w:val="TextBody"/>
        <w:bidi w:val="0"/>
        <w:spacing w:lineRule="auto" w:line="288" w:before="0" w:after="0"/>
        <w:ind w:left="0" w:right="0" w:hanging="197"/>
        <w:jc w:val="left"/>
        <w:rPr>
          <w:rFonts w:ascii="Times New Roman;serif" w:hAnsi="Times New Roman;serif"/>
          <w:b w:val="false"/>
          <w:color w:val="000000"/>
          <w:sz w:val="16"/>
        </w:rPr>
      </w:pPr>
      <w:r>
        <w:rPr>
          <w:rFonts w:ascii="Times New Roman;serif" w:hAnsi="Times New Roman;serif"/>
          <w:b w:val="false"/>
          <w:color w:val="000000"/>
          <w:sz w:val="16"/>
        </w:rPr>
        <w:t>(i)In the event of any Liquidation, whether voluntary or involuntary,</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before any payment of cash or distribution of other property shall be made to the holders of Common Stock, or any other class or series of stock subordinate in liquidation preference to the Series B Preferred Stock, the holders of the Series B Preferred Stock shall be entitled to receive out of the assets of the Corporation legally available for distribution to its stockholders, on behalf of each share of Series B Preferred Stock held by such holder, U.S.$500.00 (the "Original Issue Price") (as appropriately adjusted for any combinations, divisions, or similar recapitalizations affecting the Series B Preferred Stock after issuance) and all accumulated or accrued and unpaid dividends thereon (collectively, the "Series B Liquidation Preference").</w:t>
      </w:r>
    </w:p>
    <w:p>
      <w:pPr>
        <w:pStyle w:val="TextBody"/>
        <w:bidi w:val="0"/>
        <w:spacing w:before="4"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(ii)If, upon any Liquidation, the assets of the Corporation available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for distribution to its stockholders are insufficient to pay the holders of the Series B Preferred Stock the full amounts to which they are entitled pursuant to clause (b)(i) above, the holders of the Series B Preferred Stock shall share pro rata in any distribution of assets in proportion to the respective amounts which would be payable to the holders of the Series B Preferred Stock and any other class or series of capital stock of the Corporation ranking on par with the Series B Preferred Stock in respect of the shares held by them if all amounts payable to them in respect of such were paid in full pursuant to clause (b)(i)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35660"/>
                <wp:effectExtent l="0" t="0" r="0" b="0"/>
                <wp:wrapNone/>
                <wp:docPr id="90" name="Frame6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9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5" descr=""/>
                                          <pic:cNvPicPr>
                                            <a:picLocks noChangeAspect="1" noChangeArrowheads="1"/>
                                          </pic:cNvPicPr>
                                        </pic:nvPicPr>
                                        <pic:blipFill>
                                          <a:blip r:embed="rId27"/>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9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5" descr=""/>
                                    <pic:cNvPicPr>
                                      <a:picLocks noChangeAspect="1" noChangeArrowheads="1"/>
                                    </pic:cNvPicPr>
                                  </pic:nvPicPr>
                                  <pic:blipFill>
                                    <a:blip r:embed="rId28"/>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287"/>
        <w:jc w:val="left"/>
        <w:rPr>
          <w:rFonts w:ascii="Times New Roman;serif" w:hAnsi="Times New Roman;serif"/>
          <w:b w:val="false"/>
          <w:color w:val="000000"/>
          <w:sz w:val="16"/>
        </w:rPr>
      </w:pPr>
      <w:r>
        <w:rPr>
          <w:rFonts w:ascii="Times New Roman;serif" w:hAnsi="Times New Roman;serif"/>
          <w:b w:val="false"/>
          <w:color w:val="000000"/>
          <w:sz w:val="16"/>
        </w:rPr>
        <w:t>(iii)After the distributions described in clause (b)(i) or (b)(ii)</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above have been paid, subject to the rights of any other class or series of capital stock of the Corporation that may from time to time come into existence, the remaining assets of the Corporation available for distribution to stockholders shall be distributed among the holders of Common Stock pro rata based on the number of shares of Common Stock held by each.</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(c)Non-Cash Distributions. If any distribution to be made pursuant to this Section 3 is to be paid other than in cash or Common Stock or Common Stock Equivalents, the value of such distribution will be deemed its fair market value as determined in good faith by the Board of Directors. Any securities shall be valued as follows:</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(i)Securities not subject to investment letter or other similar restrictions on free marketability covered by clause (ii) below:</w:t>
      </w:r>
    </w:p>
    <w:p>
      <w:pPr>
        <w:pStyle w:val="TextBody"/>
        <w:bidi w:val="0"/>
        <w:spacing w:before="5" w:after="283"/>
        <w:jc w:val="left"/>
        <w:rPr/>
      </w:pPr>
      <w:r>
        <w:rPr/>
      </w:r>
    </w:p>
    <w:p>
      <w:pPr>
        <w:pStyle w:val="TextBody"/>
        <w:bidi w:val="0"/>
        <w:spacing w:lineRule="auto" w:line="288" w:before="0" w:after="0"/>
        <w:ind w:left="0" w:right="0" w:hanging="237"/>
        <w:jc w:val="left"/>
        <w:rPr>
          <w:rFonts w:ascii="Times New Roman;serif" w:hAnsi="Times New Roman;serif"/>
          <w:b w:val="false"/>
          <w:color w:val="000000"/>
          <w:sz w:val="16"/>
        </w:rPr>
      </w:pPr>
      <w:r>
        <w:rPr>
          <w:rFonts w:ascii="Times New Roman;serif" w:hAnsi="Times New Roman;serif"/>
          <w:b w:val="false"/>
          <w:color w:val="000000"/>
          <w:sz w:val="16"/>
        </w:rPr>
        <w:t>(1)if traded on a securities exchange or through the Nasdaq</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National Market, the value shall be deemed to be the average of the closing prices of the securities on such quotation system over the thirty (30) trading day period ending three (3) trading days prior to the occurrence of the Liquidation;</w:t>
      </w:r>
    </w:p>
    <w:p>
      <w:pPr>
        <w:pStyle w:val="TextBody"/>
        <w:bidi w:val="0"/>
        <w:spacing w:before="5" w:after="283"/>
        <w:jc w:val="left"/>
        <w:rPr/>
      </w:pPr>
      <w:r>
        <w:rPr/>
      </w:r>
    </w:p>
    <w:p>
      <w:pPr>
        <w:pStyle w:val="TextBody"/>
        <w:bidi w:val="0"/>
        <w:spacing w:lineRule="auto" w:line="288" w:before="0" w:after="0"/>
        <w:ind w:left="0" w:right="0" w:hanging="233"/>
        <w:jc w:val="left"/>
        <w:rPr>
          <w:rFonts w:ascii="Times New Roman;serif" w:hAnsi="Times New Roman;serif"/>
          <w:b w:val="false"/>
          <w:color w:val="000000"/>
          <w:sz w:val="16"/>
        </w:rPr>
      </w:pPr>
      <w:r>
        <w:rPr>
          <w:rFonts w:ascii="Times New Roman;serif" w:hAnsi="Times New Roman;serif"/>
          <w:b w:val="false"/>
          <w:color w:val="000000"/>
          <w:sz w:val="16"/>
        </w:rPr>
        <w:t>(2)if actively traded over-the-counter, the value shall be</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deemed to be the average of the closing bid or sale prices (whichever is applicable) over the thirty (30) trading day period ending three (3) trading days prior to the occurrence of the Liquidation; and</w:t>
      </w:r>
    </w:p>
    <w:p>
      <w:pPr>
        <w:pStyle w:val="TextBody"/>
        <w:bidi w:val="0"/>
        <w:spacing w:before="4" w:after="283"/>
        <w:jc w:val="left"/>
        <w:rPr/>
      </w:pPr>
      <w:r>
        <w:rPr/>
      </w:r>
    </w:p>
    <w:p>
      <w:pPr>
        <w:pStyle w:val="TextBody"/>
        <w:bidi w:val="0"/>
        <w:spacing w:lineRule="auto" w:line="288" w:before="1" w:after="283"/>
        <w:ind w:left="0" w:right="0" w:hanging="232"/>
        <w:jc w:val="left"/>
        <w:rPr>
          <w:rFonts w:ascii="Times New Roman;serif" w:hAnsi="Times New Roman;serif"/>
          <w:b w:val="false"/>
          <w:color w:val="000000"/>
          <w:sz w:val="16"/>
        </w:rPr>
      </w:pPr>
      <w:r>
        <w:rPr>
          <w:rFonts w:ascii="Times New Roman;serif" w:hAnsi="Times New Roman;serif"/>
          <w:b w:val="false"/>
          <w:color w:val="000000"/>
          <w:sz w:val="16"/>
        </w:rPr>
        <w:t>(3)if there is no active public market, the value shall be the</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fair market value thereof, as determined by the Board of Directors.</w:t>
      </w:r>
    </w:p>
    <w:p>
      <w:pPr>
        <w:pStyle w:val="TextBody"/>
        <w:bidi w:val="0"/>
        <w:spacing w:before="11"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(ii)The method of valuation of securities subject to investment</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letter or other restrictions on free marketability (other than restrictions arising solely by virtue of a stockholder's status as an affiliate or former affiliate) shall be to effectuate an appropriate discount from the market value, as determined by clause (i)(1), (2) or (3) of this Section 3(c), so as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reflect the approximate fair market value thereof, as determined by the Board of Directors.</w:t>
      </w:r>
    </w:p>
    <w:p>
      <w:pPr>
        <w:pStyle w:val="TextBody"/>
        <w:bidi w:val="0"/>
        <w:spacing w:before="5" w:after="283"/>
        <w:jc w:val="left"/>
        <w:rPr/>
      </w:pPr>
      <w:r>
        <w:rPr/>
      </w:r>
    </w:p>
    <w:p>
      <w:pPr>
        <w:pStyle w:val="TextBody"/>
        <w:bidi w:val="0"/>
        <w:spacing w:lineRule="auto" w:line="288" w:before="0" w:after="0"/>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(iii)The holders of at least a majority of the outstanding Series B</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Preferred Stock shall have the right to challenge any determination by the Board of Directors of fair market value pursuant to this Section 3(c), in which case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determination of fair market value shall be made by an independent appraiser selected jointly by the Board of Directors and the challenging parties, the cost of such appraisal to be borne equally by the Corporation and the challenging parties.</w:t>
      </w:r>
    </w:p>
    <w:p>
      <w:pPr>
        <w:pStyle w:val="TextBody"/>
        <w:bidi w:val="0"/>
        <w:spacing w:before="5"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4.Conversion Rights.</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The holders of the Series B Preferred Stock shall have conversion rights as follows (the "Conversion Right"):</w:t>
      </w:r>
    </w:p>
    <w:p>
      <w:pPr>
        <w:pStyle w:val="TextBody"/>
        <w:bidi w:val="0"/>
        <w:spacing w:before="5" w:after="283"/>
        <w:jc w:val="left"/>
        <w:rPr/>
      </w:pPr>
      <w:r>
        <w:rPr/>
      </w:r>
    </w:p>
    <w:p>
      <w:pPr>
        <w:pStyle w:val="TextBody"/>
        <w:bidi w:val="0"/>
        <w:spacing w:lineRule="auto" w:line="288" w:before="0" w:after="0"/>
        <w:ind w:left="0" w:right="0" w:hanging="220"/>
        <w:jc w:val="left"/>
        <w:rPr>
          <w:rFonts w:ascii="Times New Roman;serif" w:hAnsi="Times New Roman;serif"/>
          <w:b w:val="false"/>
          <w:color w:val="000000"/>
          <w:sz w:val="16"/>
        </w:rPr>
      </w:pPr>
      <w:r>
        <w:rPr>
          <w:rFonts w:ascii="Times New Roman;serif" w:hAnsi="Times New Roman;serif"/>
          <w:b w:val="false"/>
          <w:color w:val="000000"/>
          <w:sz w:val="16"/>
        </w:rPr>
        <w:t>(a)Conversion Price. The "Conversion Price" shall, initially, be U.S.$5.00</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per share and shall be subject to adjustment as set forth below in Sections 4(e) and 4(f).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35660"/>
                <wp:effectExtent l="0" t="0" r="0" b="0"/>
                <wp:wrapNone/>
                <wp:docPr id="93" name="Frame68"/>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9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6" descr=""/>
                                          <pic:cNvPicPr>
                                            <a:picLocks noChangeAspect="1" noChangeArrowheads="1"/>
                                          </pic:cNvPicPr>
                                        </pic:nvPicPr>
                                        <pic:blipFill>
                                          <a:blip r:embed="rId29"/>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9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6" descr=""/>
                                    <pic:cNvPicPr>
                                      <a:picLocks noChangeAspect="1" noChangeArrowheads="1"/>
                                    </pic:cNvPicPr>
                                  </pic:nvPicPr>
                                  <pic:blipFill>
                                    <a:blip r:embed="rId30"/>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236"/>
        <w:jc w:val="left"/>
        <w:rPr/>
      </w:pPr>
      <w:r>
        <w:rPr>
          <w:rFonts w:ascii="Times New Roman;serif" w:hAnsi="Times New Roman;serif"/>
          <w:b w:val="false"/>
          <w:color w:val="000000"/>
          <w:sz w:val="16"/>
        </w:rPr>
        <w:t>(b)</w:t>
      </w:r>
      <w:r>
        <w:rPr/>
        <w:drawing>
          <wp:inline distT="0" distB="0" distL="0" distR="0">
            <wp:extent cx="6276975" cy="14605"/>
            <wp:effectExtent l="0" t="0" r="0" b="0"/>
            <wp:docPr id="9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7" descr=""/>
                    <pic:cNvPicPr>
                      <a:picLocks noChangeAspect="1" noChangeArrowheads="1"/>
                    </pic:cNvPicPr>
                  </pic:nvPicPr>
                  <pic:blipFill>
                    <a:blip r:embed="rId31"/>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Automatic Conversion. If the closing price for the shares of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Corporation's Common Stock (trading on a securities exchange or through Nasdaq National Market or other national exchange or market) exceeds $11.00 per share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(as adjusted for events described in Section 4(e)(ii) and 4(e)(iii) below) for any thirty consecutive trading day period that begins after February 28, 2005, then, upon such occurrence, each share of Series B Preferred Stock shall be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automatically converted into such number of fully paid and non-assessable shares of Common Stock as is determined by dividing (x) the Original Issue Price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such share of Series B Preferred Stock (including any accumulated or accrued but unpaid dividends thereon) by (y) the Conversion Price. The date of such conversion is herein referred to as the "Conversion Date."</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(c)Optional Conversion. The holders of the Series B Preferred Stock shall have the right, at any time, to convert the shares of Series B Preferred Stock</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held by such holder into that number of shares of Common Stock into which such shares are convertible pursuant to Section 4(b) ("Optional Conversion"). In the event of any Optional Conversion, the date of such conversion shall be referred to as the "Optional Conversion Date."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(d)Mechanics of Conversion. On the Conversion Date or Optional Conversion Date, as the case may be, (x) each holder shall tender such holder's shares of Series B Preferred Stock to the Corporation for cancellation, free and clear of encumbrances of any type or nature, and (y) the Corporation shall cause to be delivered to such holder a number of shares of Common Stock as calculated pursuant to Section 4(b) above, free and clear of encumbrances of any type or nature. Each holder and the Corporation shall take all other necessary or appropriate actions in connection with or to effect such closing.</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(e)Certain Adjustments. To the extent that the holders of Series B Preferred Stock do not participate fully with other stockholders 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Corporation with respect to dividends paid pursuant to Section 2 hereof, the following adjustments shall be made to the Conversion Price: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(i)Adjustment for Common Stock Dividends and Distributions. If, at any time after the original issue date of the Series B Preferred Stock (the"Original Issue Date"), the Corporation makes, or fixes a record date for the determination of holders of Common Stock entitled to receive, a dividend or other distribution payable in additional shares of Common Stock or Common Stock Equivalents, in each such event the Conversion Price that is then in effect shall be decreased as of the time of such issuance or, in the event such record date is fixed, as of the close of business on such record date, by multiplying the Conversion Price then in effect by a fraction (i) the numerator of which is the total number of shares of Common Stock and Common Stock Equivalents issued and outstanding immediately prior to the time of such issuance or the close of business on such record date, and (ii) the denominator of which is the total number of shares of Common Stock and Common Stock Equivalents issued and outstanding immediately prior to the time of such issuance or the close of business on such record date plus the number of shares of Common Stock or Common Stock Equivalents issuable in payment of such dividend or distribution; provided, however, that if such record date is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4(e)(i) to reflect the actual payment of such dividend or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49935"/>
                <wp:effectExtent l="0" t="0" r="0" b="0"/>
                <wp:wrapNone/>
                <wp:docPr id="97" name="Frame6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8" w:after="283"/>
        <w:jc w:val="left"/>
        <w:rPr/>
      </w:pPr>
      <w:r>
        <w:rPr/>
        <w:drawing>
          <wp:inline distT="0" distB="0" distL="0" distR="0">
            <wp:extent cx="6276975" cy="14605"/>
            <wp:effectExtent l="0" t="0" r="0" b="0"/>
            <wp:docPr id="9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8" descr=""/>
                    <pic:cNvPicPr>
                      <a:picLocks noChangeAspect="1" noChangeArrowheads="1"/>
                    </pic:cNvPicPr>
                  </pic:nvPicPr>
                  <pic:blipFill>
                    <a:blip r:embed="rId32"/>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A "Common Stock Equivalent" shall mean each share of Common Stock into which securities or property or rights are convertible, exchangeable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exercisable for or into shares of Common Stock, or otherwise entitle the holder thereof to receive directly or indirectly, any of the foregoing.</w:t>
      </w:r>
    </w:p>
    <w:p>
      <w:pPr>
        <w:pStyle w:val="TextBody"/>
        <w:bidi w:val="0"/>
        <w:spacing w:before="5"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(ii)Adjustments for Stock Splits, Stock Subdivisions and</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Combinations. If, at any time after the Original Issue Date, the Corporation subdivides or combines the Common Stock without making a corresponding subdivision or combination of the Series B Preferred Stock, (A) in the case of a subdivision (including a stock split), the Conversion Price in effect immediately prior to such event shall be proportionately decreased and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purchasable thereunder shall be proportionately increased, and (B) in the case of a combination (including a reverse stock</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split), the Conversion Price in effect immediately prior to such event shall be proportionately increased and the number of shares of Common Stock purchasable thereunder shall be proportionately decreased. Any adjustment under this Section 4(e)(ii) shall become effective at the close of business on the date the</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subdivision or combination becomes effective.</w:t>
      </w:r>
    </w:p>
    <w:p>
      <w:pPr>
        <w:pStyle w:val="TextBody"/>
        <w:bidi w:val="0"/>
        <w:spacing w:before="9" w:after="283"/>
        <w:jc w:val="left"/>
        <w:rPr/>
      </w:pPr>
      <w:r>
        <w:rPr/>
      </w:r>
    </w:p>
    <w:p>
      <w:pPr>
        <w:pStyle w:val="TextBody"/>
        <w:bidi w:val="0"/>
        <w:spacing w:lineRule="auto" w:line="288" w:before="0" w:after="0"/>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(iii)Adjustments for Reclassification, Reorganization and</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Consolidation. In case of (A) any reclassification, reorganization, change or conversion of securities of the class issuable upon conversion of the Series B Preferred Stock (other than a change in par value, or from par value to no par value) into other shares or securities of the Corporation, or (B) any merger or consolidation of the Corporation with or into another entity (other than a Liquidation or a merger or consolidation with another entity in which the Corporation is the acquiring and the surviving entity and that does not result in any reclassification or change of outstanding securities issuable upon conversion of the Series B Preferred Stock) each holder of shares of Series B Preferred Stock shall have the right to receive, in lieu of the shares of Common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otherwise issuable upon the conversion of its shares of Series B Preferred Stock (and accumulated or accrued and unpaid dividends then-outstanding thereunder) in accordance with Section 4(b), the kind and amount of shares of stock and other securities, money and property receivable upon such reclassification, reorganization, change, merger or consolidation upon conversion by a holder of the maximum number of shares of Common Stock into which such shares of Series B Preferred Stock could have been converted immediately prior to such reclassification, reorganization, change, merger or consolidation, all subject to further adjustment as provided herein or with respect to such other securities or property by the terms thereof. The provisions of this clause (iii) shall similarly attach to successive reclassifications, reorganizations, changes, mergers and consolidations.</w:t>
      </w:r>
    </w:p>
    <w:p>
      <w:pPr>
        <w:pStyle w:val="TextBody"/>
        <w:bidi w:val="0"/>
        <w:spacing w:before="2" w:after="283"/>
        <w:jc w:val="left"/>
        <w:rPr/>
      </w:pPr>
      <w:r>
        <w:rPr/>
      </w:r>
    </w:p>
    <w:p>
      <w:pPr>
        <w:pStyle w:val="TextBody"/>
        <w:bidi w:val="0"/>
        <w:spacing w:lineRule="auto" w:line="288" w:before="0" w:after="0"/>
        <w:ind w:left="0" w:right="0" w:hanging="208"/>
        <w:jc w:val="left"/>
        <w:rPr>
          <w:rFonts w:ascii="Times New Roman;serif" w:hAnsi="Times New Roman;serif"/>
          <w:b w:val="false"/>
          <w:color w:val="000000"/>
          <w:sz w:val="16"/>
        </w:rPr>
      </w:pPr>
      <w:r>
        <w:rPr>
          <w:rFonts w:ascii="Times New Roman;serif" w:hAnsi="Times New Roman;serif"/>
          <w:b w:val="false"/>
          <w:color w:val="000000"/>
          <w:sz w:val="16"/>
        </w:rPr>
        <w:t>(f)Antidilution Adjustments. To the extent that (i) the Corporation issues</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after the Original Issue Date and before November 28, 2003, Additional Shares of Common Stock (as defined below) (in one or more transactions, whether or not related), (ii) each such issuance is at an Effective Price (as defined below)</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per share less than Conversion Price then in effect and (iii) the aggregate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gross proceeds of such issuances exceed $15 million, then the Conversion Price shall be adjusted to equal the lowest Effective Price received by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Corporation pursuant to any such issuance. The previous sentence will apply to any issuances of Additional Shares of Common Stock after the $15 million threshold has been met (provided any such issuance is below the Conversion Price then in effect) but will not apply to any issuance of Additional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49935"/>
                <wp:effectExtent l="0" t="0" r="0" b="0"/>
                <wp:wrapNone/>
                <wp:docPr id="99" name="Frame7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occurring after November 28, 2003. Notwithstanding the foregoing, the Conversion Price shall in no event be lower than U.S.$[4.17].</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(i)For the purpose of making any adjustment required under Section 4(f), the consideration received by the Company for any issue or sale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shall (A) to the extent it consists of cash, be computed at the net amount of cash received by the Company after deduction of any underwriting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similar commissions, compensation or concessions paid or allowed by the Company in connection with such issue or sale but without deduction of any expenses payable by the Company (except for purposes of determining if the $15 million threshold referred to above has been met, in which case the consideration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received will be deemed to be the aggregate gross proceeds received by the Company), (B) to the extent it consists of property other than cash, be computed at the fair value of that property as determined in good faith by the Board of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 provided, however, that the holders of at least a majority of the outstanding Series B Preferred Stock shall have the right to challenge any determination by the Board of Directors of fair market value pursuant to this Section 4(f)(i), in which case the determination of fair market value shall be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made by an independent appraiser selected jointly by the Board of Directors and the challenging parties, the cost of such appraisal to be borne equally by the Corporation and the challenging parties.</w:t>
      </w:r>
    </w:p>
    <w:p>
      <w:pPr>
        <w:pStyle w:val="TextBody"/>
        <w:bidi w:val="0"/>
        <w:spacing w:before="2"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(ii)For the purpose of the adjustment required under this Section</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4(f), if the Company issues or sells (A) stock or other securities convertible into, Additional Shares of Common Stock (such convertible stock or securities being herein referred to as "Convertible Securities") or (B) rights or options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for the purchase of Additional Shares of Common Stock or Convertible Securities and if the Effective Price of such Additional Shares of Common Stock is less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than the Conversion Price, in each case the Company shall be deemed to have issued at the time of the issuance of such rights or options or Convertible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the maximum number of Additional Shares of Common Stock issuable upon exercise or conversion thereof and to have received as consideration for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such shares an amount equal to the total amount of the consideration, if any, received by the Company for the issuance of such rights or options or Convertible Securities, plus, in the case of such rights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options, the minimum amounts of consideration, if any, payable to the Company upon the exercise of such rights or options, plus, in the case of Convertible Securities, the minimum amounts of consideration, if any, payable to the Company (other than by cancellation of liabilities or obligations evidenced by such Convertible Securities) upon the conversion thereof; provided that if in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case of Convertible Securities the minimum amounts of such consideration cannot be ascertained, but are a function of antidilution or similar protective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clauses, the Company shall be deemed to have received the minimum amounts of consideration without reference to such clauses; provided further that 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49935"/>
                <wp:effectExtent l="0" t="0" r="0" b="0"/>
                <wp:wrapNone/>
                <wp:docPr id="100" name="Frame7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10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9" descr=""/>
                    <pic:cNvPicPr>
                      <a:picLocks noChangeAspect="1" noChangeArrowheads="1"/>
                    </pic:cNvPicPr>
                  </pic:nvPicPr>
                  <pic:blipFill>
                    <a:blip r:embed="rId33"/>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 No further adjustment of the Conversion Price, as adjusted upon the issuance of such rights, options or Convertible Securities, shall be made as a result of the actual issuance of Additional Shares of Common Stock on the exercise of any such rights or options or the conversion of any</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such Convertible Securities. If any such rights or options or the conversion privilege represented by any such Convertible Securities shall expire without having been exercised, the Conversion Price, as adjusted upon the issuance of such rights, options or Convertible Securities, shall be readjusted to the Conversion Price which would have been in effect had an adjustment been made on the basis that the only Additional Shares of Common Stock so issued were the Additional Shares of Common Stock, if any, actually issued or sold on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w:t>
      </w:r>
    </w:p>
    <w:p>
      <w:pPr>
        <w:pStyle w:val="TextBody"/>
        <w:bidi w:val="0"/>
        <w:spacing w:before="2"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"Additional Shares of Common Stock" shall mean all shares of</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by the Company or deemed to be issued pursuant to this Section 4(f), whether or not subsequently reacquired or retired by the Company other than (A) shares of Common Stock and/or options, warrants or other Common Stock purchase rights, and the Common Stock issued or issuable pursuant to such options, warrants or other rights to employees, officers or directors of, or consultants or advisors to the Company or any subsidiary pursuant to stock purchase or stock option plans or other arrangements that are approved by the Board; (B) shares of Common Stock issued or issuable pursuant to any equipment loan or leasing arrangement, or debt financing from a bank or similar financial institution; (C) shares of Common Stock issued or issuable in connection with licensing transactions involving the Company and other entities, including (1) joint ventures, manufacturing, marketing or distribution arrangements or (2)</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technology transfer or development arrangements; provided that such transactions in (1) and (2) and the issuance of shares therein has been approved by a</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majority of the members of the Company's Board of Directors and the aggregate number of shares so issued does not exceed four million (4,000,000)(as adjusted for stock splits, stock dividends, stock combinations, recapitalizatons and the like); and (D) any other issuances approved by the holders of a majority of the Series B Preferred Stock then outstanding.</w:t>
      </w:r>
    </w:p>
    <w:p>
      <w:pPr>
        <w:pStyle w:val="TextBody"/>
        <w:bidi w:val="0"/>
        <w:spacing w:before="3"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"Effective Price" of Additional Shares of Common Stock</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shall mean the quotient determined by dividing the total number of Additional Shares of Common Stock issued or sold, or deemed to have been issued or sold by the Company under this Section 4(f), into the aggregate consideration received,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or deemed to have been received by the Company for such issue under this Section 4(f), for such Additional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49935"/>
                <wp:effectExtent l="0" t="0" r="0" b="0"/>
                <wp:wrapNone/>
                <wp:docPr id="102" name="Frame7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5.Other Distributions.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the event the Corporation provides the holders of its Common Stock with consideration that is not otherwise addressed in Section 4 (including, without limitation, declaring a distribution payable in securities, assets, cash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evidences of indebtedness issued by other persons or the Corporation (excluding cash dividends declared and paid by the Corporation out of retained earnings)), then, in each such case, the holders of the Series B Preferred Stock shall be entitled to a pro rata share of any such distribution as though such holders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were holders of the number of shares of Common Stock of the Corporation as though the Series B Preferred Stock had been converted in whole as of the record date fixed for the determination of the holders of Common Stock of the Corporation entitled to receive such distribution.</w:t>
      </w:r>
    </w:p>
    <w:p>
      <w:pPr>
        <w:pStyle w:val="TextBody"/>
        <w:bidi w:val="0"/>
        <w:spacing w:before="3" w:after="283"/>
        <w:jc w:val="left"/>
        <w:rPr/>
      </w:pPr>
      <w:r>
        <w:rPr/>
      </w:r>
    </w:p>
    <w:p>
      <w:pPr>
        <w:pStyle w:val="TextBody"/>
        <w:bidi w:val="0"/>
        <w:spacing w:lineRule="auto" w:line="288" w:before="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6.Recapitalizations.</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 at any time there occurs a recapitalization of the Common Stock (other than a subdivision, combination, or merger or sale of assets provided for in Section 4 hereof), the holders of the Series B Preferred Stock shall be entitled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to receive upon conversion of the Series B Preferred Stock the number of shares of capital stock or other securities or property of the Corporation or otherwise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to which a holder of the Common Stock deliverable upon conversion would have been entitled on such recapitalization. In any such case, appropriate adjustment shall be made in the application of the provisions of Section 4 hereof with respect to the rights of the holders of the Series B Preferred Stock after the recapitalization to the end that the provisions of Section 4 hereof (including adjustment of the Conversion Price then in effect and the number of shares purchasable upon conversion of the Series B Preferred Stock) shall be applicable after that event as nearly equivalent as may be practicable.</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7.No Impairment.</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will not, by amendment of the Certificate of Incorporation or through any reorganization, recapitalization, transfer of assets, consolidation, merger, dissolution, issuance or sale of securities or any other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voluntary action, avoid or seek to avoid the observance or performance of any of the terms to be observed or performed hereunder by the Corporation, but will at all times in good faith assist in the carrying out of all the provisions hereof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and in the taking of all such action as may be necessary or appropriate in order to protect the Conversion Right of the holders of the Series B Preferred Stock against impairment.</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8.No Fractional Shares and Certificate as to Adjustments.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(a)No fractional shares of Common Stock will be issued upon the conversion of any share or shares of the Series B Preferred Stock. All shares of Common Stock (including fractions thereof) issuable upon conversion of more than one share of Series B Preferred Stock by a holder shall be aggregated for purposes of determining whether the conversion would result in the issuance of any fractional share. If, after the aforementioned aggregation, the conversion would result in the issuance of a fraction of a share of Common Stock, the Corporation shall, in lieu of issuing any fractional share, pay the holder otherwise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entitled to such fraction a sum in cash equal to such fraction multiplied by the closing price of the Corporation's Common Stock on the Nasdaq National Market (or any other national securities exchange on which the Common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28040"/>
                <wp:effectExtent l="0" t="0" r="0" b="0"/>
                <wp:wrapNone/>
                <wp:docPr id="103" name="Frame73"/>
                <a:graphic xmlns:a="http://schemas.openxmlformats.org/drawingml/2006/main">
                  <a:graphicData uri="http://schemas.microsoft.com/office/word/2010/wordprocessingShape">
                    <wps:wsp>
                      <wps:cNvSpPr txBox="1"/>
                      <wps:spPr>
                        <a:xfrm>
                          <a:off x="0" y="0"/>
                          <a:ext cx="6480175" cy="82804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0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0" descr=""/>
                                          <pic:cNvPicPr>
                                            <a:picLocks noChangeAspect="1" noChangeArrowheads="1"/>
                                          </pic:cNvPicPr>
                                        </pic:nvPicPr>
                                        <pic:blipFill>
                                          <a:blip r:embed="rId34"/>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0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0" descr=""/>
                                    <pic:cNvPicPr>
                                      <a:picLocks noChangeAspect="1" noChangeArrowheads="1"/>
                                    </pic:cNvPicPr>
                                  </pic:nvPicPr>
                                  <pic:blipFill>
                                    <a:blip r:embed="rId35"/>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8" w:after="283"/>
        <w:jc w:val="left"/>
        <w:rPr>
          <w:rFonts w:ascii="Times New Roman;serif" w:hAnsi="Times New Roman;serif"/>
          <w:b w:val="false"/>
          <w:color w:val="000000"/>
          <w:sz w:val="16"/>
        </w:rPr>
      </w:pPr>
      <w:r>
        <w:rPr>
          <w:rFonts w:ascii="Times New Roman;serif" w:hAnsi="Times New Roman;serif"/>
          <w:b w:val="false"/>
          <w:color w:val="000000"/>
          <w:sz w:val="16"/>
        </w:rPr>
        <w:t>Stock is then traded) on the day immediately preceding the conversion. All calculations under Section 4 hereof and this Section 8(a) shall be made to the nearest cent or to the nearest share, as the case may be.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(b)Upon the occurrence of each adjustment or readjustment of the Conversion Price pursuant to Section 4 hereof, the Corporation, at its expense,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shall promptly compute such adjustment or readjustment in accordance with the terms hereof and prepare and furnish to each holder of shares of Series B Preferred Stock a certificate setting forth such adjustment or readjustment and showing in detail the facts upon which such adjustment or readjustment is based. The Corporation shall, upon the written request at any time of any holder of Series B Preferred Stock, use its reasonable best efforts to furnish or cause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 furnished to such holder a like certificate setting forth (i) such adjustment or readjustment, (ii) the Conversion Price at the time in effect, and (iii)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and the amount, if any, of other property which at the time would be received upon the conversion of a share of Series B</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w:t>
      </w:r>
    </w:p>
    <w:p>
      <w:pPr>
        <w:pStyle w:val="TextBody"/>
        <w:bidi w:val="0"/>
        <w:spacing w:before="10"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9.Reservation of Stock Issuable Upon Conversion.</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The Corporation shall at all times reserve and keep available out of its authorized but unissued shares of Common Stock, solely for the purpose of effecting the conversion of the shares of the Series B Preferred Stock, such number of its shares of Common Stock that shall from time to time be sufficient to effect the conversion of all outstanding shares of the Series B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and if at any time the number of authorized but unissued shares of Common Stock not otherwise reserved for issuance shall not be sufficient to effect the conversion of all then outstanding shares of the Series B Preferred Stock, the Corporation shall take such corporate action that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its Certificate of Incorporation.</w:t>
      </w:r>
    </w:p>
    <w:p>
      <w:pPr>
        <w:pStyle w:val="TextBody"/>
        <w:bidi w:val="0"/>
        <w:spacing w:before="3"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10.Notices.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Any notice required by the provisions hereof to be given to the holders of shares of Series B Preferred Stock shall be given in writing and shall be deemed to have been given (i) in the case of personal or hand delivery, on the date of such delivery, (ii) in the case of an internationally-recognized overnight delivery courier, on the second business day after the date when sent, (iii) in the case of mailing, on the fifth business day following that day on which the piece of mail containing such communication is posted, and (iv) in the case of facsimile transmission, the date of telephone confirmation of receipt.</w:t>
      </w:r>
    </w:p>
    <w:p>
      <w:pPr>
        <w:pStyle w:val="TextBody"/>
        <w:bidi w:val="0"/>
        <w:spacing w:before="4" w:after="283"/>
        <w:jc w:val="left"/>
        <w:rPr/>
      </w:pPr>
      <w:r>
        <w:rPr/>
      </w:r>
    </w:p>
    <w:p>
      <w:pPr>
        <w:pStyle w:val="TextBody"/>
        <w:bidi w:val="0"/>
        <w:spacing w:lineRule="auto" w:line="288" w:before="0" w:after="0"/>
        <w:ind w:left="0" w:right="0" w:hanging="213"/>
        <w:jc w:val="left"/>
        <w:rPr>
          <w:rFonts w:ascii="Times New Roman;serif" w:hAnsi="Times New Roman;serif"/>
          <w:b w:val="false"/>
          <w:color w:val="000000"/>
          <w:sz w:val="16"/>
        </w:rPr>
      </w:pPr>
      <w:r>
        <w:rPr>
          <w:rFonts w:ascii="Times New Roman;serif" w:hAnsi="Times New Roman;serif"/>
          <w:b w:val="false"/>
          <w:color w:val="000000"/>
          <w:sz w:val="16"/>
        </w:rPr>
        <w:t>11.Voting Rights.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Holders of Series B Preferred Stock shall be entitled to vote on all</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matters submitted to a vote of the holders of the Corporation's Common Stock, including with respect to the election of directors of the Corporation, on an as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 converted to Common Stock basis; provided, however, that the number of votes to which the Series B Preferred Stock is entitled shall be based on a conversion price of $5.00 per share, giving effect to any future adjustments pursuant to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28040"/>
                <wp:effectExtent l="0" t="0" r="0" b="0"/>
                <wp:wrapNone/>
                <wp:docPr id="106" name="Frame74"/>
                <a:graphic xmlns:a="http://schemas.openxmlformats.org/drawingml/2006/main">
                  <a:graphicData uri="http://schemas.microsoft.com/office/word/2010/wordprocessingShape">
                    <wps:wsp>
                      <wps:cNvSpPr txBox="1"/>
                      <wps:spPr>
                        <a:xfrm>
                          <a:off x="0" y="0"/>
                          <a:ext cx="6480175" cy="82804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0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1" descr=""/>
                                          <pic:cNvPicPr>
                                            <a:picLocks noChangeAspect="1" noChangeArrowheads="1"/>
                                          </pic:cNvPicPr>
                                        </pic:nvPicPr>
                                        <pic:blipFill>
                                          <a:blip r:embed="rId36"/>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0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1" descr=""/>
                                    <pic:cNvPicPr>
                                      <a:picLocks noChangeAspect="1" noChangeArrowheads="1"/>
                                    </pic:cNvPicPr>
                                  </pic:nvPicPr>
                                  <pic:blipFill>
                                    <a:blip r:embed="rId37"/>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10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2" descr=""/>
                    <pic:cNvPicPr>
                      <a:picLocks noChangeAspect="1" noChangeArrowheads="1"/>
                    </pic:cNvPicPr>
                  </pic:nvPicPr>
                  <pic:blipFill>
                    <a:blip r:embed="rId38"/>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4(e) above, but without giving any effect to any future adjustments pursuant to Section 4(f) above.</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12.Protective Provisions.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Subject to the rights of any series of preferred stock that may from time to time come into existence, so long as any shares of Series B Preferred Stock are outstanding, the Corporation shall not without first obtaining the approval (by vote or written consent, as provided by law) of the holders of at least a majority of the then-outstanding shares of Series B Preferred Stock, voting separately as a series:</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(a)amend its Certificate of Incorporation (including the filing of a Certificate of Designations) so as to (i) increase the number of authorized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shares of the Corporation's preferred stock or (ii) affect adversely the shares of Series B Preferred Stock or any holder thereof, including, without limitation, by creating any additional series of preferred stock (or issuing shares under any such series) that is senior or pari passu in liquidation preference, redemption right, conversion rights or right of payment to the Series B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(b)after the date of this Certificate of Designation, create any new debt instrument or create or increase any new or existing bank line (or similar arrangement pursuant to which the Company is or becomes indebted), so that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Company's total indebtedness pursuant to such instruments, lines or arrangements exceeds $105,000,000 in the aggregate; or</w:t>
      </w:r>
    </w:p>
    <w:p>
      <w:pPr>
        <w:pStyle w:val="TextBody"/>
        <w:bidi w:val="0"/>
        <w:spacing w:before="4"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(c)change the rights of the holders of the Series B Preferred Stock in any other respect;</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provided, however, that the authorization and issuance of additional shares of Common Stock, and creation of any series of preferred stock (or issuing shares under any such series) that is junior in right of payment upon liquidation, redemption, conversion and payment rights and otherwise to the Series B Preferred Stock shall not be deemed to adversely affect the rights, preferences or privileges of the Series B Preferred Stock or any holder thereof or change the rights of the holders of the Series B Preferred Stock in any other respect.</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Series B Preferred Stock shall have no preemptive rights pursuant hereto.</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13.Legend.</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Series B Preferred Stock and any underlying shares of Common Stock will be issued under an exemption or exemptions from registration under the Act.</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Accordingly, the certificates evidencing the Series B Preferred Stock and the underlying Common Stock shall, upon issuance, contain a legend, substantially in the form as follows:</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SECURITIES REPRESENTED HEREBY HAVE NOT BEEN REGISTERED UNDER THE U.S. SECURITIES ACT OF 1933, AS AMENDED (THE "ACT"), OR APPLICABLE STATE SECURITIES LAWS AND NO INTEREST HEREIN MAY BE SOLD, TRANSFERRED OR OTHERWISE DISPOSED OF UNLESS (1) A REGISTRATION STATEMENT WITH RESPECT TO SUCH SECURITIES SHALL BE EFFECTIVE 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49935"/>
                <wp:effectExtent l="0" t="0" r="0" b="0"/>
                <wp:wrapNone/>
                <wp:docPr id="110" name="Frame7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r>
                                    <w:br w:type="page"/>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THE ACT AND ANY APPLICABLE STATE SECURITIES LAWS OR (2) SUCH SECURITIES ARE TRANSFERRED PURSUANT TO RULE 144 PROMULGATED UNDER THE ACT (OR ANY SUCCESSOR RULE) OR (3) THE ISSUER OF THESE SECURITIES SHALL HAVE RECEIVED AN OPINION OF COUNSEL FOR THE HOLDER OF THESE SECURITIES REASONABLY SATISFACTORY TO THE ISSUER THAT NO VIOLATION OF THE ACT OR SIMILAR STATE SECURITIES LAWS WILL BE INVOLVED</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IN SUCH TRANSFER.</w:t>
      </w:r>
    </w:p>
    <w:p>
      <w:pPr>
        <w:pStyle w:val="TextBody"/>
        <w:bidi w:val="0"/>
        <w:spacing w:before="11"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14.Status of Converted Stock.</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the event any shares of Series B Preferred Stock shall be converted pursuant to Section 4 hereof, the shares so converted shall be canceled and shall not be reissuable by the Corporation.</w:t>
      </w:r>
    </w:p>
    <w:p>
      <w:pPr>
        <w:pStyle w:val="TextBody"/>
        <w:bidi w:val="0"/>
        <w:spacing w:before="5" w:after="283"/>
        <w:jc w:val="left"/>
        <w:rPr/>
      </w:pPr>
      <w:r>
        <w:rPr/>
      </w:r>
    </w:p>
    <w:p>
      <w:pPr>
        <w:pStyle w:val="TextBody"/>
        <w:bidi w:val="0"/>
        <w:spacing w:lineRule="auto" w:line="288" w:before="1" w:after="283"/>
        <w:jc w:val="left"/>
        <w:rPr>
          <w:rFonts w:ascii="Times New Roman;serif" w:hAnsi="Times New Roman;serif"/>
          <w:b w:val="false"/>
          <w:color w:val="000000"/>
          <w:sz w:val="16"/>
        </w:rPr>
      </w:pPr>
      <w:r>
        <w:rPr>
          <w:rFonts w:ascii="Times New Roman;serif" w:hAnsi="Times New Roman;serif"/>
          <w:b w:val="false"/>
          <w:color w:val="000000"/>
          <w:sz w:val="16"/>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28040"/>
                <wp:effectExtent l="0" t="0" r="0" b="0"/>
                <wp:wrapNone/>
                <wp:docPr id="111" name="Frame76"/>
                <a:graphic xmlns:a="http://schemas.openxmlformats.org/drawingml/2006/main">
                  <a:graphicData uri="http://schemas.microsoft.com/office/word/2010/wordprocessingShape">
                    <wps:wsp>
                      <wps:cNvSpPr txBox="1"/>
                      <wps:spPr>
                        <a:xfrm>
                          <a:off x="0" y="0"/>
                          <a:ext cx="6480175" cy="82804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1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3" descr=""/>
                                          <pic:cNvPicPr>
                                            <a:picLocks noChangeAspect="1" noChangeArrowheads="1"/>
                                          </pic:cNvPicPr>
                                        </pic:nvPicPr>
                                        <pic:blipFill>
                                          <a:blip r:embed="rId39"/>
                                          <a:stretch>
                                            <a:fillRect/>
                                          </a:stretch>
                                        </pic:blipFill>
                                        <pic:spPr bwMode="auto">
                                          <a:xfrm>
                                            <a:off x="0" y="0"/>
                                            <a:ext cx="6276975" cy="14605"/>
                                          </a:xfrm>
                                          <a:prstGeom prst="rect">
                                            <a:avLst/>
                                          </a:prstGeom>
                                        </pic:spPr>
                                      </pic:pic>
                                    </a:graphicData>
                                  </a:graphic>
                                </wp:inline>
                              </w:drawing>
                            </w:r>
                            <w:r>
                              <w:br w:type="page"/>
                            </w:r>
                          </w:p>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1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3" descr=""/>
                                    <pic:cNvPicPr>
                                      <a:picLocks noChangeAspect="1" noChangeArrowheads="1"/>
                                    </pic:cNvPicPr>
                                  </pic:nvPicPr>
                                  <pic:blipFill>
                                    <a:blip r:embed="rId40"/>
                                    <a:stretch>
                                      <a:fillRect/>
                                    </a:stretch>
                                  </pic:blipFill>
                                  <pic:spPr bwMode="auto">
                                    <a:xfrm>
                                      <a:off x="0" y="0"/>
                                      <a:ext cx="6276975" cy="14605"/>
                                    </a:xfrm>
                                    <a:prstGeom prst="rect">
                                      <a:avLst/>
                                    </a:prstGeom>
                                  </pic:spPr>
                                </pic:pic>
                              </a:graphicData>
                            </a:graphic>
                          </wp:inline>
                        </w:drawing>
                      </w:r>
                    </w:p>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8" w:after="283"/>
        <w:jc w:val="left"/>
        <w:rPr>
          <w:rFonts w:ascii="Times New Roman;serif" w:hAnsi="Times New Roman;serif"/>
          <w:b w:val="false"/>
          <w:color w:val="000000"/>
          <w:sz w:val="16"/>
        </w:rPr>
      </w:pPr>
      <w:r>
        <w:rPr>
          <w:rFonts w:ascii="Times New Roman;serif" w:hAnsi="Times New Roman;serif"/>
          <w:b w:val="false"/>
          <w:color w:val="000000"/>
          <w:sz w:val="16"/>
        </w:rPr>
        <w:t>IN WITNESS WHEREOF, said Wireless Facilities, Inc. has caused this Certificate of Designations to be signed by Masood K. Tayebi, its Chief Executive Officer, as of May 28, 2002.</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11" w:after="283"/>
        <w:jc w:val="left"/>
        <w:rPr/>
      </w:pPr>
      <w:r>
        <w:rPr/>
      </w:r>
    </w:p>
    <w:p>
      <w:pPr>
        <w:pStyle w:val="TextBody"/>
        <w:bidi w:val="0"/>
        <w:spacing w:lineRule="auto" w:line="288" w:before="0" w:after="0"/>
        <w:jc w:val="left"/>
        <w:rPr/>
      </w:pPr>
      <w:r>
        <w:rPr>
          <w:rFonts w:ascii="Times New Roman;serif" w:hAnsi="Times New Roman;serif"/>
          <w:b w:val="false"/>
          <w:color w:val="000000"/>
          <w:sz w:val="16"/>
        </w:rPr>
        <w:t>By:</w:t>
      </w:r>
      <w:r>
        <w:rPr>
          <w:rFonts w:ascii="Times New Roman;serif" w:hAnsi="Times New Roman;serif"/>
          <w:b w:val="false"/>
          <w:color w:val="000000"/>
          <w:sz w:val="16"/>
          <w:u w:val="single"/>
        </w:rPr>
        <w:t>/s/Masood K. Tayebi</w: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Name: Masood K. Tayebi 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28040"/>
                <wp:effectExtent l="0" t="0" r="0" b="0"/>
                <wp:wrapNone/>
                <wp:docPr id="114" name="Frame77"/>
                <a:graphic xmlns:a="http://schemas.openxmlformats.org/drawingml/2006/main">
                  <a:graphicData uri="http://schemas.microsoft.com/office/word/2010/wordprocessingShape">
                    <wps:wsp>
                      <wps:cNvSpPr txBox="1"/>
                      <wps:spPr>
                        <a:xfrm>
                          <a:off x="0" y="0"/>
                          <a:ext cx="6480175" cy="82804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4" descr=""/>
                                          <pic:cNvPicPr>
                                            <a:picLocks noChangeAspect="1" noChangeArrowheads="1"/>
                                          </pic:cNvPicPr>
                                        </pic:nvPicPr>
                                        <pic:blipFill>
                                          <a:blip r:embed="rId41"/>
                                          <a:stretch>
                                            <a:fillRect/>
                                          </a:stretch>
                                        </pic:blipFill>
                                        <pic:spPr bwMode="auto">
                                          <a:xfrm>
                                            <a:off x="0" y="0"/>
                                            <a:ext cx="6276975" cy="14605"/>
                                          </a:xfrm>
                                          <a:prstGeom prst="rect">
                                            <a:avLst/>
                                          </a:prstGeom>
                                        </pic:spPr>
                                      </pic:pic>
                                    </a:graphicData>
                                  </a:graphic>
                                </wp:inline>
                              </w:drawing>
                            </w:r>
                            <w:r>
                              <w:br w:type="page"/>
                            </w:r>
                          </w:p>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1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4" descr=""/>
                                    <pic:cNvPicPr>
                                      <a:picLocks noChangeAspect="1" noChangeArrowheads="1"/>
                                    </pic:cNvPicPr>
                                  </pic:nvPicPr>
                                  <pic:blipFill>
                                    <a:blip r:embed="rId42"/>
                                    <a:stretch>
                                      <a:fillRect/>
                                    </a:stretch>
                                  </pic:blipFill>
                                  <pic:spPr bwMode="auto">
                                    <a:xfrm>
                                      <a:off x="0" y="0"/>
                                      <a:ext cx="6276975" cy="14605"/>
                                    </a:xfrm>
                                    <a:prstGeom prst="rect">
                                      <a:avLst/>
                                    </a:prstGeom>
                                  </pic:spPr>
                                </pic:pic>
                              </a:graphicData>
                            </a:graphic>
                          </wp:inline>
                        </w:drawing>
                      </w:r>
                    </w:p>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2" w:before="73" w:after="283"/>
        <w:ind w:left="0" w:right="0" w:hanging="1061"/>
        <w:jc w:val="left"/>
        <w:rPr>
          <w:rFonts w:ascii="Times New Roman;serif" w:hAnsi="Times New Roman;serif"/>
          <w:b/>
          <w:color w:val="000000"/>
          <w:sz w:val="21"/>
        </w:rPr>
      </w:pPr>
      <w:r>
        <w:rPr>
          <w:rFonts w:ascii="Times New Roman;serif" w:hAnsi="Times New Roman;serif"/>
          <w:b/>
          <w:color w:val="000000"/>
          <w:sz w:val="21"/>
        </w:rPr>
        <w:t>CERTIFICATE OF CORRECTION OF THE CERTIFICATE OF DESIGNATIONS, PREFERENCES AND RIGHTS OF SERIES B PREFERRED STOCK OF WIRELESS FACILITIES, INC.</w:t>
      </w:r>
    </w:p>
    <w:p>
      <w:pPr>
        <w:pStyle w:val="TextBody"/>
        <w:bidi w:val="0"/>
        <w:spacing w:before="147" w:after="283"/>
        <w:jc w:val="left"/>
        <w:rPr/>
      </w:pPr>
      <w:r>
        <w:rPr/>
      </w:r>
    </w:p>
    <w:p>
      <w:pPr>
        <w:pStyle w:val="TextBody"/>
        <w:bidi w:val="0"/>
        <w:spacing w:lineRule="auto" w:line="345" w:before="1" w:after="283"/>
        <w:jc w:val="left"/>
        <w:rPr/>
      </w:pPr>
      <w:r>
        <w:rPr>
          <w:rFonts w:ascii="Times New Roman;serif" w:hAnsi="Times New Roman;serif"/>
          <w:b/>
          <w:color w:val="000000"/>
          <w:sz w:val="16"/>
        </w:rPr>
        <w:t xml:space="preserve">WIRELESS FACILITIES, INC. </w:t>
      </w:r>
      <w:r>
        <w:rPr>
          <w:rFonts w:ascii="Arial;sans-serif" w:hAnsi="Arial;sans-serif"/>
          <w:b w:val="false"/>
          <w:color w:val="000000"/>
          <w:sz w:val="20"/>
        </w:rPr>
        <w:t>(</w:t>
      </w:r>
      <w:r>
        <w:rPr>
          <w:rFonts w:ascii="Times New Roman;serif" w:hAnsi="Times New Roman;serif"/>
          <w:b w:val="false"/>
          <w:color w:val="000000"/>
          <w:sz w:val="16"/>
        </w:rPr>
        <w:t xml:space="preserve">the </w:t>
      </w:r>
      <w:r>
        <w:rPr>
          <w:color w:val="000000"/>
        </w:rPr>
        <w:t>“</w:t>
      </w:r>
      <w:r>
        <w:rPr>
          <w:rFonts w:ascii="Times New Roman;serif" w:hAnsi="Times New Roman;serif"/>
          <w:b/>
          <w:i/>
          <w:color w:val="000000"/>
          <w:sz w:val="21"/>
        </w:rPr>
        <w:t>Corporation”</w:t>
      </w:r>
      <w:r>
        <w:rPr>
          <w:rFonts w:ascii="Times New Roman;serif" w:hAnsi="Times New Roman;serif"/>
          <w:b w:val="false"/>
          <w:i/>
          <w:color w:val="000000"/>
          <w:sz w:val="21"/>
        </w:rPr>
        <w:t xml:space="preserve">), </w:t>
      </w:r>
      <w:r>
        <w:rPr>
          <w:rFonts w:ascii="Times New Roman;serif" w:hAnsi="Times New Roman;serif"/>
          <w:b w:val="false"/>
          <w:color w:val="000000"/>
          <w:sz w:val="16"/>
        </w:rPr>
        <w:t>a corporation organized and existing under and by virtue of the Delaware General Corporation Law, DOES HEREBY CERTIFY:</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1.The name of the Corporation is Wireless Facilities, Inc.</w:t>
      </w:r>
    </w:p>
    <w:p>
      <w:pPr>
        <w:pStyle w:val="TextBody"/>
        <w:bidi w:val="0"/>
        <w:spacing w:before="23" w:after="283"/>
        <w:jc w:val="left"/>
        <w:rPr/>
      </w:pPr>
      <w:r>
        <w:rPr/>
      </w:r>
    </w:p>
    <w:p>
      <w:pPr>
        <w:pStyle w:val="TextBody"/>
        <w:bidi w:val="0"/>
        <w:spacing w:lineRule="auto" w:line="314" w:before="0" w:after="0"/>
        <w:ind w:left="0" w:right="0" w:hanging="783"/>
        <w:jc w:val="both"/>
        <w:rPr/>
      </w:pPr>
      <w:r>
        <w:rPr>
          <w:rFonts w:ascii="Times New Roman;serif" w:hAnsi="Times New Roman;serif"/>
          <w:b w:val="false"/>
          <w:color w:val="000000"/>
          <w:sz w:val="16"/>
        </w:rPr>
        <w:t xml:space="preserve">1.The instrument being corrected is entitled: Certificate of Designations, Preferences and Rights of Series B Preferred Stock of Wireless Facilities, Inc., which was filed on May </w:t>
      </w:r>
      <w:r>
        <w:rPr>
          <w:rFonts w:ascii="Times New Roman;serif" w:hAnsi="Times New Roman;serif"/>
          <w:b w:val="false"/>
          <w:color w:val="000000"/>
          <w:sz w:val="19"/>
        </w:rPr>
        <w:t xml:space="preserve">30, 2002 </w:t>
      </w:r>
      <w:r>
        <w:rPr>
          <w:rFonts w:ascii="Times New Roman;serif" w:hAnsi="Times New Roman;serif"/>
          <w:b w:val="false"/>
          <w:color w:val="000000"/>
          <w:sz w:val="16"/>
        </w:rPr>
        <w:t xml:space="preserve">with the Secretary of State of the State of Delaware (the </w:t>
      </w:r>
      <w:r>
        <w:rPr>
          <w:color w:val="000000"/>
        </w:rPr>
        <w:t>“</w:t>
      </w:r>
      <w:r>
        <w:rPr>
          <w:rFonts w:ascii="Times New Roman;serif" w:hAnsi="Times New Roman;serif"/>
          <w:b/>
          <w:i/>
          <w:color w:val="000000"/>
          <w:sz w:val="16"/>
        </w:rPr>
        <w:t>Certificate of Designations</w:t>
      </w:r>
      <w:r>
        <w:rPr>
          <w:color w:val="000000"/>
        </w:rPr>
        <w:t>”</w:t>
      </w:r>
      <w:r>
        <w:rPr>
          <w:rFonts w:ascii="Times New Roman;serif" w:hAnsi="Times New Roman;serif"/>
          <w:b w:val="false"/>
          <w:color w:val="000000"/>
          <w:sz w:val="16"/>
        </w:rPr>
        <w:t>).</w:t>
      </w:r>
    </w:p>
    <w:p>
      <w:pPr>
        <w:pStyle w:val="TextBody"/>
        <w:bidi w:val="0"/>
        <w:spacing w:before="12" w:after="283"/>
        <w:jc w:val="left"/>
        <w:rPr/>
      </w:pPr>
      <w:r>
        <w:rPr/>
      </w:r>
    </w:p>
    <w:p>
      <w:pPr>
        <w:pStyle w:val="TextBody"/>
        <w:bidi w:val="0"/>
        <w:spacing w:lineRule="auto" w:line="288" w:before="0" w:after="0"/>
        <w:ind w:left="0" w:right="0" w:hanging="808"/>
        <w:jc w:val="left"/>
        <w:rPr>
          <w:rFonts w:ascii="Times New Roman;serif" w:hAnsi="Times New Roman;serif"/>
          <w:b w:val="false"/>
          <w:color w:val="000000"/>
          <w:sz w:val="16"/>
        </w:rPr>
      </w:pPr>
      <w:r>
        <w:rPr>
          <w:rFonts w:ascii="Times New Roman;serif" w:hAnsi="Times New Roman;serif"/>
          <w:b w:val="false"/>
          <w:color w:val="000000"/>
          <w:sz w:val="16"/>
        </w:rPr>
        <w:t>2.The caption for the second paragraph was inadvertently omitted. The caption should be inserted to read “FIRST:”.</w:t>
      </w:r>
    </w:p>
    <w:p>
      <w:pPr>
        <w:pStyle w:val="TextBody"/>
        <w:bidi w:val="0"/>
        <w:spacing w:before="13" w:after="283"/>
        <w:jc w:val="left"/>
        <w:rPr/>
      </w:pPr>
      <w:r>
        <w:rPr/>
      </w:r>
    </w:p>
    <w:p>
      <w:pPr>
        <w:pStyle w:val="TextBody"/>
        <w:bidi w:val="0"/>
        <w:spacing w:lineRule="auto" w:line="285" w:before="0" w:after="0"/>
        <w:ind w:left="0" w:right="0" w:hanging="808"/>
        <w:jc w:val="both"/>
        <w:rPr>
          <w:rFonts w:ascii="Times New Roman;serif" w:hAnsi="Times New Roman;serif"/>
          <w:b w:val="false"/>
          <w:color w:val="000000"/>
          <w:sz w:val="16"/>
        </w:rPr>
      </w:pPr>
      <w:r>
        <w:rPr>
          <w:rFonts w:ascii="Times New Roman;serif" w:hAnsi="Times New Roman;serif"/>
          <w:b w:val="false"/>
          <w:color w:val="000000"/>
          <w:sz w:val="16"/>
        </w:rPr>
        <w:t>3.Article 1, Section 4(f) of the Certificate of Designations had a typographical error. The dollar amount in the last sentence should be U.S.$4.17 not U.S.$4.72.</w:t>
      </w:r>
    </w:p>
    <w:p>
      <w:pPr>
        <w:pStyle w:val="TextBody"/>
        <w:bidi w:val="0"/>
        <w:spacing w:before="3" w:after="283"/>
        <w:jc w:val="left"/>
        <w:rPr/>
      </w:pPr>
      <w:r>
        <w:rPr/>
      </w:r>
    </w:p>
    <w:p>
      <w:pPr>
        <w:pStyle w:val="TextBody"/>
        <w:bidi w:val="0"/>
        <w:spacing w:lineRule="auto" w:line="288" w:before="0" w:after="0"/>
        <w:ind w:left="0" w:right="0" w:hanging="808"/>
        <w:jc w:val="left"/>
        <w:rPr/>
      </w:pPr>
      <w:r>
        <w:rPr>
          <w:rFonts w:ascii="Times New Roman;serif" w:hAnsi="Times New Roman;serif"/>
          <w:b w:val="false"/>
          <w:i/>
          <w:color w:val="000000"/>
          <w:sz w:val="19"/>
        </w:rPr>
        <w:t>5.</w:t>
      </w:r>
      <w:r>
        <w:rPr>
          <w:rFonts w:ascii="Times New Roman;serif" w:hAnsi="Times New Roman;serif"/>
          <w:b w:val="false"/>
          <w:color w:val="000000"/>
          <w:sz w:val="16"/>
        </w:rPr>
        <w:t>The penultimate paragraph was inadvertently omitted. It should read in its entirety as follows:</w:t>
      </w:r>
    </w:p>
    <w:p>
      <w:pPr>
        <w:pStyle w:val="TextBody"/>
        <w:bidi w:val="0"/>
        <w:spacing w:before="42" w:after="283"/>
        <w:jc w:val="left"/>
        <w:rPr/>
      </w:pPr>
      <w:r>
        <w:rPr/>
      </w:r>
    </w:p>
    <w:p>
      <w:pPr>
        <w:pStyle w:val="TextBody"/>
        <w:bidi w:val="0"/>
        <w:spacing w:lineRule="auto" w:line="328" w:before="0" w:after="0"/>
        <w:jc w:val="both"/>
        <w:rPr/>
      </w:pPr>
      <w:r>
        <w:rPr>
          <w:color w:val="000000"/>
        </w:rPr>
        <w:t>“</w:t>
      </w:r>
      <w:r>
        <w:rPr>
          <w:rFonts w:ascii="Times New Roman;serif" w:hAnsi="Times New Roman;serif"/>
          <w:b w:val="false"/>
          <w:color w:val="000000"/>
          <w:sz w:val="16"/>
        </w:rPr>
        <w:t xml:space="preserve">SECOND: </w:t>
      </w:r>
      <w:r>
        <w:rPr>
          <w:rFonts w:ascii="Times New Roman;serif" w:hAnsi="Times New Roman;serif"/>
          <w:b w:val="false"/>
          <w:color w:val="000000"/>
          <w:sz w:val="19"/>
        </w:rPr>
        <w:t xml:space="preserve">That </w:t>
      </w:r>
      <w:r>
        <w:rPr>
          <w:rFonts w:ascii="Times New Roman;serif" w:hAnsi="Times New Roman;serif"/>
          <w:b w:val="false"/>
          <w:color w:val="000000"/>
          <w:sz w:val="16"/>
        </w:rPr>
        <w:t xml:space="preserve">the authorization of, and the filing of this Certificate of Designations relating </w:t>
      </w:r>
      <w:r>
        <w:rPr>
          <w:rFonts w:ascii="Times New Roman;serif" w:hAnsi="Times New Roman;serif"/>
          <w:b w:val="false"/>
          <w:color w:val="000000"/>
          <w:sz w:val="20"/>
        </w:rPr>
        <w:t xml:space="preserve">to, </w:t>
      </w:r>
      <w:r>
        <w:rPr>
          <w:rFonts w:ascii="Times New Roman;serif" w:hAnsi="Times New Roman;serif"/>
          <w:b w:val="false"/>
          <w:color w:val="000000"/>
          <w:sz w:val="16"/>
        </w:rPr>
        <w:t xml:space="preserve">the Series B Preferred Stock has been duly approved by the holders of the Company's Series A Preferred Stock </w:t>
      </w:r>
      <w:r>
        <w:rPr>
          <w:rFonts w:ascii="Arial;sans-serif" w:hAnsi="Arial;sans-serif"/>
          <w:b w:val="false"/>
          <w:color w:val="000000"/>
          <w:sz w:val="19"/>
        </w:rPr>
        <w:t xml:space="preserve">in </w:t>
      </w:r>
      <w:r>
        <w:rPr>
          <w:rFonts w:ascii="Times New Roman;serif" w:hAnsi="Times New Roman;serif"/>
          <w:b w:val="false"/>
          <w:color w:val="000000"/>
          <w:sz w:val="16"/>
        </w:rPr>
        <w:t>accordance with the Company's Amended and Restated Certificate of Incorporation, as amended by the Certificate of Designations filed on October 29, 2001, and Section 242 of the Delaware General Corporation Law.”</w:t>
      </w:r>
    </w:p>
    <w:p>
      <w:pPr>
        <w:pStyle w:val="TextBody"/>
        <w:bidi w:val="0"/>
        <w:spacing w:before="4" w:after="283"/>
        <w:jc w:val="left"/>
        <w:rPr/>
      </w:pPr>
      <w:r>
        <w:rPr/>
      </w:r>
    </w:p>
    <w:p>
      <w:pPr>
        <w:pStyle w:val="TextBody"/>
        <w:bidi w:val="0"/>
        <w:spacing w:lineRule="auto" w:line="288" w:before="0" w:after="0"/>
        <w:ind w:left="0" w:right="0" w:hanging="783"/>
        <w:jc w:val="left"/>
        <w:rPr/>
      </w:pPr>
      <w:r>
        <w:rPr>
          <w:rFonts w:ascii="Times New Roman;serif" w:hAnsi="Times New Roman;serif"/>
          <w:b w:val="false"/>
          <w:color w:val="000000"/>
          <w:sz w:val="16"/>
        </w:rPr>
        <w:t xml:space="preserve">6.The Certificate of Designations, Preferences and Rights of Series B Preferred Stock, as corrected, is set forth in its entirety as </w:t>
      </w:r>
      <w:r>
        <w:rPr>
          <w:rFonts w:ascii="Times New Roman;serif" w:hAnsi="Times New Roman;serif"/>
          <w:b/>
          <w:color w:val="000000"/>
          <w:sz w:val="16"/>
        </w:rPr>
        <w:t>Exhibit A</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hereto.</w:t>
      </w:r>
    </w:p>
    <w:p>
      <w:pPr>
        <w:pStyle w:val="TextBody"/>
        <w:bidi w:val="0"/>
        <w:spacing w:before="11" w:after="283"/>
        <w:jc w:val="left"/>
        <w:rPr/>
      </w:pPr>
      <w:r>
        <w:rPr/>
      </w:r>
    </w:p>
    <w:p>
      <w:pPr>
        <w:pStyle w:val="TextBody"/>
        <w:bidi w:val="0"/>
        <w:spacing w:lineRule="auto" w:line="285" w:before="0" w:after="0"/>
        <w:jc w:val="both"/>
        <w:rPr>
          <w:rFonts w:ascii="Times New Roman;serif" w:hAnsi="Times New Roman;serif"/>
          <w:b w:val="false"/>
          <w:color w:val="000000"/>
          <w:sz w:val="16"/>
        </w:rPr>
      </w:pPr>
      <w:r>
        <w:rPr>
          <w:rFonts w:ascii="Times New Roman;serif" w:hAnsi="Times New Roman;serif"/>
          <w:b w:val="false"/>
          <w:color w:val="000000"/>
          <w:sz w:val="16"/>
        </w:rPr>
        <w:t>IN WITNESS WHEREOF, Wireless Facilities, Inc., acting pursuant to Section 103(f) of the Delaware General Corporation Law, has caused this Corrected Certificate of Designations, Preferences and Rights of Series B Preferred Stock to be signed by its Vice President, Legal Affairs, General Counsel and Secretary this 30th day of May, 2002.</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lineRule="auto" w:line="285" w:before="6" w:after="283"/>
        <w:jc w:val="left"/>
        <w:rPr/>
      </w:pPr>
      <w:r>
        <w:rPr>
          <w:rFonts w:ascii="Times New Roman;serif" w:hAnsi="Times New Roman;serif"/>
          <w:b w:val="false"/>
          <w:color w:val="000000"/>
          <w:sz w:val="16"/>
        </w:rPr>
        <w:t xml:space="preserve">By: </w:t>
      </w:r>
      <w:r>
        <w:rPr>
          <w:rFonts w:ascii="Times New Roman;serif" w:hAnsi="Times New Roman;serif"/>
          <w:b w:val="false"/>
          <w:color w:val="000000"/>
          <w:sz w:val="16"/>
          <w:u w:val="single"/>
        </w:rPr>
        <w:t>/s/ Wm. Bradford Weller</w:t>
      </w:r>
      <w:r>
        <w:rPr>
          <w:color w:val="000000"/>
        </w:rPr>
        <w:t xml:space="preserve"> </w:t>
      </w:r>
      <w:r>
        <w:rPr>
          <w:rFonts w:ascii="Times New Roman;serif" w:hAnsi="Times New Roman;serif"/>
          <w:b w:val="false"/>
          <w:color w:val="000000"/>
          <w:sz w:val="16"/>
        </w:rPr>
        <w:t>Wm. Bradford Weller</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Vice President, Legal Affairs, General Counsel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7"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2" w:after="283"/>
        <w:jc w:val="left"/>
        <w:rPr/>
      </w:pPr>
      <w:r>
        <w:rPr/>
        <w:drawing>
          <wp:inline distT="0" distB="0" distL="0" distR="0">
            <wp:extent cx="6276975" cy="14605"/>
            <wp:effectExtent l="0" t="0" r="0" b="0"/>
            <wp:docPr id="11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5" descr=""/>
                    <pic:cNvPicPr>
                      <a:picLocks noChangeAspect="1" noChangeArrowheads="1"/>
                    </pic:cNvPicPr>
                  </pic:nvPicPr>
                  <pic:blipFill>
                    <a:blip r:embed="rId43"/>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CORRECTED</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FORM OF CERTIFICATE OF DESIGNATIONS</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CERTIFICATE OF DESIGNATIONS, PREFERENCES AND RIGHTS</w:t>
      </w:r>
    </w:p>
    <w:p>
      <w:pPr>
        <w:pStyle w:val="TextBody"/>
        <w:bidi w:val="0"/>
        <w:spacing w:lineRule="auto" w:line="288" w:before="6" w:after="283"/>
        <w:jc w:val="left"/>
        <w:rPr>
          <w:rFonts w:ascii="Times New Roman;serif" w:hAnsi="Times New Roman;serif"/>
          <w:b w:val="false"/>
          <w:color w:val="000000"/>
          <w:sz w:val="16"/>
        </w:rPr>
      </w:pPr>
      <w:r>
        <w:rPr>
          <w:rFonts w:ascii="Times New Roman;serif" w:hAnsi="Times New Roman;serif"/>
          <w:b w:val="false"/>
          <w:color w:val="000000"/>
          <w:sz w:val="16"/>
        </w:rPr>
        <w:t>of</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SERIES B PREFERRED STOCK</w:t>
      </w:r>
    </w:p>
    <w:p>
      <w:pPr>
        <w:pStyle w:val="TextBody"/>
        <w:bidi w:val="0"/>
        <w:spacing w:lineRule="auto" w:line="288" w:before="6" w:after="283"/>
        <w:jc w:val="left"/>
        <w:rPr>
          <w:rFonts w:ascii="Times New Roman;serif" w:hAnsi="Times New Roman;serif"/>
          <w:b w:val="false"/>
          <w:color w:val="000000"/>
          <w:sz w:val="16"/>
        </w:rPr>
      </w:pPr>
      <w:r>
        <w:rPr>
          <w:rFonts w:ascii="Times New Roman;serif" w:hAnsi="Times New Roman;serif"/>
          <w:b w:val="false"/>
          <w:color w:val="000000"/>
          <w:sz w:val="16"/>
        </w:rPr>
        <w:t>of</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 Masood K. Tayebi, Chief Executive Officer of WIRELESS FACILITIES, INC., a corporation organized and existing under the laws of the State of Delaware (the "Corporation" or the "Company")), in accordance with the provisions of Section 151 of the Delaware General Corporation Law, DO HEREBY CERTIFY:</w:t>
      </w:r>
    </w:p>
    <w:p>
      <w:pPr>
        <w:pStyle w:val="TextBody"/>
        <w:bidi w:val="0"/>
        <w:spacing w:before="5" w:after="283"/>
        <w:jc w:val="left"/>
        <w:rPr/>
      </w:pPr>
      <w:r>
        <w:rPr/>
      </w:r>
    </w:p>
    <w:p>
      <w:pPr>
        <w:pStyle w:val="TextBody"/>
        <w:bidi w:val="0"/>
        <w:spacing w:lineRule="auto" w:line="285" w:before="0" w:after="0"/>
        <w:jc w:val="both"/>
        <w:rPr>
          <w:rFonts w:ascii="Times New Roman;serif" w:hAnsi="Times New Roman;serif"/>
          <w:b w:val="false"/>
          <w:color w:val="000000"/>
          <w:sz w:val="16"/>
        </w:rPr>
      </w:pPr>
      <w:r>
        <w:rPr>
          <w:rFonts w:ascii="Times New Roman;serif" w:hAnsi="Times New Roman;serif"/>
          <w:b w:val="false"/>
          <w:color w:val="000000"/>
          <w:sz w:val="16"/>
        </w:rPr>
        <w:t>FIRST: That pursuant to the authority conferred upon the Board of Directors of the Corporation (the "Board of Directors") by the Certificate of</w:t>
      </w:r>
    </w:p>
    <w:p>
      <w:pPr>
        <w:pStyle w:val="TextBody"/>
        <w:bidi w:val="0"/>
        <w:spacing w:lineRule="auto" w:line="285" w:before="0" w:after="0"/>
        <w:jc w:val="both"/>
        <w:rPr>
          <w:rFonts w:ascii="Times New Roman;serif" w:hAnsi="Times New Roman;serif"/>
          <w:b w:val="false"/>
          <w:color w:val="000000"/>
          <w:sz w:val="16"/>
        </w:rPr>
      </w:pPr>
      <w:r>
        <w:rPr>
          <w:rFonts w:ascii="Times New Roman;serif" w:hAnsi="Times New Roman;serif"/>
          <w:b w:val="false"/>
          <w:color w:val="000000"/>
          <w:sz w:val="16"/>
        </w:rPr>
        <w:t>Incorporation of the Corporation and by Section 151(g) of the Delaware General Corporation Law, on May 16, 2002, the Board of Directors adopted the following resolution, creating a series of shares of convertible preferred stock, Series</w:t>
      </w:r>
    </w:p>
    <w:p>
      <w:pPr>
        <w:pStyle w:val="TextBody"/>
        <w:bidi w:val="0"/>
        <w:spacing w:lineRule="atLeast" w:line="184" w:before="0" w:after="0"/>
        <w:jc w:val="both"/>
        <w:rPr>
          <w:rFonts w:ascii="Times New Roman;serif" w:hAnsi="Times New Roman;serif"/>
          <w:b w:val="false"/>
          <w:color w:val="000000"/>
          <w:sz w:val="16"/>
        </w:rPr>
      </w:pPr>
      <w:r>
        <w:rPr>
          <w:rFonts w:ascii="Times New Roman;serif" w:hAnsi="Times New Roman;serif"/>
          <w:b w:val="false"/>
          <w:color w:val="000000"/>
          <w:sz w:val="16"/>
        </w:rPr>
        <w:t>B, designated as "Series B Preferred Stock":</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"RESOLVED, that pursuant to the authority vested in the Board of Directors (the "Board of Directors") of WIRELESS FACILITIES, INC., a corporation organized and existing under the laws of the State of Delaware (the "Corporation"), by the Certificate of Incorporation of the Corporation (the "Certificate of Incorporation"), the Board of Directors does hereby provide for the authorization and issuance of a series of convertible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Series B, par value U.S.$0.001 per share, of the Corporation, to be designated "Series B Preferred Stock," initially consisting of 90,000 shares, and to the extent that the designations, powers, preferences, and relative participating, optional, or other special rights, and the qualifications, limitations, and restrictions of the Series B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are not stated and expressed in the Certificate of Incorporation, the Board of Directors does hereby fix and herein state and express such designations, powers, preferences, and relative participating, optional, or other special rights, and the qualifications, limitations, and restrictions thereof, as follows:</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1.Designation and Rank.</w:t>
      </w:r>
    </w:p>
    <w:p>
      <w:pPr>
        <w:pStyle w:val="TextBody"/>
        <w:bidi w:val="0"/>
        <w:spacing w:before="10" w:after="283"/>
        <w:jc w:val="left"/>
        <w:rPr/>
      </w:pPr>
      <w:r>
        <w:rPr/>
      </w:r>
    </w:p>
    <w:p>
      <w:pPr>
        <w:pStyle w:val="TextBody"/>
        <w:bidi w:val="0"/>
        <w:spacing w:lineRule="auto" w:line="288" w:before="1" w:after="283"/>
        <w:ind w:left="0" w:right="0" w:hanging="227"/>
        <w:jc w:val="left"/>
        <w:rPr>
          <w:rFonts w:ascii="Times New Roman;serif" w:hAnsi="Times New Roman;serif"/>
          <w:b w:val="false"/>
          <w:color w:val="000000"/>
          <w:sz w:val="16"/>
        </w:rPr>
      </w:pPr>
      <w:r>
        <w:rPr>
          <w:rFonts w:ascii="Times New Roman;serif" w:hAnsi="Times New Roman;serif"/>
          <w:b w:val="false"/>
          <w:color w:val="000000"/>
          <w:sz w:val="16"/>
        </w:rPr>
        <w:t>(a)Ninety thousand (90,000) shares of the preferred stock of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Corporation, par value $0.001 per share, shall be designated and known as the "Series B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(b)The Series B Preferred Stock shall rank senior and prior to the common stock, par value U.S.$0.001 per share, of the Corporation (the "Common Stock"), and all other classes or series of the capital stock (other than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of the Corporation (now or hereafter authorized or issued), with respect to the payment of any dividends, the conversion rights set forth herein and any payment upon liquidation or redemption. The Series B Preferred Stock shall rank on par with the Series A Preferred Stock of the Corporation with respect to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payment of any dividends, the conversion rights set forth herein and any payment upon liquidation or redemption. The Corporation may not issue any additional classes or series of preferred stock with liquidation, redemption or conversion rights or right of payment of any kind that is senior to the Series B Preferred Stock, except pursuant to Section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49935"/>
                <wp:effectExtent l="0" t="0" r="0" b="0"/>
                <wp:wrapNone/>
                <wp:docPr id="119" name="Frame7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2.Dividend Rights.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From and after the date hereof, when and if the Board of Directors declares</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a dividend or distribution payable with respect to the then-outstanding shares</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of Common Stock (other than in additional shares of Common Stock or Common Stock Equivalents (as defined in Section 4(e)(i) below), the holders of the Series B</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shall be entitled to the amount of dividends per share in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same form as such Common Stock dividends that would be payable on the largest number of whole shares of Common Stock into which a holder's aggregate shares of Series B Preferred Stock could then be converted pursuant to Section 4 hereof (such number to be determined as of the record date for the determination of holders of Common Stock entitled to receive such dividend).</w:t>
      </w:r>
    </w:p>
    <w:p>
      <w:pPr>
        <w:pStyle w:val="TextBody"/>
        <w:bidi w:val="0"/>
        <w:spacing w:before="5"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3.Liquidation Rights.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(a)Liquidation Events. The occurrence of any of the following events shall be deemed a "Liquidation": (i) any liquidation, dissolution, or winding-up of the affairs of the Corporation; (ii) any transaction or series of related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transactions in which securities of the Corporation representing 50% or more of the combined voting power of the Corporation's then outstanding voting securities are acquired by a person, entity or group of related persons or entities, excluding any consolidation or merger effected exclusively to change the domicile of the Corporation; (iii) any consolidation, merger or reorganization of the Corporation with or into any other corporation or other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entity or person pursuant to which the holders of the Corporation's outstanding securities receive, pursuant to such transaction, securities in the surviving entity that represent less than 50% of the voting power of such surviving entity; or (iv) any sale, lease, exclusive license or other disposition of all</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or substantially all of the assets of the Corporation.</w:t>
      </w:r>
    </w:p>
    <w:p>
      <w:pPr>
        <w:pStyle w:val="TextBody"/>
        <w:bidi w:val="0"/>
        <w:spacing w:before="9" w:after="283"/>
        <w:jc w:val="left"/>
        <w:rPr/>
      </w:pPr>
      <w:r>
        <w:rPr/>
      </w:r>
    </w:p>
    <w:p>
      <w:pPr>
        <w:pStyle w:val="TextBody"/>
        <w:bidi w:val="0"/>
        <w:spacing w:lineRule="auto" w:line="288" w:before="0" w:after="0"/>
        <w:ind w:left="0" w:right="0" w:hanging="232"/>
        <w:jc w:val="left"/>
        <w:rPr>
          <w:rFonts w:ascii="Times New Roman;serif" w:hAnsi="Times New Roman;serif"/>
          <w:b w:val="false"/>
          <w:color w:val="000000"/>
          <w:sz w:val="16"/>
        </w:rPr>
      </w:pPr>
      <w:r>
        <w:rPr>
          <w:rFonts w:ascii="Times New Roman;serif" w:hAnsi="Times New Roman;serif"/>
          <w:b w:val="false"/>
          <w:color w:val="000000"/>
          <w:sz w:val="16"/>
        </w:rPr>
        <w:t>(b)Liquidation Preference.</w:t>
      </w:r>
    </w:p>
    <w:p>
      <w:pPr>
        <w:pStyle w:val="TextBody"/>
        <w:bidi w:val="0"/>
        <w:spacing w:before="11" w:after="283"/>
        <w:jc w:val="left"/>
        <w:rPr/>
      </w:pPr>
      <w:r>
        <w:rPr/>
      </w:r>
    </w:p>
    <w:p>
      <w:pPr>
        <w:pStyle w:val="TextBody"/>
        <w:bidi w:val="0"/>
        <w:spacing w:lineRule="auto" w:line="288" w:before="0" w:after="0"/>
        <w:ind w:left="0" w:right="0" w:hanging="197"/>
        <w:jc w:val="left"/>
        <w:rPr>
          <w:rFonts w:ascii="Times New Roman;serif" w:hAnsi="Times New Roman;serif"/>
          <w:b w:val="false"/>
          <w:color w:val="000000"/>
          <w:sz w:val="16"/>
        </w:rPr>
      </w:pPr>
      <w:r>
        <w:rPr>
          <w:rFonts w:ascii="Times New Roman;serif" w:hAnsi="Times New Roman;serif"/>
          <w:b w:val="false"/>
          <w:color w:val="000000"/>
          <w:sz w:val="16"/>
        </w:rPr>
        <w:t>(i)In the event of any Liquidation, whether voluntary or involuntary,</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before any payment of cash or distribution of other property shall be made to the holders of Common Stock, or any other class or series of stock subordinate in liquidation preference to the Series B Preferred Stock, the holders of the Series B Preferred Stock shall be entitled to receive out of the assets of the Corporation legally available for distribution to its stockholders, on behalf of each share of Series B Preferred Stock held by such holder, U.S.$500.00 (the "Original Issue Price") (as appropriately adjusted for any combinations, divisions, or similar recapitalizations affecting the Series B Preferred Stock after issuance) and all accumulated or accrued and unpaid dividends thereon (collectively, the "Series B Liquidation Preference").</w:t>
      </w:r>
    </w:p>
    <w:p>
      <w:pPr>
        <w:pStyle w:val="TextBody"/>
        <w:bidi w:val="0"/>
        <w:spacing w:before="3" w:after="283"/>
        <w:jc w:val="left"/>
        <w:rPr/>
      </w:pPr>
      <w:r>
        <w:rPr/>
      </w:r>
    </w:p>
    <w:p>
      <w:pPr>
        <w:pStyle w:val="TextBody"/>
        <w:bidi w:val="0"/>
        <w:spacing w:lineRule="auto" w:line="288" w:before="1" w:after="283"/>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(ii)If, upon any Liquidation, the assets of the Corporation available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for distribution to its stockholders are insufficient to pay the holders of the Series B Preferred Stock the full amounts to which they are entitled pursuant to clause (b)(i) above, the holders of the Series B Preferred Stock shall share pro rata in any distribution of assets in proportion to the respective amounts which would be payable to the holders of the Series B Preferred Stock and any other class or series of capital stock of the Corporation ranking on par with the Series B Preferred Stock in respect of the shares held by them if all amounts payable to them in respect of such were paid in full pursuant to clause (b)(i)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35660"/>
                <wp:effectExtent l="0" t="0" r="0" b="0"/>
                <wp:wrapNone/>
                <wp:docPr id="120" name="Frame80"/>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2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6" descr=""/>
                                          <pic:cNvPicPr>
                                            <a:picLocks noChangeAspect="1" noChangeArrowheads="1"/>
                                          </pic:cNvPicPr>
                                        </pic:nvPicPr>
                                        <pic:blipFill>
                                          <a:blip r:embed="rId44"/>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2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6" descr=""/>
                                    <pic:cNvPicPr>
                                      <a:picLocks noChangeAspect="1" noChangeArrowheads="1"/>
                                    </pic:cNvPicPr>
                                  </pic:nvPicPr>
                                  <pic:blipFill>
                                    <a:blip r:embed="rId45"/>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287"/>
        <w:jc w:val="left"/>
        <w:rPr>
          <w:rFonts w:ascii="Times New Roman;serif" w:hAnsi="Times New Roman;serif"/>
          <w:b w:val="false"/>
          <w:color w:val="000000"/>
          <w:sz w:val="16"/>
        </w:rPr>
      </w:pPr>
      <w:r>
        <w:rPr>
          <w:rFonts w:ascii="Times New Roman;serif" w:hAnsi="Times New Roman;serif"/>
          <w:b w:val="false"/>
          <w:color w:val="000000"/>
          <w:sz w:val="16"/>
        </w:rPr>
        <w:t>(iii)After the distributions described in clause (b)(i) or (b)(ii)</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above have been paid, subject to the rights of any other class or series of capital stock of the Corporation that may from time to time come into existence, the remaining assets of the Corporation available for distribution to stockholders shall be distributed among the holders of Common Stock pro rata based on the number of shares of Common Stock held by each.</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(c)Non-Cash Distributions. If any distribution to be made pursuant to this Section 3 is to be paid other than in cash or Common Stock or Common Stock Equivalents, the value of such distribution will be deemed its fair market value as determined in good faith by the Board of Directors. Any securities shall be valued as follows:</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(i)Securities not subject to investment letter or other similar restrictions on free marketability covered by clause (ii) below:</w:t>
      </w:r>
    </w:p>
    <w:p>
      <w:pPr>
        <w:pStyle w:val="TextBody"/>
        <w:bidi w:val="0"/>
        <w:spacing w:before="5" w:after="283"/>
        <w:jc w:val="left"/>
        <w:rPr/>
      </w:pPr>
      <w:r>
        <w:rPr/>
      </w:r>
    </w:p>
    <w:p>
      <w:pPr>
        <w:pStyle w:val="TextBody"/>
        <w:bidi w:val="0"/>
        <w:spacing w:lineRule="auto" w:line="288" w:before="0" w:after="0"/>
        <w:ind w:left="0" w:right="0" w:hanging="237"/>
        <w:jc w:val="left"/>
        <w:rPr>
          <w:rFonts w:ascii="Times New Roman;serif" w:hAnsi="Times New Roman;serif"/>
          <w:b w:val="false"/>
          <w:color w:val="000000"/>
          <w:sz w:val="16"/>
        </w:rPr>
      </w:pPr>
      <w:r>
        <w:rPr>
          <w:rFonts w:ascii="Times New Roman;serif" w:hAnsi="Times New Roman;serif"/>
          <w:b w:val="false"/>
          <w:color w:val="000000"/>
          <w:sz w:val="16"/>
        </w:rPr>
        <w:t>(1)if traded on a securities exchange or through the Nasdaq</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National Market, the value shall be deemed to be the average of the closing prices of the securities on such quotation system over the thirty (30) trading day period ending three (3) trading days prior to the occurrence of the Liquidation;</w:t>
      </w:r>
    </w:p>
    <w:p>
      <w:pPr>
        <w:pStyle w:val="TextBody"/>
        <w:bidi w:val="0"/>
        <w:spacing w:before="5" w:after="283"/>
        <w:jc w:val="left"/>
        <w:rPr/>
      </w:pPr>
      <w:r>
        <w:rPr/>
      </w:r>
    </w:p>
    <w:p>
      <w:pPr>
        <w:pStyle w:val="TextBody"/>
        <w:bidi w:val="0"/>
        <w:spacing w:lineRule="auto" w:line="288" w:before="0" w:after="0"/>
        <w:ind w:left="0" w:right="0" w:hanging="233"/>
        <w:jc w:val="left"/>
        <w:rPr>
          <w:rFonts w:ascii="Times New Roman;serif" w:hAnsi="Times New Roman;serif"/>
          <w:b w:val="false"/>
          <w:color w:val="000000"/>
          <w:sz w:val="16"/>
        </w:rPr>
      </w:pPr>
      <w:r>
        <w:rPr>
          <w:rFonts w:ascii="Times New Roman;serif" w:hAnsi="Times New Roman;serif"/>
          <w:b w:val="false"/>
          <w:color w:val="000000"/>
          <w:sz w:val="16"/>
        </w:rPr>
        <w:t>(2)if actively traded over-the-counter, the value shall be</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deemed to be the average of the closing bid or sale prices (whichever is applicable) over the thirty (30) trading day period ending three (3) trading days prior to the occurrence of the Liquidation; and</w:t>
      </w:r>
    </w:p>
    <w:p>
      <w:pPr>
        <w:pStyle w:val="TextBody"/>
        <w:bidi w:val="0"/>
        <w:spacing w:before="4" w:after="283"/>
        <w:jc w:val="left"/>
        <w:rPr/>
      </w:pPr>
      <w:r>
        <w:rPr/>
      </w:r>
    </w:p>
    <w:p>
      <w:pPr>
        <w:pStyle w:val="TextBody"/>
        <w:bidi w:val="0"/>
        <w:spacing w:lineRule="auto" w:line="288" w:before="1" w:after="283"/>
        <w:ind w:left="0" w:right="0" w:hanging="232"/>
        <w:jc w:val="left"/>
        <w:rPr>
          <w:rFonts w:ascii="Times New Roman;serif" w:hAnsi="Times New Roman;serif"/>
          <w:b w:val="false"/>
          <w:color w:val="000000"/>
          <w:sz w:val="16"/>
        </w:rPr>
      </w:pPr>
      <w:r>
        <w:rPr>
          <w:rFonts w:ascii="Times New Roman;serif" w:hAnsi="Times New Roman;serif"/>
          <w:b w:val="false"/>
          <w:color w:val="000000"/>
          <w:sz w:val="16"/>
        </w:rPr>
        <w:t>(3)if there is no active public market, the value shall be the</w:t>
      </w:r>
    </w:p>
    <w:p>
      <w:pPr>
        <w:pStyle w:val="TextBody"/>
        <w:bidi w:val="0"/>
        <w:spacing w:lineRule="auto" w:line="288" w:before="5" w:after="283"/>
        <w:jc w:val="left"/>
        <w:rPr>
          <w:rFonts w:ascii="Times New Roman;serif" w:hAnsi="Times New Roman;serif"/>
          <w:b w:val="false"/>
          <w:color w:val="000000"/>
          <w:sz w:val="16"/>
        </w:rPr>
      </w:pPr>
      <w:r>
        <w:rPr>
          <w:rFonts w:ascii="Times New Roman;serif" w:hAnsi="Times New Roman;serif"/>
          <w:b w:val="false"/>
          <w:color w:val="000000"/>
          <w:sz w:val="16"/>
        </w:rPr>
        <w:t>fair market value thereof, as determined by the Board of Directors.</w:t>
      </w:r>
    </w:p>
    <w:p>
      <w:pPr>
        <w:pStyle w:val="TextBody"/>
        <w:bidi w:val="0"/>
        <w:spacing w:before="11"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(ii)The method of valuation of securities subject to investment</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letter or other restrictions on free marketability (other than restrictions arising solely by virtue of a stockholder's status as an affiliate or former affiliate) shall be to effectuate an appropriate discount from the market value, as determined by clause (i)(1), (2) or (3) of this Section 3(c), so as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reflect the approximate fair market value thereof, as determined by the Board of Directors.</w:t>
      </w:r>
    </w:p>
    <w:p>
      <w:pPr>
        <w:pStyle w:val="TextBody"/>
        <w:bidi w:val="0"/>
        <w:spacing w:before="5" w:after="283"/>
        <w:jc w:val="left"/>
        <w:rPr/>
      </w:pPr>
      <w:r>
        <w:rPr/>
      </w:r>
    </w:p>
    <w:p>
      <w:pPr>
        <w:pStyle w:val="TextBody"/>
        <w:bidi w:val="0"/>
        <w:spacing w:lineRule="auto" w:line="288" w:before="0" w:after="0"/>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(iii)The holders of at least a majority of the outstanding Series B</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Preferred Stock shall have the right to challenge any determination by the Board of Directors of fair market value pursuant to this Section 3(c), in which case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determination of fair market value shall be made by an independent appraiser selected jointly by the Board of Directors and the challenging parties, the cost of such appraisal to be borne equally by the Corporation and the challenging parties.</w:t>
      </w:r>
    </w:p>
    <w:p>
      <w:pPr>
        <w:pStyle w:val="TextBody"/>
        <w:bidi w:val="0"/>
        <w:spacing w:before="5"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4.Conversion Rights.</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The holders of the Series B Preferred Stock shall have conversion rights as follows (the "Conversion Right"):</w:t>
      </w:r>
    </w:p>
    <w:p>
      <w:pPr>
        <w:pStyle w:val="TextBody"/>
        <w:bidi w:val="0"/>
        <w:spacing w:before="5" w:after="283"/>
        <w:jc w:val="left"/>
        <w:rPr/>
      </w:pPr>
      <w:r>
        <w:rPr/>
      </w:r>
    </w:p>
    <w:p>
      <w:pPr>
        <w:pStyle w:val="TextBody"/>
        <w:bidi w:val="0"/>
        <w:spacing w:lineRule="auto" w:line="288" w:before="0" w:after="0"/>
        <w:ind w:left="0" w:right="0" w:hanging="220"/>
        <w:jc w:val="left"/>
        <w:rPr>
          <w:rFonts w:ascii="Times New Roman;serif" w:hAnsi="Times New Roman;serif"/>
          <w:b w:val="false"/>
          <w:color w:val="000000"/>
          <w:sz w:val="16"/>
        </w:rPr>
      </w:pPr>
      <w:r>
        <w:rPr>
          <w:rFonts w:ascii="Times New Roman;serif" w:hAnsi="Times New Roman;serif"/>
          <w:b w:val="false"/>
          <w:color w:val="000000"/>
          <w:sz w:val="16"/>
        </w:rPr>
        <w:t>(a)Conversion Price. The "Conversion Price" shall, initially, be U.S.$5.00</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per share and shall be subject to adjustment as set forth below in Sections 4(e) and 4(f).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35660"/>
                <wp:effectExtent l="0" t="0" r="0" b="0"/>
                <wp:wrapNone/>
                <wp:docPr id="123" name="Frame81"/>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2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7" descr=""/>
                                          <pic:cNvPicPr>
                                            <a:picLocks noChangeAspect="1" noChangeArrowheads="1"/>
                                          </pic:cNvPicPr>
                                        </pic:nvPicPr>
                                        <pic:blipFill>
                                          <a:blip r:embed="rId46"/>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2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7" descr=""/>
                                    <pic:cNvPicPr>
                                      <a:picLocks noChangeAspect="1" noChangeArrowheads="1"/>
                                    </pic:cNvPicPr>
                                  </pic:nvPicPr>
                                  <pic:blipFill>
                                    <a:blip r:embed="rId47"/>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1" w:after="283"/>
        <w:ind w:left="0" w:right="0" w:hanging="236"/>
        <w:jc w:val="left"/>
        <w:rPr/>
      </w:pPr>
      <w:r>
        <w:rPr>
          <w:rFonts w:ascii="Times New Roman;serif" w:hAnsi="Times New Roman;serif"/>
          <w:b w:val="false"/>
          <w:color w:val="000000"/>
          <w:sz w:val="16"/>
        </w:rPr>
        <w:t>(b)</w:t>
      </w:r>
      <w:r>
        <w:rPr/>
        <w:drawing>
          <wp:inline distT="0" distB="0" distL="0" distR="0">
            <wp:extent cx="6276975" cy="14605"/>
            <wp:effectExtent l="0" t="0" r="0" b="0"/>
            <wp:docPr id="12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8" descr=""/>
                    <pic:cNvPicPr>
                      <a:picLocks noChangeAspect="1" noChangeArrowheads="1"/>
                    </pic:cNvPicPr>
                  </pic:nvPicPr>
                  <pic:blipFill>
                    <a:blip r:embed="rId48"/>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Automatic Conversion. If the closing price for the shares of the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Corporation's Common Stock (trading on a securities exchange or through Nasdaq National Market or other national exchange or market) exceeds $11.00 per share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(as adjusted for events described in Section 4(e)(ii) and 4(e)(iii) below) for any thirty consecutive trading day period that begins after February 28, 2005, then, upon such occurrence, each share of Series B Preferred Stock shall be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automatically converted into such number of fully paid and non-assessable shares of Common Stock as is determined by dividing (x) the Original Issue Price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such share of Series B Preferred Stock (including any accumulated or accrued but unpaid dividends thereon) by (y) the Conversion Price. The date of such conversion is herein referred to as the "Conversion Date."</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(c)Optional Conversion. The holders of the Series B Preferred Stock shall have the right, at any time, to convert the shares of Series B Preferred Stock</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held by such holder into that number of shares of Common Stock into which such shares are convertible pursuant to Section 4(b) ("Optional Conversion"). In the event of any Optional Conversion, the date of such conversion shall be referred to as the "Optional Conversion Date."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(d)Mechanics of Conversion. On the Conversion Date or Optional Conversion Date, as the case may be, (x) each holder shall tender such holder's shares of Series B Preferred Stock to the Corporation for cancellation, free and clear of encumbrances of any type or nature, and (y) the Corporation shall cause to be delivered to such holder a number of shares of Common Stock as calculated pursuant to Section 4(b) above, free and clear of encumbrances of any type or nature. Each holder and the Corporation shall take all other necessary or appropriate actions in connection with or to effect such closing.</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(e)Certain Adjustments. To the extent that the holders of Series B Preferred Stock do not participate fully with other stockholders of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Corporation with respect to dividends paid pursuant to Section 2 hereof, the following adjustments shall be made to the Conversion Price: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(i)Adjustment for Common Stock Dividends and Distributions. If, at any time after the original issue date of the Series B Preferred Stock (the "Original Issue Date"), the Corporation makes, or fixes a record date for the determination of holders of Common Stock entitled to receive, a dividend or other distribution payable in additional shares of Common Stock or Common Stock Equivalents, in each such event the Conversion Price that is then in effect shall be decreased as of the time of such issuance or, in the event such record date is fixed, as of the close of business on such record date, by multiplying the Conversion Price then in effect by a fraction (i) the numerator of which is the total number of shares of Common Stock and Common Stock Equivalents issued and outstanding immediately prior to the time of such issuance or the close of business on such record date, and (ii) the denominator of which is the total number of shares of Common Stock and Common Stock Equivalents issued and outstanding immediately prior to the time of such issuance or the close of business on such record date plus the number of shares of Common Stock or Common Stock Equivalents issuable in payment of such dividend or distribution; provided, however, that if such record date is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Section 4(e)(i) to reflect the actual payment of such dividend or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49935"/>
                <wp:effectExtent l="0" t="0" r="0" b="0"/>
                <wp:wrapNone/>
                <wp:docPr id="127" name="Frame8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8" w:after="283"/>
        <w:jc w:val="left"/>
        <w:rPr/>
      </w:pPr>
      <w:r>
        <w:rPr/>
        <w:drawing>
          <wp:inline distT="0" distB="0" distL="0" distR="0">
            <wp:extent cx="6276975" cy="14605"/>
            <wp:effectExtent l="0" t="0" r="0" b="0"/>
            <wp:docPr id="12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9" descr=""/>
                    <pic:cNvPicPr>
                      <a:picLocks noChangeAspect="1" noChangeArrowheads="1"/>
                    </pic:cNvPicPr>
                  </pic:nvPicPr>
                  <pic:blipFill>
                    <a:blip r:embed="rId49"/>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A "Common Stock Equivalent" shall mean each share of Common Stock into which securities or property or rights are convertible, exchangeable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exercisable for or into shares of Common Stock, or otherwise entitle the holder thereof to receive directly or indirectly, any of the foregoing.</w:t>
      </w:r>
    </w:p>
    <w:p>
      <w:pPr>
        <w:pStyle w:val="TextBody"/>
        <w:bidi w:val="0"/>
        <w:spacing w:before="5"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(ii)Adjustments for Stock Splits, Stock Subdivisions and</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Combinations. If, at any time after the Original Issue Date, the Corporation subdivides or combines the Common Stock without making a corresponding subdivision or combination of the Series B Preferred Stock, (A) in the case of a subdivision (including a stock split), the Conversion Price in effect immediately prior to such event shall be proportionately decreased and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purchasable thereunder shall be proportionately increased, and (B) in the case of a combination (including a reverse stock</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split), the Conversion Price in effect immediately prior to such event shall be proportionately increased and the number of shares of Common Stock purchasable thereunder shall be proportionately decreased. Any adjustment under this Section 4(e)(ii) shall become effective at the close of business on the date the</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subdivision or combination becomes effective.</w:t>
      </w:r>
    </w:p>
    <w:p>
      <w:pPr>
        <w:pStyle w:val="TextBody"/>
        <w:bidi w:val="0"/>
        <w:spacing w:before="9" w:after="283"/>
        <w:jc w:val="left"/>
        <w:rPr/>
      </w:pPr>
      <w:r>
        <w:rPr/>
      </w:r>
    </w:p>
    <w:p>
      <w:pPr>
        <w:pStyle w:val="TextBody"/>
        <w:bidi w:val="0"/>
        <w:spacing w:lineRule="auto" w:line="288" w:before="0" w:after="0"/>
        <w:ind w:left="0" w:right="0" w:hanging="288"/>
        <w:jc w:val="left"/>
        <w:rPr>
          <w:rFonts w:ascii="Times New Roman;serif" w:hAnsi="Times New Roman;serif"/>
          <w:b w:val="false"/>
          <w:color w:val="000000"/>
          <w:sz w:val="16"/>
        </w:rPr>
      </w:pPr>
      <w:r>
        <w:rPr>
          <w:rFonts w:ascii="Times New Roman;serif" w:hAnsi="Times New Roman;serif"/>
          <w:b w:val="false"/>
          <w:color w:val="000000"/>
          <w:sz w:val="16"/>
        </w:rPr>
        <w:t>(iii)Adjustments for Reclassification, Reorganization and</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Consolidation. In case of (A) any reclassification, reorganization, change or conversion of securities of the class issuable upon conversion of the Series B Preferred Stock (other than a change in par value, or from par value to no par value) into other shares or securities of the Corporation, or (B) any merger or consolidation of the Corporation with or into another entity (other than a Liquidation or a merger or consolidation with another entity in which the Corporation is the acquiring and the surviving entity and that does not result in any reclassification or change of outstanding securities issuable upon conversion of the Series B Preferred Stock) each holder of shares of Series B Preferred Stock shall have the right to receive, in lieu of the shares of Common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otherwise issuable upon the conversion of its shares of Series B Preferred Stock (and accumulated or accrued and unpaid dividends then-outstanding thereunder) in accordance with Section 4(b), the kind and amount of shares of stock and other securities, money and property receivable upon such reclassification, reorganization, change, merger or consolidation upon conversion by a holder of the maximum number of shares of Common Stock into which such shares of Series B Preferred Stock could have been converted immediately prior to such reclassification, reorganization, change, merger or consolidation, all subject to further adjustment as provided herein or with respect to such other securities or property by the terms thereof. The provisions of this clause (iii) shall similarly attach to successive reclassifications, reorganizations, changes, mergers and consolidations.</w:t>
      </w:r>
    </w:p>
    <w:p>
      <w:pPr>
        <w:pStyle w:val="TextBody"/>
        <w:bidi w:val="0"/>
        <w:spacing w:before="2" w:after="283"/>
        <w:jc w:val="left"/>
        <w:rPr/>
      </w:pPr>
      <w:r>
        <w:rPr/>
      </w:r>
    </w:p>
    <w:p>
      <w:pPr>
        <w:pStyle w:val="TextBody"/>
        <w:bidi w:val="0"/>
        <w:spacing w:lineRule="auto" w:line="288" w:before="0" w:after="0"/>
        <w:ind w:left="0" w:right="0" w:hanging="208"/>
        <w:jc w:val="left"/>
        <w:rPr>
          <w:rFonts w:ascii="Times New Roman;serif" w:hAnsi="Times New Roman;serif"/>
          <w:b w:val="false"/>
          <w:color w:val="000000"/>
          <w:sz w:val="16"/>
        </w:rPr>
      </w:pPr>
      <w:r>
        <w:rPr>
          <w:rFonts w:ascii="Times New Roman;serif" w:hAnsi="Times New Roman;serif"/>
          <w:b w:val="false"/>
          <w:color w:val="000000"/>
          <w:sz w:val="16"/>
        </w:rPr>
        <w:t>(f)Antidilution Adjustments. To the extent that (i) the Corporation issues</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after the Original Issue Date and before November 30, 2003, Additional Shares of Common Stock (as defined below) (in one or more transactions, whether or not related), (ii) each such issuance is at an Effective Price (as defined below)</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per share less than Conversion Price then in effect and (iii) the aggregate</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gross proceeds of such issuances exceed $15 million, then the Conversion Price shall be adjusted to equal the lowest Effective Price received by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Corporation pursuant to any such issuance. The previous sentence will apply to any issuances of Additional Shares of Common Stock after the $15 million threshold has been met (provided any such issuance is below the Conversion Price then in effect) but will not apply to any issuance of Additional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49935"/>
                <wp:effectExtent l="0" t="0" r="0" b="0"/>
                <wp:wrapNone/>
                <wp:docPr id="129" name="Frame8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1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0" descr=""/>
                    <pic:cNvPicPr>
                      <a:picLocks noChangeAspect="1" noChangeArrowheads="1"/>
                    </pic:cNvPicPr>
                  </pic:nvPicPr>
                  <pic:blipFill>
                    <a:blip r:embed="rId50"/>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Shares of Common Stock occurring after November 30, 2003. Notwithstanding the foregoing, the Conversion Price shall in no event be lower than U.S.$4.17.</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(i)For the purpose of making any adjustment required under Section 4(f), the consideration received by the Company for any issue or sale 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shall (A) to the extent it consists of cash, be computed at the net amount of cash received by the Company after deduction of any underwriting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similar commissions, compensation or concessions paid or allowed by the Company in connection with such issue or sale but without deduction of any expenses payable by the Company (except for purposes of determining if the $15 million threshold referred to above has been met, in which case the consideration</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received will be deemed to be the aggregate gross proceeds received by the Company), (B) to the extent it consists of property other than cash, be computed at the fair value of that property as determined in good faith by the Board of Directors, and (C) if Additional Shares of Common Stock, Convertible Securities (as defined below) or rights or options to purchase either Additional Shares of Common Stock or Convertible Securities are issued or sold together with other stock or securities or other assets of the Company for a consideration which covers both, be computed as the portion of the consideration so received that may be reasonably determined in good faith by the Board of Directors to be allocable to such Additional Shares of Common Stock, Convertible Securities or rights or options; provided, however, that the holders of at least a majority of the outstanding Series B Preferred Stock shall have the right to challenge any determination by the Board of Directors of fair market value pursuant to this Section 4(f)(i), in which case the determination of fair market value shall be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made by an independent appraiser selected jointly by the Board of Directors and the challenging parties, the cost of such appraisal to be borne equally by the Corporation and the challenging parties.</w:t>
      </w:r>
    </w:p>
    <w:p>
      <w:pPr>
        <w:pStyle w:val="TextBody"/>
        <w:bidi w:val="0"/>
        <w:spacing w:before="2" w:after="283"/>
        <w:jc w:val="left"/>
        <w:rPr/>
      </w:pPr>
      <w:r>
        <w:rPr/>
      </w:r>
    </w:p>
    <w:p>
      <w:pPr>
        <w:pStyle w:val="TextBody"/>
        <w:bidi w:val="0"/>
        <w:spacing w:lineRule="auto" w:line="288" w:before="0" w:after="0"/>
        <w:ind w:left="0" w:right="0" w:hanging="246"/>
        <w:jc w:val="left"/>
        <w:rPr>
          <w:rFonts w:ascii="Times New Roman;serif" w:hAnsi="Times New Roman;serif"/>
          <w:b w:val="false"/>
          <w:color w:val="000000"/>
          <w:sz w:val="16"/>
        </w:rPr>
      </w:pPr>
      <w:r>
        <w:rPr>
          <w:rFonts w:ascii="Times New Roman;serif" w:hAnsi="Times New Roman;serif"/>
          <w:b w:val="false"/>
          <w:color w:val="000000"/>
          <w:sz w:val="16"/>
        </w:rPr>
        <w:t>(ii)For the purpose of the adjustment required under this Section</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4(f), if the Company issues or sells (A) stock or other securities convertible into, Additional Shares of Common Stock (such convertible stock or securities being herein referred to as "Convertible Securities") or (B) rights or options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for the purchase of Additional Shares of Common Stock or Convertible Securities and if the Effective Price of such Additional Shares of Common Stock is less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than the Conversion Price, in each case the Company shall be deemed to have issued at the time of the issuance of such rights or options or Convertible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the maximum number of Additional Shares of Common Stock issuable upon exercise or conversion thereof and to have received as consideration for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such shares an amount equal to the total amount of the consideration, if any, received by the Company for the issuance of such rights or options or Convertible Securities, plus, in the case of such rights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options, the minimum amounts of consideration, if any, payable to the Company upon the exercise of such rights or options, plus, in the case of Convertible Securities, the minimum amounts of consideration, if any, payable to the Company (other than by cancellation of liabilities or obligations evidenced by such Convertible Securities) upon the conversion thereof; provided that if in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case of Convertible Securities the minimum amounts of such consideration cannot be ascertained, but are a function of antidilution or similar protective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clauses, the Company shall be deemed to have received the minimum amounts of consideration without reference to such clauses; provided further that if the minimum amount of consideration payable to the Company upon the exercise or conversion of rights, options or Convertible Securities is reduced over time or on the occurrence or non-occurrence of specified events other than by reason of antidilution adjustments, the Effective Price shall be recalculated using the figure to which such minimum amount of consideration 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49935"/>
                <wp:effectExtent l="0" t="0" r="0" b="0"/>
                <wp:wrapNone/>
                <wp:docPr id="131" name="Frame8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1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1" descr=""/>
                    <pic:cNvPicPr>
                      <a:picLocks noChangeAspect="1" noChangeArrowheads="1"/>
                    </pic:cNvPicPr>
                  </pic:nvPicPr>
                  <pic:blipFill>
                    <a:blip r:embed="rId51"/>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reduced; provided further that if the minimum amount of consideration payable to the Company upon the exercise or conversion of such rights, options or Convertible Securities is subsequently increased, the Effective Price shall be again recalculated using the increased minimum amount of consideration payable to the Company upon the exercise or conversion of such rights, options or Convertible Securities. No further adjustment of the Conversion Price, as adjusted upon the issuance of such rights, options or Convertible Securities, shall be made as a result of the actual issuance of Additional Shares of Common Stock on the exercise of any such rights or options or the conversion of any</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such Convertible Securities. If any such rights or options or the conversion privilege represented by any such Convertible Securities shall expire without having been exercised, the Conversion Price, as adjusted upon the issuance of such rights, options or Convertible Securities, shall be readjusted to the Conversion Price which would have been in effect had an adjustment been made on the basis that the only Additional Shares of Common Stock so issued were the Additional Shares of Common Stock, if any, actually issued or sold on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exercise of such rights or options or rights of conversion of such Convertible Securities, and such Additional Shares of Common Stock, if any, were issued or sold for the consideration actually received by the Company upon such exercise, plus the consideration, if any, actually received by the Company for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granting of all such rights or options, whether or not exercised, plus the consideration received for issuing or selling the Convertible Securities actually converted, plus the consideration, if any, actually received by the Company (other than by cancellation of liabilities or obligations evidenced by such Convertible Securities) on the conversion of such Convertible Securities.</w:t>
      </w:r>
    </w:p>
    <w:p>
      <w:pPr>
        <w:pStyle w:val="TextBody"/>
        <w:bidi w:val="0"/>
        <w:spacing w:before="2"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"Additional Shares of Common Stock" shall mean all shares of</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by the Company or deemed to be issued pursuant to this Section 4(f), whether or not subsequently reacquired or retired by the Company other than (A) shares of Common Stock and/or options, warrants or other Common Stock purchase rights, and the Common Stock issued or issuable pursuant to such options, warrants or other rights to employees, officers or directors of, or consultants or advisors to the Company or any subsidiary pursuant to stock purchase or stock option plans or other arrangements that are approved by the Board; (B) shares of Common Stock issued or issuable pursuant to any equipment loan or leasing arrangement, or debt financing from a bank or similar financial institution; (C) shares of Common Stock issued or issuable in connection with licensing transactions involving the Company and other entities, including (1) joint ventures, manufacturing, marketing or distribution arrangements or (2)</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technology transfer or development arrangements; provided that such transactions in (1) and (2) and the issuance of shares therein has been approved by a</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majority of the members of the Company's Board of Directors and the aggregate number of shares so issued does not exceed four million (4,000,000)(as adjusted for stock splits, stock dividends, stock combinations, recapitalizatons and the like); and (D) any other issuances approved by the holders of a majority of the Series B Preferred Stock then outstanding.</w:t>
      </w:r>
    </w:p>
    <w:p>
      <w:pPr>
        <w:pStyle w:val="TextBody"/>
        <w:bidi w:val="0"/>
        <w:spacing w:before="2"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"Effective Price" of Additional Shares of Common Stock</w:t>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shall mean the quotient determined by dividing the total number of Additional Shares of Common Stock issued or sold, or deemed to have been issued or sold by the Company under this Section 4(f), into the aggregate consideration received,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or deemed to have been received by the Company for such issue under this Section 4(f), for such Additional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49935"/>
                <wp:effectExtent l="0" t="0" r="0" b="0"/>
                <wp:wrapNone/>
                <wp:docPr id="133" name="Frame8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5.Other Distributions.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the event the Corporation provides the holders of its Common Stock with consideration that is not otherwise addressed in Section 4 (including, without limitation, declaring a distribution payable in securities, assets, cash or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evidences of indebtedness issued by other persons or the Corporation (excluding cash dividends declared and paid by the Corporation out of retained earnings)), then, in each such case, the holders of the Series B Preferred Stock shall be entitled to a pro rata share of any such distribution as though such holders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were holders of the number of shares of Common Stock of the Corporation as though the Series B Preferred Stock had been converted in whole as of the record date fixed for the determination of the holders of Common Stock of the Corporation entitled to receive such distribution.</w:t>
      </w:r>
    </w:p>
    <w:p>
      <w:pPr>
        <w:pStyle w:val="TextBody"/>
        <w:bidi w:val="0"/>
        <w:spacing w:before="4"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6.Recapitalizations.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 at any time there occurs a recapitalization of the Common Stock (other than a subdivision, combination, or merger or sale of assets provided for in Section 4 hereof), the holders of the Series B Preferred Stock shall be entitled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to receive upon conversion of the Series B Preferred Stock the number of shares of capital stock or other securities or property of the Corporation or otherwise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to which a holder of the Common Stock deliverable upon conversion would have been entitled on such recapitalization. In any such case, appropriate adjustment shall be made in the application of the provisions of Section 4 hereof with respect to the rights of the holders of the Series B Preferred Stock after the recapitalization to the end that the provisions of Section 4 hereof (including adjustment of the Conversion Price then in effect and the number of shares purchasable upon conversion of the Series B Preferred Stock) shall be applicable after that event as nearly equivalent as may be practicable.</w:t>
      </w:r>
    </w:p>
    <w:p>
      <w:pPr>
        <w:pStyle w:val="TextBody"/>
        <w:bidi w:val="0"/>
        <w:spacing w:before="3" w:after="283"/>
        <w:jc w:val="left"/>
        <w:rPr/>
      </w:pPr>
      <w:r>
        <w:rPr/>
      </w:r>
    </w:p>
    <w:p>
      <w:pPr>
        <w:pStyle w:val="TextBody"/>
        <w:bidi w:val="0"/>
        <w:spacing w:lineRule="auto" w:line="288" w:before="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7.No Impairment.</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will not, by amendment of the Certificate of Incorporation or through any reorganization, recapitalization, transfer of assets, consolidation, merger, dissolution, issuance or sale of securities or any other</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voluntary action, avoid or seek to avoid the observance or performance of any of the terms to be observed or performed hereunder by the Corporation, but will at all times in good faith assist in the carrying out of all the provisions hereof</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and in the taking of all such action as may be necessary or appropriate in order to protect the Conversion Right of the holders of the Series B Preferred Stock against impairment.</w:t>
      </w:r>
    </w:p>
    <w:p>
      <w:pPr>
        <w:pStyle w:val="TextBody"/>
        <w:bidi w:val="0"/>
        <w:spacing w:before="4" w:after="283"/>
        <w:jc w:val="left"/>
        <w:rPr/>
      </w:pPr>
      <w:r>
        <w:rPr/>
      </w:r>
    </w:p>
    <w:p>
      <w:pPr>
        <w:pStyle w:val="TextBody"/>
        <w:bidi w:val="0"/>
        <w:spacing w:lineRule="auto" w:line="288" w:before="1" w:after="283"/>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8.No Fractional Shares and Certificate as to Adjustments.</w:t>
      </w:r>
    </w:p>
    <w:p>
      <w:pPr>
        <w:pStyle w:val="TextBody"/>
        <w:bidi w:val="0"/>
        <w:spacing w:before="10"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(a)No fractional shares of Common Stock will be issued upon the conversion of any share or shares of the Series B Preferred Stock. All shares of Common Stock (including fractions thereof) issuable upon conversion of more than one share of Series B Preferred Stock by a holder shall be aggregated for purposes of determining whether the conversion would result in the issuance of any fractional share. If, after the aforementioned aggregation, the conversion would result in the issuance of a fraction of a share of Common Stock, the Corporation shall, in lieu of issuing any fractional share, pay the holder otherwise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entitled to such fraction a sum in cash equal to such fraction multiplied by the closing price of the Corporation's Common Stock on the Nasdaq National Market (or any other national securities exchange on which the Common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35660"/>
                <wp:effectExtent l="0" t="0" r="0" b="0"/>
                <wp:wrapNone/>
                <wp:docPr id="134" name="Frame86"/>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2" descr=""/>
                                          <pic:cNvPicPr>
                                            <a:picLocks noChangeAspect="1" noChangeArrowheads="1"/>
                                          </pic:cNvPicPr>
                                        </pic:nvPicPr>
                                        <pic:blipFill>
                                          <a:blip r:embed="rId52"/>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2" descr=""/>
                                    <pic:cNvPicPr>
                                      <a:picLocks noChangeAspect="1" noChangeArrowheads="1"/>
                                    </pic:cNvPicPr>
                                  </pic:nvPicPr>
                                  <pic:blipFill>
                                    <a:blip r:embed="rId53"/>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Stock is then traded) on the day immediately preceding the conversion. All calculations under Section 4 hereof and this Section 8(a) shall be made to the nearest cent or to the nearest share, as the case may be.</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(b)Upon the occurrence of each adjustment or readjustment of the Conversion Price pursuant to Section 4 hereof, the Corporation, at its expense,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shall promptly compute such adjustment or readjustment in accordance with the terms hereof and prepare and furnish to each holder of shares of Series B Preferred Stock a certificate setting forth such adjustment or readjustment and showing in detail the facts upon which such adjustment or readjustment is based. The Corporation shall, upon the written request at any time of any holder of Series B Preferred Stock, use its reasonable best efforts to furnish or cause to</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be furnished to such holder a like certificate setting forth (i) such adjustment or readjustment, (ii) the Conversion Price at the time in effect, and (iii)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number of shares of Common Stock and the amount, if any, of other property which at the time would be received upon the conversion of a share of Series B</w:t>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w:t>
      </w:r>
    </w:p>
    <w:p>
      <w:pPr>
        <w:pStyle w:val="TextBody"/>
        <w:bidi w:val="0"/>
        <w:spacing w:before="9" w:after="283"/>
        <w:jc w:val="left"/>
        <w:rPr/>
      </w:pPr>
      <w:r>
        <w:rPr/>
      </w:r>
    </w:p>
    <w:p>
      <w:pPr>
        <w:pStyle w:val="TextBody"/>
        <w:bidi w:val="0"/>
        <w:spacing w:lineRule="auto" w:line="288" w:before="0" w:after="0"/>
        <w:ind w:left="0" w:right="0" w:hanging="150"/>
        <w:jc w:val="left"/>
        <w:rPr>
          <w:rFonts w:ascii="Times New Roman;serif" w:hAnsi="Times New Roman;serif"/>
          <w:b w:val="false"/>
          <w:color w:val="000000"/>
          <w:sz w:val="16"/>
        </w:rPr>
      </w:pPr>
      <w:r>
        <w:rPr>
          <w:rFonts w:ascii="Times New Roman;serif" w:hAnsi="Times New Roman;serif"/>
          <w:b w:val="false"/>
          <w:color w:val="000000"/>
          <w:sz w:val="16"/>
        </w:rPr>
        <w:t>9.Reservation of Stock Issuable Upon Conversion.</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Corporation shall at all times reserve and keep available out of its authorized but unissued shares of Common Stock, solely for the purpose of effecting the conversion of the shares of the Series B Preferred Stock, such number of its shares of Common Stock that shall from time to time be sufficient to effect the conversion of all outstanding shares of the Series B Preferred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Stock; and if at any time the number of authorized but unissued shares of Common Stock not otherwise reserved for issuance shall not be sufficient to effect the conversion of all then outstanding shares of the Series B Preferred Stock, the Corporation shall take such corporate action that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its Certificate of Incorporation.</w:t>
      </w:r>
    </w:p>
    <w:p>
      <w:pPr>
        <w:pStyle w:val="TextBody"/>
        <w:bidi w:val="0"/>
        <w:spacing w:before="4"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10.Notices.</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Any notice required by the provisions hereof to be given to the holders of shares of Series B Preferred Stock shall be given in writing and shall be deemed to have been given (i) in the case of personal or hand delivery, on the date of such delivery, (ii) in the case of an internationally-recognized overnight delivery courier, on the second business day after the date when sent, (iii) in the case of mailing, on the fifth business day following that day on which the piece of mail containing such communication is posted, and (iv) in the case of facsimile transmission, the date of telephone confirmation of receipt.</w:t>
      </w:r>
    </w:p>
    <w:p>
      <w:pPr>
        <w:pStyle w:val="TextBody"/>
        <w:bidi w:val="0"/>
        <w:spacing w:before="4" w:after="283"/>
        <w:jc w:val="left"/>
        <w:rPr/>
      </w:pPr>
      <w:r>
        <w:rPr/>
      </w:r>
    </w:p>
    <w:p>
      <w:pPr>
        <w:pStyle w:val="TextBody"/>
        <w:bidi w:val="0"/>
        <w:spacing w:lineRule="auto" w:line="288" w:before="0" w:after="0"/>
        <w:ind w:left="0" w:right="0" w:hanging="213"/>
        <w:jc w:val="left"/>
        <w:rPr>
          <w:rFonts w:ascii="Times New Roman;serif" w:hAnsi="Times New Roman;serif"/>
          <w:b w:val="false"/>
          <w:color w:val="000000"/>
          <w:sz w:val="16"/>
        </w:rPr>
      </w:pPr>
      <w:r>
        <w:rPr>
          <w:rFonts w:ascii="Times New Roman;serif" w:hAnsi="Times New Roman;serif"/>
          <w:b w:val="false"/>
          <w:color w:val="000000"/>
          <w:sz w:val="16"/>
        </w:rPr>
        <w:t>11.Voting Rights.</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Holders of Series B Preferred Stock shall be entitled to vote on all</w:t>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matters submitted to a vote of the holders of the Corporation's Common Stock, including with respect to the election of directors of the Corporation, on an as</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if converted to Common Stock basis; provided, however, that the number of votes to which the Series B Preferred Stock is entitled shall be based on a conversion price of $5.00 per share, giving effect to any future adjustments pursuant to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35660"/>
                <wp:effectExtent l="0" t="0" r="0" b="0"/>
                <wp:wrapNone/>
                <wp:docPr id="137" name="Frame87"/>
                <a:graphic xmlns:a="http://schemas.openxmlformats.org/drawingml/2006/main">
                  <a:graphicData uri="http://schemas.microsoft.com/office/word/2010/wordprocessingShape">
                    <wps:wsp>
                      <wps:cNvSpPr txBox="1"/>
                      <wps:spPr>
                        <a:xfrm>
                          <a:off x="0" y="0"/>
                          <a:ext cx="6480175" cy="835660"/>
                        </a:xfrm>
                        <a:prstGeom prst="rect"/>
                        <a:solidFill>
                          <a:srgbClr val="FFFFFF"/>
                        </a:solidFill>
                      </wps:spPr>
                      <wps:txbx>
                        <w:txbxContent>
                          <w:p>
                            <w:pPr>
                              <w:pStyle w:val="TextBody"/>
                              <w:bidi w:val="0"/>
                              <w:spacing w:before="0" w:after="0"/>
                              <w:jc w:val="left"/>
                              <w:rPr/>
                            </w:pPr>
                            <w:r>
                              <w:rPr/>
                              <w:drawing>
                                <wp:inline distT="0" distB="0" distL="0" distR="0">
                                  <wp:extent cx="6276975" cy="14605"/>
                                  <wp:effectExtent l="0" t="0" r="0" b="0"/>
                                  <wp:docPr id="1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3" descr=""/>
                                          <pic:cNvPicPr>
                                            <a:picLocks noChangeAspect="1" noChangeArrowheads="1"/>
                                          </pic:cNvPicPr>
                                        </pic:nvPicPr>
                                        <pic:blipFill>
                                          <a:blip r:embed="rId54"/>
                                          <a:stretch>
                                            <a:fillRect/>
                                          </a:stretch>
                                        </pic:blipFill>
                                        <pic:spPr bwMode="auto">
                                          <a:xfrm>
                                            <a:off x="0" y="0"/>
                                            <a:ext cx="6276975" cy="14605"/>
                                          </a:xfrm>
                                          <a:prstGeom prst="rect">
                                            <a:avLst/>
                                          </a:prstGeom>
                                        </pic:spPr>
                                      </pic:pic>
                                    </a:graphicData>
                                  </a:graphic>
                                </wp:inline>
                              </w:drawing>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6276975" cy="14605"/>
                            <wp:effectExtent l="0" t="0" r="0" b="0"/>
                            <wp:docPr id="1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3" descr=""/>
                                    <pic:cNvPicPr>
                                      <a:picLocks noChangeAspect="1" noChangeArrowheads="1"/>
                                    </pic:cNvPicPr>
                                  </pic:nvPicPr>
                                  <pic:blipFill>
                                    <a:blip r:embed="rId55"/>
                                    <a:stretch>
                                      <a:fillRect/>
                                    </a:stretch>
                                  </pic:blipFill>
                                  <pic:spPr bwMode="auto">
                                    <a:xfrm>
                                      <a:off x="0" y="0"/>
                                      <a:ext cx="6276975" cy="1460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4(e) above, but without giving any effect to any future adjustments pursuant to Section 4(f) above.</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12.Protective Provisions.</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Subject to the rights of any series of preferred stock that may from time to time come into existence, so long as any shares of Series B Preferred Stock are outstanding, the Corporation shall not without first obtaining the approval (by vote or written consent, as provided by law) of the holders of at least a majority of the then-outstanding shares of Series B Preferred Stock, voting separately as a series:</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(a)amend its Certificate of Incorporation (including the filing of a Certificate of Designations) so as to (i) increase the number of authorized</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shares of the Corporation's preferred stock or (ii) affect adversely the shares of Series B Preferred Stock or any holder thereof, including, without limitation, by creating any additional series of preferred stock (or issuing shares under any such series) that is senior or pari passu in liquidation preference, redemption right, conversion rights or right of payment to the Series B Preferred Stock;</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(b)after the date of this Certificate of Designation, create any new debt instrument or create or increase any new or existing bank line (or similar arrangement pursuant to which the Company is or becomes indebted), so that the</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Company's total indebtedness pursuant to such instruments, lines or arrangements exceeds $105,000,000 in the aggregate; or</w:t>
      </w:r>
    </w:p>
    <w:p>
      <w:pPr>
        <w:pStyle w:val="TextBody"/>
        <w:bidi w:val="0"/>
        <w:spacing w:before="4"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(c)change the rights of the holders of the Series B Preferred Stock in any other respect;</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provided, however, that the authorization and issuance of additional shares of Common Stock, and creation of any series of preferred stock (or issuing shares under any such series) that is junior in right of payment upon liquidation, redemption, conversion and payment rights and otherwise to the Series B Preferred Stock shall not be deemed to adversely affect the rights, preferences or privileges of the Series B Preferred Stock or any holder thereof or change the rights of the holders of the Series B Preferred Stock in any other respect.</w:t>
      </w:r>
    </w:p>
    <w:p>
      <w:pPr>
        <w:pStyle w:val="TextBody"/>
        <w:bidi w:val="0"/>
        <w:spacing w:before="4"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Series B Preferred Stock shall have no preemptive rights pursuant hereto.</w:t>
      </w:r>
    </w:p>
    <w:p>
      <w:pPr>
        <w:pStyle w:val="TextBody"/>
        <w:bidi w:val="0"/>
        <w:spacing w:before="5"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13.Legend.</w:t>
      </w:r>
    </w:p>
    <w:p>
      <w:pPr>
        <w:pStyle w:val="TextBody"/>
        <w:bidi w:val="0"/>
        <w:spacing w:before="11"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Series B Preferred Stock and any underlying shares of Common Stock will be issued under an exemption or exemptions from registration under the Act.</w:t>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Accordingly, the certificates evidencing the Series B Preferred Stock and the underlying Common Stock shall, upon issuance, contain a legend, substantially in the form as follows:</w:t>
      </w:r>
    </w:p>
    <w:p>
      <w:pPr>
        <w:pStyle w:val="TextBody"/>
        <w:bidi w:val="0"/>
        <w:spacing w:before="5" w:after="283"/>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"THE SECURITIES REPRESENTED HEREBY HAVE NOT BEEN REGISTERED UNDER THE U.S. SECURITIES ACT OF 1933, AS AMENDED (THE "ACT"), OR APPLICABLE STATE SECURITIES LAWS AND NO INTEREST HEREIN MAY BE SOLD, TRANSFERRED OR OTHERWISE DISPOSED OF UNLESS (1) A REGISTRATION STATEMENT WITH RESPECT TO SUCH SECURITIES SHALL BE EFFECTIVE 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49935"/>
                <wp:effectExtent l="0" t="0" r="0" b="0"/>
                <wp:wrapNone/>
                <wp:docPr id="140" name="Frame8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r>
                                    <w:br w:type="page"/>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THE ACT AND ANY APPLICABLE STATE SECURITIES LAWS OR (2) SUCH SECURITIES ARE TRANSFERRED PURSUANT TO RULE 144 PROMULGATED UNDER THE ACT (OR ANY SUCCESSOR RULE) OR (3) THE ISSUER OF THESE SECURITIES SHALL HAVE RECEIVED AN OPINION OF COUNSEL FOR THE HOLDER OF THESE SECURITIES REASONABLY SATISFACTORY TO THE ISSUER THAT NO VIOLATION OF THE ACT OR SIMILAR STATE SECURITIES LAWS WILL BE INVOLVED</w:t>
      </w:r>
    </w:p>
    <w:p>
      <w:pPr>
        <w:pStyle w:val="TextBody"/>
        <w:bidi w:val="0"/>
        <w:spacing w:lineRule="atLeast" w:line="183" w:before="0" w:after="0"/>
        <w:jc w:val="left"/>
        <w:rPr>
          <w:rFonts w:ascii="Times New Roman;serif" w:hAnsi="Times New Roman;serif"/>
          <w:b w:val="false"/>
          <w:color w:val="000000"/>
          <w:sz w:val="16"/>
        </w:rPr>
      </w:pPr>
      <w:r>
        <w:rPr>
          <w:rFonts w:ascii="Times New Roman;serif" w:hAnsi="Times New Roman;serif"/>
          <w:b w:val="false"/>
          <w:color w:val="000000"/>
          <w:sz w:val="16"/>
        </w:rPr>
        <w:t>IN SUCH TRANSFER.</w:t>
      </w:r>
    </w:p>
    <w:p>
      <w:pPr>
        <w:pStyle w:val="TextBody"/>
        <w:bidi w:val="0"/>
        <w:spacing w:before="11" w:after="283"/>
        <w:jc w:val="left"/>
        <w:rPr/>
      </w:pPr>
      <w:r>
        <w:rPr/>
      </w:r>
    </w:p>
    <w:p>
      <w:pPr>
        <w:pStyle w:val="TextBody"/>
        <w:bidi w:val="0"/>
        <w:spacing w:lineRule="auto" w:line="288"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14.Status of Converted Stock.</w:t>
      </w:r>
    </w:p>
    <w:p>
      <w:pPr>
        <w:pStyle w:val="TextBody"/>
        <w:bidi w:val="0"/>
        <w:spacing w:before="10"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In the event any shares of Series B Preferred Stock shall be converted pursuant to Section 4 hereof, the shares so converted shall be canceled and shall not be reissuable by the Corporation.</w:t>
      </w:r>
    </w:p>
    <w:p>
      <w:pPr>
        <w:pStyle w:val="TextBody"/>
        <w:bidi w:val="0"/>
        <w:spacing w:before="4" w:after="283"/>
        <w:jc w:val="left"/>
        <w:rPr/>
      </w:pPr>
      <w:r>
        <w:rPr/>
      </w:r>
    </w:p>
    <w:p>
      <w:pPr>
        <w:pStyle w:val="TextBody"/>
        <w:bidi w:val="0"/>
        <w:spacing w:lineRule="auto" w:line="285" w:before="1" w:after="283"/>
        <w:jc w:val="left"/>
        <w:rPr>
          <w:rFonts w:ascii="Times New Roman;serif" w:hAnsi="Times New Roman;serif"/>
          <w:b w:val="false"/>
          <w:color w:val="000000"/>
          <w:sz w:val="16"/>
        </w:rPr>
      </w:pPr>
      <w:r>
        <w:rPr>
          <w:rFonts w:ascii="Times New Roman;serif" w:hAnsi="Times New Roman;serif"/>
          <w:b w:val="false"/>
          <w:color w:val="000000"/>
          <w:sz w:val="16"/>
        </w:rPr>
        <w:t>SECOND: That the authorization of, and the filing of this Certificate of Designations relating to, the Series B Preferred Stock has been duly approved by the holders of the Company's Series A Preferred Stock in accordance with the Company's Amended and Restated Certificate of Incorporation, as amended by the Certificate of Designations filed on October 29, 2001, and Section 242 of the Delaware General Corporation Law.</w:t>
      </w:r>
    </w:p>
    <w:p>
      <w:pPr>
        <w:pStyle w:val="TextBody"/>
        <w:bidi w:val="0"/>
        <w:spacing w:before="4"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49935"/>
                <wp:effectExtent l="0" t="0" r="0" b="0"/>
                <wp:wrapNone/>
                <wp:docPr id="141" name="Frame8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r>
                                    <w:br w:type="page"/>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68" w:after="283"/>
        <w:jc w:val="left"/>
        <w:rPr>
          <w:rFonts w:ascii="Times New Roman;serif" w:hAnsi="Times New Roman;serif"/>
          <w:b w:val="false"/>
          <w:color w:val="000000"/>
          <w:sz w:val="16"/>
        </w:rPr>
      </w:pPr>
      <w:r>
        <w:rPr>
          <w:rFonts w:ascii="Times New Roman;serif" w:hAnsi="Times New Roman;serif"/>
          <w:b w:val="false"/>
          <w:color w:val="000000"/>
          <w:sz w:val="16"/>
        </w:rPr>
        <w:t>IN WITNESS WHEREOF, said Wireless Facilities, Inc. has caused this Certificate of Designations to be signed by Masood K. Tayebi, its Chief Executive Officer, as of May 30, 2002.</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WIRELESS FACILITIES, INC.</w:t>
      </w:r>
    </w:p>
    <w:p>
      <w:pPr>
        <w:pStyle w:val="TextBody"/>
        <w:bidi w:val="0"/>
        <w:spacing w:before="10" w:after="283"/>
        <w:jc w:val="left"/>
        <w:rPr/>
      </w:pPr>
      <w:r>
        <w:rPr/>
      </w:r>
    </w:p>
    <w:p>
      <w:pPr>
        <w:pStyle w:val="TextBody"/>
        <w:bidi w:val="0"/>
        <w:spacing w:lineRule="auto" w:line="288" w:before="1" w:after="283"/>
        <w:jc w:val="left"/>
        <w:rPr/>
      </w:pPr>
      <w:r>
        <w:rPr>
          <w:rFonts w:ascii="Times New Roman;serif" w:hAnsi="Times New Roman;serif"/>
          <w:b w:val="false"/>
          <w:color w:val="000000"/>
          <w:sz w:val="16"/>
        </w:rPr>
        <w:t xml:space="preserve">By: </w:t>
      </w:r>
      <w:r>
        <w:rPr>
          <w:rFonts w:ascii="Times New Roman;serif" w:hAnsi="Times New Roman;serif"/>
          <w:b w:val="false"/>
          <w:color w:val="000000"/>
          <w:sz w:val="16"/>
          <w:u w:val="single"/>
        </w:rPr>
        <w:t>/s/ Masood K. Tayebi</w:t>
      </w:r>
    </w:p>
    <w:p>
      <w:pPr>
        <w:pStyle w:val="TextBody"/>
        <w:bidi w:val="0"/>
        <w:spacing w:lineRule="auto" w:line="285" w:before="71" w:after="283"/>
        <w:jc w:val="left"/>
        <w:rPr>
          <w:rFonts w:ascii="Times New Roman;serif" w:hAnsi="Times New Roman;serif"/>
          <w:b w:val="false"/>
          <w:color w:val="000000"/>
          <w:sz w:val="16"/>
        </w:rPr>
      </w:pPr>
      <w:r>
        <w:rPr>
          <w:rFonts w:ascii="Times New Roman;serif" w:hAnsi="Times New Roman;serif"/>
          <w:b w:val="false"/>
          <w:color w:val="000000"/>
          <w:sz w:val="16"/>
        </w:rPr>
        <w:t>Name: Masood K. Tayebi Title: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49935"/>
                <wp:effectExtent l="0" t="0" r="0" b="0"/>
                <wp:wrapNone/>
                <wp:docPr id="142" name="Frame9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r>
                                    <w:br w:type="page"/>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390" w:type="dxa"/>
                        <w:jc w:val="left"/>
                        <w:tblInd w:w="0" w:type="dxa"/>
                        <w:tblLayout w:type="fixed"/>
                        <w:tblCellMar>
                          <w:top w:w="28" w:type="dxa"/>
                          <w:left w:w="28" w:type="dxa"/>
                          <w:bottom w:w="28" w:type="dxa"/>
                          <w:right w:w="28" w:type="dxa"/>
                        </w:tblCellMar>
                      </w:tblPr>
                      <w:tblGrid>
                        <w:gridCol w:w="125"/>
                        <w:gridCol w:w="110"/>
                        <w:gridCol w:w="15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center"/>
        <w:rPr/>
      </w:pPr>
      <w:r>
        <w:rPr/>
        <w:drawing>
          <wp:inline distT="0" distB="0" distL="0" distR="0">
            <wp:extent cx="6276975" cy="14605"/>
            <wp:effectExtent l="0" t="0" r="0" b="0"/>
            <wp:docPr id="1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4" descr=""/>
                    <pic:cNvPicPr>
                      <a:picLocks noChangeAspect="1" noChangeArrowheads="1"/>
                    </pic:cNvPicPr>
                  </pic:nvPicPr>
                  <pic:blipFill>
                    <a:blip r:embed="rId56"/>
                    <a:stretch>
                      <a:fillRect/>
                    </a:stretch>
                  </pic:blipFill>
                  <pic:spPr bwMode="auto">
                    <a:xfrm>
                      <a:off x="0" y="0"/>
                      <a:ext cx="6276975" cy="14605"/>
                    </a:xfrm>
                    <a:prstGeom prst="rect">
                      <a:avLst/>
                    </a:prstGeom>
                  </pic:spPr>
                </pic:pic>
              </a:graphicData>
            </a:graphic>
          </wp:inline>
        </w:drawing>
      </w:r>
      <w:r>
        <w:rPr>
          <w:rFonts w:ascii="Times New Roman;serif" w:hAnsi="Times New Roman;serif"/>
          <w:b/>
          <w:color w:val="000000"/>
          <w:sz w:val="16"/>
        </w:rPr>
        <w:t>CERTIFICATE OF DESIGNATION OF THE</w:t>
      </w:r>
    </w:p>
    <w:p>
      <w:pPr>
        <w:pStyle w:val="TextBody"/>
        <w:bidi w:val="0"/>
        <w:spacing w:lineRule="auto" w:line="285" w:before="0" w:after="0"/>
        <w:jc w:val="center"/>
        <w:rPr>
          <w:rFonts w:ascii="Times New Roman;serif" w:hAnsi="Times New Roman;serif"/>
          <w:b/>
          <w:color w:val="000000"/>
          <w:sz w:val="16"/>
        </w:rPr>
      </w:pPr>
      <w:r>
        <w:rPr>
          <w:rFonts w:ascii="Times New Roman;serif" w:hAnsi="Times New Roman;serif"/>
          <w:b/>
          <w:color w:val="000000"/>
          <w:sz w:val="16"/>
        </w:rPr>
        <w:t>SERIES C PREFERRED STOCK OF</w:t>
      </w:r>
    </w:p>
    <w:p>
      <w:pPr>
        <w:pStyle w:val="TextBody"/>
        <w:bidi w:val="0"/>
        <w:spacing w:lineRule="atLeast" w:line="184" w:before="0" w:after="0"/>
        <w:jc w:val="center"/>
        <w:rPr>
          <w:rFonts w:ascii="Times New Roman;serif" w:hAnsi="Times New Roman;serif"/>
          <w:b/>
          <w:color w:val="000000"/>
          <w:sz w:val="16"/>
        </w:rPr>
      </w:pPr>
      <w:r>
        <w:rPr>
          <w:rFonts w:ascii="Times New Roman;serif" w:hAnsi="Times New Roman;serif"/>
          <w:b/>
          <w:color w:val="000000"/>
          <w:sz w:val="16"/>
        </w:rPr>
        <w:t>WIRELESS FACILITIES, INC.</w:t>
      </w:r>
    </w:p>
    <w:p>
      <w:pPr>
        <w:pStyle w:val="TextBody"/>
        <w:bidi w:val="0"/>
        <w:spacing w:lineRule="auto" w:line="288" w:before="5" w:after="283"/>
        <w:jc w:val="center"/>
        <w:rPr/>
      </w:pPr>
      <w:r>
        <w:rPr/>
        <w:drawing>
          <wp:inline distT="0" distB="0" distL="0" distR="0">
            <wp:extent cx="6276975" cy="14605"/>
            <wp:effectExtent l="0" t="0" r="0" b="0"/>
            <wp:docPr id="1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5" descr=""/>
                    <pic:cNvPicPr>
                      <a:picLocks noChangeAspect="1" noChangeArrowheads="1"/>
                    </pic:cNvPicPr>
                  </pic:nvPicPr>
                  <pic:blipFill>
                    <a:blip r:embed="rId57"/>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Pursuant to Section 151 of the General Corporation Law of the State of Delaware</w:t>
      </w:r>
    </w:p>
    <w:p>
      <w:pPr>
        <w:pStyle w:val="TextBody"/>
        <w:bidi w:val="0"/>
        <w:spacing w:before="0" w:after="0"/>
        <w:jc w:val="left"/>
        <w:rPr/>
      </w:pPr>
      <w:r>
        <w:rPr/>
      </w:r>
    </w:p>
    <w:p>
      <w:pPr>
        <w:pStyle w:val="TextBody"/>
        <w:bidi w:val="0"/>
        <w:spacing w:before="16" w:after="283"/>
        <w:jc w:val="left"/>
        <w:rPr/>
      </w:pPr>
      <w:r>
        <w:rPr/>
      </w:r>
    </w:p>
    <w:p>
      <w:pPr>
        <w:pStyle w:val="TextBody"/>
        <w:bidi w:val="0"/>
        <w:spacing w:lineRule="auto" w:line="285" w:before="0" w:after="0"/>
        <w:ind w:left="0" w:right="0" w:firstLine="720"/>
        <w:jc w:val="left"/>
        <w:rPr/>
      </w:pPr>
      <w:r>
        <w:rPr>
          <w:rFonts w:ascii="Times New Roman;serif" w:hAnsi="Times New Roman;serif"/>
          <w:b w:val="false"/>
          <w:color w:val="000000"/>
          <w:sz w:val="16"/>
        </w:rPr>
        <w:t>The undersigned officers of Wireless Facilities, Inc., a corporation organized and existing under the General Corporation Law of the State of Delaware (the “</w:t>
      </w:r>
      <w:r>
        <w:rPr>
          <w:rFonts w:ascii="Times New Roman;serif" w:hAnsi="Times New Roman;serif"/>
          <w:b w:val="false"/>
          <w:i/>
          <w:color w:val="000000"/>
          <w:sz w:val="16"/>
        </w:rPr>
        <w:t>Corporation</w:t>
      </w:r>
      <w:r>
        <w:rPr>
          <w:color w:val="000000"/>
        </w:rPr>
        <w:t>”</w:t>
      </w:r>
      <w:r>
        <w:rPr>
          <w:rFonts w:ascii="Times New Roman;serif" w:hAnsi="Times New Roman;serif"/>
          <w:b w:val="false"/>
          <w:color w:val="000000"/>
          <w:sz w:val="16"/>
        </w:rPr>
        <w:t xml:space="preserve">), in accordance with the provisions of Section 103 thereof, </w:t>
      </w:r>
      <w:r>
        <w:rPr>
          <w:rFonts w:ascii="Times New Roman;serif" w:hAnsi="Times New Roman;serif"/>
          <w:b/>
          <w:color w:val="000000"/>
          <w:sz w:val="16"/>
        </w:rPr>
        <w:t>DO HEREBY CERTIFY</w:t>
      </w:r>
      <w:r>
        <w:rPr>
          <w:rFonts w:ascii="Times New Roman;serif" w:hAnsi="Times New Roman;serif"/>
          <w:b w:val="false"/>
          <w:color w:val="000000"/>
          <w:sz w:val="16"/>
        </w:rPr>
        <w:t>:</w:t>
      </w:r>
    </w:p>
    <w:p>
      <w:pPr>
        <w:pStyle w:val="TextBody"/>
        <w:bidi w:val="0"/>
        <w:spacing w:before="0" w:after="0"/>
        <w:jc w:val="left"/>
        <w:rPr/>
      </w:pPr>
      <w:r>
        <w:rPr/>
      </w:r>
    </w:p>
    <w:p>
      <w:pPr>
        <w:pStyle w:val="TextBody"/>
        <w:bidi w:val="0"/>
        <w:spacing w:lineRule="auto" w:line="285" w:before="0" w:after="0"/>
        <w:ind w:left="0" w:right="0" w:firstLine="720"/>
        <w:jc w:val="left"/>
        <w:rPr/>
      </w:pPr>
      <w:r>
        <w:rPr>
          <w:rFonts w:ascii="Times New Roman;serif" w:hAnsi="Times New Roman;serif"/>
          <w:b w:val="false"/>
          <w:color w:val="000000"/>
          <w:sz w:val="16"/>
        </w:rPr>
        <w:t>That, pursuant to the authority conferred upon the Board of Directors of the Corporation by its Amended and Restated Certificate of Incorporation (the “</w:t>
      </w:r>
      <w:r>
        <w:rPr>
          <w:rFonts w:ascii="Times New Roman;serif" w:hAnsi="Times New Roman;serif"/>
          <w:b w:val="false"/>
          <w:i/>
          <w:color w:val="000000"/>
          <w:sz w:val="16"/>
        </w:rPr>
        <w:t>Certificate</w:t>
      </w:r>
      <w:r>
        <w:rPr>
          <w:color w:val="000000"/>
        </w:rPr>
        <w:t>”</w:t>
      </w:r>
      <w:r>
        <w:rPr>
          <w:rFonts w:ascii="Times New Roman;serif" w:hAnsi="Times New Roman;serif"/>
          <w:b w:val="false"/>
          <w:color w:val="000000"/>
          <w:sz w:val="16"/>
        </w:rPr>
        <w:t>), the said Board of Directors unanimously adopted the following resolution by written consent on December 16, 2004, which resolution remains in full force and effect on the date hereof, creating a series of Preferred Stock having a par value of $0.001 per share, designated as Series C Preferred Stock (the “</w:t>
      </w:r>
      <w:r>
        <w:rPr>
          <w:rFonts w:ascii="Times New Roman;serif" w:hAnsi="Times New Roman;serif"/>
          <w:b w:val="false"/>
          <w:i/>
          <w:color w:val="000000"/>
          <w:sz w:val="16"/>
        </w:rPr>
        <w:t>Series C Preferred Stock</w:t>
      </w:r>
      <w:r>
        <w:rPr>
          <w:color w:val="000000"/>
        </w:rPr>
        <w:t>”</w:t>
      </w:r>
      <w:r>
        <w:rPr>
          <w:rFonts w:ascii="Times New Roman;serif" w:hAnsi="Times New Roman;serif"/>
          <w:b w:val="false"/>
          <w:color w:val="000000"/>
          <w:sz w:val="16"/>
        </w:rPr>
        <w:t>) out of the Corporation’s shares of preferred stock of the par value of $0.001 per share (the ”</w:t>
      </w:r>
      <w:r>
        <w:rPr>
          <w:rFonts w:ascii="Times New Roman;serif" w:hAnsi="Times New Roman;serif"/>
          <w:b w:val="false"/>
          <w:i/>
          <w:color w:val="000000"/>
          <w:sz w:val="16"/>
        </w:rPr>
        <w:t>Preferred Stock</w:t>
      </w:r>
      <w:r>
        <w:rPr>
          <w:color w:val="000000"/>
        </w:rPr>
        <w:t>”</w:t>
      </w:r>
      <w:r>
        <w:rPr>
          <w:rFonts w:ascii="Times New Roman;serif" w:hAnsi="Times New Roman;serif"/>
          <w:b w:val="false"/>
          <w:color w:val="000000"/>
          <w:sz w:val="16"/>
        </w:rPr>
        <w:t>):</w:t>
      </w:r>
    </w:p>
    <w:p>
      <w:pPr>
        <w:pStyle w:val="TextBody"/>
        <w:bidi w:val="0"/>
        <w:spacing w:before="0" w:after="0"/>
        <w:jc w:val="left"/>
        <w:rPr/>
      </w:pPr>
      <w:r>
        <w:rPr/>
      </w:r>
    </w:p>
    <w:p>
      <w:pPr>
        <w:pStyle w:val="TextBody"/>
        <w:bidi w:val="0"/>
        <w:spacing w:lineRule="auto" w:line="285" w:before="0" w:after="0"/>
        <w:ind w:left="0" w:right="0" w:firstLine="720"/>
        <w:jc w:val="left"/>
        <w:rPr/>
      </w:pPr>
      <w:r>
        <w:rPr>
          <w:rFonts w:ascii="Times New Roman;serif" w:hAnsi="Times New Roman;serif"/>
          <w:b/>
          <w:color w:val="000000"/>
          <w:sz w:val="16"/>
        </w:rPr>
        <w:t>RESOLVED</w:t>
      </w:r>
      <w:r>
        <w:rPr>
          <w:rFonts w:ascii="Times New Roman;serif" w:hAnsi="Times New Roman;serif"/>
          <w:b w:val="false"/>
          <w:color w:val="000000"/>
          <w:sz w:val="16"/>
        </w:rPr>
        <w:t>, that pursuant to the authority vested in the Board of Directors in accordance with the provisions of its Certificate, the Board of Directors does hereby create, authorize and provide for 1,200,000 shares of its authorized Preferred Stock to be designated and issued as the Series C Preferred Stock, having the voting powers, designation, relative, participating, optional and other special rights, preferences and qualifications, limitations and restrictions that are set forth as follows:</w:t>
      </w:r>
    </w:p>
    <w:p>
      <w:pPr>
        <w:pStyle w:val="TextBody"/>
        <w:bidi w:val="0"/>
        <w:spacing w:before="0" w:after="0"/>
        <w:jc w:val="left"/>
        <w:rPr/>
      </w:pPr>
      <w:r>
        <w:rPr/>
      </w:r>
    </w:p>
    <w:p>
      <w:pPr>
        <w:pStyle w:val="TextBody"/>
        <w:bidi w:val="0"/>
        <w:spacing w:lineRule="auto" w:line="345" w:before="0" w:after="0"/>
        <w:jc w:val="left"/>
        <w:rPr/>
      </w:pPr>
      <w:r>
        <w:rPr>
          <w:rFonts w:ascii="Times New Roman;serif" w:hAnsi="Times New Roman;serif"/>
          <w:b w:val="false"/>
          <w:color w:val="000000"/>
          <w:sz w:val="14"/>
        </w:rPr>
        <w:t>2.</w:t>
      </w:r>
      <w:r>
        <w:rPr>
          <w:rFonts w:ascii="Times New Roman;serif" w:hAnsi="Times New Roman;serif"/>
          <w:b w:val="false"/>
          <w:color w:val="000000"/>
          <w:sz w:val="16"/>
          <w:u w:val="single"/>
        </w:rPr>
        <w:t>Voting Rights</w:t>
      </w:r>
      <w:r>
        <w:rPr>
          <w:rFonts w:ascii="Times New Roman;serif" w:hAnsi="Times New Roman;serif"/>
          <w:b w:val="false"/>
          <w:color w:val="000000"/>
          <w:sz w:val="16"/>
        </w:rPr>
        <w:t>. The holders of one one-hundredth (1/100) of a share (a “</w:t>
      </w:r>
      <w:r>
        <w:rPr>
          <w:rFonts w:ascii="Times New Roman;serif" w:hAnsi="Times New Roman;serif"/>
          <w:b w:val="false"/>
          <w:i/>
          <w:color w:val="000000"/>
          <w:sz w:val="16"/>
        </w:rPr>
        <w:t>Unit</w:t>
      </w:r>
      <w:r>
        <w:rPr>
          <w:color w:val="000000"/>
        </w:rPr>
        <w:t>”</w:t>
      </w:r>
      <w:r>
        <w:rPr>
          <w:rFonts w:ascii="Times New Roman;serif" w:hAnsi="Times New Roman;serif"/>
          <w:b w:val="false"/>
          <w:color w:val="000000"/>
          <w:sz w:val="16"/>
        </w:rPr>
        <w:t xml:space="preserve">) of Series C Preferred Stock shall have the following voting rights: </w:t>
      </w:r>
    </w:p>
    <w:p>
      <w:pPr>
        <w:pStyle w:val="TextBody"/>
        <w:bidi w:val="0"/>
        <w:spacing w:lineRule="auto" w:line="240" w:before="0" w:after="0"/>
        <w:ind w:left="0" w:right="0" w:firstLine="720"/>
        <w:jc w:val="left"/>
        <w:rPr/>
      </w:pPr>
      <w:r>
        <w:rPr>
          <w:rFonts w:ascii="Times New Roman;serif" w:hAnsi="Times New Roman;serif"/>
          <w:b w:val="false"/>
          <w:color w:val="000000"/>
          <w:sz w:val="16"/>
        </w:rPr>
        <w:t>(A) Subject to the provision for adjustment hereinafter set forth, each Unit of Series C Preferred Stock shall entitle the holder thereof to one vote on all matters submitted to a vote of the stockholders of the Corporation. In the event the Corporation shall, at any time after the December 16, 2004 (the “</w:t>
      </w:r>
      <w:r>
        <w:rPr>
          <w:rFonts w:ascii="Times New Roman;serif" w:hAnsi="Times New Roman;serif"/>
          <w:b w:val="false"/>
          <w:i/>
          <w:color w:val="000000"/>
          <w:sz w:val="16"/>
        </w:rPr>
        <w:t>Rights Declaration Date</w:t>
      </w:r>
      <w:r>
        <w:rPr>
          <w:color w:val="000000"/>
        </w:rPr>
        <w:t>”</w:t>
      </w:r>
      <w:r>
        <w:rPr>
          <w:rFonts w:ascii="Times New Roman;serif" w:hAnsi="Times New Roman;serif"/>
          <w:b w:val="false"/>
          <w:color w:val="000000"/>
          <w:sz w:val="16"/>
        </w:rPr>
        <w:t>), (i) declare any dividend on outstanding shares of Common Stock payable in shares of Common Stock, (ii) subdivide outstanding shares of Common Stock or (iii) combine the outstanding shares of Common Stock into a smaller number of shares, then in each such case the number of votes per Unit to which holders of Units of Series C Preferred Stock were entitled immediately prior to such event shall be adjusted by multiplying such number by a fraction (y) the numerator of which shall be the number of shares of Common Stock outstanding immediately after such event and (z) the denominator of which shall be the number of shares of Common Stock that were outstanding immediately prior to such event;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49935"/>
                <wp:effectExtent l="0" t="0" r="0" b="0"/>
                <wp:wrapNone/>
                <wp:docPr id="145" name="Frame9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r>
                                    <w:br w:type="page"/>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88" w:before="17" w:after="283"/>
                                    <w:jc w:val="center"/>
                                    <w:rPr>
                                      <w:rFonts w:ascii="Times New Roman;serif" w:hAnsi="Times New Roman;serif"/>
                                      <w:b w:val="false"/>
                                      <w:color w:val="000000"/>
                                      <w:sz w:val="16"/>
                                    </w:rPr>
                                  </w:pPr>
                                  <w:r>
                                    <w:rPr>
                                      <w:rFonts w:ascii="Times New Roman;serif" w:hAnsi="Times New Roman;serif"/>
                                      <w:b w:val="false"/>
                                      <w:color w:val="000000"/>
                                      <w:sz w:val="16"/>
                                    </w:rPr>
                                    <w:t>C-1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88" w:before="17" w:after="283"/>
                              <w:jc w:val="center"/>
                              <w:rPr>
                                <w:rFonts w:ascii="Times New Roman;serif" w:hAnsi="Times New Roman;serif"/>
                                <w:b w:val="false"/>
                                <w:color w:val="000000"/>
                                <w:sz w:val="16"/>
                              </w:rPr>
                            </w:pPr>
                            <w:r>
                              <w:rPr>
                                <w:rFonts w:ascii="Times New Roman;serif" w:hAnsi="Times New Roman;serif"/>
                                <w:b w:val="false"/>
                                <w:color w:val="000000"/>
                                <w:sz w:val="16"/>
                              </w:rPr>
                              <w:t>C-1</w:t>
                            </w:r>
                          </w:p>
                        </w:tc>
                      </w:tr>
                    </w:tbl>
                    <w:p>
                      <w:pPr>
                        <w:pStyle w:val="TextBody"/>
                        <w:bidi w:val="0"/>
                        <w:spacing w:before="0" w:after="283"/>
                        <w:jc w:val="left"/>
                        <w:rPr/>
                      </w:pPr>
                      <w:r>
                        <w:rPr/>
                      </w:r>
                    </w:p>
                  </w:txbxContent>
                </v:textbox>
                <w10:wrap type="none"/>
              </v:rect>
            </w:pict>
          </mc:Fallback>
        </mc:AlternateContent>
      </w:r>
    </w:p>
    <w:p>
      <w:pPr>
        <w:pStyle w:val="TextBody"/>
        <w:bidi w:val="0"/>
        <w:spacing w:before="78" w:after="283"/>
        <w:jc w:val="left"/>
        <w:rPr/>
      </w:pPr>
      <w:r>
        <w:rPr/>
        <w:drawing>
          <wp:inline distT="0" distB="0" distL="0" distR="0">
            <wp:extent cx="6276975" cy="14605"/>
            <wp:effectExtent l="0" t="0" r="0" b="0"/>
            <wp:docPr id="1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6" descr=""/>
                    <pic:cNvPicPr>
                      <a:picLocks noChangeAspect="1" noChangeArrowheads="1"/>
                    </pic:cNvPicPr>
                  </pic:nvPicPr>
                  <pic:blipFill>
                    <a:blip r:embed="rId58"/>
                    <a:stretch>
                      <a:fillRect/>
                    </a:stretch>
                  </pic:blipFill>
                  <pic:spPr bwMode="auto">
                    <a:xfrm>
                      <a:off x="0" y="0"/>
                      <a:ext cx="6276975" cy="14605"/>
                    </a:xfrm>
                    <a:prstGeom prst="rect">
                      <a:avLst/>
                    </a:prstGeom>
                  </pic:spPr>
                </pic:pic>
              </a:graphicData>
            </a:graphic>
          </wp:inline>
        </w:drawing>
      </w:r>
    </w:p>
    <w:p>
      <w:pPr>
        <w:pStyle w:val="TextBody"/>
        <w:bidi w:val="0"/>
        <w:spacing w:lineRule="auto" w:line="288" w:before="78"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(B) Except as otherwise provided herein, in the Certificate or the Bylaws of the Corporation or as required by law, the holders of Units of Series C Preferred Stock and the holders of shares of Common Stock shall vote together as one class on all matters submitted to a vote of stockholders of the Corporation.</w:t>
      </w:r>
    </w:p>
    <w:p>
      <w:pPr>
        <w:pStyle w:val="TextBody"/>
        <w:bidi w:val="0"/>
        <w:spacing w:before="0" w:after="0"/>
        <w:jc w:val="left"/>
        <w:rPr/>
      </w:pPr>
      <w:r>
        <w:rPr/>
      </w:r>
    </w:p>
    <w:p>
      <w:pPr>
        <w:pStyle w:val="TextBody"/>
        <w:bidi w:val="0"/>
        <w:spacing w:lineRule="atLeast" w:line="184" w:before="0" w:after="0"/>
        <w:ind w:left="0" w:right="0" w:hanging="125"/>
        <w:jc w:val="left"/>
        <w:rPr/>
      </w:pPr>
      <w:r>
        <w:rPr>
          <w:rFonts w:ascii="Times New Roman;serif" w:hAnsi="Times New Roman;serif"/>
          <w:b w:val="false"/>
          <w:color w:val="000000"/>
          <w:sz w:val="14"/>
        </w:rPr>
        <w:t>3.</w:t>
      </w:r>
      <w:r>
        <w:rPr>
          <w:rFonts w:ascii="Times New Roman;serif" w:hAnsi="Times New Roman;serif"/>
          <w:b w:val="false"/>
          <w:color w:val="000000"/>
          <w:sz w:val="16"/>
          <w:u w:val="single"/>
        </w:rPr>
        <w:t>Reacquired Shares</w:t>
      </w:r>
      <w:r>
        <w:rPr>
          <w:rFonts w:ascii="Times New Roman;serif" w:hAnsi="Times New Roman;serif"/>
          <w:b w:val="false"/>
          <w:color w:val="000000"/>
          <w:sz w:val="16"/>
        </w:rPr>
        <w:t>. Any Units of Series C Preferred Stock purchased or otherwise acquired by the Corporation in any manner whatsoever shall be</w:t>
      </w:r>
    </w:p>
    <w:p>
      <w:pPr>
        <w:pStyle w:val="TextBody"/>
        <w:bidi w:val="0"/>
        <w:spacing w:lineRule="auto" w:line="285" w:before="43" w:after="283"/>
        <w:jc w:val="left"/>
        <w:rPr>
          <w:rFonts w:ascii="Times New Roman;serif" w:hAnsi="Times New Roman;serif"/>
          <w:b w:val="false"/>
          <w:color w:val="000000"/>
          <w:sz w:val="16"/>
        </w:rPr>
      </w:pPr>
      <w:r>
        <w:rPr>
          <w:rFonts w:ascii="Times New Roman;serif" w:hAnsi="Times New Roman;serif"/>
          <w:b w:val="false"/>
          <w:color w:val="000000"/>
          <w:sz w:val="16"/>
        </w:rPr>
        <w:t>retired and cancelled promptly after the acquisition thereof. All such Units shall, upon their cancellation, become authorized but unissued shares (or fractions of shares) of Preferred Stock and may be reissued as part of a new series of Preferred Stock to be created by resolution or resolutions of the Board of Directors, subject to the conditions and restrictions on issuance set forth herein.</w:t>
      </w:r>
    </w:p>
    <w:p>
      <w:pPr>
        <w:pStyle w:val="TextBody"/>
        <w:bidi w:val="0"/>
        <w:spacing w:before="0" w:after="0"/>
        <w:jc w:val="left"/>
        <w:rPr/>
      </w:pPr>
      <w:r>
        <w:rPr/>
      </w:r>
    </w:p>
    <w:p>
      <w:pPr>
        <w:pStyle w:val="TextBody"/>
        <w:bidi w:val="0"/>
        <w:spacing w:lineRule="atLeast" w:line="184" w:before="0" w:after="0"/>
        <w:ind w:left="0" w:right="0" w:hanging="125"/>
        <w:jc w:val="left"/>
        <w:rPr/>
      </w:pPr>
      <w:r>
        <w:rPr>
          <w:rFonts w:ascii="Times New Roman;serif" w:hAnsi="Times New Roman;serif"/>
          <w:b w:val="false"/>
          <w:color w:val="000000"/>
          <w:sz w:val="14"/>
        </w:rPr>
        <w:t>4.</w:t>
      </w:r>
      <w:r>
        <w:rPr>
          <w:rFonts w:ascii="Times New Roman;serif" w:hAnsi="Times New Roman;serif"/>
          <w:b w:val="false"/>
          <w:color w:val="000000"/>
          <w:sz w:val="16"/>
          <w:u w:val="single"/>
        </w:rPr>
        <w:t>Liquidation, Dissolution or Winding Up</w:t>
      </w:r>
      <w:r>
        <w:rPr>
          <w:rFonts w:ascii="Times New Roman;serif" w:hAnsi="Times New Roman;serif"/>
          <w:b w:val="false"/>
          <w:color w:val="000000"/>
          <w:sz w:val="16"/>
        </w:rPr>
        <w:t>. (A) Upon any voluntary or involuntary liquidation, dissolution or winding up of the Corporation, no</w:t>
      </w:r>
    </w:p>
    <w:p>
      <w:pPr>
        <w:pStyle w:val="TextBody"/>
        <w:bidi w:val="0"/>
        <w:spacing w:lineRule="auto" w:line="285" w:before="43" w:after="283"/>
        <w:jc w:val="left"/>
        <w:rPr>
          <w:rFonts w:ascii="Times New Roman;serif" w:hAnsi="Times New Roman;serif"/>
          <w:b w:val="false"/>
          <w:color w:val="000000"/>
          <w:sz w:val="16"/>
        </w:rPr>
      </w:pPr>
      <w:r>
        <w:rPr>
          <w:rFonts w:ascii="Times New Roman;serif" w:hAnsi="Times New Roman;serif"/>
          <w:b w:val="false"/>
          <w:color w:val="000000"/>
          <w:sz w:val="16"/>
        </w:rPr>
        <w:t>distribution shall be made (i) to the holders of shares of junior stock, unless the holders of Units of Series C Preferred Stock shall have received, subject to adjustment as hereinafter provided in paragraph (B), the greater of either (a) $0.01 per Unit plus an amount equal to accrued and unpaid dividends and distributions thereon to the date of such payment, or (b) the amount equal to the aggregate per share amount to be distributed to holders of shares of Common Stock, or (ii) to the holders of shares of parity stock, unless simultaneously therewith distributions are made ratably on Units of Series C Preferred Stock and all other shares of such parity stock in proportion to the total amounts to which the holders of Units of Series C Preferred Stock are entitled under clause (i)(a) of this sentence and to which the holders of shares of such parity stock are entitled, in each case upon such liquidation, dissolution or winding up.</w:t>
      </w:r>
    </w:p>
    <w:p>
      <w:pPr>
        <w:pStyle w:val="TextBody"/>
        <w:bidi w:val="0"/>
        <w:spacing w:before="0" w:after="0"/>
        <w:jc w:val="left"/>
        <w:rPr/>
      </w:pPr>
      <w:r>
        <w:rPr/>
      </w:r>
    </w:p>
    <w:p>
      <w:pPr>
        <w:pStyle w:val="TextBody"/>
        <w:bidi w:val="0"/>
        <w:spacing w:lineRule="atLeast" w:line="183" w:before="0" w:after="0"/>
        <w:ind w:left="0" w:right="0" w:firstLine="720"/>
        <w:jc w:val="left"/>
        <w:rPr/>
      </w:pPr>
      <w:r>
        <w:rPr>
          <w:rFonts w:ascii="Times New Roman;serif" w:hAnsi="Times New Roman;serif"/>
          <w:b w:val="false"/>
          <w:color w:val="000000"/>
          <w:sz w:val="16"/>
        </w:rPr>
        <w:t xml:space="preserve">(B) In the event the Corporation shall at any time after the Rights Declaration Date (i) declare any dividend on outstanding shares of Common Stock payable in shares of Common Stock, (ii) subdivide outstanding shares of Common Stock, or (iii) combine outstanding shares of Common Stock into a smaller number of shares, then in each such case the aggregate amount to which holders of Units of Series C Preferred Stock were entitled immediately prior to such event pursuant to clause (i)(b) of paragraph (A) of this </w:t>
      </w:r>
      <w:r>
        <w:rPr>
          <w:rFonts w:ascii="Times New Roman;serif" w:hAnsi="Times New Roman;serif"/>
          <w:b w:val="false"/>
          <w:color w:val="000000"/>
          <w:sz w:val="16"/>
          <w:u w:val="single"/>
        </w:rPr>
        <w:t>Section 3</w:t>
      </w:r>
      <w:r>
        <w:rPr>
          <w:color w:val="000000"/>
        </w:rPr>
        <w:t xml:space="preserve"> </w:t>
      </w:r>
      <w:r>
        <w:rPr>
          <w:rFonts w:ascii="Times New Roman;serif" w:hAnsi="Times New Roman;serif"/>
          <w:b w:val="false"/>
          <w:color w:val="000000"/>
          <w:sz w:val="16"/>
        </w:rPr>
        <w:t>shall be adjusted by multiplying such amount by a fraction (y) the numerator of which shall be the number of shares of Common Stock that are outstanding immediately after such event and (z) the denominator of which shall be the number of shares of Common Stock that were outstanding immediately prior to such event.</w:t>
      </w:r>
    </w:p>
    <w:p>
      <w:pPr>
        <w:pStyle w:val="TextBody"/>
        <w:bidi w:val="0"/>
        <w:spacing w:before="0" w:after="0"/>
        <w:jc w:val="left"/>
        <w:rPr/>
      </w:pPr>
      <w:r>
        <w:rPr/>
      </w:r>
    </w:p>
    <w:p>
      <w:pPr>
        <w:pStyle w:val="TextBody"/>
        <w:bidi w:val="0"/>
        <w:spacing w:lineRule="atLeast" w:line="183" w:before="0" w:after="0"/>
        <w:ind w:left="0" w:right="0" w:hanging="125"/>
        <w:jc w:val="left"/>
        <w:rPr/>
      </w:pPr>
      <w:r>
        <w:rPr>
          <w:rFonts w:ascii="Times New Roman;serif" w:hAnsi="Times New Roman;serif"/>
          <w:b w:val="false"/>
          <w:color w:val="000000"/>
          <w:sz w:val="14"/>
        </w:rPr>
        <w:t>6.</w:t>
      </w:r>
      <w:r>
        <w:rPr>
          <w:rFonts w:ascii="Times New Roman;serif" w:hAnsi="Times New Roman;serif"/>
          <w:b w:val="false"/>
          <w:color w:val="000000"/>
          <w:sz w:val="16"/>
          <w:u w:val="single"/>
        </w:rPr>
        <w:t>Consolidation, Merger, etc</w:t>
      </w:r>
      <w:r>
        <w:rPr>
          <w:rFonts w:ascii="Times New Roman;serif" w:hAnsi="Times New Roman;serif"/>
          <w:b w:val="false"/>
          <w:color w:val="000000"/>
          <w:sz w:val="16"/>
        </w:rPr>
        <w:t>. In case the Corporation shall enter into any consolidation, merger, combination or other transaction in which the</w:t>
      </w:r>
    </w:p>
    <w:p>
      <w:pPr>
        <w:pStyle w:val="TextBody"/>
        <w:bidi w:val="0"/>
        <w:spacing w:lineRule="auto" w:line="285" w:before="44"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are exchanged for or converted into other stock or securities, cash and/or any other property, then in any such case Units of Series C Preferred Stock shall at the same time be similarly exchanged for or converted into an amount per Unit (subject to the provision for adjustment hereinafter set forth) equal to the aggregate amount of stock, securities, cash and/or any other property (payable in kind), as the case may be, into which or for which each share of Common Stock is converted or exchanged. In the event the Corporation shall at any time after the Rights Declaration Date (i) declare any dividend on outstanding shares of Common Stock payable in shares of Common Stock, (ii) subdivide outstanding shares of Common Stock, or (iii) combine outstanding Common Stock into a smaller number of shares, then in each such case the amount set forth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49935"/>
                <wp:effectExtent l="0" t="0" r="0" b="0"/>
                <wp:wrapNone/>
                <wp:docPr id="147" name="Frame9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r>
                                    <w:br w:type="page"/>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C-2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C-2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5" w:before="71" w:after="283"/>
        <w:jc w:val="left"/>
        <w:rPr/>
      </w:pPr>
      <w:r>
        <w:rPr/>
        <w:drawing>
          <wp:inline distT="0" distB="0" distL="0" distR="0">
            <wp:extent cx="6276975" cy="14605"/>
            <wp:effectExtent l="0" t="0" r="0" b="0"/>
            <wp:docPr id="1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7" descr=""/>
                    <pic:cNvPicPr>
                      <a:picLocks noChangeAspect="1" noChangeArrowheads="1"/>
                    </pic:cNvPicPr>
                  </pic:nvPicPr>
                  <pic:blipFill>
                    <a:blip r:embed="rId59"/>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the immediately preceding sentence with respect to the exchange or conversion of Units of Series C Preferred Stock shall be adjusted by multiplying such amount by a fraction (y) the numerator of which shall be the number of shares of Common Stock that are outstanding immediately after such event and (z) the denominator of which shall be the number of shares of Common Stock that were outstanding immediately prior to such event.</w:t>
      </w:r>
    </w:p>
    <w:p>
      <w:pPr>
        <w:pStyle w:val="TextBody"/>
        <w:bidi w:val="0"/>
        <w:spacing w:lineRule="atLeast" w:line="183" w:before="0" w:after="0"/>
        <w:ind w:left="0" w:right="0" w:hanging="125"/>
        <w:jc w:val="left"/>
        <w:rPr/>
      </w:pPr>
      <w:r>
        <w:rPr>
          <w:rFonts w:ascii="Times New Roman;serif" w:hAnsi="Times New Roman;serif"/>
          <w:b w:val="false"/>
          <w:color w:val="000000"/>
          <w:sz w:val="14"/>
        </w:rPr>
        <w:t>7.</w:t>
      </w:r>
      <w:r>
        <w:rPr>
          <w:rFonts w:ascii="Times New Roman;serif" w:hAnsi="Times New Roman;serif"/>
          <w:b w:val="false"/>
          <w:color w:val="000000"/>
          <w:sz w:val="16"/>
          <w:u w:val="single"/>
        </w:rPr>
        <w:t>Redemption</w:t>
      </w:r>
      <w:r>
        <w:rPr>
          <w:rFonts w:ascii="Times New Roman;serif" w:hAnsi="Times New Roman;serif"/>
          <w:b w:val="false"/>
          <w:color w:val="000000"/>
          <w:sz w:val="16"/>
        </w:rPr>
        <w:t>. The Units of Series C Preferred Stock and shares of Series C Preferred Stock shall not be redeemable.</w:t>
      </w:r>
    </w:p>
    <w:p>
      <w:pPr>
        <w:pStyle w:val="TextBody"/>
        <w:bidi w:val="0"/>
        <w:spacing w:lineRule="auto" w:line="288" w:before="43" w:after="283"/>
        <w:ind w:left="0" w:right="0" w:hanging="125"/>
        <w:jc w:val="left"/>
        <w:rPr/>
      </w:pPr>
      <w:r>
        <w:rPr>
          <w:rFonts w:ascii="Times New Roman;serif" w:hAnsi="Times New Roman;serif"/>
          <w:b w:val="false"/>
          <w:color w:val="000000"/>
          <w:sz w:val="14"/>
        </w:rPr>
        <w:t>8.</w:t>
      </w:r>
      <w:r>
        <w:rPr>
          <w:rFonts w:ascii="Times New Roman;serif" w:hAnsi="Times New Roman;serif"/>
          <w:b w:val="false"/>
          <w:color w:val="000000"/>
          <w:sz w:val="16"/>
          <w:u w:val="single"/>
        </w:rPr>
        <w:t>Ranking</w:t>
      </w:r>
      <w:r>
        <w:rPr>
          <w:rFonts w:ascii="Times New Roman;serif" w:hAnsi="Times New Roman;serif"/>
          <w:b w:val="false"/>
          <w:color w:val="000000"/>
          <w:sz w:val="16"/>
        </w:rPr>
        <w:t>. The Units of Series C Preferred Stock and shares of Series C Preferred Stock shall rank junior to all other series and any other class of</w:t>
      </w:r>
    </w:p>
    <w:p>
      <w:pPr>
        <w:pStyle w:val="TextBody"/>
        <w:bidi w:val="0"/>
        <w:spacing w:lineRule="auto" w:line="285" w:before="43" w:after="283"/>
        <w:jc w:val="left"/>
        <w:rPr>
          <w:rFonts w:ascii="Times New Roman;serif" w:hAnsi="Times New Roman;serif"/>
          <w:b w:val="false"/>
          <w:color w:val="000000"/>
          <w:sz w:val="16"/>
        </w:rPr>
      </w:pPr>
      <w:r>
        <w:rPr>
          <w:rFonts w:ascii="Times New Roman;serif" w:hAnsi="Times New Roman;serif"/>
          <w:b w:val="false"/>
          <w:color w:val="000000"/>
          <w:sz w:val="16"/>
        </w:rPr>
        <w:t>Preferred Stock (now or hereafter authorized or issued by the Corporation) as to the payment of dividends, conversion, redemption or liquidation rights and the distribution of assets, unless the terms of any such series or class shall provide otherwise.</w:t>
      </w:r>
    </w:p>
    <w:p>
      <w:pPr>
        <w:pStyle w:val="TextBody"/>
        <w:bidi w:val="0"/>
        <w:spacing w:lineRule="atLeast" w:line="184" w:before="0" w:after="0"/>
        <w:ind w:left="0" w:right="0" w:hanging="125"/>
        <w:jc w:val="left"/>
        <w:rPr/>
      </w:pPr>
      <w:r>
        <w:rPr>
          <w:rFonts w:ascii="Times New Roman;serif" w:hAnsi="Times New Roman;serif"/>
          <w:b w:val="false"/>
          <w:color w:val="000000"/>
          <w:sz w:val="14"/>
        </w:rPr>
        <w:t>9.</w:t>
      </w:r>
      <w:r>
        <w:rPr>
          <w:rFonts w:ascii="Times New Roman;serif" w:hAnsi="Times New Roman;serif"/>
          <w:b w:val="false"/>
          <w:color w:val="000000"/>
          <w:sz w:val="16"/>
          <w:u w:val="single"/>
        </w:rPr>
        <w:t>Fractional Shares</w:t>
      </w:r>
      <w:r>
        <w:rPr>
          <w:rFonts w:ascii="Times New Roman;serif" w:hAnsi="Times New Roman;serif"/>
          <w:b w:val="false"/>
          <w:color w:val="000000"/>
          <w:sz w:val="16"/>
        </w:rPr>
        <w:t>. The Series C Preferred Stock may be issued in Units or other fractions of a share, which Units or fractions shall entitle the</w:t>
      </w:r>
    </w:p>
    <w:p>
      <w:pPr>
        <w:pStyle w:val="TextBody"/>
        <w:bidi w:val="0"/>
        <w:spacing w:lineRule="auto" w:line="285" w:before="44" w:after="283"/>
        <w:jc w:val="left"/>
        <w:rPr>
          <w:rFonts w:ascii="Times New Roman;serif" w:hAnsi="Times New Roman;serif"/>
          <w:b w:val="false"/>
          <w:color w:val="000000"/>
          <w:sz w:val="16"/>
        </w:rPr>
      </w:pPr>
      <w:r>
        <w:rPr>
          <w:rFonts w:ascii="Times New Roman;serif" w:hAnsi="Times New Roman;serif"/>
          <w:b w:val="false"/>
          <w:color w:val="000000"/>
          <w:sz w:val="16"/>
        </w:rPr>
        <w:t>holder, in proportion to such holder’s units or fractional shares, to exercise voting rights, receive dividends, participate in distributions and to have the benefit of all other rights of holders of Series C Preferred Stock.</w:t>
      </w:r>
    </w:p>
    <w:p>
      <w:pPr>
        <w:pStyle w:val="TextBody"/>
        <w:bidi w:val="0"/>
        <w:spacing w:lineRule="atLeast" w:line="184" w:before="0" w:after="0"/>
        <w:ind w:left="0" w:right="0" w:hanging="201"/>
        <w:jc w:val="left"/>
        <w:rPr/>
      </w:pPr>
      <w:r>
        <w:rPr>
          <w:rFonts w:ascii="Times New Roman;serif" w:hAnsi="Times New Roman;serif"/>
          <w:b w:val="false"/>
          <w:color w:val="000000"/>
          <w:sz w:val="14"/>
        </w:rPr>
        <w:t>10.</w:t>
      </w:r>
      <w:r>
        <w:rPr>
          <w:rFonts w:ascii="Times New Roman;serif" w:hAnsi="Times New Roman;serif"/>
          <w:b w:val="false"/>
          <w:color w:val="000000"/>
          <w:sz w:val="16"/>
          <w:u w:val="single"/>
        </w:rPr>
        <w:t>Amendment.</w:t>
      </w:r>
      <w:r>
        <w:rPr>
          <w:color w:val="000000"/>
        </w:rPr>
        <w:t xml:space="preserve"> </w:t>
      </w:r>
      <w:r>
        <w:rPr>
          <w:rFonts w:ascii="Times New Roman;serif" w:hAnsi="Times New Roman;serif"/>
          <w:b w:val="false"/>
          <w:color w:val="000000"/>
          <w:sz w:val="16"/>
        </w:rPr>
        <w:t>At any time when any Units of Series C Preferred Stock are outstanding, neither the Certificate of the Corporation nor this</w:t>
      </w:r>
    </w:p>
    <w:p>
      <w:pPr>
        <w:pStyle w:val="TextBody"/>
        <w:bidi w:val="0"/>
        <w:spacing w:lineRule="auto" w:line="285" w:before="43" w:after="283"/>
        <w:jc w:val="left"/>
        <w:rPr>
          <w:rFonts w:ascii="Times New Roman;serif" w:hAnsi="Times New Roman;serif"/>
          <w:b w:val="false"/>
          <w:color w:val="000000"/>
          <w:sz w:val="16"/>
        </w:rPr>
      </w:pPr>
      <w:r>
        <w:rPr>
          <w:rFonts w:ascii="Times New Roman;serif" w:hAnsi="Times New Roman;serif"/>
          <w:b w:val="false"/>
          <w:color w:val="000000"/>
          <w:sz w:val="16"/>
        </w:rPr>
        <w:t>Certificate of Designation shall be amended in any manner that would materially alter or change the powers, preferences or special rights of the Units of Series C Preferred Stock so as to affect them adversely without the affirmative vote of the holders of a majority or more of the outstanding Units of Series C Preferred Stock, voting separately as a class.</w:t>
      </w:r>
    </w:p>
    <w:p>
      <w:pPr>
        <w:pStyle w:val="TextBody"/>
        <w:bidi w:val="0"/>
        <w:spacing w:lineRule="auto" w:line="345" w:before="0" w:after="0"/>
        <w:jc w:val="left"/>
        <w:rPr/>
      </w:pPr>
      <w:r>
        <w:rPr>
          <w:rFonts w:ascii="Times New Roman;serif" w:hAnsi="Times New Roman;serif"/>
          <w:b w:val="false"/>
          <w:color w:val="000000"/>
          <w:sz w:val="14"/>
        </w:rPr>
        <w:t>11.</w:t>
      </w:r>
      <w:r>
        <w:rPr>
          <w:rFonts w:ascii="Times New Roman;serif" w:hAnsi="Times New Roman;serif"/>
          <w:b w:val="false"/>
          <w:color w:val="000000"/>
          <w:sz w:val="16"/>
          <w:u w:val="single"/>
        </w:rPr>
        <w:t>Certain Definitions</w:t>
      </w:r>
      <w:r>
        <w:rPr>
          <w:rFonts w:ascii="Times New Roman;serif" w:hAnsi="Times New Roman;serif"/>
          <w:b w:val="false"/>
          <w:color w:val="000000"/>
          <w:sz w:val="16"/>
        </w:rPr>
        <w:t>. As used in this resolution with respect to the Series C Preferred Stock, the following terms shall have the following meanings:</w:t>
      </w:r>
    </w:p>
    <w:p>
      <w:pPr>
        <w:pStyle w:val="TextBody"/>
        <w:bidi w:val="0"/>
        <w:spacing w:lineRule="atLeast" w:line="144" w:before="0" w:after="0"/>
        <w:ind w:left="0" w:right="0" w:hanging="237"/>
        <w:jc w:val="left"/>
        <w:rPr/>
      </w:pPr>
      <w:r>
        <w:rPr>
          <w:rFonts w:ascii="Times New Roman;serif" w:hAnsi="Times New Roman;serif"/>
          <w:b w:val="false"/>
          <w:color w:val="000000"/>
          <w:sz w:val="14"/>
        </w:rPr>
        <w:t>(A)</w:t>
      </w:r>
      <w:r>
        <w:rPr>
          <w:rFonts w:ascii="Times New Roman;serif" w:hAnsi="Times New Roman;serif"/>
          <w:b w:val="false"/>
          <w:color w:val="000000"/>
          <w:sz w:val="14"/>
        </w:rPr>
        <w:t>The term “Common Stock” shall mean the class of stock designated as the common stock, par value $0.001 per share, of the Corporation at the</w:t>
      </w:r>
    </w:p>
    <w:p>
      <w:pPr>
        <w:pStyle w:val="TextBody"/>
        <w:bidi w:val="0"/>
        <w:spacing w:lineRule="auto" w:line="288" w:before="43" w:after="283"/>
        <w:jc w:val="left"/>
        <w:rPr>
          <w:rFonts w:ascii="Times New Roman;serif" w:hAnsi="Times New Roman;serif"/>
          <w:b w:val="false"/>
          <w:color w:val="000000"/>
          <w:sz w:val="16"/>
        </w:rPr>
      </w:pPr>
      <w:r>
        <w:rPr>
          <w:rFonts w:ascii="Times New Roman;serif" w:hAnsi="Times New Roman;serif"/>
          <w:b w:val="false"/>
          <w:color w:val="000000"/>
          <w:sz w:val="16"/>
        </w:rPr>
        <w:t>date hereof or any other class of stock resulting from successive changes or reclassification of the common stock.</w:t>
      </w:r>
    </w:p>
    <w:p>
      <w:pPr>
        <w:pStyle w:val="TextBody"/>
        <w:bidi w:val="0"/>
        <w:spacing w:lineRule="auto" w:line="345" w:before="5" w:after="283"/>
        <w:jc w:val="left"/>
        <w:rPr/>
      </w:pPr>
      <w:r>
        <w:rPr>
          <w:rFonts w:ascii="Times New Roman;serif" w:hAnsi="Times New Roman;serif"/>
          <w:b w:val="false"/>
          <w:color w:val="000000"/>
          <w:sz w:val="14"/>
        </w:rPr>
        <w:t>(B)</w:t>
      </w:r>
      <w:r>
        <w:rPr>
          <w:rFonts w:ascii="Times New Roman;serif" w:hAnsi="Times New Roman;serif"/>
          <w:b w:val="false"/>
          <w:color w:val="000000"/>
          <w:sz w:val="16"/>
        </w:rPr>
        <w:t>The term “junior stock” shall mean the Common Stock and any other class or series of capital stock of the Corporation over which the Series C Preferred Stock has preference or priority in the distribution of assets on any liquidation, dissolution or winding up of the Corporation.</w:t>
      </w:r>
    </w:p>
    <w:p>
      <w:pPr>
        <w:pStyle w:val="TextBody"/>
        <w:bidi w:val="0"/>
        <w:spacing w:lineRule="atLeast" w:line="144" w:before="0" w:after="0"/>
        <w:ind w:left="0" w:right="0" w:hanging="212"/>
        <w:jc w:val="left"/>
        <w:rPr/>
      </w:pPr>
      <w:r>
        <w:rPr>
          <w:rFonts w:ascii="Times New Roman;serif" w:hAnsi="Times New Roman;serif"/>
          <w:b w:val="false"/>
          <w:color w:val="000000"/>
          <w:sz w:val="14"/>
        </w:rPr>
        <w:t>(C)</w:t>
      </w:r>
      <w:r>
        <w:rPr>
          <w:rFonts w:ascii="Times New Roman;serif" w:hAnsi="Times New Roman;serif"/>
          <w:b w:val="false"/>
          <w:color w:val="000000"/>
          <w:sz w:val="14"/>
        </w:rPr>
        <w:t xml:space="preserve">The term “parity stock” shall mean any class or series of capital stock ranking </w:t>
      </w:r>
      <w:r>
        <w:rPr>
          <w:rFonts w:ascii="Times New Roman;serif" w:hAnsi="Times New Roman;serif"/>
          <w:b w:val="false"/>
          <w:i/>
          <w:color w:val="000000"/>
          <w:sz w:val="14"/>
        </w:rPr>
        <w:t xml:space="preserve">pari passu </w:t>
      </w:r>
      <w:r>
        <w:rPr>
          <w:rFonts w:ascii="Times New Roman;serif" w:hAnsi="Times New Roman;serif"/>
          <w:b w:val="false"/>
          <w:color w:val="000000"/>
          <w:sz w:val="14"/>
        </w:rPr>
        <w:t>with the Series C Preferred Stock in the distribution of</w:t>
      </w:r>
    </w:p>
    <w:p>
      <w:pPr>
        <w:pStyle w:val="TextBody"/>
        <w:bidi w:val="0"/>
        <w:spacing w:lineRule="auto" w:line="288" w:before="44" w:after="283"/>
        <w:jc w:val="left"/>
        <w:rPr>
          <w:rFonts w:ascii="Times New Roman;serif" w:hAnsi="Times New Roman;serif"/>
          <w:b w:val="false"/>
          <w:color w:val="000000"/>
          <w:sz w:val="16"/>
        </w:rPr>
      </w:pPr>
      <w:r>
        <w:rPr>
          <w:rFonts w:ascii="Times New Roman;serif" w:hAnsi="Times New Roman;serif"/>
          <w:b w:val="false"/>
          <w:color w:val="000000"/>
          <w:sz w:val="16"/>
        </w:rPr>
        <w:t>assets on any liquidation, dissolution or winding up.</w:t>
      </w:r>
    </w:p>
    <w:p>
      <w:pPr>
        <w:pStyle w:val="TextBody"/>
        <w:bidi w:val="0"/>
        <w:spacing w:lineRule="auto" w:line="285" w:before="5" w:after="283"/>
        <w:jc w:val="left"/>
        <w:rPr/>
      </w:pPr>
      <w:r>
        <w:rPr>
          <w:rFonts w:ascii="Times New Roman;serif" w:hAnsi="Times New Roman;serif"/>
          <w:b/>
          <w:color w:val="000000"/>
          <w:sz w:val="16"/>
        </w:rPr>
        <w:t>IN WITNESS WHEREOF</w:t>
      </w:r>
      <w:r>
        <w:rPr>
          <w:rFonts w:ascii="Times New Roman;serif" w:hAnsi="Times New Roman;serif"/>
          <w:b w:val="false"/>
          <w:color w:val="000000"/>
          <w:sz w:val="16"/>
        </w:rPr>
        <w:t>, Wireless Facilities, Inc. has caused this Certificate of Designation to be signed by its Chief Executive Officer and President and its Sr. Vice President and Chief Financial Officer this 16th day of December, 2004.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49935"/>
                <wp:effectExtent l="0" t="0" r="0" b="0"/>
                <wp:wrapNone/>
                <wp:docPr id="149" name="Frame9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r>
                                    <w:br w:type="page"/>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C-3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419" w:type="dxa"/>
                        <w:jc w:val="left"/>
                        <w:tblInd w:w="0" w:type="dxa"/>
                        <w:tblLayout w:type="fixed"/>
                        <w:tblCellMar>
                          <w:top w:w="28" w:type="dxa"/>
                          <w:left w:w="28" w:type="dxa"/>
                          <w:bottom w:w="28" w:type="dxa"/>
                          <w:right w:w="28" w:type="dxa"/>
                        </w:tblCellMar>
                      </w:tblPr>
                      <w:tblGrid>
                        <w:gridCol w:w="134"/>
                        <w:gridCol w:w="118"/>
                        <w:gridCol w:w="167"/>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88" w:before="17" w:after="283"/>
                              <w:jc w:val="left"/>
                              <w:rPr>
                                <w:rFonts w:ascii="Times New Roman;serif" w:hAnsi="Times New Roman;serif"/>
                                <w:b w:val="false"/>
                                <w:color w:val="000000"/>
                                <w:sz w:val="16"/>
                              </w:rPr>
                            </w:pPr>
                            <w:r>
                              <w:rPr>
                                <w:rFonts w:ascii="Times New Roman;serif" w:hAnsi="Times New Roman;serif"/>
                                <w:b w:val="false"/>
                                <w:color w:val="000000"/>
                                <w:sz w:val="16"/>
                              </w:rPr>
                              <w:t>C-3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2" w:after="283"/>
        <w:jc w:val="left"/>
        <w:rPr>
          <w:rFonts w:ascii="Times New Roman;serif" w:hAnsi="Times New Roman;serif"/>
          <w:b/>
          <w:color w:val="000000"/>
          <w:sz w:val="16"/>
        </w:rPr>
      </w:pPr>
      <w:r>
        <w:rPr>
          <w:rFonts w:ascii="Times New Roman;serif" w:hAnsi="Times New Roman;serif"/>
          <w:b/>
          <w:color w:val="000000"/>
          <w:sz w:val="16"/>
        </w:rPr>
        <w:t>WIRELESS FACILITIES, INC.</w:t>
      </w:r>
    </w:p>
    <w:p>
      <w:pPr>
        <w:pStyle w:val="TextBody"/>
        <w:bidi w:val="0"/>
        <w:spacing w:lineRule="auto" w:line="240" w:before="0" w:after="0"/>
        <w:ind w:left="0" w:right="0" w:firstLine="720"/>
        <w:jc w:val="left"/>
        <w:rPr/>
      </w:pPr>
      <w:r>
        <w:rPr>
          <w:rFonts w:ascii="Times New Roman;serif" w:hAnsi="Times New Roman;serif"/>
          <w:b w:val="false"/>
          <w:color w:val="000000"/>
          <w:sz w:val="16"/>
        </w:rPr>
        <w:t>By: /s/</w:t>
      </w:r>
      <w:r>
        <w:rPr>
          <w:rFonts w:ascii="Times New Roman;serif" w:hAnsi="Times New Roman;serif"/>
          <w:b w:val="false"/>
          <w:color w:val="000000"/>
          <w:sz w:val="2"/>
        </w:rPr>
        <w:t xml:space="preserve">/ </w:t>
      </w:r>
      <w:r>
        <w:rPr>
          <w:rFonts w:ascii="Times New Roman;serif" w:hAnsi="Times New Roman;serif"/>
          <w:b w:val="false"/>
          <w:color w:val="000000"/>
          <w:sz w:val="16"/>
        </w:rPr>
        <w:t>Eric M. DeMarco Name: Eric M. DeMarco</w:t>
      </w:r>
    </w:p>
    <w:p>
      <w:pPr>
        <w:pStyle w:val="TextBody"/>
        <w:bidi w:val="0"/>
        <w:spacing w:lineRule="auto" w:line="288" w:before="20" w:after="283"/>
        <w:jc w:val="left"/>
        <w:rPr/>
      </w:pPr>
      <w:r>
        <w:rPr>
          <w:rFonts w:ascii="Times New Roman;serif" w:hAnsi="Times New Roman;serif"/>
          <w:b w:val="false"/>
          <w:color w:val="000000"/>
          <w:sz w:val="16"/>
        </w:rPr>
        <w:t xml:space="preserve">Title: </w:t>
      </w:r>
      <w:r>
        <w:rPr>
          <w:rFonts w:ascii="Times New Roman;serif" w:hAnsi="Times New Roman;serif"/>
          <w:b w:val="false"/>
          <w:i/>
          <w:color w:val="000000"/>
          <w:sz w:val="16"/>
        </w:rPr>
        <w:t>Chief Executive Officer and President</w:t>
      </w:r>
    </w:p>
    <w:p>
      <w:pPr>
        <w:pStyle w:val="TextBody"/>
        <w:bidi w:val="0"/>
        <w:spacing w:lineRule="auto" w:line="240"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By: /s/Deanna H. Lund Name: Deanna H. Lund</w:t>
      </w:r>
    </w:p>
    <w:p>
      <w:pPr>
        <w:pStyle w:val="TextBody"/>
        <w:bidi w:val="0"/>
        <w:spacing w:lineRule="auto" w:line="288" w:before="1" w:after="283"/>
        <w:jc w:val="left"/>
        <w:rPr/>
      </w:pPr>
      <w:r>
        <w:rPr>
          <w:rFonts w:ascii="Times New Roman;serif" w:hAnsi="Times New Roman;serif"/>
          <w:b w:val="false"/>
          <w:color w:val="000000"/>
          <w:sz w:val="16"/>
        </w:rPr>
        <w:t xml:space="preserve">Title: </w:t>
      </w:r>
      <w:r>
        <w:rPr>
          <w:rFonts w:ascii="Times New Roman;serif" w:hAnsi="Times New Roman;serif"/>
          <w:b w:val="false"/>
          <w:i/>
          <w:color w:val="000000"/>
          <w:sz w:val="16"/>
        </w:rPr>
        <w:t>Senior Vice President and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3" w:after="283"/>
        <w:jc w:val="left"/>
        <w:rPr/>
      </w:pPr>
      <w:r>
        <w:rPr/>
      </w:r>
    </w:p>
    <w:p>
      <w:pPr>
        <w:pStyle w:val="TextBody"/>
        <w:bidi w:val="0"/>
        <w:spacing w:lineRule="auto" w:line="288" w:before="0" w:after="0"/>
        <w:jc w:val="center"/>
        <w:rPr/>
      </w:pPr>
      <w:r>
        <w:rPr/>
        <w:drawing>
          <wp:inline distT="0" distB="0" distL="0" distR="0">
            <wp:extent cx="6276975" cy="14605"/>
            <wp:effectExtent l="0" t="0" r="0" b="0"/>
            <wp:docPr id="1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38" descr=""/>
                    <pic:cNvPicPr>
                      <a:picLocks noChangeAspect="1" noChangeArrowheads="1"/>
                    </pic:cNvPicPr>
                  </pic:nvPicPr>
                  <pic:blipFill>
                    <a:blip r:embed="rId60"/>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C-4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51"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9" w:after="283"/>
        <w:jc w:val="center"/>
        <w:rPr>
          <w:rFonts w:ascii="Times New Roman;serif" w:hAnsi="Times New Roman;serif"/>
          <w:b/>
          <w:color w:val="000000"/>
          <w:sz w:val="20"/>
        </w:rPr>
      </w:pPr>
      <w:r>
        <w:rPr>
          <w:rFonts w:ascii="Times New Roman;serif" w:hAnsi="Times New Roman;serif"/>
          <w:b/>
          <w:color w:val="000000"/>
          <w:sz w:val="20"/>
        </w:rPr>
        <w:t>CERTIFICATE OF CHANGE OF LOCATION OF REGISTERED OFFICE AND OF REGISTERED AGENT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OF</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WIRELESS FACILITIES, INC.</w:t>
      </w:r>
    </w:p>
    <w:p>
      <w:pPr>
        <w:pStyle w:val="TextBody"/>
        <w:bidi w:val="0"/>
        <w:spacing w:lineRule="auto" w:line="288" w:before="196" w:after="283"/>
        <w:jc w:val="left"/>
        <w:rPr/>
      </w:pPr>
      <w:r>
        <w:rPr>
          <w:rFonts w:ascii="Arial;sans-serif" w:hAnsi="Arial;sans-serif"/>
          <w:b w:val="false"/>
          <w:color w:val="000000"/>
          <w:sz w:val="16"/>
        </w:rPr>
        <w:t xml:space="preserve">It </w:t>
      </w:r>
      <w:r>
        <w:rPr>
          <w:rFonts w:ascii="Times New Roman;serif" w:hAnsi="Times New Roman;serif"/>
          <w:b w:val="false"/>
          <w:color w:val="000000"/>
          <w:sz w:val="19"/>
        </w:rPr>
        <w:t>is hereby certified that:</w:t>
      </w:r>
    </w:p>
    <w:p>
      <w:pPr>
        <w:pStyle w:val="TextBody"/>
        <w:bidi w:val="0"/>
        <w:spacing w:lineRule="auto" w:line="288" w:before="198" w:after="283"/>
        <w:ind w:left="0" w:right="0" w:hanging="181"/>
        <w:jc w:val="left"/>
        <w:rPr>
          <w:rFonts w:ascii="Times New Roman;serif" w:hAnsi="Times New Roman;serif"/>
          <w:b w:val="false"/>
          <w:color w:val="000000"/>
          <w:sz w:val="19"/>
        </w:rPr>
      </w:pPr>
      <w:r>
        <w:rPr>
          <w:rFonts w:ascii="Times New Roman;serif" w:hAnsi="Times New Roman;serif"/>
          <w:b w:val="false"/>
          <w:color w:val="000000"/>
          <w:sz w:val="19"/>
        </w:rPr>
        <w:t>1.The name of the corporation (hereinafter called the "corporation") is:</w:t>
      </w:r>
    </w:p>
    <w:p>
      <w:pPr>
        <w:pStyle w:val="TextBody"/>
        <w:bidi w:val="0"/>
        <w:spacing w:lineRule="auto" w:line="288" w:before="214" w:after="283"/>
        <w:jc w:val="left"/>
        <w:rPr>
          <w:rFonts w:ascii="Times New Roman;serif" w:hAnsi="Times New Roman;serif"/>
          <w:b/>
          <w:color w:val="000000"/>
          <w:sz w:val="20"/>
        </w:rPr>
      </w:pPr>
      <w:r>
        <w:rPr>
          <w:rFonts w:ascii="Times New Roman;serif" w:hAnsi="Times New Roman;serif"/>
          <w:b/>
          <w:color w:val="000000"/>
          <w:sz w:val="20"/>
        </w:rPr>
        <w:t>WIRELESS FACILITIES, INC.</w:t>
      </w:r>
    </w:p>
    <w:p>
      <w:pPr>
        <w:pStyle w:val="TextBody"/>
        <w:bidi w:val="0"/>
        <w:spacing w:lineRule="auto" w:line="242" w:before="193" w:after="283"/>
        <w:jc w:val="left"/>
        <w:rPr/>
      </w:pPr>
      <w:r>
        <w:rPr>
          <w:rFonts w:ascii="Times New Roman;serif" w:hAnsi="Times New Roman;serif"/>
          <w:b w:val="false"/>
          <w:color w:val="000000"/>
          <w:sz w:val="16"/>
        </w:rPr>
        <w:t>1.</w:t>
      </w:r>
      <w:r>
        <w:rPr>
          <w:rFonts w:ascii="Times New Roman;serif" w:hAnsi="Times New Roman;serif"/>
          <w:b w:val="false"/>
          <w:color w:val="000000"/>
          <w:sz w:val="19"/>
        </w:rPr>
        <w:t>The registered office of the corporation within the State of Delaware is hereby changed to 2711 Centerville Road, Suite 400, City of Wilmington 19808, County of New Castle.</w:t>
      </w:r>
    </w:p>
    <w:p>
      <w:pPr>
        <w:pStyle w:val="TextBody"/>
        <w:bidi w:val="0"/>
        <w:spacing w:lineRule="auto" w:line="242" w:before="188" w:after="283"/>
        <w:jc w:val="left"/>
        <w:rPr/>
      </w:pPr>
      <w:r>
        <w:rPr>
          <w:rFonts w:ascii="Times New Roman;serif" w:hAnsi="Times New Roman;serif"/>
          <w:b w:val="false"/>
          <w:color w:val="000000"/>
          <w:sz w:val="16"/>
        </w:rPr>
        <w:t>2.</w:t>
      </w:r>
      <w:r>
        <w:rPr>
          <w:rFonts w:ascii="Times New Roman;serif" w:hAnsi="Times New Roman;serif"/>
          <w:b w:val="false"/>
          <w:color w:val="000000"/>
          <w:sz w:val="19"/>
        </w:rPr>
        <w:t>The registered agent of the corporation within the State of Delaware is hereby changed to Corporation Service Company, the business office of which is identical with the registered office of the corporation as hereby changed.</w:t>
      </w:r>
    </w:p>
    <w:p>
      <w:pPr>
        <w:pStyle w:val="TextBody"/>
        <w:bidi w:val="0"/>
        <w:spacing w:lineRule="auto" w:line="496" w:before="165" w:after="283"/>
        <w:jc w:val="left"/>
        <w:rPr/>
      </w:pPr>
      <w:r>
        <w:rPr>
          <w:rFonts w:ascii="Times New Roman;serif" w:hAnsi="Times New Roman;serif"/>
          <w:b w:val="false"/>
          <w:color w:val="000000"/>
          <w:sz w:val="16"/>
        </w:rPr>
        <w:t>3.</w:t>
      </w:r>
      <w:r>
        <w:rPr>
          <w:rFonts w:ascii="Times New Roman;serif" w:hAnsi="Times New Roman;serif"/>
          <w:b w:val="false"/>
          <w:color w:val="000000"/>
          <w:sz w:val="19"/>
        </w:rPr>
        <w:t>The corporation has authorized the changes hereinbefore set forth by resolution of its Board of Directors. Signed on May 2, 2005.</w:t>
      </w:r>
    </w:p>
    <w:p>
      <w:pPr>
        <w:pStyle w:val="TextBody"/>
        <w:bidi w:val="0"/>
        <w:spacing w:before="199" w:after="283"/>
        <w:jc w:val="left"/>
        <w:rPr/>
      </w:pPr>
      <w:r>
        <w:rPr/>
      </w:r>
    </w:p>
    <w:p>
      <w:pPr>
        <w:pStyle w:val="TextBody"/>
        <w:bidi w:val="0"/>
        <w:spacing w:lineRule="auto" w:line="288" w:before="0" w:after="0"/>
        <w:jc w:val="left"/>
        <w:rPr/>
      </w:pPr>
      <w:r>
        <w:rPr/>
        <w:drawing>
          <wp:inline distT="0" distB="0" distL="0" distR="0">
            <wp:extent cx="6276975" cy="14605"/>
            <wp:effectExtent l="0" t="0" r="0" b="0"/>
            <wp:docPr id="15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39" descr=""/>
                    <pic:cNvPicPr>
                      <a:picLocks noChangeAspect="1" noChangeArrowheads="1"/>
                    </pic:cNvPicPr>
                  </pic:nvPicPr>
                  <pic:blipFill>
                    <a:blip r:embed="rId61"/>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9"/>
        </w:rPr>
        <w:t xml:space="preserve">Name: /s/James </w:t>
      </w:r>
      <w:r>
        <w:rPr>
          <w:rFonts w:ascii="Arial;sans-serif" w:hAnsi="Arial;sans-serif"/>
          <w:b w:val="false"/>
          <w:color w:val="000000"/>
          <w:sz w:val="16"/>
        </w:rPr>
        <w:t xml:space="preserve">R. </w:t>
      </w:r>
      <w:r>
        <w:rPr>
          <w:rFonts w:ascii="Times New Roman;serif" w:hAnsi="Times New Roman;serif"/>
          <w:b w:val="false"/>
          <w:color w:val="000000"/>
          <w:sz w:val="19"/>
        </w:rPr>
        <w:t>Edwards Title: Senior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53"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CERTIFICATE OF OWNERSHIP AND MERGER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KRATOS DEFENSE &amp; SECURITY SOLUTIONS, INC. (A DELAWARE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WIRELESS FACILITIES, INC. (A DELAWARE CORPORATION)</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It is hereby certified that: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Wireless Facilities, Inc. (hereinafter sometimes. referred to as the “Corporation”) is a business corporation of the State of Delaware.</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The Corporation is the owner of all of the outstanding shares of the common stock of Kratos Defense &amp; Security Solutions, Inc. which is also a business corporation of the State of Delaware.</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3. On September 5, 2007, the Board of Directors of the Corporation adopted the following resolutions to merge Kratos Defense &amp; Security Solutions, Inc. into the Corporation:</w:t>
      </w:r>
    </w:p>
    <w:p>
      <w:pPr>
        <w:pStyle w:val="TextBody"/>
        <w:bidi w:val="0"/>
        <w:spacing w:lineRule="auto" w:line="288" w:before="0" w:after="0"/>
        <w:jc w:val="left"/>
        <w:rPr/>
      </w:pPr>
      <w:r>
        <w:rPr>
          <w:rFonts w:ascii="Times New Roman;serif" w:hAnsi="Times New Roman;serif"/>
          <w:b/>
          <w:color w:val="000000"/>
          <w:sz w:val="15"/>
        </w:rPr>
        <w:t>NOW THEREFORE, BE IT RESOLVED</w:t>
      </w:r>
      <w:r>
        <w:rPr>
          <w:rFonts w:ascii="Times New Roman;serif" w:hAnsi="Times New Roman;serif"/>
          <w:b w:val="false"/>
          <w:color w:val="000000"/>
          <w:sz w:val="15"/>
        </w:rPr>
        <w:t xml:space="preserve">, that Kratos Defense &amp; Security Solutions, Inc. be merged into this Corporation, and that all of the estate, property, rights, privileges, powers and franchises of Kratos Defense &amp; Security Solutions, Inc. be vested in and held and enjoyed by this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Corporation as fully and entirely and without change or diminution as the same were before held and enjoyed by Kratos Defense &amp; Security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Solutions, Inc. in its name;</w:t>
      </w:r>
    </w:p>
    <w:p>
      <w:pPr>
        <w:pStyle w:val="TextBody"/>
        <w:bidi w:val="0"/>
        <w:spacing w:lineRule="auto" w:line="288" w:before="0" w:after="0"/>
        <w:jc w:val="left"/>
        <w:rPr/>
      </w:pPr>
      <w:r>
        <w:rPr>
          <w:rFonts w:ascii="Times New Roman;serif" w:hAnsi="Times New Roman;serif"/>
          <w:b/>
          <w:color w:val="000000"/>
          <w:sz w:val="15"/>
        </w:rPr>
        <w:t>RESOLVED FURTHER</w:t>
      </w:r>
      <w:r>
        <w:rPr>
          <w:rFonts w:ascii="Times New Roman;serif" w:hAnsi="Times New Roman;serif"/>
          <w:b w:val="false"/>
          <w:color w:val="000000"/>
          <w:sz w:val="15"/>
        </w:rPr>
        <w:t>, that this Corporation shall assume all of the obligations of Kratos Defense &amp; Security Solutions, Inc.;</w:t>
      </w:r>
    </w:p>
    <w:p>
      <w:pPr>
        <w:pStyle w:val="TextBody"/>
        <w:bidi w:val="0"/>
        <w:spacing w:lineRule="auto" w:line="288" w:before="0" w:after="0"/>
        <w:jc w:val="left"/>
        <w:rPr/>
      </w:pPr>
      <w:r>
        <w:rPr>
          <w:rFonts w:ascii="Times New Roman;serif" w:hAnsi="Times New Roman;serif"/>
          <w:b/>
          <w:color w:val="000000"/>
          <w:sz w:val="15"/>
        </w:rPr>
        <w:t>RESOLVED FURTHER</w:t>
      </w:r>
      <w:r>
        <w:rPr>
          <w:rFonts w:ascii="Times New Roman;serif" w:hAnsi="Times New Roman;serif"/>
          <w:b w:val="false"/>
          <w:color w:val="000000"/>
          <w:sz w:val="15"/>
        </w:rPr>
        <w:t xml:space="preserve">, that this Corporation shall cause to be executed and filed and/or recorded the documents prescribed by the laws of the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State of Delaware and by the laws of any other appropriate jurisdiction and will cause to be performed all necessary acts within the State of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Delaware and within any other appropriate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54"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left"/>
        <w:rPr/>
      </w:pPr>
      <w:r>
        <w:rPr>
          <w:rFonts w:ascii="Times New Roman;serif" w:hAnsi="Times New Roman;serif"/>
          <w:b/>
          <w:color w:val="000000"/>
          <w:sz w:val="15"/>
        </w:rPr>
        <w:t>RESOLVED FURTHER</w:t>
      </w:r>
      <w:r>
        <w:rPr>
          <w:rFonts w:ascii="Times New Roman;serif" w:hAnsi="Times New Roman;serif"/>
          <w:b w:val="false"/>
          <w:color w:val="000000"/>
          <w:sz w:val="16"/>
        </w:rPr>
        <w:t>, that this Corporation shall change its corporate name to Kratos Defense &amp; Security Solutions, Inc.;</w:t>
      </w:r>
    </w:p>
    <w:p>
      <w:pPr>
        <w:pStyle w:val="TextBody"/>
        <w:bidi w:val="0"/>
        <w:spacing w:lineRule="auto" w:line="285" w:before="5" w:after="283"/>
        <w:jc w:val="left"/>
        <w:rPr/>
      </w:pPr>
      <w:r>
        <w:rPr>
          <w:rFonts w:ascii="Times New Roman;serif" w:hAnsi="Times New Roman;serif"/>
          <w:b/>
          <w:color w:val="000000"/>
          <w:sz w:val="15"/>
        </w:rPr>
        <w:t>RESOLVED FURTHER</w:t>
      </w:r>
      <w:r>
        <w:rPr>
          <w:rFonts w:ascii="Times New Roman;serif" w:hAnsi="Times New Roman;serif"/>
          <w:b w:val="false"/>
          <w:color w:val="000000"/>
          <w:sz w:val="16"/>
        </w:rPr>
        <w:t>, that the effective time of the Certificate of Ownership and Merger setting forth a copy of these resolutions, and the time when the merger therein provided for, shall become effective shall be September 12, 2007.</w:t>
      </w:r>
    </w:p>
    <w:p>
      <w:pPr>
        <w:pStyle w:val="TextBody"/>
        <w:bidi w:val="0"/>
        <w:spacing w:lineRule="atLeast" w:line="169" w:before="0" w:after="0"/>
        <w:jc w:val="left"/>
        <w:rPr>
          <w:rFonts w:ascii="Times New Roman;serif" w:hAnsi="Times New Roman;serif"/>
          <w:b w:val="false"/>
          <w:color w:val="000000"/>
          <w:sz w:val="15"/>
        </w:rPr>
      </w:pPr>
      <w:r>
        <w:rPr>
          <w:rFonts w:ascii="Times New Roman;serif" w:hAnsi="Times New Roman;serif"/>
          <w:b w:val="false"/>
          <w:color w:val="000000"/>
          <w:sz w:val="15"/>
        </w:rPr>
        <w:t>********</w:t>
      </w:r>
    </w:p>
    <w:p>
      <w:pPr>
        <w:pStyle w:val="TextBody"/>
        <w:bidi w:val="0"/>
        <w:spacing w:lineRule="auto" w:line="288" w:before="8" w:after="283"/>
        <w:jc w:val="left"/>
        <w:rPr/>
      </w:pPr>
      <w:r>
        <w:rPr>
          <w:rFonts w:ascii="Times New Roman;serif" w:hAnsi="Times New Roman;serif"/>
          <w:b w:val="false"/>
          <w:color w:val="000000"/>
          <w:sz w:val="15"/>
        </w:rPr>
        <w:t>Executed on September 7</w:t>
      </w:r>
      <w:r>
        <w:rPr>
          <w:rFonts w:ascii="Times New Roman;serif" w:hAnsi="Times New Roman;serif"/>
          <w:b w:val="false"/>
          <w:color w:val="000000"/>
          <w:sz w:val="11"/>
        </w:rPr>
        <w:t>th</w:t>
      </w:r>
      <w:r>
        <w:rPr>
          <w:rFonts w:ascii="Times New Roman;serif" w:hAnsi="Times New Roman;serif"/>
          <w:b w:val="false"/>
          <w:color w:val="000000"/>
          <w:sz w:val="16"/>
        </w:rPr>
        <w:t>, 2007</w:t>
      </w:r>
    </w:p>
    <w:p>
      <w:pPr>
        <w:pStyle w:val="TextBody"/>
        <w:bidi w:val="0"/>
        <w:spacing w:lineRule="auto" w:line="288" w:before="15" w:after="283"/>
        <w:jc w:val="left"/>
        <w:rPr>
          <w:rFonts w:ascii="Times New Roman;serif" w:hAnsi="Times New Roman;serif"/>
          <w:b/>
          <w:color w:val="000000"/>
          <w:sz w:val="15"/>
        </w:rPr>
      </w:pPr>
      <w:r>
        <w:rPr>
          <w:rFonts w:ascii="Times New Roman;serif" w:hAnsi="Times New Roman;serif"/>
          <w:b/>
          <w:color w:val="000000"/>
          <w:sz w:val="15"/>
        </w:rPr>
        <w:t>WIRELESS FACILITIES, INC.</w:t>
      </w:r>
    </w:p>
    <w:p>
      <w:pPr>
        <w:pStyle w:val="TextBody"/>
        <w:bidi w:val="0"/>
        <w:spacing w:lineRule="auto" w:line="288" w:before="159" w:after="283"/>
        <w:jc w:val="left"/>
        <w:rPr/>
      </w:pPr>
      <w:r>
        <w:rPr/>
        <w:drawing>
          <wp:inline distT="0" distB="0" distL="0" distR="0">
            <wp:extent cx="6276975" cy="14605"/>
            <wp:effectExtent l="0" t="0" r="0" b="0"/>
            <wp:docPr id="15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0" descr=""/>
                    <pic:cNvPicPr>
                      <a:picLocks noChangeAspect="1" noChangeArrowheads="1"/>
                    </pic:cNvPicPr>
                  </pic:nvPicPr>
                  <pic:blipFill>
                    <a:blip r:embed="rId62"/>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By:    </w:t>
      </w:r>
      <w:r>
        <w:rPr>
          <w:rFonts w:ascii="Times New Roman;serif" w:hAnsi="Times New Roman;serif"/>
          <w:b w:val="false"/>
          <w:color w:val="000000"/>
          <w:sz w:val="15"/>
        </w:rPr>
        <w:t>/s/ James R. Edwards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56"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69" w:after="283"/>
        <w:ind w:left="0" w:right="0" w:hanging="4"/>
        <w:jc w:val="center"/>
        <w:rPr>
          <w:rFonts w:ascii="Times New Roman;serif" w:hAnsi="Times New Roman;serif"/>
          <w:b/>
          <w:color w:val="000000"/>
          <w:sz w:val="16"/>
        </w:rPr>
      </w:pPr>
      <w:r>
        <w:rPr>
          <w:rFonts w:ascii="Times New Roman;serif" w:hAnsi="Times New Roman;serif"/>
          <w:b/>
          <w:color w:val="000000"/>
          <w:sz w:val="16"/>
        </w:rPr>
        <w:t>CERTIFICATE OF AMENDMENT TO AMENDED AND RESTATED CERTIFICATE OF INCORPORATION OF</w:t>
      </w:r>
    </w:p>
    <w:p>
      <w:pPr>
        <w:pStyle w:val="TextBody"/>
        <w:bidi w:val="0"/>
        <w:spacing w:lineRule="atLeast" w:line="184" w:before="0" w:after="0"/>
        <w:jc w:val="center"/>
        <w:rPr>
          <w:rFonts w:ascii="Times New Roman;serif" w:hAnsi="Times New Roman;serif"/>
          <w:b/>
          <w:color w:val="000000"/>
          <w:sz w:val="16"/>
        </w:rPr>
      </w:pPr>
      <w:r>
        <w:rPr>
          <w:rFonts w:ascii="Times New Roman;serif" w:hAnsi="Times New Roman;serif"/>
          <w:b/>
          <w:color w:val="000000"/>
          <w:sz w:val="16"/>
        </w:rPr>
        <w:t>KRATOS DEFENSE &amp; SECURITY SOLUTIONS, INC.</w:t>
      </w:r>
    </w:p>
    <w:p>
      <w:pPr>
        <w:pStyle w:val="TextBody"/>
        <w:bidi w:val="0"/>
        <w:spacing w:before="0" w:after="0"/>
        <w:jc w:val="center"/>
        <w:rPr/>
      </w:pPr>
      <w:r>
        <w:rPr/>
      </w:r>
    </w:p>
    <w:p>
      <w:pPr>
        <w:pStyle w:val="TextBody"/>
        <w:bidi w:val="0"/>
        <w:spacing w:lineRule="auto" w:line="285" w:before="5" w:after="283"/>
        <w:jc w:val="left"/>
        <w:rPr>
          <w:rFonts w:ascii="Times New Roman;serif" w:hAnsi="Times New Roman;serif"/>
          <w:b w:val="false"/>
          <w:color w:val="000000"/>
          <w:sz w:val="16"/>
        </w:rPr>
      </w:pPr>
      <w:r>
        <w:rPr>
          <w:rFonts w:ascii="Times New Roman;serif" w:hAnsi="Times New Roman;serif"/>
          <w:b w:val="false"/>
          <w:color w:val="000000"/>
          <w:sz w:val="16"/>
        </w:rPr>
        <w:t>Kratos Defense &amp; Security Solutions, Inc., a corporation organized and existing under and by virtue of the General Corporation Law of the State of Delaware (the “Corporation”), does hereby certify:</w:t>
      </w:r>
    </w:p>
    <w:p>
      <w:pPr>
        <w:pStyle w:val="TextBody"/>
        <w:bidi w:val="0"/>
        <w:spacing w:before="0" w:after="0"/>
        <w:jc w:val="left"/>
        <w:rPr/>
      </w:pPr>
      <w:r>
        <w:rPr/>
      </w:r>
    </w:p>
    <w:p>
      <w:pPr>
        <w:pStyle w:val="TextBody"/>
        <w:bidi w:val="0"/>
        <w:spacing w:lineRule="atLeast" w:line="184" w:before="0" w:after="0"/>
        <w:jc w:val="left"/>
        <w:rPr>
          <w:rFonts w:ascii="Times New Roman;serif" w:hAnsi="Times New Roman;serif"/>
          <w:b w:val="false"/>
          <w:color w:val="000000"/>
          <w:sz w:val="16"/>
        </w:rPr>
      </w:pPr>
      <w:r>
        <w:rPr>
          <w:rFonts w:ascii="Times New Roman;serif" w:hAnsi="Times New Roman;serif"/>
          <w:b w:val="false"/>
          <w:color w:val="000000"/>
          <w:sz w:val="16"/>
        </w:rPr>
        <w:t>FIRST: The name under which the Corporation was originally incorporated was Wireless Facilities, Inc.</w:t>
      </w:r>
    </w:p>
    <w:p>
      <w:pPr>
        <w:pStyle w:val="TextBody"/>
        <w:bidi w:val="0"/>
        <w:spacing w:before="0" w:after="0"/>
        <w:jc w:val="left"/>
        <w:rPr/>
      </w:pPr>
      <w:r>
        <w:rPr/>
      </w:r>
    </w:p>
    <w:p>
      <w:pPr>
        <w:pStyle w:val="TextBody"/>
        <w:bidi w:val="0"/>
        <w:spacing w:lineRule="auto" w:line="285" w:before="6" w:after="283"/>
        <w:jc w:val="left"/>
        <w:rPr>
          <w:rFonts w:ascii="Times New Roman;serif" w:hAnsi="Times New Roman;serif"/>
          <w:b w:val="false"/>
          <w:color w:val="000000"/>
          <w:sz w:val="16"/>
        </w:rPr>
      </w:pPr>
      <w:r>
        <w:rPr>
          <w:rFonts w:ascii="Times New Roman;serif" w:hAnsi="Times New Roman;serif"/>
          <w:b w:val="false"/>
          <w:color w:val="000000"/>
          <w:sz w:val="16"/>
        </w:rPr>
        <w:t>SECOND: The date on which the Certificate of Incorporation of the Corporation was originally filed with the Secretary of State of the State of Delaware was July 7, 1997.</w:t>
      </w:r>
    </w:p>
    <w:p>
      <w:pPr>
        <w:pStyle w:val="TextBody"/>
        <w:bidi w:val="0"/>
        <w:spacing w:before="0" w:after="0"/>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THIRD: The Board of Directors of the Corporation, acting in accordance with the provisions of Section 141 and 142 of the General Corporation Law of the State of Delaware adopted resolutions to amend paragraph (A) of ARTICLE IV of the Amended and Restated Certificate of Incorporation of the Corporation to read in its entirety as follows:</w:t>
      </w:r>
    </w:p>
    <w:p>
      <w:pPr>
        <w:pStyle w:val="TextBody"/>
        <w:bidi w:val="0"/>
        <w:spacing w:before="0" w:after="0"/>
        <w:jc w:val="left"/>
        <w:rPr/>
      </w:pPr>
      <w:r>
        <w:rPr/>
      </w:r>
    </w:p>
    <w:p>
      <w:pPr>
        <w:pStyle w:val="TextBody"/>
        <w:bidi w:val="0"/>
        <w:spacing w:lineRule="auto" w:line="285" w:before="0" w:after="0"/>
        <w:jc w:val="left"/>
        <w:rPr>
          <w:color w:val="000000"/>
        </w:rPr>
      </w:pPr>
      <w:r>
        <w:rPr>
          <w:color w:val="000000"/>
        </w:rPr>
        <w:t>“</w:t>
      </w:r>
      <w:r>
        <w:rPr>
          <w:rFonts w:ascii="Times New Roman;serif" w:hAnsi="Times New Roman;serif"/>
          <w:b w:val="false"/>
          <w:color w:val="000000"/>
          <w:sz w:val="16"/>
        </w:rPr>
        <w:t>A. This corporation is authorized to issue two classes of stock to be designated, respectively, “Common Stock” and “Preferred Stock.” The total number of shares which the corporation is authorized to issue is two hundred million (200,000,000) shares. One hundred ninety five million (195,000,000) shares shall be Common Stock, each having a par value of one tenth of one cent ($0.001). Five million (5,000,000) shares shall be Preferred Stock, each having a par value of one tenth of one cent ($0.001). Effective as of 5:00 p.m., Eastern Time, on the date this Certificate of Amendment to Amended and Restated Certificate of Incorporation is filed with the Secretary of State of the State of Delaware, each ten (10) shares of this corporation’s Common Stock, par value $0.001 per share, issued and outstanding shall, automatically and without any action on the part of the respective holders thereof, be combined and converted into one (1) share of Common Stock, par value $0.001 per share, of this corporation. No fractional shares shall be issued and, in lieu thereof, any holder of less than one share of Common Stock shall be entitled to receive cash for such holder’s fractional share based upon the fair market value of the Common Stock as of the date this Certificate of Amendment is filed with the Secretary of State of the State of Delaware as determined by this corporation’s Board of Directors.”</w:t>
      </w:r>
    </w:p>
    <w:p>
      <w:pPr>
        <w:pStyle w:val="TextBody"/>
        <w:bidi w:val="0"/>
        <w:spacing w:before="0" w:after="0"/>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FOURTH: This Certificate of Amendment to Amended and Restated Certificate of Incorporation was submitted to the stockholders of the Corporation and was duly approved by the required vote of the stockholders of the Corporation in accordance with Sections 222 and 242 of the Delaware General Corporation Law.</w:t>
      </w:r>
    </w:p>
    <w:p>
      <w:pPr>
        <w:pStyle w:val="TextBody"/>
        <w:bidi w:val="0"/>
        <w:spacing w:before="0" w:after="0"/>
        <w:jc w:val="left"/>
        <w:rPr/>
      </w:pPr>
      <w:r>
        <w:rPr/>
      </w:r>
    </w:p>
    <w:p>
      <w:pPr>
        <w:pStyle w:val="TextBody"/>
        <w:bidi w:val="0"/>
        <w:spacing w:lineRule="auto" w:line="285" w:before="0" w:after="0"/>
        <w:jc w:val="left"/>
        <w:rPr>
          <w:rFonts w:ascii="Times New Roman;serif" w:hAnsi="Times New Roman;serif"/>
          <w:b w:val="false"/>
          <w:color w:val="000000"/>
          <w:sz w:val="16"/>
        </w:rPr>
      </w:pPr>
      <w:r>
        <w:rPr>
          <w:rFonts w:ascii="Times New Roman;serif" w:hAnsi="Times New Roman;serif"/>
          <w:b w:val="false"/>
          <w:color w:val="000000"/>
          <w:sz w:val="16"/>
        </w:rPr>
        <w:t>IN WITNESS WHEREOF, Kratos Defense &amp; Security Solutions, Inc. has caused this Certificate of Amendment to be signed by its Executive Vice President and Chief Financial Officer as of September 10, 2009.</w:t>
      </w:r>
    </w:p>
    <w:p>
      <w:pPr>
        <w:pStyle w:val="TextBody"/>
        <w:bidi w:val="0"/>
        <w:spacing w:lineRule="auto" w:line="240"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By: /s/ Deanna H. Lund Deanna H. Lund,</w:t>
      </w:r>
    </w:p>
    <w:p>
      <w:pPr>
        <w:pStyle w:val="TextBody"/>
        <w:bidi w:val="0"/>
        <w:spacing w:lineRule="atLeast" w:line="172" w:before="0" w:after="0"/>
        <w:jc w:val="left"/>
        <w:rPr/>
      </w:pPr>
      <w:r>
        <w:rPr/>
        <w:drawing>
          <wp:inline distT="0" distB="0" distL="0" distR="0">
            <wp:extent cx="6276975" cy="14605"/>
            <wp:effectExtent l="0" t="0" r="0" b="0"/>
            <wp:docPr id="1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1" descr=""/>
                    <pic:cNvPicPr>
                      <a:picLocks noChangeAspect="1" noChangeArrowheads="1"/>
                    </pic:cNvPicPr>
                  </pic:nvPicPr>
                  <pic:blipFill>
                    <a:blip r:embed="rId63"/>
                    <a:stretch>
                      <a:fillRect/>
                    </a:stretch>
                  </pic:blipFill>
                  <pic:spPr bwMode="auto">
                    <a:xfrm>
                      <a:off x="0" y="0"/>
                      <a:ext cx="6276975" cy="14605"/>
                    </a:xfrm>
                    <a:prstGeom prst="rect">
                      <a:avLst/>
                    </a:prstGeom>
                  </pic:spPr>
                </pic:pic>
              </a:graphicData>
            </a:graphic>
          </wp:inline>
        </w:drawing>
      </w:r>
      <w:r>
        <w:rPr>
          <w:rFonts w:ascii="Times New Roman;serif" w:hAnsi="Times New Roman;serif"/>
          <w:b w:val="false"/>
          <w:color w:val="000000"/>
          <w:sz w:val="16"/>
        </w:rPr>
        <w:t>Executive Vice President and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5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8" w:after="283"/>
        <w:ind w:left="0" w:right="0" w:hanging="884"/>
        <w:jc w:val="left"/>
        <w:rPr>
          <w:rFonts w:ascii="Times New Roman;serif" w:hAnsi="Times New Roman;serif"/>
          <w:b w:val="false"/>
          <w:color w:val="111111"/>
          <w:sz w:val="19"/>
        </w:rPr>
      </w:pPr>
      <w:r>
        <w:rPr>
          <w:rFonts w:ascii="Times New Roman;serif" w:hAnsi="Times New Roman;serif"/>
          <w:b w:val="false"/>
          <w:color w:val="111111"/>
          <w:sz w:val="19"/>
        </w:rPr>
        <w:t>CERTIFICATE OF OWNERSHIP AND MERGER MERGING ACQUISITION CO. LANZA PARENT</w:t>
      </w:r>
    </w:p>
    <w:p>
      <w:pPr>
        <w:pStyle w:val="TextBody"/>
        <w:bidi w:val="0"/>
        <w:spacing w:lineRule="auto" w:line="302" w:before="0" w:after="0"/>
        <w:ind w:left="0" w:right="0" w:firstLine="454"/>
        <w:jc w:val="left"/>
        <w:rPr/>
      </w:pPr>
      <w:r>
        <w:rPr>
          <w:rFonts w:ascii="Times New Roman;serif" w:hAnsi="Times New Roman;serif"/>
          <w:b w:val="false"/>
          <w:color w:val="262626"/>
          <w:sz w:val="19"/>
        </w:rPr>
        <w:t xml:space="preserve">(a Delaware </w:t>
      </w:r>
      <w:r>
        <w:rPr>
          <w:rFonts w:ascii="Times New Roman;serif" w:hAnsi="Times New Roman;serif"/>
          <w:b w:val="false"/>
          <w:color w:val="111111"/>
          <w:sz w:val="19"/>
        </w:rPr>
        <w:t xml:space="preserve">corporation) WITH AND INTO KRATOS DEFENSE </w:t>
      </w:r>
      <w:r>
        <w:rPr>
          <w:rFonts w:ascii="Arial;sans-serif" w:hAnsi="Arial;sans-serif"/>
          <w:b w:val="false"/>
          <w:color w:val="111111"/>
          <w:sz w:val="19"/>
        </w:rPr>
        <w:t xml:space="preserve">&amp; </w:t>
      </w:r>
      <w:r>
        <w:rPr>
          <w:rFonts w:ascii="Times New Roman;serif" w:hAnsi="Times New Roman;serif"/>
          <w:b w:val="false"/>
          <w:color w:val="111111"/>
          <w:sz w:val="19"/>
        </w:rPr>
        <w:t>SECURITY SOLUTIONS, INC.</w:t>
      </w:r>
    </w:p>
    <w:p>
      <w:pPr>
        <w:pStyle w:val="TextBody"/>
        <w:bidi w:val="0"/>
        <w:spacing w:lineRule="atLeast" w:line="208" w:before="0" w:after="0"/>
        <w:jc w:val="both"/>
        <w:rPr/>
      </w:pPr>
      <w:r>
        <w:rPr>
          <w:rFonts w:ascii="Times New Roman;serif" w:hAnsi="Times New Roman;serif"/>
          <w:b w:val="false"/>
          <w:color w:val="262626"/>
          <w:sz w:val="19"/>
        </w:rPr>
        <w:t xml:space="preserve">(a </w:t>
      </w:r>
      <w:r>
        <w:rPr>
          <w:rFonts w:ascii="Times New Roman;serif" w:hAnsi="Times New Roman;serif"/>
          <w:b w:val="false"/>
          <w:color w:val="111111"/>
          <w:sz w:val="19"/>
        </w:rPr>
        <w:t xml:space="preserve">Delaware </w:t>
      </w:r>
      <w:r>
        <w:rPr>
          <w:rFonts w:ascii="Times New Roman;serif" w:hAnsi="Times New Roman;serif"/>
          <w:b w:val="false"/>
          <w:color w:val="262626"/>
          <w:sz w:val="19"/>
        </w:rPr>
        <w:t xml:space="preserve">corporation) April4 </w:t>
      </w:r>
      <w:r>
        <w:rPr>
          <w:rFonts w:ascii="Times New Roman;serif" w:hAnsi="Times New Roman;serif"/>
          <w:b w:val="false"/>
          <w:color w:val="4B4B4B"/>
          <w:sz w:val="19"/>
        </w:rPr>
        <w:t xml:space="preserve">, </w:t>
      </w:r>
      <w:r>
        <w:rPr>
          <w:rFonts w:ascii="Times New Roman;serif" w:hAnsi="Times New Roman;serif"/>
          <w:b w:val="false"/>
          <w:color w:val="262626"/>
          <w:sz w:val="19"/>
        </w:rPr>
        <w:t>2011</w:t>
      </w:r>
    </w:p>
    <w:p>
      <w:pPr>
        <w:pStyle w:val="TextBody"/>
        <w:bidi w:val="0"/>
        <w:spacing w:lineRule="auto" w:line="288" w:before="33" w:after="283"/>
        <w:ind w:left="0" w:right="0" w:firstLine="720"/>
        <w:jc w:val="both"/>
        <w:rPr/>
      </w:pPr>
      <w:r>
        <w:rPr>
          <w:rFonts w:ascii="Times New Roman;serif" w:hAnsi="Times New Roman;serif"/>
          <w:b w:val="false"/>
          <w:color w:val="111111"/>
          <w:sz w:val="19"/>
        </w:rPr>
        <w:t xml:space="preserve">Pursuant to Section </w:t>
      </w:r>
      <w:r>
        <w:rPr>
          <w:rFonts w:ascii="Times New Roman;serif" w:hAnsi="Times New Roman;serif"/>
          <w:b w:val="false"/>
          <w:color w:val="262626"/>
          <w:sz w:val="19"/>
        </w:rPr>
        <w:t xml:space="preserve">253 of </w:t>
      </w:r>
      <w:r>
        <w:rPr>
          <w:rFonts w:ascii="Times New Roman;serif" w:hAnsi="Times New Roman;serif"/>
          <w:b w:val="false"/>
          <w:color w:val="111111"/>
          <w:sz w:val="19"/>
        </w:rPr>
        <w:t xml:space="preserve">the </w:t>
      </w:r>
      <w:r>
        <w:rPr>
          <w:rFonts w:ascii="Times New Roman;serif" w:hAnsi="Times New Roman;serif"/>
          <w:b w:val="false"/>
          <w:color w:val="262626"/>
          <w:sz w:val="19"/>
        </w:rPr>
        <w:t xml:space="preserve">General Corporation </w:t>
      </w:r>
      <w:r>
        <w:rPr>
          <w:rFonts w:ascii="Times New Roman;serif" w:hAnsi="Times New Roman;serif"/>
          <w:b w:val="false"/>
          <w:color w:val="111111"/>
          <w:sz w:val="19"/>
        </w:rPr>
        <w:t xml:space="preserve">Law </w:t>
      </w:r>
      <w:r>
        <w:rPr>
          <w:rFonts w:ascii="Times New Roman;serif" w:hAnsi="Times New Roman;serif"/>
          <w:b w:val="false"/>
          <w:color w:val="262626"/>
          <w:sz w:val="19"/>
        </w:rPr>
        <w:t xml:space="preserve">of </w:t>
      </w:r>
      <w:r>
        <w:rPr>
          <w:rFonts w:ascii="Times New Roman;serif" w:hAnsi="Times New Roman;serif"/>
          <w:b w:val="false"/>
          <w:color w:val="111111"/>
          <w:sz w:val="19"/>
        </w:rPr>
        <w:t>th</w:t>
      </w:r>
      <w:r>
        <w:rPr>
          <w:rFonts w:ascii="Times New Roman;serif" w:hAnsi="Times New Roman;serif"/>
          <w:b w:val="false"/>
          <w:color w:val="383838"/>
          <w:sz w:val="19"/>
        </w:rPr>
        <w:t xml:space="preserve">e </w:t>
      </w:r>
      <w:r>
        <w:rPr>
          <w:rFonts w:ascii="Times New Roman;serif" w:hAnsi="Times New Roman;serif"/>
          <w:b w:val="false"/>
          <w:color w:val="111111"/>
          <w:sz w:val="19"/>
        </w:rPr>
        <w:t xml:space="preserve">State </w:t>
      </w:r>
      <w:r>
        <w:rPr>
          <w:rFonts w:ascii="Times New Roman;serif" w:hAnsi="Times New Roman;serif"/>
          <w:b w:val="false"/>
          <w:color w:val="262626"/>
          <w:sz w:val="19"/>
        </w:rPr>
        <w:t xml:space="preserve">of </w:t>
      </w:r>
      <w:r>
        <w:rPr>
          <w:rFonts w:ascii="Times New Roman;serif" w:hAnsi="Times New Roman;serif"/>
          <w:b w:val="false"/>
          <w:color w:val="111111"/>
          <w:sz w:val="19"/>
        </w:rPr>
        <w:t xml:space="preserve">Delaware </w:t>
      </w:r>
      <w:r>
        <w:rPr>
          <w:rFonts w:ascii="Times New Roman;serif" w:hAnsi="Times New Roman;serif"/>
          <w:b w:val="false"/>
          <w:color w:val="262626"/>
          <w:sz w:val="19"/>
        </w:rPr>
        <w:t xml:space="preserve">(the </w:t>
      </w:r>
      <w:r>
        <w:rPr>
          <w:rFonts w:ascii="Times New Roman;serif" w:hAnsi="Times New Roman;serif"/>
          <w:b w:val="false"/>
          <w:color w:val="5A5A5A"/>
          <w:sz w:val="19"/>
        </w:rPr>
        <w:t>"</w:t>
      </w:r>
      <w:r>
        <w:rPr>
          <w:rFonts w:ascii="Times New Roman;serif" w:hAnsi="Times New Roman;serif"/>
          <w:b w:val="false"/>
          <w:color w:val="111111"/>
          <w:sz w:val="19"/>
        </w:rPr>
        <w:t>DGCL</w:t>
      </w:r>
      <w:r>
        <w:rPr>
          <w:rFonts w:ascii="Times New Roman;serif" w:hAnsi="Times New Roman;serif"/>
          <w:b w:val="false"/>
          <w:color w:val="5A5A5A"/>
          <w:sz w:val="19"/>
        </w:rPr>
        <w:t>"</w:t>
      </w:r>
      <w:r>
        <w:rPr>
          <w:rFonts w:ascii="Times New Roman;serif" w:hAnsi="Times New Roman;serif"/>
          <w:b w:val="false"/>
          <w:color w:val="111111"/>
          <w:sz w:val="19"/>
        </w:rPr>
        <w:t>)</w:t>
      </w:r>
      <w:r>
        <w:rPr>
          <w:rFonts w:ascii="Times New Roman;serif" w:hAnsi="Times New Roman;serif"/>
          <w:b w:val="false"/>
          <w:color w:val="383838"/>
          <w:sz w:val="19"/>
        </w:rPr>
        <w:t xml:space="preserve">, </w:t>
      </w:r>
      <w:r>
        <w:rPr>
          <w:rFonts w:ascii="Times New Roman;serif" w:hAnsi="Times New Roman;serif"/>
          <w:b w:val="false"/>
          <w:color w:val="111111"/>
          <w:sz w:val="19"/>
        </w:rPr>
        <w:t>Kratos Defen</w:t>
      </w:r>
      <w:r>
        <w:rPr>
          <w:rFonts w:ascii="Times New Roman;serif" w:hAnsi="Times New Roman;serif"/>
          <w:b w:val="false"/>
          <w:color w:val="383838"/>
          <w:sz w:val="19"/>
        </w:rPr>
        <w:t xml:space="preserve">se </w:t>
      </w:r>
      <w:r>
        <w:rPr>
          <w:rFonts w:ascii="Arial;sans-serif" w:hAnsi="Arial;sans-serif"/>
          <w:b w:val="false"/>
          <w:color w:val="111111"/>
          <w:sz w:val="19"/>
        </w:rPr>
        <w:t xml:space="preserve">&amp; </w:t>
      </w:r>
      <w:r>
        <w:rPr>
          <w:rFonts w:ascii="Times New Roman;serif" w:hAnsi="Times New Roman;serif"/>
          <w:b w:val="false"/>
          <w:color w:val="111111"/>
          <w:sz w:val="19"/>
        </w:rPr>
        <w:t>Security Solutions</w:t>
      </w:r>
      <w:r>
        <w:rPr>
          <w:rFonts w:ascii="Times New Roman;serif" w:hAnsi="Times New Roman;serif"/>
          <w:b w:val="false"/>
          <w:color w:val="4B4B4B"/>
          <w:sz w:val="19"/>
        </w:rPr>
        <w:t xml:space="preserve">, </w:t>
      </w:r>
      <w:r>
        <w:rPr>
          <w:rFonts w:ascii="Times New Roman;serif" w:hAnsi="Times New Roman;serif"/>
          <w:b w:val="false"/>
          <w:color w:val="111111"/>
          <w:sz w:val="19"/>
        </w:rPr>
        <w:t>Inc</w:t>
      </w:r>
      <w:r>
        <w:rPr>
          <w:rFonts w:ascii="Times New Roman;serif" w:hAnsi="Times New Roman;serif"/>
          <w:b w:val="false"/>
          <w:color w:val="383838"/>
          <w:sz w:val="19"/>
        </w:rPr>
        <w:t>.</w:t>
      </w:r>
      <w:r>
        <w:rPr>
          <w:rFonts w:ascii="Times New Roman;serif" w:hAnsi="Times New Roman;serif"/>
          <w:b w:val="false"/>
          <w:color w:val="111111"/>
          <w:sz w:val="19"/>
        </w:rPr>
        <w:t>, a Delawar</w:t>
      </w:r>
      <w:r>
        <w:rPr>
          <w:rFonts w:ascii="Times New Roman;serif" w:hAnsi="Times New Roman;serif"/>
          <w:b w:val="false"/>
          <w:color w:val="383838"/>
          <w:sz w:val="19"/>
        </w:rPr>
        <w:t xml:space="preserve">e </w:t>
      </w:r>
      <w:r>
        <w:rPr>
          <w:rFonts w:ascii="Times New Roman;serif" w:hAnsi="Times New Roman;serif"/>
          <w:b w:val="false"/>
          <w:color w:val="262626"/>
          <w:sz w:val="19"/>
        </w:rPr>
        <w:t xml:space="preserve">corporation (the </w:t>
      </w:r>
      <w:r>
        <w:rPr>
          <w:color w:val="4B4B4B"/>
        </w:rPr>
        <w:t>“</w:t>
      </w:r>
      <w:r>
        <w:rPr>
          <w:rFonts w:ascii="Times New Roman;serif" w:hAnsi="Times New Roman;serif"/>
          <w:b w:val="false"/>
          <w:color w:val="262626"/>
          <w:sz w:val="19"/>
        </w:rPr>
        <w:t xml:space="preserve">Company”), </w:t>
      </w:r>
      <w:r>
        <w:rPr>
          <w:rFonts w:ascii="Times New Roman;serif" w:hAnsi="Times New Roman;serif"/>
          <w:b w:val="false"/>
          <w:color w:val="111111"/>
          <w:sz w:val="19"/>
        </w:rPr>
        <w:t xml:space="preserve">hereby certifies the following information relating to the merger </w:t>
      </w:r>
      <w:r>
        <w:rPr>
          <w:rFonts w:ascii="Times New Roman;serif" w:hAnsi="Times New Roman;serif"/>
          <w:b w:val="false"/>
          <w:color w:val="262626"/>
          <w:sz w:val="19"/>
        </w:rPr>
        <w:t xml:space="preserve">(the </w:t>
      </w:r>
      <w:r>
        <w:rPr>
          <w:rFonts w:ascii="Times New Roman;serif" w:hAnsi="Times New Roman;serif"/>
          <w:b w:val="false"/>
          <w:color w:val="4B4B4B"/>
          <w:sz w:val="19"/>
        </w:rPr>
        <w:t>"</w:t>
      </w:r>
      <w:r>
        <w:rPr>
          <w:rFonts w:ascii="Times New Roman;serif" w:hAnsi="Times New Roman;serif"/>
          <w:b w:val="false"/>
          <w:color w:val="262626"/>
          <w:sz w:val="19"/>
        </w:rPr>
        <w:t>Merger</w:t>
      </w:r>
      <w:r>
        <w:rPr>
          <w:rFonts w:ascii="Times New Roman;serif" w:hAnsi="Times New Roman;serif"/>
          <w:b w:val="false"/>
          <w:color w:val="4B4B4B"/>
          <w:sz w:val="19"/>
        </w:rPr>
        <w:t>"</w:t>
      </w:r>
      <w:r>
        <w:rPr>
          <w:rFonts w:ascii="Times New Roman;serif" w:hAnsi="Times New Roman;serif"/>
          <w:b w:val="false"/>
          <w:color w:val="262626"/>
          <w:sz w:val="19"/>
        </w:rPr>
        <w:t xml:space="preserve">) </w:t>
      </w:r>
      <w:r>
        <w:rPr>
          <w:rFonts w:ascii="Times New Roman;serif" w:hAnsi="Times New Roman;serif"/>
          <w:b w:val="false"/>
          <w:color w:val="111111"/>
          <w:sz w:val="19"/>
        </w:rPr>
        <w:t xml:space="preserve">of </w:t>
      </w:r>
      <w:r>
        <w:rPr>
          <w:rFonts w:ascii="Times New Roman;serif" w:hAnsi="Times New Roman;serif"/>
          <w:b w:val="false"/>
          <w:color w:val="262626"/>
          <w:sz w:val="19"/>
        </w:rPr>
        <w:t xml:space="preserve">Acquisition Co. </w:t>
      </w:r>
      <w:r>
        <w:rPr>
          <w:rFonts w:ascii="Times New Roman;serif" w:hAnsi="Times New Roman;serif"/>
          <w:b w:val="false"/>
          <w:color w:val="111111"/>
          <w:sz w:val="19"/>
        </w:rPr>
        <w:t xml:space="preserve">Lanza Parent, a Delaware </w:t>
      </w:r>
      <w:r>
        <w:rPr>
          <w:rFonts w:ascii="Times New Roman;serif" w:hAnsi="Times New Roman;serif"/>
          <w:b w:val="false"/>
          <w:color w:val="262626"/>
          <w:sz w:val="19"/>
        </w:rPr>
        <w:t xml:space="preserve">corporation </w:t>
      </w:r>
      <w:r>
        <w:rPr>
          <w:rFonts w:ascii="Times New Roman;serif" w:hAnsi="Times New Roman;serif"/>
          <w:b w:val="false"/>
          <w:color w:val="111111"/>
          <w:sz w:val="19"/>
        </w:rPr>
        <w:t>(the “</w:t>
      </w:r>
      <w:r>
        <w:rPr>
          <w:rFonts w:ascii="Times New Roman;serif" w:hAnsi="Times New Roman;serif"/>
          <w:b w:val="false"/>
          <w:color w:val="111111"/>
          <w:sz w:val="19"/>
          <w:u w:val="single"/>
        </w:rPr>
        <w:t>Sub</w:t>
      </w:r>
      <w:r>
        <w:rPr>
          <w:color w:val="383838"/>
        </w:rPr>
        <w:t>”</w:t>
      </w:r>
      <w:r>
        <w:rPr>
          <w:rFonts w:ascii="Times New Roman;serif" w:hAnsi="Times New Roman;serif"/>
          <w:b w:val="false"/>
          <w:color w:val="383838"/>
          <w:sz w:val="19"/>
        </w:rPr>
        <w:t>)</w:t>
      </w:r>
      <w:r>
        <w:rPr>
          <w:rFonts w:ascii="Times New Roman;serif" w:hAnsi="Times New Roman;serif"/>
          <w:b w:val="false"/>
          <w:color w:val="111111"/>
          <w:sz w:val="19"/>
        </w:rPr>
        <w:t xml:space="preserve">, with </w:t>
      </w:r>
      <w:r>
        <w:rPr>
          <w:rFonts w:ascii="Times New Roman;serif" w:hAnsi="Times New Roman;serif"/>
          <w:b w:val="false"/>
          <w:color w:val="262626"/>
          <w:sz w:val="19"/>
        </w:rPr>
        <w:t xml:space="preserve">and </w:t>
      </w:r>
      <w:r>
        <w:rPr>
          <w:rFonts w:ascii="Times New Roman;serif" w:hAnsi="Times New Roman;serif"/>
          <w:b w:val="false"/>
          <w:color w:val="111111"/>
          <w:sz w:val="19"/>
        </w:rPr>
        <w:t xml:space="preserve">into the </w:t>
      </w:r>
      <w:r>
        <w:rPr>
          <w:rFonts w:ascii="Times New Roman;serif" w:hAnsi="Times New Roman;serif"/>
          <w:b w:val="false"/>
          <w:color w:val="262626"/>
          <w:sz w:val="19"/>
        </w:rPr>
        <w:t>Company:</w:t>
      </w:r>
    </w:p>
    <w:p>
      <w:pPr>
        <w:pStyle w:val="TextBody"/>
        <w:bidi w:val="0"/>
        <w:spacing w:lineRule="auto" w:line="242" w:before="213" w:after="283"/>
        <w:jc w:val="left"/>
        <w:rPr/>
      </w:pPr>
      <w:r>
        <w:rPr>
          <w:rFonts w:ascii="Times New Roman;serif" w:hAnsi="Times New Roman;serif"/>
          <w:b w:val="false"/>
          <w:color w:val="000000"/>
          <w:sz w:val="16"/>
        </w:rPr>
        <w:t>1.</w:t>
      </w:r>
      <w:r>
        <w:rPr>
          <w:rFonts w:ascii="Times New Roman;serif" w:hAnsi="Times New Roman;serif"/>
          <w:b w:val="false"/>
          <w:color w:val="111111"/>
          <w:sz w:val="19"/>
        </w:rPr>
        <w:t xml:space="preserve">The Company </w:t>
      </w:r>
      <w:r>
        <w:rPr>
          <w:rFonts w:ascii="Times New Roman;serif" w:hAnsi="Times New Roman;serif"/>
          <w:b w:val="false"/>
          <w:color w:val="262626"/>
          <w:sz w:val="19"/>
        </w:rPr>
        <w:t xml:space="preserve">is the owner </w:t>
      </w:r>
      <w:r>
        <w:rPr>
          <w:rFonts w:ascii="Times New Roman;serif" w:hAnsi="Times New Roman;serif"/>
          <w:b w:val="false"/>
          <w:color w:val="111111"/>
          <w:sz w:val="19"/>
        </w:rPr>
        <w:t xml:space="preserve">of 100% of the outstanding </w:t>
      </w:r>
      <w:r>
        <w:rPr>
          <w:rFonts w:ascii="Times New Roman;serif" w:hAnsi="Times New Roman;serif"/>
          <w:b w:val="false"/>
          <w:color w:val="262626"/>
          <w:sz w:val="19"/>
        </w:rPr>
        <w:t xml:space="preserve">shares of common stock, </w:t>
      </w:r>
      <w:r>
        <w:rPr>
          <w:rFonts w:ascii="Times New Roman;serif" w:hAnsi="Times New Roman;serif"/>
          <w:b w:val="false"/>
          <w:color w:val="111111"/>
          <w:sz w:val="19"/>
        </w:rPr>
        <w:t xml:space="preserve">par value $0.00 l per share (the </w:t>
      </w:r>
      <w:r>
        <w:rPr>
          <w:color w:val="262626"/>
        </w:rPr>
        <w:t>“</w:t>
      </w:r>
      <w:r>
        <w:rPr>
          <w:rFonts w:ascii="Times New Roman;serif" w:hAnsi="Times New Roman;serif"/>
          <w:b w:val="false"/>
          <w:color w:val="262626"/>
          <w:sz w:val="19"/>
        </w:rPr>
        <w:t xml:space="preserve">Common </w:t>
      </w:r>
      <w:r>
        <w:rPr>
          <w:rFonts w:ascii="Times New Roman;serif" w:hAnsi="Times New Roman;serif"/>
          <w:b w:val="false"/>
          <w:color w:val="111111"/>
          <w:sz w:val="19"/>
        </w:rPr>
        <w:t xml:space="preserve">Stock”) of Sub. The </w:t>
      </w:r>
      <w:r>
        <w:rPr>
          <w:rFonts w:ascii="Times New Roman;serif" w:hAnsi="Times New Roman;serif"/>
          <w:b w:val="false"/>
          <w:color w:val="262626"/>
          <w:sz w:val="19"/>
        </w:rPr>
        <w:t xml:space="preserve">Common </w:t>
      </w:r>
      <w:r>
        <w:rPr>
          <w:rFonts w:ascii="Times New Roman;serif" w:hAnsi="Times New Roman;serif"/>
          <w:b w:val="false"/>
          <w:color w:val="111111"/>
          <w:sz w:val="19"/>
        </w:rPr>
        <w:t>Stock con</w:t>
      </w:r>
      <w:r>
        <w:rPr>
          <w:rFonts w:ascii="Times New Roman;serif" w:hAnsi="Times New Roman;serif"/>
          <w:b w:val="false"/>
          <w:color w:val="383838"/>
          <w:sz w:val="19"/>
        </w:rPr>
        <w:t>st</w:t>
      </w:r>
      <w:r>
        <w:rPr>
          <w:rFonts w:ascii="Times New Roman;serif" w:hAnsi="Times New Roman;serif"/>
          <w:b w:val="false"/>
          <w:color w:val="111111"/>
          <w:sz w:val="19"/>
        </w:rPr>
        <w:t xml:space="preserve">itutes the </w:t>
      </w:r>
      <w:r>
        <w:rPr>
          <w:rFonts w:ascii="Times New Roman;serif" w:hAnsi="Times New Roman;serif"/>
          <w:b w:val="false"/>
          <w:color w:val="262626"/>
          <w:sz w:val="19"/>
        </w:rPr>
        <w:t xml:space="preserve">sole </w:t>
      </w:r>
      <w:r>
        <w:rPr>
          <w:rFonts w:ascii="Times New Roman;serif" w:hAnsi="Times New Roman;serif"/>
          <w:b w:val="false"/>
          <w:color w:val="111111"/>
          <w:sz w:val="19"/>
        </w:rPr>
        <w:t xml:space="preserve">outstanding class of capital </w:t>
      </w:r>
      <w:r>
        <w:rPr>
          <w:rFonts w:ascii="Times New Roman;serif" w:hAnsi="Times New Roman;serif"/>
          <w:b w:val="false"/>
          <w:color w:val="262626"/>
          <w:sz w:val="19"/>
        </w:rPr>
        <w:t xml:space="preserve">stock of </w:t>
      </w:r>
      <w:r>
        <w:rPr>
          <w:rFonts w:ascii="Times New Roman;serif" w:hAnsi="Times New Roman;serif"/>
          <w:b w:val="false"/>
          <w:color w:val="111111"/>
          <w:sz w:val="19"/>
        </w:rPr>
        <w:t>Sub.</w:t>
      </w:r>
    </w:p>
    <w:p>
      <w:pPr>
        <w:pStyle w:val="TextBody"/>
        <w:bidi w:val="0"/>
        <w:spacing w:lineRule="auto" w:line="247" w:before="197" w:after="283"/>
        <w:jc w:val="left"/>
        <w:rPr/>
      </w:pPr>
      <w:r>
        <w:rPr>
          <w:rFonts w:ascii="Times New Roman;serif" w:hAnsi="Times New Roman;serif"/>
          <w:b w:val="false"/>
          <w:color w:val="000000"/>
          <w:sz w:val="16"/>
        </w:rPr>
        <w:t>2.</w:t>
      </w:r>
      <w:r>
        <w:rPr>
          <w:rFonts w:ascii="Times New Roman;serif" w:hAnsi="Times New Roman;serif"/>
          <w:b w:val="false"/>
          <w:color w:val="111111"/>
          <w:sz w:val="19"/>
        </w:rPr>
        <w:t xml:space="preserve">The board </w:t>
      </w:r>
      <w:r>
        <w:rPr>
          <w:rFonts w:ascii="Times New Roman;serif" w:hAnsi="Times New Roman;serif"/>
          <w:b w:val="false"/>
          <w:color w:val="262626"/>
          <w:sz w:val="19"/>
        </w:rPr>
        <w:t xml:space="preserve">of </w:t>
      </w:r>
      <w:r>
        <w:rPr>
          <w:rFonts w:ascii="Times New Roman;serif" w:hAnsi="Times New Roman;serif"/>
          <w:b w:val="false"/>
          <w:color w:val="111111"/>
          <w:sz w:val="19"/>
        </w:rPr>
        <w:t xml:space="preserve">directors of the </w:t>
      </w:r>
      <w:r>
        <w:rPr>
          <w:rFonts w:ascii="Times New Roman;serif" w:hAnsi="Times New Roman;serif"/>
          <w:b w:val="false"/>
          <w:color w:val="262626"/>
          <w:sz w:val="19"/>
        </w:rPr>
        <w:t xml:space="preserve">Company, </w:t>
      </w:r>
      <w:r>
        <w:rPr>
          <w:rFonts w:ascii="Times New Roman;serif" w:hAnsi="Times New Roman;serif"/>
          <w:b w:val="false"/>
          <w:color w:val="111111"/>
          <w:sz w:val="19"/>
        </w:rPr>
        <w:t xml:space="preserve">at a meeting held </w:t>
      </w:r>
      <w:r>
        <w:rPr>
          <w:rFonts w:ascii="Times New Roman;serif" w:hAnsi="Times New Roman;serif"/>
          <w:b w:val="false"/>
          <w:color w:val="262626"/>
          <w:sz w:val="19"/>
        </w:rPr>
        <w:t xml:space="preserve">on March </w:t>
      </w:r>
      <w:r>
        <w:rPr>
          <w:rFonts w:ascii="Times New Roman;serif" w:hAnsi="Times New Roman;serif"/>
          <w:b w:val="false"/>
          <w:color w:val="111111"/>
          <w:sz w:val="19"/>
        </w:rPr>
        <w:t>10</w:t>
      </w:r>
      <w:r>
        <w:rPr>
          <w:rFonts w:ascii="Times New Roman;serif" w:hAnsi="Times New Roman;serif"/>
          <w:b w:val="false"/>
          <w:color w:val="383838"/>
          <w:sz w:val="19"/>
        </w:rPr>
        <w:t xml:space="preserve">, </w:t>
      </w:r>
      <w:r>
        <w:rPr>
          <w:rFonts w:ascii="Times New Roman;serif" w:hAnsi="Times New Roman;serif"/>
          <w:b w:val="false"/>
          <w:color w:val="262626"/>
          <w:sz w:val="19"/>
        </w:rPr>
        <w:t>2011</w:t>
      </w:r>
      <w:r>
        <w:rPr>
          <w:rFonts w:ascii="Times New Roman;serif" w:hAnsi="Times New Roman;serif"/>
          <w:b w:val="false"/>
          <w:color w:val="4B4B4B"/>
          <w:sz w:val="19"/>
        </w:rPr>
        <w:t xml:space="preserve">, </w:t>
      </w:r>
      <w:r>
        <w:rPr>
          <w:rFonts w:ascii="Times New Roman;serif" w:hAnsi="Times New Roman;serif"/>
          <w:b w:val="false"/>
          <w:color w:val="111111"/>
          <w:sz w:val="19"/>
        </w:rPr>
        <w:t xml:space="preserve">duly </w:t>
      </w:r>
      <w:r>
        <w:rPr>
          <w:rFonts w:ascii="Times New Roman;serif" w:hAnsi="Times New Roman;serif"/>
          <w:b w:val="false"/>
          <w:color w:val="262626"/>
          <w:sz w:val="19"/>
        </w:rPr>
        <w:t xml:space="preserve">adopted </w:t>
      </w:r>
      <w:r>
        <w:rPr>
          <w:rFonts w:ascii="Times New Roman;serif" w:hAnsi="Times New Roman;serif"/>
          <w:b w:val="false"/>
          <w:color w:val="111111"/>
          <w:sz w:val="19"/>
        </w:rPr>
        <w:t xml:space="preserve">the resolutions </w:t>
      </w:r>
      <w:r>
        <w:rPr>
          <w:rFonts w:ascii="Times New Roman;serif" w:hAnsi="Times New Roman;serif"/>
          <w:b w:val="false"/>
          <w:color w:val="262626"/>
          <w:sz w:val="19"/>
        </w:rPr>
        <w:t xml:space="preserve">attached </w:t>
      </w:r>
      <w:r>
        <w:rPr>
          <w:rFonts w:ascii="Times New Roman;serif" w:hAnsi="Times New Roman;serif"/>
          <w:b w:val="false"/>
          <w:color w:val="111111"/>
          <w:sz w:val="19"/>
        </w:rPr>
        <w:t xml:space="preserve">hereto </w:t>
      </w:r>
      <w:r>
        <w:rPr>
          <w:rFonts w:ascii="Times New Roman;serif" w:hAnsi="Times New Roman;serif"/>
          <w:b w:val="false"/>
          <w:color w:val="262626"/>
          <w:sz w:val="19"/>
        </w:rPr>
        <w:t xml:space="preserve">as Exhibit </w:t>
      </w:r>
      <w:r>
        <w:rPr>
          <w:rFonts w:ascii="Arial;sans-serif" w:hAnsi="Arial;sans-serif"/>
          <w:b w:val="false"/>
          <w:color w:val="111111"/>
          <w:sz w:val="19"/>
        </w:rPr>
        <w:t xml:space="preserve">A, </w:t>
      </w:r>
      <w:r>
        <w:rPr>
          <w:rFonts w:ascii="Times New Roman;serif" w:hAnsi="Times New Roman;serif"/>
          <w:b w:val="false"/>
          <w:color w:val="111111"/>
          <w:sz w:val="19"/>
        </w:rPr>
        <w:t xml:space="preserve">which have not </w:t>
      </w:r>
      <w:r>
        <w:rPr>
          <w:rFonts w:ascii="Times New Roman;serif" w:hAnsi="Times New Roman;serif"/>
          <w:b w:val="false"/>
          <w:color w:val="262626"/>
          <w:sz w:val="19"/>
        </w:rPr>
        <w:t xml:space="preserve">been </w:t>
      </w:r>
      <w:r>
        <w:rPr>
          <w:rFonts w:ascii="Times New Roman;serif" w:hAnsi="Times New Roman;serif"/>
          <w:b w:val="false"/>
          <w:color w:val="111111"/>
          <w:sz w:val="19"/>
        </w:rPr>
        <w:t>amended or r</w:t>
      </w:r>
      <w:r>
        <w:rPr>
          <w:rFonts w:ascii="Times New Roman;serif" w:hAnsi="Times New Roman;serif"/>
          <w:b w:val="false"/>
          <w:color w:val="383838"/>
          <w:sz w:val="19"/>
        </w:rPr>
        <w:t>es</w:t>
      </w:r>
      <w:r>
        <w:rPr>
          <w:rFonts w:ascii="Times New Roman;serif" w:hAnsi="Times New Roman;serif"/>
          <w:b w:val="false"/>
          <w:color w:val="111111"/>
          <w:sz w:val="19"/>
        </w:rPr>
        <w:t>cind</w:t>
      </w:r>
      <w:r>
        <w:rPr>
          <w:rFonts w:ascii="Times New Roman;serif" w:hAnsi="Times New Roman;serif"/>
          <w:b w:val="false"/>
          <w:color w:val="383838"/>
          <w:sz w:val="19"/>
        </w:rPr>
        <w:t>e</w:t>
      </w:r>
      <w:r>
        <w:rPr>
          <w:rFonts w:ascii="Times New Roman;serif" w:hAnsi="Times New Roman;serif"/>
          <w:b w:val="false"/>
          <w:color w:val="111111"/>
          <w:sz w:val="19"/>
        </w:rPr>
        <w:t xml:space="preserve">d </w:t>
      </w:r>
      <w:r>
        <w:rPr>
          <w:rFonts w:ascii="Times New Roman;serif" w:hAnsi="Times New Roman;serif"/>
          <w:b w:val="false"/>
          <w:color w:val="262626"/>
          <w:sz w:val="19"/>
        </w:rPr>
        <w:t xml:space="preserve">and are </w:t>
      </w:r>
      <w:r>
        <w:rPr>
          <w:rFonts w:ascii="Times New Roman;serif" w:hAnsi="Times New Roman;serif"/>
          <w:b w:val="false"/>
          <w:color w:val="111111"/>
          <w:sz w:val="19"/>
        </w:rPr>
        <w:t>now in full force and effect</w:t>
      </w:r>
      <w:r>
        <w:rPr>
          <w:rFonts w:ascii="Times New Roman;serif" w:hAnsi="Times New Roman;serif"/>
          <w:b w:val="false"/>
          <w:color w:val="383838"/>
          <w:sz w:val="19"/>
        </w:rPr>
        <w:t xml:space="preserve">, </w:t>
      </w:r>
      <w:r>
        <w:rPr>
          <w:rFonts w:ascii="Times New Roman;serif" w:hAnsi="Times New Roman;serif"/>
          <w:b w:val="false"/>
          <w:color w:val="111111"/>
          <w:sz w:val="19"/>
        </w:rPr>
        <w:t xml:space="preserve">to merge </w:t>
      </w:r>
      <w:r>
        <w:rPr>
          <w:rFonts w:ascii="Times New Roman;serif" w:hAnsi="Times New Roman;serif"/>
          <w:b w:val="false"/>
          <w:color w:val="262626"/>
          <w:sz w:val="19"/>
        </w:rPr>
        <w:t xml:space="preserve">Sub </w:t>
      </w:r>
      <w:r>
        <w:rPr>
          <w:rFonts w:ascii="Times New Roman;serif" w:hAnsi="Times New Roman;serif"/>
          <w:b w:val="false"/>
          <w:color w:val="111111"/>
          <w:sz w:val="19"/>
        </w:rPr>
        <w:t xml:space="preserve">with </w:t>
      </w:r>
      <w:r>
        <w:rPr>
          <w:rFonts w:ascii="Times New Roman;serif" w:hAnsi="Times New Roman;serif"/>
          <w:b w:val="false"/>
          <w:color w:val="262626"/>
          <w:sz w:val="19"/>
        </w:rPr>
        <w:t xml:space="preserve">and </w:t>
      </w:r>
      <w:r>
        <w:rPr>
          <w:rFonts w:ascii="Times New Roman;serif" w:hAnsi="Times New Roman;serif"/>
          <w:b w:val="false"/>
          <w:color w:val="111111"/>
          <w:sz w:val="19"/>
        </w:rPr>
        <w:t xml:space="preserve">into the </w:t>
      </w:r>
      <w:r>
        <w:rPr>
          <w:rFonts w:ascii="Times New Roman;serif" w:hAnsi="Times New Roman;serif"/>
          <w:b w:val="false"/>
          <w:color w:val="262626"/>
          <w:sz w:val="19"/>
        </w:rPr>
        <w:t>Company</w:t>
      </w:r>
      <w:r>
        <w:rPr>
          <w:rFonts w:ascii="Times New Roman;serif" w:hAnsi="Times New Roman;serif"/>
          <w:b w:val="false"/>
          <w:color w:val="4B4B4B"/>
          <w:sz w:val="19"/>
        </w:rPr>
        <w:t xml:space="preserve">, </w:t>
      </w:r>
      <w:r>
        <w:rPr>
          <w:rFonts w:ascii="Times New Roman;serif" w:hAnsi="Times New Roman;serif"/>
          <w:b w:val="false"/>
          <w:color w:val="262626"/>
          <w:sz w:val="19"/>
        </w:rPr>
        <w:t xml:space="preserve">with the Company </w:t>
      </w:r>
      <w:r>
        <w:rPr>
          <w:rFonts w:ascii="Times New Roman;serif" w:hAnsi="Times New Roman;serif"/>
          <w:b w:val="false"/>
          <w:color w:val="111111"/>
          <w:sz w:val="19"/>
        </w:rPr>
        <w:t xml:space="preserve">being the </w:t>
      </w:r>
      <w:r>
        <w:rPr>
          <w:rFonts w:ascii="Times New Roman;serif" w:hAnsi="Times New Roman;serif"/>
          <w:b w:val="false"/>
          <w:color w:val="262626"/>
          <w:sz w:val="19"/>
        </w:rPr>
        <w:t xml:space="preserve">surviving </w:t>
      </w:r>
      <w:r>
        <w:rPr>
          <w:rFonts w:ascii="Times New Roman;serif" w:hAnsi="Times New Roman;serif"/>
          <w:b w:val="false"/>
          <w:color w:val="111111"/>
          <w:sz w:val="19"/>
        </w:rPr>
        <w:t xml:space="preserve">corporation </w:t>
      </w:r>
      <w:r>
        <w:rPr>
          <w:rFonts w:ascii="Times New Roman;serif" w:hAnsi="Times New Roman;serif"/>
          <w:b w:val="false"/>
          <w:color w:val="262626"/>
          <w:sz w:val="19"/>
        </w:rPr>
        <w:t xml:space="preserve">(the </w:t>
      </w:r>
      <w:r>
        <w:rPr>
          <w:color w:val="4B4B4B"/>
        </w:rPr>
        <w:t>“</w:t>
      </w:r>
      <w:r>
        <w:rPr>
          <w:rFonts w:ascii="Times New Roman;serif" w:hAnsi="Times New Roman;serif"/>
          <w:b w:val="false"/>
          <w:color w:val="262626"/>
          <w:sz w:val="19"/>
          <w:u w:val="single"/>
        </w:rPr>
        <w:t>Surviving</w:t>
      </w:r>
      <w:r>
        <w:rPr>
          <w:color w:val="262626"/>
        </w:rPr>
        <w:t xml:space="preserve"> </w:t>
      </w:r>
      <w:r>
        <w:rPr>
          <w:rFonts w:ascii="Times New Roman;serif" w:hAnsi="Times New Roman;serif"/>
          <w:b w:val="false"/>
          <w:color w:val="111111"/>
          <w:sz w:val="19"/>
          <w:u w:val="single"/>
        </w:rPr>
        <w:t>Corporation</w:t>
      </w:r>
      <w:r>
        <w:rPr>
          <w:color w:val="5A5A5A"/>
        </w:rPr>
        <w:t>”</w:t>
      </w:r>
      <w:r>
        <w:rPr>
          <w:rFonts w:ascii="Times New Roman;serif" w:hAnsi="Times New Roman;serif"/>
          <w:b w:val="false"/>
          <w:color w:val="383838"/>
          <w:sz w:val="19"/>
        </w:rPr>
        <w:t>).</w:t>
      </w:r>
    </w:p>
    <w:p>
      <w:pPr>
        <w:pStyle w:val="TextBody"/>
        <w:bidi w:val="0"/>
        <w:spacing w:lineRule="auto" w:line="307" w:before="192" w:after="283"/>
        <w:jc w:val="left"/>
        <w:rPr/>
      </w:pPr>
      <w:r>
        <w:rPr>
          <w:rFonts w:ascii="Times New Roman;serif" w:hAnsi="Times New Roman;serif"/>
          <w:b w:val="false"/>
          <w:color w:val="000000"/>
          <w:sz w:val="16"/>
        </w:rPr>
        <w:t>3.</w:t>
      </w:r>
      <w:r>
        <w:rPr>
          <w:rFonts w:ascii="Times New Roman;serif" w:hAnsi="Times New Roman;serif"/>
          <w:b w:val="false"/>
          <w:color w:val="111111"/>
          <w:sz w:val="19"/>
        </w:rPr>
        <w:t xml:space="preserve">The Merger </w:t>
      </w:r>
      <w:r>
        <w:rPr>
          <w:rFonts w:ascii="Times New Roman;serif" w:hAnsi="Times New Roman;serif"/>
          <w:b w:val="false"/>
          <w:color w:val="383838"/>
          <w:sz w:val="19"/>
        </w:rPr>
        <w:t>s</w:t>
      </w:r>
      <w:r>
        <w:rPr>
          <w:rFonts w:ascii="Times New Roman;serif" w:hAnsi="Times New Roman;serif"/>
          <w:b w:val="false"/>
          <w:color w:val="111111"/>
          <w:sz w:val="19"/>
        </w:rPr>
        <w:t xml:space="preserve">hall become </w:t>
      </w:r>
      <w:r>
        <w:rPr>
          <w:rFonts w:ascii="Times New Roman;serif" w:hAnsi="Times New Roman;serif"/>
          <w:b w:val="false"/>
          <w:color w:val="262626"/>
          <w:sz w:val="19"/>
        </w:rPr>
        <w:t xml:space="preserve">effective </w:t>
      </w:r>
      <w:r>
        <w:rPr>
          <w:rFonts w:ascii="Times New Roman;serif" w:hAnsi="Times New Roman;serif"/>
          <w:b w:val="false"/>
          <w:color w:val="111111"/>
          <w:sz w:val="19"/>
        </w:rPr>
        <w:t xml:space="preserve">upon the filing of this </w:t>
      </w:r>
      <w:r>
        <w:rPr>
          <w:rFonts w:ascii="Times New Roman;serif" w:hAnsi="Times New Roman;serif"/>
          <w:b w:val="false"/>
          <w:color w:val="262626"/>
          <w:sz w:val="19"/>
        </w:rPr>
        <w:t xml:space="preserve">Certificate of </w:t>
      </w:r>
      <w:r>
        <w:rPr>
          <w:rFonts w:ascii="Times New Roman;serif" w:hAnsi="Times New Roman;serif"/>
          <w:b w:val="false"/>
          <w:color w:val="111111"/>
          <w:sz w:val="19"/>
        </w:rPr>
        <w:t>Owner</w:t>
      </w:r>
      <w:r>
        <w:rPr>
          <w:rFonts w:ascii="Times New Roman;serif" w:hAnsi="Times New Roman;serif"/>
          <w:b w:val="false"/>
          <w:color w:val="383838"/>
          <w:sz w:val="19"/>
        </w:rPr>
        <w:t>s</w:t>
      </w:r>
      <w:r>
        <w:rPr>
          <w:rFonts w:ascii="Times New Roman;serif" w:hAnsi="Times New Roman;serif"/>
          <w:b w:val="false"/>
          <w:color w:val="111111"/>
          <w:sz w:val="19"/>
        </w:rPr>
        <w:t>hip and Merger.</w:t>
      </w:r>
    </w:p>
    <w:p>
      <w:pPr>
        <w:pStyle w:val="TextBody"/>
        <w:bidi w:val="0"/>
        <w:spacing w:before="0" w:after="0"/>
        <w:jc w:val="left"/>
        <w:rPr/>
      </w:pPr>
      <w:r>
        <w:rPr/>
      </w:r>
    </w:p>
    <w:p>
      <w:pPr>
        <w:pStyle w:val="TextBody"/>
        <w:bidi w:val="0"/>
        <w:spacing w:before="117" w:after="283"/>
        <w:jc w:val="left"/>
        <w:rPr/>
      </w:pPr>
      <w:r>
        <w:rPr/>
      </w:r>
    </w:p>
    <w:p>
      <w:pPr>
        <w:pStyle w:val="TextBody"/>
        <w:bidi w:val="0"/>
        <w:spacing w:lineRule="auto" w:line="288" w:before="0" w:after="0"/>
        <w:jc w:val="center"/>
        <w:rPr/>
      </w:pPr>
      <w:r>
        <w:rPr>
          <w:rFonts w:ascii="Times New Roman;serif" w:hAnsi="Times New Roman;serif"/>
          <w:b w:val="false"/>
          <w:i/>
          <w:color w:val="111111"/>
          <w:sz w:val="19"/>
        </w:rPr>
        <w:t xml:space="preserve">[Remainder </w:t>
      </w:r>
      <w:r>
        <w:rPr>
          <w:rFonts w:ascii="Times New Roman;serif" w:hAnsi="Times New Roman;serif"/>
          <w:b w:val="false"/>
          <w:i/>
          <w:color w:val="262626"/>
          <w:sz w:val="19"/>
        </w:rPr>
        <w:t xml:space="preserve">of </w:t>
      </w:r>
      <w:r>
        <w:rPr>
          <w:rFonts w:ascii="Times New Roman;serif" w:hAnsi="Times New Roman;serif"/>
          <w:b w:val="false"/>
          <w:i/>
          <w:color w:val="111111"/>
          <w:sz w:val="19"/>
        </w:rPr>
        <w:t xml:space="preserve">this </w:t>
      </w:r>
      <w:r>
        <w:rPr>
          <w:rFonts w:ascii="Times New Roman;serif" w:hAnsi="Times New Roman;serif"/>
          <w:b w:val="false"/>
          <w:i/>
          <w:color w:val="262626"/>
          <w:sz w:val="19"/>
        </w:rPr>
        <w:t xml:space="preserve">page </w:t>
      </w:r>
      <w:r>
        <w:rPr>
          <w:rFonts w:ascii="Times New Roman;serif" w:hAnsi="Times New Roman;serif"/>
          <w:b w:val="false"/>
          <w:i/>
          <w:color w:val="111111"/>
          <w:sz w:val="19"/>
        </w:rPr>
        <w:t>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5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5" w:after="283"/>
        <w:jc w:val="left"/>
        <w:rPr/>
      </w:pPr>
      <w:r>
        <w:rPr>
          <w:rFonts w:ascii="Times New Roman;serif" w:hAnsi="Times New Roman;serif"/>
          <w:b w:val="false"/>
          <w:color w:val="0C0C0C"/>
          <w:sz w:val="19"/>
        </w:rPr>
        <w:t xml:space="preserve">IN </w:t>
      </w:r>
      <w:r>
        <w:rPr>
          <w:rFonts w:ascii="Times New Roman;serif" w:hAnsi="Times New Roman;serif"/>
          <w:b w:val="false"/>
          <w:color w:val="1F1F1F"/>
          <w:sz w:val="19"/>
        </w:rPr>
        <w:t xml:space="preserve">WITNESS WHEREOF </w:t>
      </w:r>
      <w:r>
        <w:rPr>
          <w:rFonts w:ascii="Times New Roman;serif" w:hAnsi="Times New Roman;serif"/>
          <w:b w:val="false"/>
          <w:color w:val="5D5D5D"/>
          <w:sz w:val="19"/>
        </w:rPr>
        <w:t xml:space="preserve">, </w:t>
      </w:r>
      <w:r>
        <w:rPr>
          <w:rFonts w:ascii="Times New Roman;serif" w:hAnsi="Times New Roman;serif"/>
          <w:b w:val="false"/>
          <w:color w:val="1F1F1F"/>
          <w:sz w:val="19"/>
        </w:rPr>
        <w:t xml:space="preserve">the </w:t>
      </w:r>
      <w:r>
        <w:rPr>
          <w:rFonts w:ascii="Times New Roman;serif" w:hAnsi="Times New Roman;serif"/>
          <w:b w:val="false"/>
          <w:color w:val="333333"/>
          <w:sz w:val="19"/>
        </w:rPr>
        <w:t>Co</w:t>
      </w:r>
      <w:r>
        <w:rPr>
          <w:rFonts w:ascii="Times New Roman;serif" w:hAnsi="Times New Roman;serif"/>
          <w:b w:val="false"/>
          <w:color w:val="0C0C0C"/>
          <w:sz w:val="19"/>
        </w:rPr>
        <w:t>mpan</w:t>
      </w:r>
      <w:r>
        <w:rPr>
          <w:rFonts w:ascii="Times New Roman;serif" w:hAnsi="Times New Roman;serif"/>
          <w:b w:val="false"/>
          <w:color w:val="333333"/>
          <w:sz w:val="19"/>
        </w:rPr>
        <w:t xml:space="preserve">y </w:t>
      </w:r>
      <w:r>
        <w:rPr>
          <w:rFonts w:ascii="Times New Roman;serif" w:hAnsi="Times New Roman;serif"/>
          <w:b w:val="false"/>
          <w:color w:val="0C0C0C"/>
          <w:sz w:val="19"/>
        </w:rPr>
        <w:t xml:space="preserve">has </w:t>
      </w:r>
      <w:r>
        <w:rPr>
          <w:rFonts w:ascii="Times New Roman;serif" w:hAnsi="Times New Roman;serif"/>
          <w:b w:val="false"/>
          <w:color w:val="1F1F1F"/>
          <w:sz w:val="19"/>
        </w:rPr>
        <w:t xml:space="preserve">caused this Certificate of Ownership and </w:t>
      </w:r>
      <w:r>
        <w:rPr>
          <w:rFonts w:ascii="Times New Roman;serif" w:hAnsi="Times New Roman;serif"/>
          <w:b w:val="false"/>
          <w:color w:val="0C0C0C"/>
          <w:sz w:val="19"/>
        </w:rPr>
        <w:t>M</w:t>
      </w:r>
      <w:r>
        <w:rPr>
          <w:rFonts w:ascii="Times New Roman;serif" w:hAnsi="Times New Roman;serif"/>
          <w:b w:val="false"/>
          <w:color w:val="333333"/>
          <w:sz w:val="19"/>
        </w:rPr>
        <w:t>e</w:t>
      </w:r>
      <w:r>
        <w:rPr>
          <w:rFonts w:ascii="Times New Roman;serif" w:hAnsi="Times New Roman;serif"/>
          <w:b w:val="false"/>
          <w:color w:val="0C0C0C"/>
          <w:sz w:val="19"/>
        </w:rPr>
        <w:t xml:space="preserve">rger to </w:t>
      </w:r>
      <w:r>
        <w:rPr>
          <w:rFonts w:ascii="Times New Roman;serif" w:hAnsi="Times New Roman;serif"/>
          <w:b w:val="false"/>
          <w:color w:val="1F1F1F"/>
          <w:sz w:val="19"/>
        </w:rPr>
        <w:t xml:space="preserve">be executed </w:t>
      </w:r>
      <w:r>
        <w:rPr>
          <w:rFonts w:ascii="Times New Roman;serif" w:hAnsi="Times New Roman;serif"/>
          <w:b w:val="false"/>
          <w:color w:val="0C0C0C"/>
          <w:sz w:val="19"/>
        </w:rPr>
        <w:t xml:space="preserve">by its duly </w:t>
      </w:r>
      <w:r>
        <w:rPr>
          <w:rFonts w:ascii="Times New Roman;serif" w:hAnsi="Times New Roman;serif"/>
          <w:b w:val="false"/>
          <w:color w:val="333333"/>
          <w:sz w:val="19"/>
        </w:rPr>
        <w:t>a</w:t>
      </w:r>
      <w:r>
        <w:rPr>
          <w:rFonts w:ascii="Times New Roman;serif" w:hAnsi="Times New Roman;serif"/>
          <w:b w:val="false"/>
          <w:color w:val="0C0C0C"/>
          <w:sz w:val="19"/>
        </w:rPr>
        <w:t xml:space="preserve">uthorized </w:t>
      </w:r>
      <w:r>
        <w:rPr>
          <w:rFonts w:ascii="Times New Roman;serif" w:hAnsi="Times New Roman;serif"/>
          <w:b w:val="false"/>
          <w:color w:val="1F1F1F"/>
          <w:sz w:val="19"/>
        </w:rPr>
        <w:t xml:space="preserve">officer on </w:t>
      </w:r>
      <w:r>
        <w:rPr>
          <w:rFonts w:ascii="Times New Roman;serif" w:hAnsi="Times New Roman;serif"/>
          <w:b w:val="false"/>
          <w:color w:val="0C0C0C"/>
          <w:sz w:val="19"/>
        </w:rPr>
        <w:t>the dat</w:t>
      </w:r>
      <w:r>
        <w:rPr>
          <w:rFonts w:ascii="Times New Roman;serif" w:hAnsi="Times New Roman;serif"/>
          <w:b w:val="false"/>
          <w:color w:val="333333"/>
          <w:sz w:val="19"/>
        </w:rPr>
        <w:t xml:space="preserve">e </w:t>
      </w:r>
      <w:r>
        <w:rPr>
          <w:rFonts w:ascii="Times New Roman;serif" w:hAnsi="Times New Roman;serif"/>
          <w:b w:val="false"/>
          <w:color w:val="0C0C0C"/>
          <w:sz w:val="19"/>
        </w:rPr>
        <w:t>fir</w:t>
      </w:r>
      <w:r>
        <w:rPr>
          <w:rFonts w:ascii="Times New Roman;serif" w:hAnsi="Times New Roman;serif"/>
          <w:b w:val="false"/>
          <w:color w:val="333333"/>
          <w:sz w:val="19"/>
        </w:rPr>
        <w:t xml:space="preserve">st </w:t>
      </w:r>
      <w:r>
        <w:rPr>
          <w:rFonts w:ascii="Times New Roman;serif" w:hAnsi="Times New Roman;serif"/>
          <w:b w:val="false"/>
          <w:color w:val="1F1F1F"/>
          <w:sz w:val="19"/>
        </w:rPr>
        <w:t>written above.</w:t>
      </w:r>
    </w:p>
    <w:p>
      <w:pPr>
        <w:pStyle w:val="TextBody"/>
        <w:bidi w:val="0"/>
        <w:spacing w:before="0" w:after="0"/>
        <w:jc w:val="left"/>
        <w:rPr/>
      </w:pPr>
      <w:r>
        <w:rPr/>
      </w:r>
    </w:p>
    <w:p>
      <w:pPr>
        <w:pStyle w:val="TextBody"/>
        <w:bidi w:val="0"/>
        <w:spacing w:before="147" w:after="283"/>
        <w:jc w:val="left"/>
        <w:rPr/>
      </w:pPr>
      <w:r>
        <w:rPr/>
      </w:r>
    </w:p>
    <w:p>
      <w:pPr>
        <w:pStyle w:val="TextBody"/>
        <w:bidi w:val="0"/>
        <w:spacing w:lineRule="auto" w:line="288" w:before="1" w:after="283"/>
        <w:jc w:val="left"/>
        <w:rPr/>
      </w:pPr>
      <w:r>
        <w:rPr>
          <w:rFonts w:ascii="Times New Roman;serif" w:hAnsi="Times New Roman;serif"/>
          <w:b w:val="false"/>
          <w:color w:val="0C0C0C"/>
          <w:sz w:val="19"/>
        </w:rPr>
        <w:t xml:space="preserve">KRATOS DEFENSE </w:t>
      </w:r>
      <w:r>
        <w:rPr>
          <w:rFonts w:ascii="Times New Roman;serif" w:hAnsi="Times New Roman;serif"/>
          <w:b w:val="false"/>
          <w:color w:val="0C0C0C"/>
          <w:sz w:val="20"/>
        </w:rPr>
        <w:t xml:space="preserve">&amp; </w:t>
      </w:r>
      <w:r>
        <w:rPr>
          <w:rFonts w:ascii="Times New Roman;serif" w:hAnsi="Times New Roman;serif"/>
          <w:b w:val="false"/>
          <w:color w:val="0C0C0C"/>
          <w:sz w:val="19"/>
        </w:rPr>
        <w:t>SECURITY SOLUTIONS, INC.</w:t>
      </w:r>
    </w:p>
    <w:p>
      <w:pPr>
        <w:pStyle w:val="TextBody"/>
        <w:bidi w:val="0"/>
        <w:spacing w:before="0" w:after="0"/>
        <w:jc w:val="left"/>
        <w:rPr/>
      </w:pPr>
      <w:r>
        <w:rPr/>
      </w:r>
    </w:p>
    <w:p>
      <w:pPr>
        <w:pStyle w:val="TextBody"/>
        <w:bidi w:val="0"/>
        <w:spacing w:before="152" w:after="283"/>
        <w:jc w:val="left"/>
        <w:rPr/>
      </w:pPr>
      <w:r>
        <w:rPr/>
      </w:r>
    </w:p>
    <w:p>
      <w:pPr>
        <w:pStyle w:val="TextBody"/>
        <w:bidi w:val="0"/>
        <w:spacing w:lineRule="auto" w:line="288" w:before="1" w:after="283"/>
        <w:jc w:val="left"/>
        <w:rPr/>
      </w:pPr>
      <w:r>
        <w:rPr>
          <w:rFonts w:ascii="Times New Roman;serif" w:hAnsi="Times New Roman;serif"/>
          <w:b w:val="false"/>
          <w:color w:val="1F1F1F"/>
          <w:sz w:val="19"/>
        </w:rPr>
        <w:t>By:</w:t>
      </w:r>
      <w:r>
        <w:rPr>
          <w:rFonts w:ascii="Times New Roman;serif" w:hAnsi="Times New Roman;serif"/>
          <w:b w:val="false"/>
          <w:i/>
          <w:color w:val="1F1F1F"/>
          <w:sz w:val="20"/>
          <w:u w:val="single"/>
        </w:rPr>
        <w:t>/s/</w:t>
      </w:r>
      <w:r>
        <w:rPr>
          <w:color w:val="1F1F1F"/>
        </w:rPr>
        <w:t xml:space="preserve"> </w:t>
      </w:r>
      <w:r>
        <w:rPr>
          <w:rFonts w:ascii="Times New Roman;serif" w:hAnsi="Times New Roman;serif"/>
          <w:b w:val="false"/>
          <w:color w:val="0C0C0C"/>
          <w:sz w:val="19"/>
          <w:u w:val="single"/>
        </w:rPr>
        <w:t>Deanna H. Lund</w:t>
      </w:r>
    </w:p>
    <w:p>
      <w:pPr>
        <w:pStyle w:val="TextBody"/>
        <w:bidi w:val="0"/>
        <w:spacing w:lineRule="auto" w:line="288" w:before="6" w:after="283"/>
        <w:jc w:val="left"/>
        <w:rPr/>
      </w:pPr>
      <w:r>
        <w:rPr>
          <w:rFonts w:ascii="Times New Roman;serif" w:hAnsi="Times New Roman;serif"/>
          <w:b w:val="false"/>
          <w:color w:val="1F1F1F"/>
          <w:sz w:val="19"/>
        </w:rPr>
        <w:t xml:space="preserve">Name: </w:t>
      </w:r>
      <w:r>
        <w:rPr>
          <w:rFonts w:ascii="Times New Roman;serif" w:hAnsi="Times New Roman;serif"/>
          <w:b w:val="false"/>
          <w:color w:val="0C0C0C"/>
          <w:sz w:val="19"/>
        </w:rPr>
        <w:t>Deanna H. Lund</w:t>
      </w:r>
    </w:p>
    <w:p>
      <w:pPr>
        <w:pStyle w:val="TextBody"/>
        <w:bidi w:val="0"/>
        <w:spacing w:lineRule="auto" w:line="307" w:before="21" w:after="283"/>
        <w:jc w:val="left"/>
        <w:rPr/>
      </w:pPr>
      <w:r>
        <w:rPr>
          <w:rFonts w:ascii="Times New Roman;serif" w:hAnsi="Times New Roman;serif"/>
          <w:b w:val="false"/>
          <w:color w:val="1F1F1F"/>
          <w:sz w:val="19"/>
        </w:rPr>
        <w:t xml:space="preserve">Title: Executive Vice President </w:t>
      </w:r>
      <w:r>
        <w:rPr>
          <w:rFonts w:ascii="Arial;sans-serif" w:hAnsi="Arial;sans-serif"/>
          <w:b w:val="false"/>
          <w:color w:val="1F1F1F"/>
          <w:sz w:val="19"/>
        </w:rPr>
        <w:t xml:space="preserve">&amp; </w:t>
      </w:r>
      <w:r>
        <w:rPr>
          <w:rFonts w:ascii="Times New Roman;serif" w:hAnsi="Times New Roman;serif"/>
          <w:b w:val="false"/>
          <w:color w:val="1F1F1F"/>
          <w:sz w:val="19"/>
        </w:rPr>
        <w:t>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6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A0A0A"/>
          <w:sz w:val="20"/>
        </w:rPr>
      </w:pPr>
      <w:r>
        <w:rPr>
          <w:rFonts w:ascii="Times New Roman;serif" w:hAnsi="Times New Roman;serif"/>
          <w:b/>
          <w:color w:val="0A0A0A"/>
          <w:sz w:val="20"/>
        </w:rPr>
        <w:t>CERTIFICATE OF AMENDMENT TO THE</w:t>
      </w:r>
    </w:p>
    <w:p>
      <w:pPr>
        <w:pStyle w:val="TextBody"/>
        <w:bidi w:val="0"/>
        <w:spacing w:lineRule="auto" w:line="420" w:before="123" w:after="283"/>
        <w:jc w:val="center"/>
        <w:rPr>
          <w:rFonts w:ascii="Times New Roman;serif" w:hAnsi="Times New Roman;serif"/>
          <w:b/>
          <w:color w:val="0A0A0A"/>
          <w:sz w:val="20"/>
        </w:rPr>
      </w:pPr>
      <w:r>
        <w:rPr>
          <w:rFonts w:ascii="Times New Roman;serif" w:hAnsi="Times New Roman;serif"/>
          <w:b/>
          <w:color w:val="0A0A0A"/>
          <w:sz w:val="20"/>
        </w:rPr>
        <w:t>AMENDED AND RESTATED CERTIFICATE OF INCORPORATION OF</w:t>
      </w:r>
    </w:p>
    <w:p>
      <w:pPr>
        <w:pStyle w:val="TextBody"/>
        <w:bidi w:val="0"/>
        <w:spacing w:lineRule="atLeast" w:line="228" w:before="0" w:after="0"/>
        <w:jc w:val="center"/>
        <w:rPr>
          <w:rFonts w:ascii="Times New Roman;serif" w:hAnsi="Times New Roman;serif"/>
          <w:b/>
          <w:color w:val="0A0A0A"/>
          <w:sz w:val="20"/>
        </w:rPr>
      </w:pPr>
      <w:r>
        <w:rPr>
          <w:rFonts w:ascii="Times New Roman;serif" w:hAnsi="Times New Roman;serif"/>
          <w:b/>
          <w:color w:val="0A0A0A"/>
          <w:sz w:val="20"/>
        </w:rPr>
        <w:t>KRATOS DEFENSE &amp; SECURITY SOLUTIONS, INC.</w:t>
      </w:r>
    </w:p>
    <w:p>
      <w:pPr>
        <w:pStyle w:val="TextBody"/>
        <w:bidi w:val="0"/>
        <w:spacing w:lineRule="auto" w:line="268" w:before="129" w:after="283"/>
        <w:ind w:left="0" w:right="0" w:hanging="2"/>
        <w:jc w:val="both"/>
        <w:rPr/>
      </w:pPr>
      <w:r>
        <w:rPr>
          <w:rFonts w:ascii="Times New Roman;serif" w:hAnsi="Times New Roman;serif"/>
          <w:b w:val="false"/>
          <w:color w:val="0A0A0A"/>
          <w:sz w:val="20"/>
        </w:rPr>
        <w:t xml:space="preserve">Kratos Defense &amp; Security Solutions, Inc. (the "Corporation"), a corporation organized and existing </w:t>
      </w:r>
      <w:r>
        <w:rPr>
          <w:rFonts w:ascii="Times New Roman;serif" w:hAnsi="Times New Roman;serif"/>
          <w:b w:val="false"/>
          <w:color w:val="1F1D1F"/>
          <w:sz w:val="20"/>
        </w:rPr>
        <w:t xml:space="preserve">under and </w:t>
      </w:r>
      <w:r>
        <w:rPr>
          <w:rFonts w:ascii="Times New Roman;serif" w:hAnsi="Times New Roman;serif"/>
          <w:b w:val="false"/>
          <w:color w:val="0A0A0A"/>
          <w:sz w:val="20"/>
        </w:rPr>
        <w:t>by virtue of the General Corporation Law of the State of Delaware (the "DGCL"), does hereby certify as follows:</w:t>
      </w:r>
    </w:p>
    <w:p>
      <w:pPr>
        <w:pStyle w:val="TextBody"/>
        <w:bidi w:val="0"/>
        <w:spacing w:lineRule="auto" w:line="280" w:before="126" w:after="283"/>
        <w:ind w:left="0" w:right="0" w:firstLine="5"/>
        <w:jc w:val="both"/>
        <w:rPr>
          <w:rFonts w:ascii="Times New Roman;serif" w:hAnsi="Times New Roman;serif"/>
          <w:b w:val="false"/>
          <w:color w:val="0A0A0A"/>
          <w:sz w:val="20"/>
        </w:rPr>
      </w:pPr>
      <w:r>
        <w:rPr>
          <w:rFonts w:ascii="Times New Roman;serif" w:hAnsi="Times New Roman;serif"/>
          <w:b w:val="false"/>
          <w:color w:val="0A0A0A"/>
          <w:sz w:val="20"/>
        </w:rPr>
        <w:t>FIRST: The name of the Corporation is Kratos Defense &amp; Security Solutions, Inc. The name under which the Corporation was originally incorporated was Wireless Facilities, Inc. The date on which the Certificate of Incorporation of the Corporation was originally filed with the Secretary of State of the State of Delaware was July 7, 1997.</w:t>
      </w:r>
    </w:p>
    <w:p>
      <w:pPr>
        <w:pStyle w:val="TextBody"/>
        <w:bidi w:val="0"/>
        <w:spacing w:lineRule="auto" w:line="288" w:before="109" w:after="283"/>
        <w:ind w:left="0" w:right="0" w:hanging="6"/>
        <w:jc w:val="both"/>
        <w:rPr/>
      </w:pPr>
      <w:r>
        <w:rPr>
          <w:rFonts w:ascii="Times New Roman;serif" w:hAnsi="Times New Roman;serif"/>
          <w:b w:val="false"/>
          <w:color w:val="0A0A0A"/>
          <w:sz w:val="20"/>
        </w:rPr>
        <w:t>SECOND: This Certificate of Amendment amends the provisions of the Corporation's Amended and Restated Certificate of Incorporation filed with the Secretary of State of the State of Delaware on November 10</w:t>
      </w:r>
      <w:r>
        <w:rPr>
          <w:rFonts w:ascii="Times New Roman;serif" w:hAnsi="Times New Roman;serif"/>
          <w:b w:val="false"/>
          <w:color w:val="34313A"/>
          <w:sz w:val="20"/>
        </w:rPr>
        <w:t xml:space="preserve">, </w:t>
      </w:r>
      <w:r>
        <w:rPr>
          <w:rFonts w:ascii="Times New Roman;serif" w:hAnsi="Times New Roman;serif"/>
          <w:b w:val="false"/>
          <w:color w:val="1F1D1F"/>
          <w:sz w:val="20"/>
        </w:rPr>
        <w:t xml:space="preserve">1999, </w:t>
      </w:r>
      <w:r>
        <w:rPr>
          <w:rFonts w:ascii="Times New Roman;serif" w:hAnsi="Times New Roman;serif"/>
          <w:b w:val="false"/>
          <w:color w:val="0A0A0A"/>
          <w:sz w:val="20"/>
        </w:rPr>
        <w:t>as amended from time to time (as amended, the "A&amp;R Certificate of Incorporation").</w:t>
      </w:r>
    </w:p>
    <w:p>
      <w:pPr>
        <w:pStyle w:val="TextBody"/>
        <w:bidi w:val="0"/>
        <w:spacing w:lineRule="auto" w:line="283" w:before="125" w:after="283"/>
        <w:ind w:left="0" w:right="0" w:firstLine="2"/>
        <w:jc w:val="both"/>
        <w:rPr/>
      </w:pPr>
      <w:r>
        <w:rPr>
          <w:rFonts w:ascii="Times New Roman;serif" w:hAnsi="Times New Roman;serif"/>
          <w:b w:val="false"/>
          <w:color w:val="0A0A0A"/>
          <w:sz w:val="20"/>
        </w:rPr>
        <w:t xml:space="preserve">IBIRD: The Board of Directors of the Corporation, acting in accordance with the provisions </w:t>
      </w:r>
      <w:r>
        <w:rPr>
          <w:rFonts w:ascii="Times New Roman;serif" w:hAnsi="Times New Roman;serif"/>
          <w:b w:val="false"/>
          <w:color w:val="1F1D1F"/>
          <w:sz w:val="20"/>
        </w:rPr>
        <w:t xml:space="preserve">of </w:t>
      </w:r>
      <w:r>
        <w:rPr>
          <w:rFonts w:ascii="Times New Roman;serif" w:hAnsi="Times New Roman;serif"/>
          <w:b w:val="false"/>
          <w:color w:val="0A0A0A"/>
          <w:sz w:val="20"/>
        </w:rPr>
        <w:t>Sections I41 and 242 of the DGCL, adopted resolutions to amend paragraph (A) of Article IV of the A&amp;R Certificate oflncorporation of the Corporation to read in its entirety as follows:</w:t>
      </w:r>
    </w:p>
    <w:p>
      <w:pPr>
        <w:pStyle w:val="TextBody"/>
        <w:bidi w:val="0"/>
        <w:spacing w:lineRule="auto" w:line="288" w:before="112" w:after="283"/>
        <w:jc w:val="both"/>
        <w:rPr/>
      </w:pPr>
      <w:r>
        <w:rPr>
          <w:rFonts w:ascii="Times New Roman;serif" w:hAnsi="Times New Roman;serif"/>
          <w:b w:val="false"/>
          <w:color w:val="0A0A0A"/>
          <w:sz w:val="20"/>
        </w:rPr>
        <w:t xml:space="preserve">"A. This corporation is authorized to issue two classes of stock to be designated, respectively "Common Stock" and "Preferred Stock." The total number of </w:t>
      </w:r>
      <w:r>
        <w:rPr>
          <w:rFonts w:ascii="Times New Roman;serif" w:hAnsi="Times New Roman;serif"/>
          <w:b w:val="false"/>
          <w:color w:val="1F1D1F"/>
          <w:sz w:val="20"/>
        </w:rPr>
        <w:t xml:space="preserve">shares which the corporation </w:t>
      </w:r>
      <w:r>
        <w:rPr>
          <w:rFonts w:ascii="Times New Roman;serif" w:hAnsi="Times New Roman;serif"/>
          <w:b w:val="false"/>
          <w:color w:val="0A0A0A"/>
          <w:sz w:val="20"/>
        </w:rPr>
        <w:t xml:space="preserve">is authorized to issue is two hundred fifty million (250,000,000) shares. </w:t>
      </w:r>
      <w:r>
        <w:rPr>
          <w:rFonts w:ascii="Times New Roman;serif" w:hAnsi="Times New Roman;serif"/>
          <w:b w:val="false"/>
          <w:color w:val="1F1D1F"/>
          <w:sz w:val="20"/>
        </w:rPr>
        <w:t xml:space="preserve">Two </w:t>
      </w:r>
      <w:r>
        <w:rPr>
          <w:rFonts w:ascii="Times New Roman;serif" w:hAnsi="Times New Roman;serif"/>
          <w:b w:val="false"/>
          <w:color w:val="0A0A0A"/>
          <w:sz w:val="20"/>
        </w:rPr>
        <w:t xml:space="preserve">hundred forty-five million (245,000,000) </w:t>
      </w:r>
      <w:r>
        <w:rPr>
          <w:rFonts w:ascii="Times New Roman;serif" w:hAnsi="Times New Roman;serif"/>
          <w:b w:val="false"/>
          <w:color w:val="1F1D1F"/>
          <w:sz w:val="20"/>
        </w:rPr>
        <w:t xml:space="preserve">shares shall </w:t>
      </w:r>
      <w:r>
        <w:rPr>
          <w:rFonts w:ascii="Times New Roman;serif" w:hAnsi="Times New Roman;serif"/>
          <w:b w:val="false"/>
          <w:color w:val="0A0A0A"/>
          <w:sz w:val="20"/>
        </w:rPr>
        <w:t xml:space="preserve">be Common Stock, each having a par value of one tenth </w:t>
      </w:r>
      <w:r>
        <w:rPr>
          <w:rFonts w:ascii="Times New Roman;serif" w:hAnsi="Times New Roman;serif"/>
          <w:b w:val="false"/>
          <w:color w:val="1F1D1F"/>
          <w:sz w:val="20"/>
        </w:rPr>
        <w:t xml:space="preserve">of </w:t>
      </w:r>
      <w:r>
        <w:rPr>
          <w:rFonts w:ascii="Times New Roman;serif" w:hAnsi="Times New Roman;serif"/>
          <w:b w:val="false"/>
          <w:color w:val="0A0A0A"/>
          <w:sz w:val="20"/>
        </w:rPr>
        <w:t>one cent ($0.001). Five million (5,000,000) shares shall be Preferred Stock</w:t>
      </w:r>
      <w:r>
        <w:rPr>
          <w:rFonts w:ascii="Times New Roman;serif" w:hAnsi="Times New Roman;serif"/>
          <w:b w:val="false"/>
          <w:color w:val="34313A"/>
          <w:sz w:val="20"/>
        </w:rPr>
        <w:t xml:space="preserve">, </w:t>
      </w:r>
      <w:r>
        <w:rPr>
          <w:rFonts w:ascii="Times New Roman;serif" w:hAnsi="Times New Roman;serif"/>
          <w:b w:val="false"/>
          <w:color w:val="0A0A0A"/>
          <w:sz w:val="20"/>
        </w:rPr>
        <w:t xml:space="preserve">each having a par </w:t>
      </w:r>
      <w:r>
        <w:rPr>
          <w:rFonts w:ascii="Times New Roman;serif" w:hAnsi="Times New Roman;serif"/>
          <w:b w:val="false"/>
          <w:color w:val="1F1D1F"/>
          <w:sz w:val="20"/>
        </w:rPr>
        <w:t xml:space="preserve">value </w:t>
      </w:r>
      <w:r>
        <w:rPr>
          <w:rFonts w:ascii="Times New Roman;serif" w:hAnsi="Times New Roman;serif"/>
          <w:b w:val="false"/>
          <w:color w:val="0A0A0A"/>
          <w:sz w:val="20"/>
        </w:rPr>
        <w:t>of one tenth ofone cent ($0.001)."</w:t>
      </w:r>
    </w:p>
    <w:p>
      <w:pPr>
        <w:pStyle w:val="TextBody"/>
        <w:bidi w:val="0"/>
        <w:spacing w:lineRule="auto" w:line="276" w:before="129" w:after="283"/>
        <w:ind w:left="0" w:right="0" w:firstLine="1"/>
        <w:jc w:val="both"/>
        <w:rPr/>
      </w:pPr>
      <w:r>
        <w:rPr>
          <w:rFonts w:ascii="Times New Roman;serif" w:hAnsi="Times New Roman;serif"/>
          <w:b w:val="false"/>
          <w:color w:val="0A0A0A"/>
          <w:sz w:val="20"/>
        </w:rPr>
        <w:t xml:space="preserve">FOURTH: The Board of Directors of the Corporation, acting in accordance with the provisions of Sections 141 and 242 of the DGCL, adopted resolutions to amend Article VI of the A&amp;R </w:t>
      </w:r>
      <w:r>
        <w:rPr>
          <w:rFonts w:ascii="Times New Roman;serif" w:hAnsi="Times New Roman;serif"/>
          <w:b w:val="false"/>
          <w:color w:val="1F1D1F"/>
          <w:sz w:val="20"/>
        </w:rPr>
        <w:t xml:space="preserve">Certificate </w:t>
      </w:r>
      <w:r>
        <w:rPr>
          <w:rFonts w:ascii="Times New Roman;serif" w:hAnsi="Times New Roman;serif"/>
          <w:b w:val="false"/>
          <w:color w:val="0A0A0A"/>
          <w:sz w:val="20"/>
        </w:rPr>
        <w:t>oflncorporation of the Corporation to read in its entirety as follows:</w:t>
      </w:r>
    </w:p>
    <w:p>
      <w:pPr>
        <w:pStyle w:val="TextBody"/>
        <w:bidi w:val="0"/>
        <w:spacing w:lineRule="auto" w:line="288" w:before="123" w:after="283"/>
        <w:ind w:left="0" w:right="0" w:hanging="4"/>
        <w:jc w:val="both"/>
        <w:rPr/>
      </w:pPr>
      <w:r>
        <w:rPr>
          <w:rFonts w:ascii="Times New Roman;serif" w:hAnsi="Times New Roman;serif"/>
          <w:b w:val="false"/>
          <w:color w:val="0A0A0A"/>
          <w:sz w:val="20"/>
        </w:rPr>
        <w:t xml:space="preserve">"Limited Liability. To the fullest </w:t>
      </w:r>
      <w:r>
        <w:rPr>
          <w:rFonts w:ascii="Times New Roman;serif" w:hAnsi="Times New Roman;serif"/>
          <w:b w:val="false"/>
          <w:color w:val="1F1D1F"/>
          <w:sz w:val="20"/>
        </w:rPr>
        <w:t xml:space="preserve">extent </w:t>
      </w:r>
      <w:r>
        <w:rPr>
          <w:rFonts w:ascii="Times New Roman;serif" w:hAnsi="Times New Roman;serif"/>
          <w:b w:val="false"/>
          <w:color w:val="0A0A0A"/>
          <w:sz w:val="20"/>
        </w:rPr>
        <w:t xml:space="preserve">permitted by the General Corporation Law of </w:t>
      </w:r>
      <w:r>
        <w:rPr>
          <w:rFonts w:ascii="Times New Roman;serif" w:hAnsi="Times New Roman;serif"/>
          <w:b w:val="false"/>
          <w:color w:val="1F1D1F"/>
          <w:sz w:val="20"/>
        </w:rPr>
        <w:t xml:space="preserve">the </w:t>
      </w:r>
      <w:r>
        <w:rPr>
          <w:rFonts w:ascii="Times New Roman;serif" w:hAnsi="Times New Roman;serif"/>
          <w:b w:val="false"/>
          <w:color w:val="0A0A0A"/>
          <w:sz w:val="20"/>
        </w:rPr>
        <w:t xml:space="preserve">State of Delaware (as such law currently exists or may hereafter be amended so long as anysuch amendment authorizes action further eliminating </w:t>
      </w:r>
      <w:r>
        <w:rPr>
          <w:rFonts w:ascii="Times New Roman;serif" w:hAnsi="Times New Roman;serif"/>
          <w:b w:val="false"/>
          <w:color w:val="1F1D1F"/>
          <w:sz w:val="20"/>
        </w:rPr>
        <w:t xml:space="preserve">or </w:t>
      </w:r>
      <w:r>
        <w:rPr>
          <w:rFonts w:ascii="Times New Roman;serif" w:hAnsi="Times New Roman;serif"/>
          <w:b w:val="false"/>
          <w:color w:val="0A0A0A"/>
          <w:sz w:val="20"/>
        </w:rPr>
        <w:t xml:space="preserve">limiting the personal </w:t>
      </w:r>
      <w:r>
        <w:rPr>
          <w:rFonts w:ascii="Times New Roman;serif" w:hAnsi="Times New Roman;serif"/>
          <w:b w:val="false"/>
          <w:color w:val="1F1D1F"/>
          <w:sz w:val="20"/>
        </w:rPr>
        <w:t xml:space="preserve">liabilities </w:t>
      </w:r>
      <w:r>
        <w:rPr>
          <w:rFonts w:ascii="Times New Roman;serif" w:hAnsi="Times New Roman;serif"/>
          <w:b w:val="false"/>
          <w:color w:val="0A0A0A"/>
          <w:sz w:val="20"/>
        </w:rPr>
        <w:t xml:space="preserve">of directors or </w:t>
      </w:r>
      <w:r>
        <w:rPr>
          <w:rFonts w:ascii="Times New Roman;serif" w:hAnsi="Times New Roman;serif"/>
          <w:b w:val="false"/>
          <w:color w:val="1F1D1F"/>
          <w:sz w:val="20"/>
        </w:rPr>
        <w:t xml:space="preserve">officers), </w:t>
      </w:r>
      <w:r>
        <w:rPr>
          <w:rFonts w:ascii="Times New Roman;serif" w:hAnsi="Times New Roman;serif"/>
          <w:b w:val="false"/>
          <w:color w:val="0A0A0A"/>
          <w:sz w:val="20"/>
        </w:rPr>
        <w:t xml:space="preserve">a director or officer of the corporation shall not be personally liable to the </w:t>
      </w:r>
      <w:r>
        <w:rPr>
          <w:rFonts w:ascii="Times New Roman;serif" w:hAnsi="Times New Roman;serif"/>
          <w:b w:val="false"/>
          <w:color w:val="1F1D1F"/>
          <w:sz w:val="20"/>
        </w:rPr>
        <w:t xml:space="preserve">corporation </w:t>
      </w:r>
      <w:r>
        <w:rPr>
          <w:rFonts w:ascii="Times New Roman;serif" w:hAnsi="Times New Roman;serif"/>
          <w:b w:val="false"/>
          <w:color w:val="0A0A0A"/>
          <w:sz w:val="20"/>
        </w:rPr>
        <w:t xml:space="preserve">or its stockholders for monetary damages for breach of fiduciary duty as a director or officer. Any repeal or modification of this paragraph by the stockholders of the corporation shall be prospective only, and shall not adversely affect any limitation on the personal liability of a director or officer of the corporation with </w:t>
      </w:r>
      <w:r>
        <w:rPr>
          <w:rFonts w:ascii="Times New Roman;serif" w:hAnsi="Times New Roman;serif"/>
          <w:b w:val="false"/>
          <w:color w:val="1F1D1F"/>
          <w:sz w:val="20"/>
        </w:rPr>
        <w:t xml:space="preserve">respect </w:t>
      </w:r>
      <w:r>
        <w:rPr>
          <w:rFonts w:ascii="Times New Roman;serif" w:hAnsi="Times New Roman;serif"/>
          <w:b w:val="false"/>
          <w:color w:val="0A0A0A"/>
          <w:sz w:val="20"/>
        </w:rPr>
        <w:t xml:space="preserve">to any </w:t>
      </w:r>
      <w:r>
        <w:rPr>
          <w:rFonts w:ascii="Times New Roman;serif" w:hAnsi="Times New Roman;serif"/>
          <w:b w:val="false"/>
          <w:color w:val="1F1D1F"/>
          <w:sz w:val="20"/>
        </w:rPr>
        <w:t xml:space="preserve">act or </w:t>
      </w:r>
      <w:r>
        <w:rPr>
          <w:rFonts w:ascii="Times New Roman;serif" w:hAnsi="Times New Roman;serif"/>
          <w:b w:val="false"/>
          <w:color w:val="0A0A0A"/>
          <w:sz w:val="20"/>
        </w:rPr>
        <w:t xml:space="preserve">omission occurring prior </w:t>
      </w:r>
      <w:r>
        <w:rPr>
          <w:rFonts w:ascii="Times New Roman;serif" w:hAnsi="Times New Roman;serif"/>
          <w:b w:val="false"/>
          <w:color w:val="1F1D1F"/>
          <w:sz w:val="20"/>
        </w:rPr>
        <w:t xml:space="preserve">to </w:t>
      </w:r>
      <w:r>
        <w:rPr>
          <w:rFonts w:ascii="Times New Roman;serif" w:hAnsi="Times New Roman;serif"/>
          <w:b w:val="false"/>
          <w:color w:val="0A0A0A"/>
          <w:sz w:val="20"/>
        </w:rPr>
        <w:t xml:space="preserve">the time </w:t>
      </w:r>
      <w:r>
        <w:rPr>
          <w:rFonts w:ascii="Times New Roman;serif" w:hAnsi="Times New Roman;serif"/>
          <w:b w:val="false"/>
          <w:color w:val="1F1D1F"/>
          <w:sz w:val="20"/>
        </w:rPr>
        <w:t xml:space="preserve">of such repeal </w:t>
      </w:r>
      <w:r>
        <w:rPr>
          <w:rFonts w:ascii="Times New Roman;serif" w:hAnsi="Times New Roman;serif"/>
          <w:b w:val="false"/>
          <w:color w:val="0A0A0A"/>
          <w:sz w:val="20"/>
        </w:rPr>
        <w:t>o</w:t>
      </w:r>
      <w:r>
        <w:rPr>
          <w:rFonts w:ascii="Times New Roman;serif" w:hAnsi="Times New Roman;serif"/>
          <w:b w:val="false"/>
          <w:color w:val="34313A"/>
          <w:sz w:val="20"/>
        </w:rPr>
        <w:t xml:space="preserve">r </w:t>
      </w:r>
      <w:r>
        <w:rPr>
          <w:rFonts w:ascii="Times New Roman;serif" w:hAnsi="Times New Roman;serif"/>
          <w:b w:val="false"/>
          <w:color w:val="0A0A0A"/>
          <w:sz w:val="20"/>
        </w:rPr>
        <w:t>modification."</w:t>
      </w:r>
    </w:p>
    <w:p>
      <w:pPr>
        <w:pStyle w:val="TextBody"/>
        <w:bidi w:val="0"/>
        <w:spacing w:lineRule="auto" w:line="288" w:before="123" w:after="283"/>
        <w:ind w:left="0" w:right="0" w:firstLine="1"/>
        <w:jc w:val="both"/>
        <w:rPr/>
      </w:pPr>
      <w:r>
        <w:rPr>
          <w:rFonts w:ascii="Times New Roman;serif" w:hAnsi="Times New Roman;serif"/>
          <w:b w:val="false"/>
          <w:color w:val="1F1D1F"/>
          <w:sz w:val="20"/>
        </w:rPr>
        <w:t xml:space="preserve">FIFIB: </w:t>
      </w:r>
      <w:r>
        <w:rPr>
          <w:rFonts w:ascii="Times New Roman;serif" w:hAnsi="Times New Roman;serif"/>
          <w:b w:val="false"/>
          <w:color w:val="0A0A0A"/>
          <w:sz w:val="20"/>
        </w:rPr>
        <w:t xml:space="preserve">The </w:t>
      </w:r>
      <w:r>
        <w:rPr>
          <w:rFonts w:ascii="Times New Roman;serif" w:hAnsi="Times New Roman;serif"/>
          <w:b w:val="false"/>
          <w:color w:val="1F1D1F"/>
          <w:sz w:val="20"/>
        </w:rPr>
        <w:t xml:space="preserve">foregoing </w:t>
      </w:r>
      <w:r>
        <w:rPr>
          <w:rFonts w:ascii="Times New Roman;serif" w:hAnsi="Times New Roman;serif"/>
          <w:b w:val="false"/>
          <w:color w:val="0A0A0A"/>
          <w:sz w:val="20"/>
        </w:rPr>
        <w:t xml:space="preserve">amendments to paragraph </w:t>
      </w:r>
      <w:r>
        <w:rPr>
          <w:rFonts w:ascii="Times New Roman;serif" w:hAnsi="Times New Roman;serif"/>
          <w:b w:val="false"/>
          <w:color w:val="1F1D1F"/>
          <w:sz w:val="20"/>
        </w:rPr>
        <w:t xml:space="preserve">(A) </w:t>
      </w:r>
      <w:r>
        <w:rPr>
          <w:rFonts w:ascii="Times New Roman;serif" w:hAnsi="Times New Roman;serif"/>
          <w:b w:val="false"/>
          <w:color w:val="0A0A0A"/>
          <w:sz w:val="20"/>
        </w:rPr>
        <w:t xml:space="preserve">of </w:t>
      </w:r>
      <w:r>
        <w:rPr>
          <w:rFonts w:ascii="Times New Roman;serif" w:hAnsi="Times New Roman;serif"/>
          <w:b w:val="false"/>
          <w:color w:val="1F1D1F"/>
          <w:sz w:val="20"/>
        </w:rPr>
        <w:t xml:space="preserve">Article </w:t>
      </w:r>
      <w:r>
        <w:rPr>
          <w:rFonts w:ascii="Times New Roman;serif" w:hAnsi="Times New Roman;serif"/>
          <w:b w:val="false"/>
          <w:color w:val="0A0A0A"/>
          <w:sz w:val="20"/>
        </w:rPr>
        <w:t xml:space="preserve">IV </w:t>
      </w:r>
      <w:r>
        <w:rPr>
          <w:rFonts w:ascii="Times New Roman;serif" w:hAnsi="Times New Roman;serif"/>
          <w:b w:val="false"/>
          <w:color w:val="1F1D1F"/>
          <w:sz w:val="20"/>
        </w:rPr>
        <w:t xml:space="preserve">and to </w:t>
      </w:r>
      <w:r>
        <w:rPr>
          <w:rFonts w:ascii="Times New Roman;serif" w:hAnsi="Times New Roman;serif"/>
          <w:b w:val="false"/>
          <w:color w:val="0A0A0A"/>
          <w:sz w:val="20"/>
        </w:rPr>
        <w:t xml:space="preserve">Article VI of the </w:t>
      </w:r>
      <w:r>
        <w:rPr>
          <w:rFonts w:ascii="Times New Roman;serif" w:hAnsi="Times New Roman;serif"/>
          <w:b w:val="false"/>
          <w:color w:val="1F1D1F"/>
          <w:sz w:val="20"/>
        </w:rPr>
        <w:t xml:space="preserve">A&amp;R Certificate </w:t>
      </w:r>
      <w:r>
        <w:rPr>
          <w:rFonts w:ascii="Times New Roman;serif" w:hAnsi="Times New Roman;serif"/>
          <w:b w:val="false"/>
          <w:color w:val="0A0A0A"/>
          <w:sz w:val="20"/>
        </w:rPr>
        <w:t xml:space="preserve">of Incorporation of the Corporation were submitted to the </w:t>
      </w:r>
      <w:r>
        <w:rPr>
          <w:rFonts w:ascii="Times New Roman;serif" w:hAnsi="Times New Roman;serif"/>
          <w:b w:val="false"/>
          <w:color w:val="1F1D1F"/>
          <w:sz w:val="20"/>
        </w:rPr>
        <w:t xml:space="preserve">stockholders </w:t>
      </w:r>
      <w:r>
        <w:rPr>
          <w:rFonts w:ascii="Times New Roman;serif" w:hAnsi="Times New Roman;serif"/>
          <w:b w:val="false"/>
          <w:color w:val="0A0A0A"/>
          <w:sz w:val="20"/>
        </w:rPr>
        <w:t xml:space="preserve">of the </w:t>
      </w:r>
      <w:r>
        <w:rPr>
          <w:rFonts w:ascii="Times New Roman;serif" w:hAnsi="Times New Roman;serif"/>
          <w:b w:val="false"/>
          <w:color w:val="1F1D1F"/>
          <w:sz w:val="20"/>
        </w:rPr>
        <w:t xml:space="preserve">Corporation </w:t>
      </w:r>
      <w:r>
        <w:rPr>
          <w:rFonts w:ascii="Times New Roman;serif" w:hAnsi="Times New Roman;serif"/>
          <w:b w:val="false"/>
          <w:color w:val="0A0A0A"/>
          <w:sz w:val="20"/>
        </w:rPr>
        <w:t xml:space="preserve">and </w:t>
      </w:r>
      <w:r>
        <w:rPr>
          <w:rFonts w:ascii="Times New Roman;serif" w:hAnsi="Times New Roman;serif"/>
          <w:b w:val="false"/>
          <w:color w:val="1F1D1F"/>
          <w:sz w:val="20"/>
        </w:rPr>
        <w:t xml:space="preserve">were </w:t>
      </w:r>
      <w:r>
        <w:rPr>
          <w:rFonts w:ascii="Times New Roman;serif" w:hAnsi="Times New Roman;serif"/>
          <w:b w:val="false"/>
          <w:color w:val="0A0A0A"/>
          <w:sz w:val="20"/>
        </w:rPr>
        <w:t xml:space="preserve">duly adopted </w:t>
      </w:r>
      <w:r>
        <w:rPr>
          <w:rFonts w:ascii="Times New Roman;serif" w:hAnsi="Times New Roman;serif"/>
          <w:b w:val="false"/>
          <w:color w:val="1F1D1F"/>
          <w:sz w:val="20"/>
        </w:rPr>
        <w:t xml:space="preserve">by </w:t>
      </w:r>
      <w:r>
        <w:rPr>
          <w:rFonts w:ascii="Times New Roman;serif" w:hAnsi="Times New Roman;serif"/>
          <w:b w:val="false"/>
          <w:color w:val="0A0A0A"/>
          <w:sz w:val="20"/>
        </w:rPr>
        <w:t xml:space="preserve">the required vote of the </w:t>
      </w:r>
      <w:r>
        <w:rPr>
          <w:rFonts w:ascii="Times New Roman;serif" w:hAnsi="Times New Roman;serif"/>
          <w:b w:val="false"/>
          <w:color w:val="1F1D1F"/>
          <w:sz w:val="20"/>
        </w:rPr>
        <w:t xml:space="preserve">stockholders </w:t>
      </w:r>
      <w:r>
        <w:rPr>
          <w:rFonts w:ascii="Times New Roman;serif" w:hAnsi="Times New Roman;serif"/>
          <w:b w:val="false"/>
          <w:color w:val="0A0A0A"/>
          <w:sz w:val="20"/>
        </w:rPr>
        <w:t xml:space="preserve">of the </w:t>
      </w:r>
      <w:r>
        <w:rPr>
          <w:rFonts w:ascii="Times New Roman;serif" w:hAnsi="Times New Roman;serif"/>
          <w:b w:val="false"/>
          <w:color w:val="1F1D1F"/>
          <w:sz w:val="20"/>
        </w:rPr>
        <w:t xml:space="preserve">Corporation </w:t>
      </w:r>
      <w:r>
        <w:rPr>
          <w:rFonts w:ascii="Times New Roman;serif" w:hAnsi="Times New Roman;serif"/>
          <w:b w:val="false"/>
          <w:color w:val="0A0A0A"/>
          <w:sz w:val="20"/>
        </w:rPr>
        <w:t xml:space="preserve">in accordance with Sections </w:t>
      </w:r>
      <w:r>
        <w:rPr>
          <w:rFonts w:ascii="Times New Roman;serif" w:hAnsi="Times New Roman;serif"/>
          <w:b w:val="false"/>
          <w:color w:val="1F1D1F"/>
          <w:sz w:val="20"/>
        </w:rPr>
        <w:t xml:space="preserve">222 </w:t>
      </w:r>
      <w:r>
        <w:rPr>
          <w:rFonts w:ascii="Times New Roman;serif" w:hAnsi="Times New Roman;serif"/>
          <w:b w:val="false"/>
          <w:color w:val="0A0A0A"/>
          <w:sz w:val="20"/>
        </w:rPr>
        <w:t>and 242 of the DGCL.</w:t>
      </w:r>
    </w:p>
    <w:p>
      <w:pPr>
        <w:pStyle w:val="TextBody"/>
        <w:bidi w:val="0"/>
        <w:spacing w:lineRule="auto" w:line="288" w:before="125" w:after="283"/>
        <w:ind w:left="0" w:right="0" w:hanging="14"/>
        <w:jc w:val="left"/>
        <w:rPr/>
      </w:pPr>
      <w:r>
        <w:rPr>
          <w:rFonts w:ascii="Times New Roman;serif" w:hAnsi="Times New Roman;serif"/>
          <w:b w:val="false"/>
          <w:color w:val="0A0A0A"/>
          <w:sz w:val="20"/>
        </w:rPr>
        <w:t xml:space="preserve">SIXIB: </w:t>
      </w:r>
      <w:r>
        <w:rPr>
          <w:rFonts w:ascii="Times New Roman;serif" w:hAnsi="Times New Roman;serif"/>
          <w:b w:val="false"/>
          <w:color w:val="1F1D1F"/>
          <w:sz w:val="20"/>
        </w:rPr>
        <w:t xml:space="preserve">Except </w:t>
      </w:r>
      <w:r>
        <w:rPr>
          <w:rFonts w:ascii="Times New Roman;serif" w:hAnsi="Times New Roman;serif"/>
          <w:b w:val="false"/>
          <w:color w:val="0A0A0A"/>
          <w:sz w:val="20"/>
        </w:rPr>
        <w:t xml:space="preserve">as expressly amended hereby, the A&amp;R </w:t>
      </w:r>
      <w:r>
        <w:rPr>
          <w:rFonts w:ascii="Times New Roman;serif" w:hAnsi="Times New Roman;serif"/>
          <w:b w:val="false"/>
          <w:color w:val="1F1D1F"/>
          <w:sz w:val="20"/>
        </w:rPr>
        <w:t xml:space="preserve">Certificate </w:t>
      </w:r>
      <w:r>
        <w:rPr>
          <w:rFonts w:ascii="Times New Roman;serif" w:hAnsi="Times New Roman;serif"/>
          <w:b w:val="false"/>
          <w:color w:val="0A0A0A"/>
          <w:sz w:val="20"/>
        </w:rPr>
        <w:t xml:space="preserve">oflncorporation of the </w:t>
      </w:r>
      <w:r>
        <w:rPr>
          <w:rFonts w:ascii="Times New Roman;serif" w:hAnsi="Times New Roman;serif"/>
          <w:b w:val="false"/>
          <w:color w:val="1F1D1F"/>
          <w:sz w:val="20"/>
        </w:rPr>
        <w:t xml:space="preserve">Corporation </w:t>
      </w:r>
      <w:r>
        <w:rPr>
          <w:rFonts w:ascii="Times New Roman;serif" w:hAnsi="Times New Roman;serif"/>
          <w:b w:val="false"/>
          <w:color w:val="0A0A0A"/>
          <w:sz w:val="20"/>
        </w:rPr>
        <w:t xml:space="preserve">(as modified by this </w:t>
      </w:r>
      <w:r>
        <w:rPr>
          <w:rFonts w:ascii="Times New Roman;serif" w:hAnsi="Times New Roman;serif"/>
          <w:b w:val="false"/>
          <w:color w:val="1F1D1F"/>
          <w:sz w:val="20"/>
        </w:rPr>
        <w:t xml:space="preserve">Certificate of </w:t>
      </w:r>
      <w:r>
        <w:rPr>
          <w:rFonts w:ascii="Times New Roman;serif" w:hAnsi="Times New Roman;serif"/>
          <w:b w:val="false"/>
          <w:color w:val="0A0A0A"/>
          <w:sz w:val="20"/>
        </w:rPr>
        <w:t xml:space="preserve">Amendment) </w:t>
      </w:r>
      <w:r>
        <w:rPr>
          <w:rFonts w:ascii="Times New Roman;serif" w:hAnsi="Times New Roman;serif"/>
          <w:b w:val="false"/>
          <w:color w:val="1F1D1F"/>
          <w:sz w:val="20"/>
        </w:rPr>
        <w:t xml:space="preserve">shall </w:t>
      </w:r>
      <w:r>
        <w:rPr>
          <w:rFonts w:ascii="Times New Roman;serif" w:hAnsi="Times New Roman;serif"/>
          <w:b w:val="false"/>
          <w:color w:val="0A0A0A"/>
          <w:sz w:val="20"/>
        </w:rPr>
        <w:t xml:space="preserve">remain unchanged and </w:t>
      </w:r>
      <w:r>
        <w:rPr>
          <w:rFonts w:ascii="Times New Roman;serif" w:hAnsi="Times New Roman;serif"/>
          <w:b w:val="false"/>
          <w:color w:val="1F1D1F"/>
          <w:sz w:val="20"/>
        </w:rPr>
        <w:t xml:space="preserve">continue </w:t>
      </w:r>
      <w:r>
        <w:rPr>
          <w:rFonts w:ascii="Times New Roman;serif" w:hAnsi="Times New Roman;serif"/>
          <w:b w:val="false"/>
          <w:color w:val="0A0A0A"/>
          <w:sz w:val="20"/>
        </w:rPr>
        <w:t>in full force and effect.</w:t>
      </w:r>
    </w:p>
    <w:p>
      <w:pPr>
        <w:pStyle w:val="TextBody"/>
        <w:bidi w:val="0"/>
        <w:spacing w:lineRule="auto" w:line="288" w:before="117" w:after="283"/>
        <w:ind w:left="0" w:right="0" w:hanging="6"/>
        <w:jc w:val="left"/>
        <w:rPr/>
      </w:pPr>
      <w:r>
        <w:rPr>
          <w:rFonts w:ascii="Times New Roman;serif" w:hAnsi="Times New Roman;serif"/>
          <w:b w:val="false"/>
          <w:color w:val="0A0A0A"/>
          <w:sz w:val="20"/>
        </w:rPr>
        <w:t xml:space="preserve">IN WITNESS WHEREOF, Kratos Defense </w:t>
      </w:r>
      <w:r>
        <w:rPr>
          <w:rFonts w:ascii="Times New Roman;serif" w:hAnsi="Times New Roman;serif"/>
          <w:b w:val="false"/>
          <w:color w:val="1F1D1F"/>
          <w:sz w:val="20"/>
        </w:rPr>
        <w:t xml:space="preserve">&amp; </w:t>
      </w:r>
      <w:r>
        <w:rPr>
          <w:rFonts w:ascii="Times New Roman;serif" w:hAnsi="Times New Roman;serif"/>
          <w:b w:val="false"/>
          <w:color w:val="0A0A0A"/>
          <w:sz w:val="20"/>
        </w:rPr>
        <w:t>Security Solutions</w:t>
      </w:r>
      <w:r>
        <w:rPr>
          <w:rFonts w:ascii="Times New Roman;serif" w:hAnsi="Times New Roman;serif"/>
          <w:b w:val="false"/>
          <w:color w:val="34313A"/>
          <w:sz w:val="20"/>
        </w:rPr>
        <w:t xml:space="preserve">, </w:t>
      </w:r>
      <w:r>
        <w:rPr>
          <w:rFonts w:ascii="Times New Roman;serif" w:hAnsi="Times New Roman;serif"/>
          <w:b w:val="false"/>
          <w:color w:val="0A0A0A"/>
          <w:sz w:val="20"/>
        </w:rPr>
        <w:t xml:space="preserve">Inc. has </w:t>
      </w:r>
      <w:r>
        <w:rPr>
          <w:rFonts w:ascii="Times New Roman;serif" w:hAnsi="Times New Roman;serif"/>
          <w:b w:val="false"/>
          <w:color w:val="1F1D1F"/>
          <w:sz w:val="20"/>
        </w:rPr>
        <w:t xml:space="preserve">caused </w:t>
      </w:r>
      <w:r>
        <w:rPr>
          <w:rFonts w:ascii="Times New Roman;serif" w:hAnsi="Times New Roman;serif"/>
          <w:b w:val="false"/>
          <w:color w:val="0A0A0A"/>
          <w:sz w:val="20"/>
        </w:rPr>
        <w:t xml:space="preserve">this </w:t>
      </w:r>
      <w:r>
        <w:rPr>
          <w:rFonts w:ascii="Times New Roman;serif" w:hAnsi="Times New Roman;serif"/>
          <w:b w:val="false"/>
          <w:color w:val="1F1D1F"/>
          <w:sz w:val="20"/>
        </w:rPr>
        <w:t xml:space="preserve">Certificate of </w:t>
      </w:r>
      <w:r>
        <w:rPr>
          <w:rFonts w:ascii="Times New Roman;serif" w:hAnsi="Times New Roman;serif"/>
          <w:b w:val="false"/>
          <w:color w:val="0A0A0A"/>
          <w:sz w:val="20"/>
        </w:rPr>
        <w:t xml:space="preserve">Amendment </w:t>
      </w:r>
      <w:r>
        <w:rPr>
          <w:rFonts w:ascii="Times New Roman;serif" w:hAnsi="Times New Roman;serif"/>
          <w:b w:val="false"/>
          <w:color w:val="1F1D1F"/>
          <w:sz w:val="20"/>
        </w:rPr>
        <w:t xml:space="preserve">to </w:t>
      </w:r>
      <w:r>
        <w:rPr>
          <w:rFonts w:ascii="Times New Roman;serif" w:hAnsi="Times New Roman;serif"/>
          <w:b w:val="false"/>
          <w:color w:val="0A0A0A"/>
          <w:sz w:val="20"/>
        </w:rPr>
        <w:t>be signed by its Senior Vice President</w:t>
      </w:r>
      <w:r>
        <w:rPr>
          <w:rFonts w:ascii="Times New Roman;serif" w:hAnsi="Times New Roman;serif"/>
          <w:b w:val="false"/>
          <w:color w:val="34313A"/>
          <w:sz w:val="20"/>
        </w:rPr>
        <w:t xml:space="preserve">, </w:t>
      </w:r>
      <w:r>
        <w:rPr>
          <w:rFonts w:ascii="Times New Roman;serif" w:hAnsi="Times New Roman;serif"/>
          <w:b w:val="false"/>
          <w:color w:val="1F1D1F"/>
          <w:sz w:val="20"/>
        </w:rPr>
        <w:t xml:space="preserve">General </w:t>
      </w:r>
      <w:r>
        <w:rPr>
          <w:rFonts w:ascii="Times New Roman;serif" w:hAnsi="Times New Roman;serif"/>
          <w:b w:val="false"/>
          <w:color w:val="0A0A0A"/>
          <w:sz w:val="20"/>
        </w:rPr>
        <w:t xml:space="preserve">Counsel &amp; Secretary </w:t>
      </w:r>
      <w:r>
        <w:rPr>
          <w:rFonts w:ascii="Times New Roman;serif" w:hAnsi="Times New Roman;serif"/>
          <w:b w:val="false"/>
          <w:color w:val="1F1D1F"/>
          <w:sz w:val="20"/>
        </w:rPr>
        <w:t xml:space="preserve">as </w:t>
      </w:r>
      <w:r>
        <w:rPr>
          <w:rFonts w:ascii="Times New Roman;serif" w:hAnsi="Times New Roman;serif"/>
          <w:b w:val="false"/>
          <w:color w:val="0A0A0A"/>
          <w:sz w:val="20"/>
        </w:rPr>
        <w:t>of May 14,2026.</w:t>
      </w:r>
    </w:p>
    <w:p>
      <w:pPr>
        <w:pStyle w:val="TextBody"/>
        <w:bidi w:val="0"/>
        <w:spacing w:before="149" w:after="283"/>
        <w:ind w:left="0" w:right="0" w:firstLine="720"/>
        <w:jc w:val="left"/>
        <w:rPr/>
      </w:pPr>
      <w:r>
        <w:rPr/>
      </w:r>
    </w:p>
    <w:p>
      <w:pPr>
        <w:pStyle w:val="TextBody"/>
        <w:bidi w:val="0"/>
        <w:spacing w:lineRule="auto" w:line="506" w:before="168" w:after="283"/>
        <w:ind w:left="0" w:right="0" w:hanging="355"/>
        <w:jc w:val="left"/>
        <w:rPr/>
      </w:pPr>
      <w:r>
        <w:rPr>
          <w:rFonts w:ascii="Times New Roman;serif" w:hAnsi="Times New Roman;serif"/>
          <w:b w:val="false"/>
          <w:color w:val="1F1D1F"/>
          <w:sz w:val="20"/>
        </w:rPr>
        <w:t xml:space="preserve">By: </w:t>
      </w:r>
      <w:r>
        <w:rPr>
          <w:rFonts w:ascii="Times New Roman;serif" w:hAnsi="Times New Roman;serif"/>
          <w:b w:val="false"/>
          <w:i/>
          <w:color w:val="494949"/>
          <w:sz w:val="20"/>
        </w:rPr>
        <w:t>I</w:t>
      </w:r>
      <w:r>
        <w:rPr>
          <w:rFonts w:ascii="Times New Roman;serif" w:hAnsi="Times New Roman;serif"/>
          <w:b w:val="false"/>
          <w:i/>
          <w:color w:val="1F1D1F"/>
          <w:sz w:val="20"/>
        </w:rPr>
        <w:t>s</w:t>
      </w:r>
      <w:r>
        <w:rPr>
          <w:rFonts w:ascii="Times New Roman;serif" w:hAnsi="Times New Roman;serif"/>
          <w:b w:val="false"/>
          <w:i/>
          <w:color w:val="34313A"/>
          <w:sz w:val="20"/>
        </w:rPr>
        <w:t xml:space="preserve">l </w:t>
      </w:r>
      <w:r>
        <w:rPr>
          <w:rFonts w:ascii="Times New Roman;serif" w:hAnsi="Times New Roman;serif"/>
          <w:b w:val="false"/>
          <w:color w:val="1F1D1F"/>
          <w:sz w:val="20"/>
        </w:rPr>
        <w:t xml:space="preserve">Marie </w:t>
      </w:r>
      <w:r>
        <w:rPr>
          <w:rFonts w:ascii="Times New Roman;serif" w:hAnsi="Times New Roman;serif"/>
          <w:b w:val="false"/>
          <w:color w:val="0A0A0A"/>
          <w:sz w:val="20"/>
        </w:rPr>
        <w:t>Mendo</w:t>
      </w:r>
      <w:r>
        <w:rPr>
          <w:rFonts w:ascii="Times New Roman;serif" w:hAnsi="Times New Roman;serif"/>
          <w:b w:val="false"/>
          <w:color w:val="34313A"/>
          <w:sz w:val="20"/>
        </w:rPr>
        <w:t>z</w:t>
      </w:r>
      <w:r>
        <w:rPr>
          <w:rFonts w:ascii="Times New Roman;serif" w:hAnsi="Times New Roman;serif"/>
          <w:b w:val="false"/>
          <w:color w:val="1F1D1F"/>
          <w:sz w:val="20"/>
        </w:rPr>
        <w:t xml:space="preserve">a </w:t>
      </w:r>
      <w:r>
        <w:rPr>
          <w:rFonts w:ascii="Times New Roman;serif" w:hAnsi="Times New Roman;serif"/>
          <w:b w:val="false"/>
          <w:color w:val="0A0A0A"/>
          <w:sz w:val="20"/>
        </w:rPr>
        <w:t>Marie Mendoza</w:t>
      </w:r>
    </w:p>
    <w:p>
      <w:pPr>
        <w:pStyle w:val="TextBody"/>
        <w:bidi w:val="0"/>
        <w:spacing w:lineRule="atLeast" w:line="230" w:before="0" w:after="0"/>
        <w:jc w:val="left"/>
        <w:rPr/>
      </w:pPr>
      <w:r>
        <w:rPr>
          <w:rFonts w:ascii="Times New Roman;serif" w:hAnsi="Times New Roman;serif"/>
          <w:b w:val="false"/>
          <w:color w:val="0A0A0A"/>
          <w:sz w:val="20"/>
        </w:rPr>
        <w:t xml:space="preserve">Senior </w:t>
      </w:r>
      <w:r>
        <w:rPr>
          <w:rFonts w:ascii="Times New Roman;serif" w:hAnsi="Times New Roman;serif"/>
          <w:b w:val="false"/>
          <w:color w:val="1F1D1F"/>
          <w:sz w:val="20"/>
        </w:rPr>
        <w:t xml:space="preserve">Vice </w:t>
      </w:r>
      <w:r>
        <w:rPr>
          <w:rFonts w:ascii="Times New Roman;serif" w:hAnsi="Times New Roman;serif"/>
          <w:b w:val="false"/>
          <w:color w:val="0A0A0A"/>
          <w:sz w:val="20"/>
        </w:rPr>
        <w:t>President</w:t>
      </w:r>
      <w:r>
        <w:rPr>
          <w:rFonts w:ascii="Times New Roman;serif" w:hAnsi="Times New Roman;serif"/>
          <w:b w:val="false"/>
          <w:color w:val="34313A"/>
          <w:sz w:val="20"/>
        </w:rPr>
        <w:t xml:space="preserve">, </w:t>
      </w:r>
      <w:r>
        <w:rPr>
          <w:rFonts w:ascii="Times New Roman;serif" w:hAnsi="Times New Roman;serif"/>
          <w:b w:val="false"/>
          <w:color w:val="1F1D1F"/>
          <w:sz w:val="20"/>
        </w:rPr>
        <w:t xml:space="preserve">General Counsel &amp; </w:t>
      </w:r>
      <w:r>
        <w:rPr>
          <w:rFonts w:ascii="Times New Roman;serif" w:hAnsi="Times New Roman;serif"/>
          <w:b w:val="false"/>
          <w:color w:val="0A0A0A"/>
          <w:sz w:val="20"/>
        </w:rPr>
        <w:t>Secretary</w:t>
      </w:r>
    </w:p>
    <w:p>
      <w:pPr>
        <w:pStyle w:val="TextBody"/>
        <w:bidi w:val="0"/>
        <w:spacing w:before="0" w:after="0"/>
        <w:jc w:val="left"/>
        <w:rPr/>
      </w:pPr>
      <w:r>
        <w:rPr/>
      </w:r>
    </w:p>
    <w:p>
      <w:pPr>
        <w:pStyle w:val="TextBody"/>
        <w:bidi w:val="0"/>
        <w:ind w:left="0" w:right="0" w:hanging="1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6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Eric M. DeMarco,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Kratos Defense &amp; Security Solutions, Inc.;</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erif" w:hAnsi="Times New Roman;serif"/>
          <w:b w:val="false"/>
          <w:color w:val="000000"/>
          <w:sz w:val="18"/>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4, 2026 </w:t>
      </w:r>
    </w:p>
    <w:p>
      <w:pPr>
        <w:pStyle w:val="TextBody"/>
        <w:bidi w:val="0"/>
        <w:spacing w:lineRule="auto" w:line="288" w:before="0" w:after="0"/>
        <w:jc w:val="left"/>
        <w:rPr>
          <w:color w:val="000000"/>
        </w:rPr>
      </w:pPr>
      <w:r>
        <w:rPr>
          <w:color w:val="000000"/>
        </w:rPr>
        <w:t> </w:t>
      </w:r>
    </w:p>
    <w:tbl>
      <w:tblPr>
        <w:tblW w:w="4691" w:type="dxa"/>
        <w:jc w:val="center"/>
        <w:tblInd w:w="0" w:type="dxa"/>
        <w:tblLayout w:type="fixed"/>
        <w:tblCellMar>
          <w:top w:w="28" w:type="dxa"/>
          <w:left w:w="28" w:type="dxa"/>
          <w:bottom w:w="28" w:type="dxa"/>
          <w:right w:w="28" w:type="dxa"/>
        </w:tblCellMar>
      </w:tblPr>
      <w:tblGrid>
        <w:gridCol w:w="1565"/>
        <w:gridCol w:w="1375"/>
        <w:gridCol w:w="137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6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 Deanna H. Lund,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18"/>
        </w:rPr>
        <w:t>I have reviewed this quarterly report on Form 10-Q of Kratos Defense &amp; Security Solutions, Inc.;</w:t>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pPr>
      <w:r>
        <w:rPr>
          <w:rFonts w:ascii="Times New Roman;serif" w:hAnsi="Times New Roman;serif"/>
          <w:b w:val="false"/>
          <w:color w:val="000000"/>
          <w:sz w:val="20"/>
        </w:rPr>
        <w:t>4.</w:t>
      </w:r>
      <w:r>
        <w:rPr>
          <w:rFonts w:ascii="Times New Roman;serif" w:hAnsi="Times New Roman;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720"/>
        <w:jc w:val="left"/>
        <w:rPr/>
      </w:pPr>
      <w:r>
        <w:rPr>
          <w:rFonts w:ascii="Times New Roman;serif" w:hAnsi="Times New Roman;serif"/>
          <w:b w:val="false"/>
          <w:color w:val="000000"/>
          <w:sz w:val="20"/>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pPr>
      <w:r>
        <w:rPr>
          <w:rFonts w:ascii="Times New Roman;serif" w:hAnsi="Times New Roman;serif"/>
          <w:b w:val="false"/>
          <w:color w:val="000000"/>
          <w:sz w:val="20"/>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5.</w:t>
      </w:r>
      <w:r>
        <w:rPr>
          <w:rFonts w:ascii="Times New Roman;serif" w:hAnsi="Times New Roman;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pPr>
      <w:r>
        <w:rPr>
          <w:rFonts w:ascii="Times New Roman;serif" w:hAnsi="Times New Roman;serif"/>
          <w:b w:val="false"/>
          <w:color w:val="000000"/>
          <w:sz w:val="20"/>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4, 2026 </w:t>
      </w:r>
    </w:p>
    <w:p>
      <w:pPr>
        <w:pStyle w:val="TextBody"/>
        <w:bidi w:val="0"/>
        <w:spacing w:lineRule="auto" w:line="288" w:before="0" w:after="0"/>
        <w:jc w:val="left"/>
        <w:rPr>
          <w:color w:val="000000"/>
        </w:rPr>
      </w:pPr>
      <w:r>
        <w:rPr>
          <w:color w:val="000000"/>
        </w:rPr>
        <w:t> </w:t>
      </w:r>
    </w:p>
    <w:tbl>
      <w:tblPr>
        <w:tblW w:w="5427" w:type="dxa"/>
        <w:jc w:val="center"/>
        <w:tblInd w:w="0" w:type="dxa"/>
        <w:tblLayout w:type="fixed"/>
        <w:tblCellMar>
          <w:top w:w="28" w:type="dxa"/>
          <w:left w:w="28" w:type="dxa"/>
          <w:bottom w:w="28" w:type="dxa"/>
          <w:right w:w="28" w:type="dxa"/>
        </w:tblCellMar>
      </w:tblPr>
      <w:tblGrid>
        <w:gridCol w:w="1832"/>
        <w:gridCol w:w="1609"/>
        <w:gridCol w:w="1614"/>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DEFENSE &amp; SECURITY SOLUTIONS,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6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SECTION 906 OF THE SARBANES-OXLEY ACT OF 2002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In connection with the accompanying Quarterly Report of Kratos Defense &amp; Security Solutions, Inc. (the “Company”) on Form 10-Q for the quarter ended June 28, 2026 (the “Report”), I, Eric M. DeMarco, Chief Executive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4,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2877" w:type="dxa"/>
        <w:jc w:val="center"/>
        <w:tblInd w:w="0" w:type="dxa"/>
        <w:tblLayout w:type="fixed"/>
        <w:tblCellMar>
          <w:top w:w="28" w:type="dxa"/>
          <w:left w:w="28" w:type="dxa"/>
          <w:bottom w:w="28" w:type="dxa"/>
          <w:right w:w="28" w:type="dxa"/>
        </w:tblCellMar>
      </w:tblPr>
      <w:tblGrid>
        <w:gridCol w:w="907"/>
        <w:gridCol w:w="798"/>
        <w:gridCol w:w="800"/>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ERIC M. DEMARCO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Eric M. DeMarco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6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 SECTION 906 OF THE SARBANES-OXLEY ACT OF 2002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In connection with the accompanying Quarterly Report of Kratos Defense &amp; Security Solutions, Inc. (the “Company”) on Form 10-Q for the quarter ended June 28, 2026 (the “Report”), I, Deanna H. Lund,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(1)The Report fully complies with the requirements of Section 13(a) or 15(d) of the Securities Exchange Act of 1934, as amended; and</w:t>
      </w:r>
    </w:p>
    <w:p>
      <w:pPr>
        <w:pStyle w:val="TextBody"/>
        <w:bidi w:val="0"/>
        <w:spacing w:lineRule="auto" w:line="288" w:before="0" w:after="0"/>
        <w:ind w:left="0" w:right="0" w:hanging="720"/>
        <w:jc w:val="left"/>
        <w:rPr/>
      </w:pPr>
      <w:r>
        <w:rPr>
          <w:rFonts w:ascii="Times New Roman;serif" w:hAnsi="Times New Roman;serif"/>
          <w:b w:val="false"/>
          <w:color w:val="000000"/>
          <w:sz w:val="18"/>
        </w:rPr>
        <w:t>(2)</w:t>
      </w:r>
      <w:r>
        <w:rPr>
          <w:color w:val="000000"/>
        </w:rPr>
        <w:t> </w:t>
      </w:r>
      <w:r>
        <w:rPr>
          <w:rFonts w:ascii="Times New Roman;serif" w:hAnsi="Times New Roman;serif"/>
          <w:b w:val="false"/>
          <w:color w:val="000000"/>
          <w:sz w:val="18"/>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Date: August 4,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KRATOS DEFENSE &amp; SECURITY SOLUTIONS, INC.</w:t>
      </w:r>
    </w:p>
    <w:p>
      <w:pPr>
        <w:pStyle w:val="TextBody"/>
        <w:bidi w:val="0"/>
        <w:spacing w:lineRule="auto" w:line="288" w:before="0" w:after="0"/>
        <w:jc w:val="center"/>
        <w:rPr>
          <w:color w:val="000000"/>
        </w:rPr>
      </w:pPr>
      <w:r>
        <w:rPr>
          <w:color w:val="000000"/>
        </w:rPr>
        <w:t> </w:t>
      </w:r>
    </w:p>
    <w:tbl>
      <w:tblPr>
        <w:tblW w:w="5426" w:type="dxa"/>
        <w:jc w:val="center"/>
        <w:tblInd w:w="0" w:type="dxa"/>
        <w:tblLayout w:type="fixed"/>
        <w:tblCellMar>
          <w:top w:w="28" w:type="dxa"/>
          <w:left w:w="28" w:type="dxa"/>
          <w:bottom w:w="28" w:type="dxa"/>
          <w:right w:w="28" w:type="dxa"/>
        </w:tblCellMar>
      </w:tblPr>
      <w:tblGrid>
        <w:gridCol w:w="1826"/>
        <w:gridCol w:w="1610"/>
        <w:gridCol w:w="1618"/>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DEANNA H. LUND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Deanna H. Lund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Officer and Acting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6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69258/000106925824000042/exhibit31-thirdamendedandr.htm" TargetMode="External"/><Relationship Id="rId3" Type="http://schemas.openxmlformats.org/officeDocument/2006/relationships/hyperlink" Target="https://www.sec.gov/Archives/edgar/data/1069258/000106925817000009/kratoscommonformofcertif.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1.png"/><Relationship Id="rId13" Type="http://schemas.openxmlformats.org/officeDocument/2006/relationships/image" Target="media/image1.png"/><Relationship Id="rId14" Type="http://schemas.openxmlformats.org/officeDocument/2006/relationships/image" Target="media/image1.png"/><Relationship Id="rId15" Type="http://schemas.openxmlformats.org/officeDocument/2006/relationships/image" Target="media/image1.png"/><Relationship Id="rId16" Type="http://schemas.openxmlformats.org/officeDocument/2006/relationships/image" Target="media/image1.png"/><Relationship Id="rId17" Type="http://schemas.openxmlformats.org/officeDocument/2006/relationships/image" Target="media/image1.png"/><Relationship Id="rId18" Type="http://schemas.openxmlformats.org/officeDocument/2006/relationships/image" Target="media/image1.png"/><Relationship Id="rId19" Type="http://schemas.openxmlformats.org/officeDocument/2006/relationships/image" Target="media/image1.png"/><Relationship Id="rId20" Type="http://schemas.openxmlformats.org/officeDocument/2006/relationships/image" Target="media/image1.png"/><Relationship Id="rId21" Type="http://schemas.openxmlformats.org/officeDocument/2006/relationships/image" Target="media/image1.png"/><Relationship Id="rId22" Type="http://schemas.openxmlformats.org/officeDocument/2006/relationships/image" Target="media/image1.png"/><Relationship Id="rId23" Type="http://schemas.openxmlformats.org/officeDocument/2006/relationships/image" Target="media/image1.png"/><Relationship Id="rId24" Type="http://schemas.openxmlformats.org/officeDocument/2006/relationships/image" Target="media/image1.png"/><Relationship Id="rId25" Type="http://schemas.openxmlformats.org/officeDocument/2006/relationships/image" Target="media/image1.png"/><Relationship Id="rId26" Type="http://schemas.openxmlformats.org/officeDocument/2006/relationships/image" Target="media/image1.png"/><Relationship Id="rId27" Type="http://schemas.openxmlformats.org/officeDocument/2006/relationships/image" Target="media/image1.png"/><Relationship Id="rId28" Type="http://schemas.openxmlformats.org/officeDocument/2006/relationships/image" Target="media/image1.png"/><Relationship Id="rId29" Type="http://schemas.openxmlformats.org/officeDocument/2006/relationships/image" Target="media/image1.png"/><Relationship Id="rId30" Type="http://schemas.openxmlformats.org/officeDocument/2006/relationships/image" Target="media/image1.png"/><Relationship Id="rId31" Type="http://schemas.openxmlformats.org/officeDocument/2006/relationships/image" Target="media/image1.png"/><Relationship Id="rId32" Type="http://schemas.openxmlformats.org/officeDocument/2006/relationships/image" Target="media/image1.png"/><Relationship Id="rId33" Type="http://schemas.openxmlformats.org/officeDocument/2006/relationships/image" Target="media/image1.png"/><Relationship Id="rId34" Type="http://schemas.openxmlformats.org/officeDocument/2006/relationships/image" Target="media/image1.png"/><Relationship Id="rId35" Type="http://schemas.openxmlformats.org/officeDocument/2006/relationships/image" Target="media/image1.png"/><Relationship Id="rId36" Type="http://schemas.openxmlformats.org/officeDocument/2006/relationships/image" Target="media/image1.png"/><Relationship Id="rId37" Type="http://schemas.openxmlformats.org/officeDocument/2006/relationships/image" Target="media/image1.png"/><Relationship Id="rId38" Type="http://schemas.openxmlformats.org/officeDocument/2006/relationships/image" Target="media/image1.png"/><Relationship Id="rId39" Type="http://schemas.openxmlformats.org/officeDocument/2006/relationships/image" Target="media/image1.png"/><Relationship Id="rId40" Type="http://schemas.openxmlformats.org/officeDocument/2006/relationships/image" Target="media/image1.png"/><Relationship Id="rId41" Type="http://schemas.openxmlformats.org/officeDocument/2006/relationships/image" Target="media/image1.png"/><Relationship Id="rId42" Type="http://schemas.openxmlformats.org/officeDocument/2006/relationships/image" Target="media/image1.png"/><Relationship Id="rId43" Type="http://schemas.openxmlformats.org/officeDocument/2006/relationships/image" Target="media/image1.png"/><Relationship Id="rId44" Type="http://schemas.openxmlformats.org/officeDocument/2006/relationships/image" Target="media/image1.png"/><Relationship Id="rId45" Type="http://schemas.openxmlformats.org/officeDocument/2006/relationships/image" Target="media/image1.png"/><Relationship Id="rId46" Type="http://schemas.openxmlformats.org/officeDocument/2006/relationships/image" Target="media/image1.png"/><Relationship Id="rId47" Type="http://schemas.openxmlformats.org/officeDocument/2006/relationships/image" Target="media/image1.png"/><Relationship Id="rId48" Type="http://schemas.openxmlformats.org/officeDocument/2006/relationships/image" Target="media/image1.png"/><Relationship Id="rId49" Type="http://schemas.openxmlformats.org/officeDocument/2006/relationships/image" Target="media/image1.png"/><Relationship Id="rId50" Type="http://schemas.openxmlformats.org/officeDocument/2006/relationships/image" Target="media/image1.png"/><Relationship Id="rId51" Type="http://schemas.openxmlformats.org/officeDocument/2006/relationships/image" Target="media/image1.png"/><Relationship Id="rId52" Type="http://schemas.openxmlformats.org/officeDocument/2006/relationships/image" Target="media/image1.png"/><Relationship Id="rId53" Type="http://schemas.openxmlformats.org/officeDocument/2006/relationships/image" Target="media/image1.png"/><Relationship Id="rId54" Type="http://schemas.openxmlformats.org/officeDocument/2006/relationships/image" Target="media/image1.png"/><Relationship Id="rId55" Type="http://schemas.openxmlformats.org/officeDocument/2006/relationships/image" Target="media/image1.png"/><Relationship Id="rId56" Type="http://schemas.openxmlformats.org/officeDocument/2006/relationships/image" Target="media/image1.png"/><Relationship Id="rId57" Type="http://schemas.openxmlformats.org/officeDocument/2006/relationships/image" Target="media/image1.png"/><Relationship Id="rId58" Type="http://schemas.openxmlformats.org/officeDocument/2006/relationships/image" Target="media/image1.png"/><Relationship Id="rId59" Type="http://schemas.openxmlformats.org/officeDocument/2006/relationships/image" Target="media/image1.png"/><Relationship Id="rId60" Type="http://schemas.openxmlformats.org/officeDocument/2006/relationships/image" Target="media/image1.png"/><Relationship Id="rId61" Type="http://schemas.openxmlformats.org/officeDocument/2006/relationships/image" Target="media/image1.png"/><Relationship Id="rId62" Type="http://schemas.openxmlformats.org/officeDocument/2006/relationships/image" Target="media/image1.png"/><Relationship Id="rId63" Type="http://schemas.openxmlformats.org/officeDocument/2006/relationships/image" Target="media/image1.pn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49621</Words>
  <Characters>265827</Characters>
  <CharactersWithSpaces>313311</CharactersWithSpaces>
  <Paragraphs>3615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