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167640</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29, 2020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72"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168910</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33" w:right="359" w:bottom="1440" w:gutter="0" w:footer="0" w:header="0"/>
        </w:sectPr>
      </w:pPr>
    </w:p>
    <w:p>
      <w:pPr>
        <w:spacing w:after="0" w:line="151"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280" w:space="720"/>
            <w:col w:w="3220"/>
          </w:cols>
          <w:pgMar w:left="320" w:top="233" w:right="35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400" w:space="720"/>
            <w:col w:w="4100"/>
          </w:cols>
          <w:pgMar w:left="320" w:top="233"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10680 Treena St., Suite 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Diego, CA 92131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 of registrant’s principal executive offices)</w:t>
      </w:r>
    </w:p>
    <w:p>
      <w:pPr>
        <w:spacing w:after="0" w:line="26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7"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820" w:type="dxa"/>
            <w:vAlign w:val="bottom"/>
            <w:tcBorders>
              <w:top w:val="single" w:sz="8" w:color="auto"/>
              <w:left w:val="single" w:sz="8" w:color="auto"/>
              <w:right w:val="single" w:sz="8" w:color="auto"/>
            </w:tcBorders>
          </w:tcPr>
          <w:p>
            <w:pPr>
              <w:ind w:left="1220"/>
              <w:spacing w:after="0"/>
              <w:rPr>
                <w:sz w:val="20"/>
                <w:szCs w:val="20"/>
                <w:color w:val="auto"/>
              </w:rPr>
            </w:pPr>
            <w:r>
              <w:rPr>
                <w:rFonts w:ascii="Arial" w:cs="Arial" w:eastAsia="Arial" w:hAnsi="Arial"/>
                <w:sz w:val="18"/>
                <w:szCs w:val="18"/>
                <w:b w:val="1"/>
                <w:bCs w:val="1"/>
                <w:color w:val="auto"/>
              </w:rPr>
              <w:t>Title of each class</w:t>
            </w: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$0.001 par value</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300355</wp:posOffset>
            </wp:positionV>
            <wp:extent cx="3711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1" w:lineRule="exact"/>
        <w:rPr>
          <w:sz w:val="24"/>
          <w:szCs w:val="24"/>
          <w:color w:val="auto"/>
        </w:rPr>
      </w:pPr>
    </w:p>
    <w:p>
      <w:pPr>
        <w:jc w:val="both"/>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83"/>
        </w:trPr>
        <w:tc>
          <w:tcPr>
            <w:tcW w:w="2520" w:type="dxa"/>
            <w:vAlign w:val="bottom"/>
            <w:vMerge w:val="restart"/>
          </w:tcPr>
          <w:p>
            <w:pPr>
              <w:jc w:val="center"/>
              <w:ind w:right="810"/>
              <w:spacing w:after="0"/>
              <w:rPr>
                <w:sz w:val="20"/>
                <w:szCs w:val="20"/>
                <w:color w:val="auto"/>
              </w:rPr>
            </w:pPr>
            <w:r>
              <w:rPr>
                <w:rFonts w:ascii="Arial" w:cs="Arial" w:eastAsia="Arial" w:hAnsi="Arial"/>
                <w:sz w:val="18"/>
                <w:szCs w:val="18"/>
                <w:color w:val="auto"/>
                <w:w w:val="90"/>
              </w:rPr>
              <w:t>Large accelerated filer</w:t>
            </w:r>
          </w:p>
        </w:tc>
        <w:tc>
          <w:tcPr>
            <w:tcW w:w="200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vMerge w:val="restart"/>
          </w:tcPr>
          <w:p>
            <w:pPr>
              <w:jc w:val="center"/>
              <w:ind w:left="50"/>
              <w:spacing w:after="0"/>
              <w:rPr>
                <w:sz w:val="20"/>
                <w:szCs w:val="20"/>
                <w:color w:val="auto"/>
              </w:rPr>
            </w:pPr>
            <w:r>
              <w:rPr>
                <w:rFonts w:ascii="Arial" w:cs="Arial" w:eastAsia="Arial" w:hAnsi="Arial"/>
                <w:sz w:val="18"/>
                <w:szCs w:val="18"/>
                <w:color w:val="auto"/>
                <w:w w:val="92"/>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15"/>
        </w:trPr>
        <w:tc>
          <w:tcPr>
            <w:tcW w:w="252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2520" w:type="dxa"/>
            <w:vAlign w:val="bottom"/>
            <w:vMerge w:val="restart"/>
          </w:tcPr>
          <w:p>
            <w:pPr>
              <w:jc w:val="center"/>
              <w:ind w:right="790"/>
              <w:spacing w:after="0"/>
              <w:rPr>
                <w:sz w:val="20"/>
                <w:szCs w:val="20"/>
                <w:color w:val="auto"/>
              </w:rPr>
            </w:pPr>
            <w:r>
              <w:rPr>
                <w:rFonts w:ascii="Arial" w:cs="Arial" w:eastAsia="Arial" w:hAnsi="Arial"/>
                <w:sz w:val="18"/>
                <w:szCs w:val="18"/>
                <w:color w:val="auto"/>
                <w:w w:val="91"/>
              </w:rPr>
              <w:t>Non-accelerated filer</w:t>
            </w:r>
          </w:p>
        </w:tc>
        <w:tc>
          <w:tcPr>
            <w:tcW w:w="200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Smaller reporting company</w:t>
            </w:r>
          </w:p>
        </w:tc>
        <w:tc>
          <w:tcPr>
            <w:tcW w:w="11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5"/>
        </w:trPr>
        <w:tc>
          <w:tcPr>
            <w:tcW w:w="252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1"/>
        </w:trPr>
        <w:tc>
          <w:tcPr>
            <w:tcW w:w="2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Emerging growth company</w:t>
            </w:r>
          </w:p>
        </w:tc>
        <w:tc>
          <w:tcPr>
            <w:tcW w:w="11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May 1, 2020, 106,978,328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29,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30"/>
        </w:trPr>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720" w:type="dxa"/>
            <w:vAlign w:val="bottom"/>
            <w:gridSpan w:val="3"/>
          </w:tcPr>
          <w:p>
            <w:pPr>
              <w:jc w:val="center"/>
              <w:ind w:right="20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560" w:type="dxa"/>
            <w:vAlign w:val="bottom"/>
          </w:tcPr>
          <w:p>
            <w:pPr>
              <w:spacing w:after="0"/>
              <w:rPr>
                <w:sz w:val="19"/>
                <w:szCs w:val="19"/>
                <w:color w:val="auto"/>
              </w:rPr>
            </w:pPr>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540"/>
        </w:trPr>
        <w:tc>
          <w:tcPr>
            <w:tcW w:w="90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March 29, 2020 and December 29, 2019 (unaudited)</w:t>
              </w:r>
            </w:hyperlink>
          </w:p>
        </w:tc>
        <w:tc>
          <w:tcPr>
            <w:tcW w:w="5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499"/>
        </w:trPr>
        <w:tc>
          <w:tcPr>
            <w:tcW w:w="900" w:type="dxa"/>
            <w:vAlign w:val="bottom"/>
          </w:tcPr>
          <w:p>
            <w:pPr>
              <w:spacing w:after="0"/>
              <w:rPr>
                <w:sz w:val="24"/>
                <w:szCs w:val="24"/>
                <w:color w:val="auto"/>
              </w:rPr>
            </w:pPr>
          </w:p>
        </w:tc>
        <w:tc>
          <w:tcPr>
            <w:tcW w:w="93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 Months Ended March 29, 2020 and</w:t>
              </w:r>
            </w:hyperlink>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0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March 31, 2019 (unaudited)</w:t>
              </w:r>
            </w:hyperlink>
          </w:p>
        </w:tc>
        <w:tc>
          <w:tcPr>
            <w:tcW w:w="7720" w:type="dxa"/>
            <w:vAlign w:val="bottom"/>
            <w:gridSpan w:val="3"/>
          </w:tcPr>
          <w:p>
            <w:pPr>
              <w:spacing w:after="0"/>
              <w:rPr>
                <w:sz w:val="17"/>
                <w:szCs w:val="17"/>
                <w:color w:val="auto"/>
              </w:rPr>
            </w:pPr>
          </w:p>
        </w:tc>
        <w:tc>
          <w:tcPr>
            <w:tcW w:w="560" w:type="dxa"/>
            <w:vAlign w:val="bottom"/>
          </w:tcPr>
          <w:p>
            <w:pPr>
              <w:jc w:val="right"/>
              <w:spacing w:after="0" w:line="19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574"/>
        </w:trPr>
        <w:tc>
          <w:tcPr>
            <w:tcW w:w="900" w:type="dxa"/>
            <w:vAlign w:val="bottom"/>
          </w:tcPr>
          <w:p>
            <w:pPr>
              <w:spacing w:after="0"/>
              <w:rPr>
                <w:sz w:val="24"/>
                <w:szCs w:val="24"/>
                <w:color w:val="auto"/>
              </w:rPr>
            </w:pPr>
          </w:p>
        </w:tc>
        <w:tc>
          <w:tcPr>
            <w:tcW w:w="91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for the Three Months Ended March 29, 2020 and March 31, 2019</w:t>
              </w:r>
            </w:hyperlink>
          </w:p>
        </w:tc>
        <w:tc>
          <w:tcPr>
            <w:tcW w:w="5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974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560" w:type="dxa"/>
            <w:vAlign w:val="bottom"/>
          </w:tcPr>
          <w:p>
            <w:pPr>
              <w:jc w:val="right"/>
              <w:spacing w:after="0" w:line="19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0"/>
        </w:trPr>
        <w:tc>
          <w:tcPr>
            <w:tcW w:w="9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14"/>
        </w:trPr>
        <w:tc>
          <w:tcPr>
            <w:tcW w:w="90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Condensed Consolidated Statements of Cash Flows for the Three Months Ended March 29, 2020 and March 31, 2019 (unaudited)</w:t>
              </w:r>
            </w:hyperlink>
          </w:p>
        </w:tc>
        <w:tc>
          <w:tcPr>
            <w:tcW w:w="5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594"/>
        </w:trPr>
        <w:tc>
          <w:tcPr>
            <w:tcW w:w="90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5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24</w:t>
              </w:r>
            </w:hyperlink>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3.</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540"/>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720" w:type="dxa"/>
            <w:vAlign w:val="bottom"/>
            <w:gridSpan w:val="3"/>
          </w:tcPr>
          <w:p>
            <w:pPr>
              <w:jc w:val="center"/>
              <w:ind w:right="204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II. OTHER INFORMATION</w:t>
              </w:r>
            </w:hyperlink>
          </w:p>
        </w:tc>
        <w:tc>
          <w:tcPr>
            <w:tcW w:w="560" w:type="dxa"/>
            <w:vAlign w:val="bottom"/>
          </w:tcPr>
          <w:p>
            <w:pPr>
              <w:spacing w:after="0"/>
              <w:rPr>
                <w:sz w:val="24"/>
                <w:szCs w:val="24"/>
                <w:color w:val="auto"/>
              </w:rPr>
            </w:pPr>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540"/>
        </w:trPr>
        <w:tc>
          <w:tcPr>
            <w:tcW w:w="900" w:type="dxa"/>
            <w:vAlign w:val="bottom"/>
          </w:tcPr>
          <w:p>
            <w:pPr>
              <w:spacing w:after="0"/>
              <w:rPr>
                <w:rFonts w:ascii="Arial" w:cs="Arial" w:eastAsia="Arial" w:hAnsi="Arial"/>
                <w:sz w:val="18"/>
                <w:szCs w:val="18"/>
                <w:color w:val="0000EE"/>
              </w:rPr>
            </w:pPr>
            <w:hyperlink w:anchor="page3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5.</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540"/>
        </w:trPr>
        <w:tc>
          <w:tcPr>
            <w:tcW w:w="9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6.</w:t>
              </w:r>
            </w:hyperlink>
          </w:p>
        </w:tc>
        <w:tc>
          <w:tcPr>
            <w:tcW w:w="9740" w:type="dxa"/>
            <w:vAlign w:val="bottom"/>
            <w:gridSpan w:val="5"/>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36</w:t>
              </w:r>
            </w:hyperlink>
          </w:p>
        </w:tc>
      </w:tr>
      <w:tr>
        <w:trPr>
          <w:trHeight w:val="459"/>
        </w:trPr>
        <w:tc>
          <w:tcPr>
            <w:tcW w:w="900" w:type="dxa"/>
            <w:vAlign w:val="bottom"/>
          </w:tcPr>
          <w:p>
            <w:pPr>
              <w:spacing w:after="0"/>
              <w:rPr>
                <w:sz w:val="24"/>
                <w:szCs w:val="24"/>
                <w:color w:val="auto"/>
              </w:rPr>
            </w:pPr>
          </w:p>
        </w:tc>
        <w:tc>
          <w:tcPr>
            <w:tcW w:w="9160" w:type="dxa"/>
            <w:vAlign w:val="bottom"/>
            <w:gridSpan w:val="3"/>
          </w:tcPr>
          <w:p>
            <w:pPr>
              <w:ind w:left="46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gridSpan w:val="2"/>
          </w:tcPr>
          <w:p>
            <w:pPr>
              <w:ind w:left="3860"/>
              <w:spacing w:after="0"/>
              <w:rPr>
                <w:sz w:val="20"/>
                <w:szCs w:val="20"/>
                <w:color w:val="auto"/>
              </w:rPr>
            </w:pPr>
            <w:r>
              <w:rPr>
                <w:rFonts w:ascii="Arial" w:cs="Arial" w:eastAsia="Arial" w:hAnsi="Arial"/>
                <w:sz w:val="16"/>
                <w:szCs w:val="16"/>
                <w:b w:val="1"/>
                <w:bCs w:val="1"/>
                <w:color w:val="auto"/>
                <w:w w:val="91"/>
              </w:rPr>
              <w:t>(in millions, except par value and number of shares)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70"/>
        </w:trPr>
        <w:tc>
          <w:tcPr>
            <w:tcW w:w="7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March 29, 2020</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7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23"/>
                <w:szCs w:val="23"/>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29, 2019</w:t>
            </w:r>
          </w:p>
        </w:tc>
      </w:tr>
      <w:tr>
        <w:trPr>
          <w:trHeight w:val="33"/>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24"/>
        </w:trPr>
        <w:tc>
          <w:tcPr>
            <w:tcW w:w="71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6"/>
        </w:trPr>
        <w:tc>
          <w:tcPr>
            <w:tcW w:w="7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85.0</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Unbilled receivables, net</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179.4</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61.1</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of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17"/>
        </w:trPr>
        <w:tc>
          <w:tcPr>
            <w:tcW w:w="71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4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522.2</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42.1</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455.6</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39.5</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83"/>
        </w:trPr>
        <w:tc>
          <w:tcPr>
            <w:tcW w:w="71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1,186.0</w:t>
            </w:r>
          </w:p>
        </w:tc>
      </w:tr>
      <w:tr>
        <w:trPr>
          <w:trHeight w:val="22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4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32.7</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295.3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295.1</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 net of current portion</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78.7</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 of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17"/>
        </w:trPr>
        <w:tc>
          <w:tcPr>
            <w:tcW w:w="7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588.1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596.9</w:t>
            </w:r>
          </w:p>
        </w:tc>
      </w:tr>
      <w:tr>
        <w:trPr>
          <w:trHeight w:val="33"/>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14)</w:t>
            </w: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20"/>
        </w:trPr>
        <w:tc>
          <w:tcPr>
            <w:tcW w:w="7100" w:type="dxa"/>
            <w:vAlign w:val="bottom"/>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March 29, 2020</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06"/>
        </w:trPr>
        <w:tc>
          <w:tcPr>
            <w:tcW w:w="7100" w:type="dxa"/>
            <w:vAlign w:val="bottom"/>
          </w:tcPr>
          <w:p>
            <w:pPr>
              <w:ind w:left="180"/>
              <w:spacing w:after="0"/>
              <w:rPr>
                <w:sz w:val="20"/>
                <w:szCs w:val="20"/>
                <w:color w:val="auto"/>
              </w:rPr>
            </w:pPr>
            <w:r>
              <w:rPr>
                <w:rFonts w:ascii="Arial" w:cs="Arial" w:eastAsia="Arial" w:hAnsi="Arial"/>
                <w:sz w:val="16"/>
                <w:szCs w:val="16"/>
                <w:color w:val="auto"/>
              </w:rPr>
              <w:t>and December 29, 2019</w:t>
            </w:r>
          </w:p>
        </w:tc>
        <w:tc>
          <w:tcPr>
            <w:tcW w:w="40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0"/>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Common stock, $0.001 par value, 195,000,000 shares authorized; 106,960,828 and 106,635,508 shares</w:t>
            </w: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9"/>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issued and outstanding at March 29, 2020 and December 29, 2019, respectively</w:t>
            </w:r>
          </w:p>
        </w:tc>
        <w:tc>
          <w:tcPr>
            <w:tcW w:w="4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1,292.6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1,286.5</w:t>
            </w:r>
          </w:p>
        </w:tc>
      </w:tr>
      <w:tr>
        <w:trPr>
          <w:trHeight w:val="33"/>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(712.0)</w:t>
            </w:r>
          </w:p>
        </w:tc>
      </w:tr>
      <w:tr>
        <w:trPr>
          <w:trHeight w:val="33"/>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574.1</w:t>
            </w:r>
          </w:p>
        </w:tc>
      </w:tr>
      <w:tr>
        <w:trPr>
          <w:trHeight w:val="243"/>
        </w:trPr>
        <w:tc>
          <w:tcPr>
            <w:tcW w:w="7100" w:type="dxa"/>
            <w:vAlign w:val="bottom"/>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1,183.3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1,186.0</w:t>
            </w:r>
          </w:p>
        </w:tc>
      </w:tr>
      <w:tr>
        <w:trPr>
          <w:trHeight w:val="20"/>
        </w:trPr>
        <w:tc>
          <w:tcPr>
            <w:tcW w:w="7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left="340" w:right="1880"/>
        <w:spacing w:after="0" w:line="25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INCOME (in millions, except per share amounts)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29, 2020</w:t>
            </w:r>
          </w:p>
        </w:tc>
        <w:tc>
          <w:tcPr>
            <w:tcW w:w="1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March 31, 2019</w:t>
            </w:r>
          </w:p>
        </w:tc>
      </w:tr>
      <w:tr>
        <w:trPr>
          <w:trHeight w:val="236"/>
        </w:trPr>
        <w:tc>
          <w:tcPr>
            <w:tcW w:w="8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97.8</w:t>
            </w:r>
          </w:p>
        </w:tc>
      </w:tr>
      <w:tr>
        <w:trPr>
          <w:trHeight w:val="33"/>
        </w:trPr>
        <w:tc>
          <w:tcPr>
            <w:tcW w:w="8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42.0</w:t>
            </w:r>
          </w:p>
        </w:tc>
      </w:tr>
      <w:tr>
        <w:trPr>
          <w:trHeight w:val="33"/>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w:t>
            </w:r>
          </w:p>
        </w:tc>
      </w:tr>
      <w:tr>
        <w:trPr>
          <w:trHeight w:val="217"/>
        </w:trPr>
        <w:tc>
          <w:tcPr>
            <w:tcW w:w="8660" w:type="dxa"/>
            <w:vAlign w:val="bottom"/>
          </w:tcPr>
          <w:p>
            <w:pPr>
              <w:ind w:left="2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115.5</w:t>
            </w:r>
          </w:p>
        </w:tc>
      </w:tr>
      <w:tr>
        <w:trPr>
          <w:trHeight w:val="33"/>
        </w:trPr>
        <w:tc>
          <w:tcPr>
            <w:tcW w:w="8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17"/>
        </w:trPr>
        <w:tc>
          <w:tcPr>
            <w:tcW w:w="8660" w:type="dxa"/>
            <w:vAlign w:val="bottom"/>
          </w:tcPr>
          <w:p>
            <w:pPr>
              <w:ind w:left="280"/>
              <w:spacing w:after="0"/>
              <w:rPr>
                <w:sz w:val="20"/>
                <w:szCs w:val="20"/>
                <w:color w:val="auto"/>
              </w:rPr>
            </w:pPr>
            <w:r>
              <w:rPr>
                <w:rFonts w:ascii="Arial" w:cs="Arial" w:eastAsia="Arial" w:hAnsi="Arial"/>
                <w:sz w:val="16"/>
                <w:szCs w:val="16"/>
                <w:color w:val="auto"/>
              </w:rPr>
              <w:t>Operating income from continuing operations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8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866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8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Benefit for income taxes from continuing operations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0"/>
        </w:trPr>
        <w:tc>
          <w:tcPr>
            <w:tcW w:w="86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33"/>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operations of discontinued component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86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84"/>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 (loss) attributable to Kratos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r>
      <w:tr>
        <w:trPr>
          <w:trHeight w:val="22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common share attributable to Kratos: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0.04</w:t>
            </w:r>
          </w:p>
        </w:tc>
      </w:tr>
      <w:tr>
        <w:trPr>
          <w:trHeight w:val="33"/>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83"/>
        </w:trPr>
        <w:tc>
          <w:tcPr>
            <w:tcW w:w="86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r>
      <w:tr>
        <w:trPr>
          <w:trHeight w:val="23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(loss) per common share attributable to Kratos: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0.03</w:t>
            </w:r>
          </w:p>
        </w:tc>
      </w:tr>
      <w:tr>
        <w:trPr>
          <w:trHeight w:val="33"/>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6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r>
      <w:tr>
        <w:trPr>
          <w:trHeight w:val="163"/>
        </w:trPr>
        <w:tc>
          <w:tcPr>
            <w:tcW w:w="8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bl>
    <w:p>
      <w:pPr>
        <w:spacing w:after="0" w:line="3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40"/>
        <w:spacing w:after="0"/>
        <w:rPr>
          <w:sz w:val="20"/>
          <w:szCs w:val="20"/>
          <w:color w:val="auto"/>
        </w:rPr>
      </w:pPr>
      <w:r>
        <w:rPr>
          <w:rFonts w:ascii="Arial" w:cs="Arial" w:eastAsia="Arial" w:hAnsi="Arial"/>
          <w:sz w:val="14"/>
          <w:szCs w:val="14"/>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(from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cumulative translation adjustment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104.9</w:t>
            </w:r>
          </w:p>
        </w:tc>
      </w:tr>
      <w:tr>
        <w:trPr>
          <w:trHeight w:val="33"/>
        </w:trPr>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4"/>
        </w:trPr>
        <w:tc>
          <w:tcPr>
            <w:tcW w:w="4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107.8</w:t>
            </w:r>
          </w:p>
        </w:tc>
      </w:tr>
      <w:tr>
        <w:trPr>
          <w:trHeight w:val="33"/>
        </w:trPr>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88"/>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0"/>
        </w:trPr>
        <w:tc>
          <w:tcPr>
            <w:tcW w:w="4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637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7940" w:space="720"/>
            <w:col w:w="25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86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5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Comprehensive income attributable to Kratos</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8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left="300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three months ended March 31, 2019 and March 29,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240"/>
          </w:cols>
          <w:pgMar w:left="320" w:top="125" w:right="33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2"/>
              </w:rPr>
              <w:t>Redeemable</w:t>
            </w:r>
          </w:p>
        </w:tc>
      </w:tr>
      <w:tr>
        <w:trPr>
          <w:trHeight w:val="14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right w:val="single" w:sz="8" w:color="auto"/>
            </w:tcBorders>
          </w:tcPr>
          <w:p>
            <w:pPr>
              <w:jc w:val="center"/>
              <w:ind w:right="107"/>
              <w:spacing w:after="0" w:line="149" w:lineRule="exact"/>
              <w:rPr>
                <w:sz w:val="20"/>
                <w:szCs w:val="20"/>
                <w:color w:val="auto"/>
              </w:rPr>
            </w:pPr>
            <w:r>
              <w:rPr>
                <w:rFonts w:ascii="Arial" w:cs="Arial" w:eastAsia="Arial" w:hAnsi="Arial"/>
                <w:sz w:val="14"/>
                <w:szCs w:val="14"/>
                <w:b w:val="1"/>
                <w:bCs w:val="1"/>
                <w:color w:val="auto"/>
                <w:w w:val="92"/>
              </w:rPr>
              <w:t>Noncontrolling</w:t>
            </w:r>
          </w:p>
        </w:tc>
      </w:tr>
      <w:tr>
        <w:trPr>
          <w:trHeight w:val="192"/>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4"/>
              </w:rPr>
              <w:t>Interest</w:t>
            </w:r>
          </w:p>
        </w:tc>
      </w:tr>
      <w:tr>
        <w:trPr>
          <w:trHeight w:val="244"/>
        </w:trPr>
        <w:tc>
          <w:tcPr>
            <w:tcW w:w="2920" w:type="dxa"/>
            <w:vAlign w:val="bottom"/>
          </w:tcPr>
          <w:p>
            <w:pPr>
              <w:spacing w:after="0"/>
              <w:rPr>
                <w:sz w:val="20"/>
                <w:szCs w:val="20"/>
                <w:color w:val="auto"/>
              </w:rPr>
            </w:pPr>
            <w:r>
              <w:rPr>
                <w:rFonts w:ascii="Arial" w:cs="Arial" w:eastAsia="Arial" w:hAnsi="Arial"/>
                <w:sz w:val="14"/>
                <w:szCs w:val="14"/>
                <w:b w:val="1"/>
                <w:bCs w:val="1"/>
                <w:color w:val="auto"/>
              </w:rPr>
              <w:t>Balance, December 30, 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70"/>
        </w:trPr>
        <w:tc>
          <w:tcPr>
            <w:tcW w:w="292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23"/>
                <w:szCs w:val="23"/>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8"/>
                <w:szCs w:val="18"/>
                <w:color w:val="auto"/>
              </w:rPr>
              <w:t>—</w:t>
            </w:r>
          </w:p>
        </w:tc>
      </w:tr>
      <w:tr>
        <w:trPr>
          <w:trHeight w:val="169"/>
        </w:trPr>
        <w:tc>
          <w:tcPr>
            <w:tcW w:w="2920" w:type="dxa"/>
            <w:vAlign w:val="bottom"/>
          </w:tcPr>
          <w:p>
            <w:pPr>
              <w:ind w:left="140"/>
              <w:spacing w:after="0"/>
              <w:rPr>
                <w:sz w:val="20"/>
                <w:szCs w:val="20"/>
                <w:color w:val="auto"/>
              </w:rPr>
            </w:pPr>
            <w:r>
              <w:rPr>
                <w:rFonts w:ascii="Arial" w:cs="Arial" w:eastAsia="Arial" w:hAnsi="Arial"/>
                <w:sz w:val="14"/>
                <w:szCs w:val="14"/>
                <w:color w:val="auto"/>
              </w:rPr>
              <w:t>Issuance of common stock for employee</w:t>
            </w:r>
          </w:p>
        </w:tc>
        <w:tc>
          <w:tcPr>
            <w:tcW w:w="16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r>
      <w:tr>
        <w:trPr>
          <w:trHeight w:val="182"/>
        </w:trPr>
        <w:tc>
          <w:tcPr>
            <w:tcW w:w="2920" w:type="dxa"/>
            <w:vAlign w:val="bottom"/>
          </w:tcPr>
          <w:p>
            <w:pPr>
              <w:ind w:left="300"/>
              <w:spacing w:after="0"/>
              <w:rPr>
                <w:sz w:val="20"/>
                <w:szCs w:val="20"/>
                <w:color w:val="auto"/>
              </w:rPr>
            </w:pPr>
            <w:r>
              <w:rPr>
                <w:rFonts w:ascii="Arial" w:cs="Arial" w:eastAsia="Arial" w:hAnsi="Arial"/>
                <w:sz w:val="14"/>
                <w:szCs w:val="14"/>
                <w:color w:val="auto"/>
                <w:w w:val="99"/>
              </w:rPr>
              <w:t>stock purchase plan, options and warrants</w:t>
            </w:r>
          </w:p>
        </w:tc>
        <w:tc>
          <w:tcPr>
            <w:tcW w:w="160" w:type="dxa"/>
            <w:vAlign w:val="bottom"/>
          </w:tcPr>
          <w:p>
            <w:pPr>
              <w:spacing w:after="0"/>
              <w:rPr>
                <w:sz w:val="15"/>
                <w:szCs w:val="15"/>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70"/>
        </w:trPr>
        <w:tc>
          <w:tcPr>
            <w:tcW w:w="292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60" w:type="dxa"/>
            <w:vAlign w:val="bottom"/>
          </w:tcPr>
          <w:p>
            <w:pPr>
              <w:spacing w:after="0"/>
              <w:rPr>
                <w:sz w:val="23"/>
                <w:szCs w:val="23"/>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70"/>
        </w:trPr>
        <w:tc>
          <w:tcPr>
            <w:tcW w:w="2920" w:type="dxa"/>
            <w:vAlign w:val="bottom"/>
          </w:tcPr>
          <w:p>
            <w:pPr>
              <w:ind w:left="140"/>
              <w:spacing w:after="0"/>
              <w:rPr>
                <w:sz w:val="20"/>
                <w:szCs w:val="20"/>
                <w:color w:val="auto"/>
              </w:rPr>
            </w:pPr>
            <w:r>
              <w:rPr>
                <w:rFonts w:ascii="Arial" w:cs="Arial" w:eastAsia="Arial" w:hAnsi="Arial"/>
                <w:sz w:val="14"/>
                <w:szCs w:val="14"/>
                <w:color w:val="auto"/>
              </w:rPr>
              <w:t>Issuance of common stock for acquisitions</w:t>
            </w:r>
          </w:p>
        </w:tc>
        <w:tc>
          <w:tcPr>
            <w:tcW w:w="160" w:type="dxa"/>
            <w:vAlign w:val="bottom"/>
          </w:tcPr>
          <w:p>
            <w:pPr>
              <w:spacing w:after="0"/>
              <w:rPr>
                <w:sz w:val="23"/>
                <w:szCs w:val="23"/>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70"/>
        </w:trPr>
        <w:tc>
          <w:tcPr>
            <w:tcW w:w="29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3"/>
                <w:szCs w:val="23"/>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76"/>
        </w:trPr>
        <w:tc>
          <w:tcPr>
            <w:tcW w:w="2920" w:type="dxa"/>
            <w:vAlign w:val="bottom"/>
          </w:tcPr>
          <w:p>
            <w:pPr>
              <w:ind w:left="140"/>
              <w:spacing w:after="0"/>
              <w:rPr>
                <w:sz w:val="20"/>
                <w:szCs w:val="20"/>
                <w:color w:val="auto"/>
              </w:rPr>
            </w:pPr>
            <w:r>
              <w:rPr>
                <w:rFonts w:ascii="Arial" w:cs="Arial" w:eastAsia="Arial" w:hAnsi="Arial"/>
                <w:sz w:val="14"/>
                <w:szCs w:val="14"/>
                <w:color w:val="auto"/>
              </w:rPr>
              <w:t>Changes in noncontrolling interest</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67"/>
              <w:spacing w:after="0"/>
              <w:rPr>
                <w:sz w:val="20"/>
                <w:szCs w:val="20"/>
                <w:color w:val="auto"/>
              </w:rPr>
            </w:pPr>
            <w:r>
              <w:rPr>
                <w:rFonts w:ascii="Arial" w:cs="Arial" w:eastAsia="Arial" w:hAnsi="Arial"/>
                <w:sz w:val="14"/>
                <w:szCs w:val="14"/>
                <w:color w:val="auto"/>
              </w:rPr>
              <w:t>15.0</w:t>
            </w:r>
          </w:p>
        </w:tc>
      </w:tr>
      <w:tr>
        <w:trPr>
          <w:trHeight w:val="243"/>
        </w:trPr>
        <w:tc>
          <w:tcPr>
            <w:tcW w:w="2920" w:type="dxa"/>
            <w:vAlign w:val="bottom"/>
          </w:tcPr>
          <w:p>
            <w:pPr>
              <w:spacing w:after="0"/>
              <w:rPr>
                <w:sz w:val="20"/>
                <w:szCs w:val="20"/>
                <w:color w:val="auto"/>
              </w:rPr>
            </w:pPr>
            <w:r>
              <w:rPr>
                <w:rFonts w:ascii="Arial" w:cs="Arial" w:eastAsia="Arial" w:hAnsi="Arial"/>
                <w:sz w:val="14"/>
                <w:szCs w:val="14"/>
                <w:b w:val="1"/>
                <w:bCs w:val="1"/>
                <w:color w:val="auto"/>
              </w:rPr>
              <w:t>Balance, March 31, 2019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67"/>
              <w:spacing w:after="0"/>
              <w:rPr>
                <w:sz w:val="20"/>
                <w:szCs w:val="20"/>
                <w:color w:val="auto"/>
              </w:rPr>
            </w:pPr>
            <w:r>
              <w:rPr>
                <w:rFonts w:ascii="Arial" w:cs="Arial" w:eastAsia="Arial" w:hAnsi="Arial"/>
                <w:sz w:val="14"/>
                <w:szCs w:val="14"/>
                <w:color w:val="auto"/>
              </w:rPr>
              <w:t>15.0</w:t>
            </w: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9"/>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7"/>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right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89"/>
              </w:rPr>
              <w:t>Redeemable</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right w:val="single" w:sz="8" w:color="auto"/>
            </w:tcBorders>
          </w:tcPr>
          <w:p>
            <w:pPr>
              <w:jc w:val="center"/>
              <w:ind w:right="107"/>
              <w:spacing w:after="0" w:line="149" w:lineRule="exact"/>
              <w:rPr>
                <w:sz w:val="20"/>
                <w:szCs w:val="20"/>
                <w:color w:val="auto"/>
              </w:rPr>
            </w:pPr>
            <w:r>
              <w:rPr>
                <w:rFonts w:ascii="Arial" w:cs="Arial" w:eastAsia="Arial" w:hAnsi="Arial"/>
                <w:sz w:val="14"/>
                <w:szCs w:val="14"/>
                <w:b w:val="1"/>
                <w:bCs w:val="1"/>
                <w:color w:val="auto"/>
                <w:w w:val="92"/>
              </w:rPr>
              <w:t>Noncontrolling</w:t>
            </w:r>
          </w:p>
        </w:tc>
      </w:tr>
      <w:tr>
        <w:trPr>
          <w:trHeight w:val="192"/>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4"/>
              </w:rPr>
              <w:t>Interest</w:t>
            </w:r>
          </w:p>
        </w:tc>
      </w:tr>
      <w:tr>
        <w:trPr>
          <w:trHeight w:val="244"/>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Balance, December 29, 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15.0</w:t>
            </w:r>
          </w:p>
        </w:tc>
      </w:tr>
      <w:tr>
        <w:trPr>
          <w:trHeight w:val="270"/>
        </w:trPr>
        <w:tc>
          <w:tcPr>
            <w:tcW w:w="292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23"/>
                <w:szCs w:val="23"/>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169"/>
        </w:trPr>
        <w:tc>
          <w:tcPr>
            <w:tcW w:w="2920" w:type="dxa"/>
            <w:vAlign w:val="bottom"/>
          </w:tcPr>
          <w:p>
            <w:pPr>
              <w:ind w:left="160"/>
              <w:spacing w:after="0"/>
              <w:rPr>
                <w:sz w:val="20"/>
                <w:szCs w:val="20"/>
                <w:color w:val="auto"/>
              </w:rPr>
            </w:pPr>
            <w:r>
              <w:rPr>
                <w:rFonts w:ascii="Arial" w:cs="Arial" w:eastAsia="Arial" w:hAnsi="Arial"/>
                <w:sz w:val="14"/>
                <w:szCs w:val="14"/>
                <w:color w:val="auto"/>
              </w:rPr>
              <w:t>Issuance of common stock for employee</w:t>
            </w:r>
          </w:p>
        </w:tc>
        <w:tc>
          <w:tcPr>
            <w:tcW w:w="16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r>
      <w:tr>
        <w:trPr>
          <w:trHeight w:val="182"/>
        </w:trPr>
        <w:tc>
          <w:tcPr>
            <w:tcW w:w="2920" w:type="dxa"/>
            <w:vAlign w:val="bottom"/>
          </w:tcPr>
          <w:p>
            <w:pPr>
              <w:ind w:left="320"/>
              <w:spacing w:after="0"/>
              <w:rPr>
                <w:sz w:val="20"/>
                <w:szCs w:val="20"/>
                <w:color w:val="auto"/>
              </w:rPr>
            </w:pPr>
            <w:r>
              <w:rPr>
                <w:rFonts w:ascii="Arial" w:cs="Arial" w:eastAsia="Arial" w:hAnsi="Arial"/>
                <w:sz w:val="14"/>
                <w:szCs w:val="14"/>
                <w:color w:val="auto"/>
                <w:w w:val="98"/>
              </w:rPr>
              <w:t>stock purchase plan, options and warrants</w:t>
            </w:r>
          </w:p>
        </w:tc>
        <w:tc>
          <w:tcPr>
            <w:tcW w:w="160" w:type="dxa"/>
            <w:vAlign w:val="bottom"/>
          </w:tcPr>
          <w:p>
            <w:pPr>
              <w:spacing w:after="0"/>
              <w:rPr>
                <w:sz w:val="15"/>
                <w:szCs w:val="15"/>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70"/>
        </w:trPr>
        <w:tc>
          <w:tcPr>
            <w:tcW w:w="2920" w:type="dxa"/>
            <w:vAlign w:val="bottom"/>
          </w:tcPr>
          <w:p>
            <w:pPr>
              <w:ind w:left="160"/>
              <w:spacing w:after="0"/>
              <w:rPr>
                <w:sz w:val="20"/>
                <w:szCs w:val="20"/>
                <w:color w:val="auto"/>
              </w:rPr>
            </w:pPr>
            <w:r>
              <w:rPr>
                <w:rFonts w:ascii="Arial" w:cs="Arial" w:eastAsia="Arial" w:hAnsi="Arial"/>
                <w:sz w:val="14"/>
                <w:szCs w:val="14"/>
                <w:color w:val="auto"/>
              </w:rPr>
              <w:t>Restricted stock issued and related taxes</w:t>
            </w:r>
          </w:p>
        </w:tc>
        <w:tc>
          <w:tcPr>
            <w:tcW w:w="160" w:type="dxa"/>
            <w:vAlign w:val="bottom"/>
          </w:tcPr>
          <w:p>
            <w:pPr>
              <w:spacing w:after="0"/>
              <w:rPr>
                <w:sz w:val="23"/>
                <w:szCs w:val="23"/>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70"/>
        </w:trPr>
        <w:tc>
          <w:tcPr>
            <w:tcW w:w="292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23"/>
                <w:szCs w:val="23"/>
                <w:color w:val="auto"/>
              </w:rPr>
            </w:pPr>
          </w:p>
        </w:tc>
        <w:tc>
          <w:tcPr>
            <w:tcW w:w="1220" w:type="dxa"/>
            <w:vAlign w:val="bottom"/>
            <w:tcBorders>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76"/>
        </w:trPr>
        <w:tc>
          <w:tcPr>
            <w:tcW w:w="2920" w:type="dxa"/>
            <w:vAlign w:val="bottom"/>
          </w:tcPr>
          <w:p>
            <w:pPr>
              <w:ind w:left="160"/>
              <w:spacing w:after="0"/>
              <w:rPr>
                <w:sz w:val="20"/>
                <w:szCs w:val="20"/>
                <w:color w:val="auto"/>
              </w:rPr>
            </w:pPr>
            <w:r>
              <w:rPr>
                <w:rFonts w:ascii="Arial" w:cs="Arial" w:eastAsia="Arial" w:hAnsi="Arial"/>
                <w:sz w:val="14"/>
                <w:szCs w:val="14"/>
                <w:color w:val="auto"/>
              </w:rPr>
              <w:t>Other comprehensive income, net of tax</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67"/>
              <w:spacing w:after="0"/>
              <w:rPr>
                <w:sz w:val="20"/>
                <w:szCs w:val="20"/>
                <w:color w:val="auto"/>
              </w:rPr>
            </w:pPr>
            <w:r>
              <w:rPr>
                <w:rFonts w:ascii="Arial" w:cs="Arial" w:eastAsia="Arial" w:hAnsi="Arial"/>
                <w:sz w:val="14"/>
                <w:szCs w:val="14"/>
                <w:color w:val="auto"/>
              </w:rPr>
              <w:t>—</w:t>
            </w:r>
          </w:p>
        </w:tc>
      </w:tr>
      <w:tr>
        <w:trPr>
          <w:trHeight w:val="24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Balance, March 29,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tcPr>
          <w:p>
            <w:pPr>
              <w:jc w:val="right"/>
              <w:ind w:right="67"/>
              <w:spacing w:after="0"/>
              <w:rPr>
                <w:sz w:val="20"/>
                <w:szCs w:val="20"/>
                <w:color w:val="auto"/>
              </w:rPr>
            </w:pPr>
            <w:r>
              <w:rPr>
                <w:rFonts w:ascii="Arial" w:cs="Arial" w:eastAsia="Arial" w:hAnsi="Arial"/>
                <w:sz w:val="14"/>
                <w:szCs w:val="14"/>
                <w:color w:val="auto"/>
              </w:rPr>
              <w:t>15.0</w:t>
            </w: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40" w:type="dxa"/>
            <w:vAlign w:val="bottom"/>
            <w:gridSpan w:val="5"/>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4"/>
                <w:szCs w:val="4"/>
                <w:color w:val="auto"/>
              </w:rPr>
            </w:pPr>
          </w:p>
        </w:tc>
        <w:tc>
          <w:tcPr>
            <w:tcW w:w="1120" w:type="dxa"/>
            <w:vAlign w:val="bottom"/>
            <w:gridSpan w:val="4"/>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4"/>
                <w:szCs w:val="4"/>
                <w:color w:val="auto"/>
              </w:rPr>
            </w:pPr>
          </w:p>
        </w:tc>
        <w:tc>
          <w:tcPr>
            <w:tcW w:w="10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70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100" w:type="dxa"/>
            <w:vAlign w:val="bottom"/>
            <w:gridSpan w:val="2"/>
            <w:vMerge w:val="restart"/>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gridSpan w:val="2"/>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700" w:type="dxa"/>
            <w:vAlign w:val="bottom"/>
          </w:tcPr>
          <w:p>
            <w:pPr>
              <w:jc w:val="right"/>
              <w:ind w:right="46"/>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1,244.5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700" w:type="dxa"/>
            <w:vAlign w:val="bottom"/>
          </w:tcPr>
          <w:p>
            <w:pPr>
              <w:jc w:val="right"/>
              <w:ind w:right="46"/>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right"/>
              <w:ind w:right="46"/>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right"/>
              <w:ind w:right="46"/>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ind w:right="2"/>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1,275.0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552.9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18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5"/>
          </w:tcPr>
          <w:p>
            <w:pPr>
              <w:ind w:left="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restart"/>
          </w:tcPr>
          <w:p>
            <w:pPr>
              <w:ind w:left="20"/>
              <w:spacing w:after="0" w:line="139"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320" w:type="dxa"/>
            <w:vAlign w:val="bottom"/>
            <w:gridSpan w:val="4"/>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1120" w:type="dxa"/>
            <w:vAlign w:val="bottom"/>
            <w:gridSpan w:val="4"/>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4"/>
                <w:szCs w:val="4"/>
                <w:color w:val="auto"/>
              </w:rPr>
            </w:pPr>
          </w:p>
        </w:tc>
        <w:tc>
          <w:tcPr>
            <w:tcW w:w="1000" w:type="dxa"/>
            <w:vAlign w:val="bottom"/>
            <w:gridSpan w:val="2"/>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70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Amounts</w:t>
            </w:r>
          </w:p>
        </w:tc>
        <w:tc>
          <w:tcPr>
            <w:tcW w:w="10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Deficit</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00" w:type="dxa"/>
            <w:vAlign w:val="bottom"/>
          </w:tcPr>
          <w:p>
            <w:pPr>
              <w:jc w:val="right"/>
              <w:ind w:right="46"/>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1,286.5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(712.0)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700" w:type="dxa"/>
            <w:vAlign w:val="bottom"/>
          </w:tcPr>
          <w:p>
            <w:pPr>
              <w:jc w:val="right"/>
              <w:ind w:right="46"/>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right"/>
              <w:ind w:right="46"/>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jc w:val="right"/>
              <w:ind w:right="46"/>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1,292.6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(712.2)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580.2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-3325495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-2982595</wp:posOffset>
            </wp:positionV>
            <wp:extent cx="71323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-2588260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-2245360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-1268095</wp:posOffset>
            </wp:positionV>
            <wp:extent cx="70980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-925195</wp:posOffset>
            </wp:positionV>
            <wp:extent cx="709803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22288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-530860</wp:posOffset>
            </wp:positionV>
            <wp:extent cx="70980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-187960</wp:posOffset>
            </wp:positionV>
            <wp:extent cx="70980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120"/>
            <w:col w:w="6780"/>
          </w:cols>
          <w:pgMar w:left="320" w:top="125" w:right="339" w:bottom="1440" w:gutter="0" w:footer="0" w:header="0"/>
          <w:type w:val="continuous"/>
        </w:sectPr>
      </w:pP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29, 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2019</w:t>
            </w:r>
          </w:p>
        </w:tc>
        <w:tc>
          <w:tcPr>
            <w:tcW w:w="500" w:type="dxa"/>
            <w:vAlign w:val="bottom"/>
            <w:tcBorders>
              <w:bottom w:val="single" w:sz="8" w:color="auto"/>
            </w:tcBorders>
          </w:tcPr>
          <w:p>
            <w:pPr>
              <w:spacing w:after="0"/>
              <w:rPr>
                <w:sz w:val="22"/>
                <w:szCs w:val="22"/>
                <w:color w:val="auto"/>
              </w:rPr>
            </w:pP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520" w:type="dxa"/>
            <w:vAlign w:val="bottom"/>
          </w:tcPr>
          <w:p>
            <w:pPr>
              <w:jc w:val="right"/>
              <w:ind w:right="134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520" w:type="dxa"/>
            <w:vAlign w:val="bottom"/>
          </w:tcPr>
          <w:p>
            <w:pPr>
              <w:jc w:val="right"/>
              <w:ind w:right="132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discontinued operations</w:t>
            </w: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7100" w:type="dxa"/>
            <w:vAlign w:val="bottom"/>
          </w:tcPr>
          <w:p>
            <w:pPr>
              <w:ind w:left="180"/>
              <w:spacing w:after="0"/>
              <w:rPr>
                <w:sz w:val="20"/>
                <w:szCs w:val="20"/>
                <w:color w:val="auto"/>
              </w:rPr>
            </w:pPr>
            <w:r>
              <w:rPr>
                <w:rFonts w:ascii="Arial" w:cs="Arial" w:eastAsia="Arial" w:hAnsi="Arial"/>
                <w:sz w:val="16"/>
                <w:szCs w:val="16"/>
                <w:color w:val="auto"/>
              </w:rPr>
              <w:t>Income from continuing operations</w:t>
            </w: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0"/>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Adjustments to reconcile income from continuing operations to net cash provided by operating activities</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9"/>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from continuing operations:</w:t>
            </w:r>
          </w:p>
        </w:tc>
        <w:tc>
          <w:tcPr>
            <w:tcW w:w="15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37"/>
        </w:trPr>
        <w:tc>
          <w:tcPr>
            <w:tcW w:w="71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lease right-of-use assets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71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710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7100" w:type="dxa"/>
            <w:vAlign w:val="bottom"/>
          </w:tcPr>
          <w:p>
            <w:pPr>
              <w:ind w:left="600"/>
              <w:spacing w:after="0"/>
              <w:rPr>
                <w:sz w:val="20"/>
                <w:szCs w:val="20"/>
                <w:color w:val="auto"/>
              </w:rPr>
            </w:pPr>
            <w:r>
              <w:rPr>
                <w:rFonts w:ascii="Arial" w:cs="Arial" w:eastAsia="Arial" w:hAnsi="Arial"/>
                <w:sz w:val="16"/>
                <w:szCs w:val="16"/>
                <w:color w:val="auto"/>
              </w:rPr>
              <w:t>Unbilled receivables</w:t>
            </w: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37"/>
        </w:trPr>
        <w:tc>
          <w:tcPr>
            <w:tcW w:w="710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lease 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710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710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710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710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710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r>
      <w:tr>
        <w:trPr>
          <w:trHeight w:val="33"/>
        </w:trPr>
        <w:tc>
          <w:tcPr>
            <w:tcW w:w="7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7100" w:type="dxa"/>
            <w:vAlign w:val="bottom"/>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7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6"/>
                <w:szCs w:val="16"/>
                <w:color w:val="auto"/>
              </w:rPr>
              <w:t>Payments under finance leases</w:t>
            </w: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0"/>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Proceeds from exercise of restricted stock units, employee stock options, and employee stock purchase</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9"/>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w:t>
            </w:r>
          </w:p>
        </w:tc>
        <w:tc>
          <w:tcPr>
            <w:tcW w:w="1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17"/>
        </w:trPr>
        <w:tc>
          <w:tcPr>
            <w:tcW w:w="710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7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7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172.6</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183.0</w:t>
            </w:r>
          </w:p>
        </w:tc>
      </w:tr>
      <w:tr>
        <w:trPr>
          <w:trHeight w:val="244"/>
        </w:trPr>
        <w:tc>
          <w:tcPr>
            <w:tcW w:w="71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1520" w:type="dxa"/>
            <w:vAlign w:val="bottom"/>
            <w:tcBorders>
              <w:top w:val="single" w:sz="8" w:color="auto"/>
              <w:bottom w:val="single" w:sz="8" w:color="auto"/>
            </w:tcBorders>
          </w:tcPr>
          <w:p>
            <w:pPr>
              <w:jc w:val="right"/>
              <w:ind w:right="1344"/>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158.6</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ind w:right="132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178.4</w:t>
            </w:r>
          </w:p>
        </w:tc>
      </w:tr>
      <w:tr>
        <w:trPr>
          <w:trHeight w:val="20"/>
        </w:trPr>
        <w:tc>
          <w:tcPr>
            <w:tcW w:w="7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690"/>
        <w:spacing w:after="0" w:line="269" w:lineRule="auto"/>
        <w:rPr>
          <w:sz w:val="20"/>
          <w:szCs w:val="20"/>
          <w:color w:val="auto"/>
        </w:rPr>
      </w:pPr>
      <w:r>
        <w:rPr>
          <w:rFonts w:ascii="Arial" w:cs="Arial" w:eastAsia="Arial" w:hAnsi="Arial"/>
          <w:sz w:val="17"/>
          <w:szCs w:val="17"/>
          <w:color w:val="auto"/>
        </w:rPr>
        <w:t>The information as of March 29, 2020 and for the three months ended March 29, 2020 and March 31, 2019 is unaudited. The condensed consolidated balance sheet as of December 29, 2019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29, 2019, included in the Company’s Annual Report on Form 10-K filed with the U.S. Securities and Exchange Commission (the “SEC”) on February 24, 2020 (the “Form 10-K”). Interim operating results are not necessarily indicative of operating results expected in subsequent periods or for the year as a whole.</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subsidiaries, FTT Inc. and FTT Core,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8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Company has a 52/53 week fiscal year ending on the last Sunday of the calendar year. The three month periods ended March 29, 2020 and March 31, 2019 consisted of 13-week periods. There are 52 calendar weeks in the fiscal years ending on December 27, 2020 and December 29, 2019.</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months ended March 29, 2020 as compared to the accounting estimates described in the Form 10-K.</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In June 2016, the FASB issued ASU 2016-13 (“ASU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The main objective of this update is to provide financial statement users with more decision-useful information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on financial instruments and other commitments to extend credit held by a reporting entity at each reporting date. To achieve this objective, the amendments in this update replace the incurred loss impairment methodology in current GAAP with a methodology that reflects expected credit losses and requires consideration of a broader range of reasonable and supportable information to inform credit loss estimates. ASU 2016-13 is effective for fiscal years beginning after December 15, 2019, including interim periods within those fiscal years. The Company has adopted ASU 2016-13 effective December 30, 2019. The implementation of this guidance did not have a material impact on its unaudited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March 29, 2020 and December 29, 2019 are presented in Note 10. The carrying value of all other financial instruments, including cash equivalents, accounts receivable, unbilled receivables, accounts payable, accrued expenses, billings in excess of cost and earnings on uncompleted contracts, income taxes payable and short-term debt, approximated their estimated fair values at March 29, 2020 and December 29, 2019 due to the short-term nature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FTT Entities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The purchase price was $33 million in cash, with approximately $17.7 million paid at close and approximately $15.3 million to be paid over a three-year period, subject to adjustments for transaction expenses, indebtedness, cash on hand, certain amounts payable or potentially payable to employees of FTT and post-closing working capital adjustments, and 1,825,406 shares of common stock (with a value of approximately $27 million). During the quarter ended March 29, 2020, approximately $4.7 million of the remaining purchase price was paid.</w:t>
      </w:r>
    </w:p>
    <w:p>
      <w:pPr>
        <w:spacing w:after="0" w:line="17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FTT is a leading turbomachinery design and manufacturing company specializing in engineering, development, and testing of gas turbines, propulsion components, engine and other systems for military and commercial applications. FTT is now the Kratos Turbine Technologies Division (the “KTT Division”), which is focused on the development and production of small, affordable, high-performance jet engines for the next generation of tactical weapon systems and tactical jet unmanned aerial systems. The KTT Division is included in the KGS segment.</w:t>
      </w:r>
    </w:p>
    <w:p>
      <w:pPr>
        <w:spacing w:after="0" w:line="17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165" w:lineRule="exact"/>
        <w:rPr>
          <w:sz w:val="20"/>
          <w:szCs w:val="20"/>
          <w:color w:val="auto"/>
        </w:rPr>
      </w:pPr>
    </w:p>
    <w:p>
      <w:pPr>
        <w:jc w:val="both"/>
        <w:ind w:firstLine="810"/>
        <w:spacing w:after="0" w:line="289" w:lineRule="auto"/>
        <w:rPr>
          <w:sz w:val="20"/>
          <w:szCs w:val="20"/>
          <w:color w:val="auto"/>
        </w:rPr>
      </w:pPr>
      <w:r>
        <w:rPr>
          <w:rFonts w:ascii="Arial" w:cs="Arial" w:eastAsia="Arial" w:hAnsi="Arial"/>
          <w:sz w:val="16"/>
          <w:szCs w:val="16"/>
          <w:color w:val="auto"/>
        </w:rPr>
        <w:t>Simultaneously with the execution of the Purchase Agreement among the Company and the Sellers (as defined in such agreement) (the “Purchase Agreement”) and completion of the acquisition, the Company, FTT Inc., FTT Core and the Sellers entered into an exchange agreement (the “Exchange Agreement”) pursuant to which, among other things, (i) FTT Core was converted into a Delaware corporation, (ii) beginning in January 2024, the Holders (as defined in the Exchange Agreement) will have an annual right (the “Put Right”) to sell all of the minority interests in FTT Inc. and FTT Core (the “Minority Interests”) to the Company at a purchase price based on a specified multiple of the trailing 12 months EBITDA of FTT Inc., FTT Core and each of their respective subsidiaries (the “Acquired Companies”), subject to adjustment as set forth in the Exchange Agreement (the “Minority Interest Purchase Price”) (provided, however, that following certain events, including a change of control, the Put Right will be accelerated and the Minority Interest Purchase Price will be a specified increased multiple of the trailing 12 months EBITDA of the Acquired Companies), and (iii) beginning in January 2025, the Company will have an annual right to purchase all of the Minority Interests from the Holders at the Minority Interest Purchase Price.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 thus represent Level 3 measurements. The following table summarizes the allocation of the purchase price over the estimated fair values of the major assets acquired, liabilities assumed, and noncontrolling interest (in millions):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7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9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9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30.8</w:t>
            </w:r>
          </w:p>
        </w:tc>
      </w:tr>
      <w:tr>
        <w:trPr>
          <w:trHeight w:val="27"/>
        </w:trPr>
        <w:tc>
          <w:tcPr>
            <w:tcW w:w="9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r>
      <w:tr>
        <w:trPr>
          <w:trHeight w:val="237"/>
        </w:trPr>
        <w:tc>
          <w:tcPr>
            <w:tcW w:w="9320" w:type="dxa"/>
            <w:vAlign w:val="bottom"/>
          </w:tcPr>
          <w:p>
            <w:pPr>
              <w:ind w:left="100"/>
              <w:spacing w:after="0"/>
              <w:rPr>
                <w:sz w:val="20"/>
                <w:szCs w:val="20"/>
                <w:color w:val="auto"/>
              </w:rPr>
            </w:pPr>
            <w:r>
              <w:rPr>
                <w:rFonts w:ascii="Arial" w:cs="Arial" w:eastAsia="Arial" w:hAnsi="Arial"/>
                <w:sz w:val="18"/>
                <w:szCs w:val="18"/>
                <w:color w:val="auto"/>
              </w:rPr>
              <w:t>Total identifiable net assets acquired</w:t>
            </w: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82.4</w:t>
            </w:r>
          </w:p>
        </w:tc>
      </w:tr>
      <w:tr>
        <w:trPr>
          <w:trHeight w:val="27"/>
        </w:trPr>
        <w:tc>
          <w:tcPr>
            <w:tcW w:w="9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9320" w:type="dxa"/>
            <w:vAlign w:val="bottom"/>
          </w:tcPr>
          <w:p>
            <w:pPr>
              <w:ind w:left="120"/>
              <w:spacing w:after="0"/>
              <w:rPr>
                <w:sz w:val="20"/>
                <w:szCs w:val="20"/>
                <w:color w:val="auto"/>
              </w:rPr>
            </w:pPr>
            <w:r>
              <w:rPr>
                <w:rFonts w:ascii="Arial" w:cs="Arial" w:eastAsia="Arial" w:hAnsi="Arial"/>
                <w:sz w:val="18"/>
                <w:szCs w:val="18"/>
                <w:color w:val="auto"/>
              </w:rPr>
              <w:t>Net assets before noncontrolling interest</w:t>
            </w: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74.9</w:t>
            </w:r>
          </w:p>
        </w:tc>
      </w:tr>
      <w:tr>
        <w:trPr>
          <w:trHeight w:val="27"/>
        </w:trPr>
        <w:tc>
          <w:tcPr>
            <w:tcW w:w="9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7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57"/>
        </w:trPr>
        <w:tc>
          <w:tcPr>
            <w:tcW w:w="9320" w:type="dxa"/>
            <w:vAlign w:val="bottom"/>
          </w:tcPr>
          <w:p>
            <w:pPr>
              <w:ind w:left="120"/>
              <w:spacing w:after="0"/>
              <w:rPr>
                <w:sz w:val="20"/>
                <w:szCs w:val="20"/>
                <w:color w:val="auto"/>
              </w:rPr>
            </w:pPr>
            <w:r>
              <w:rPr>
                <w:rFonts w:ascii="Arial" w:cs="Arial" w:eastAsia="Arial" w:hAnsi="Arial"/>
                <w:sz w:val="18"/>
                <w:szCs w:val="18"/>
                <w:color w:val="auto"/>
              </w:rPr>
              <w:t>Net assets acquired, excluding cash</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60.0</w:t>
            </w:r>
          </w:p>
        </w:tc>
      </w:tr>
      <w:tr>
        <w:trPr>
          <w:trHeight w:val="20"/>
        </w:trPr>
        <w:tc>
          <w:tcPr>
            <w:tcW w:w="9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February 27, 2019, net liabilities included $7.5 million of current liabilities. There was no contingent purchase consideration associated with the acquisition of an 80.1% majority interest in FTT. The identifiable intangible assets include customer relationships of $19.7 million with a useful life of 13 years, in-process research and development of $8.5 million that will commence amortization at the completion of the development project, backlog of $2.1 million with a useful life of two years, and trade name of $0.5 million with a useful life of two years. The Company also established a deferred tax liability of $7.0 million for the increase in the financial statement basis of the acquired assets of FTT and a corresponding increase in goodwill. The goodwill recorded in this transaction is not expected to be tax-deductible.</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amounts of revenue and operating income of FTT included in the Company's condensed consolidated statement of operations for the three months ended March 31, 2019 were $4.2 million and $0.1 million, respectively. Included in the merger and acquisition expenses for the three months ended March 31, 2019 were transaction expenses of $1.2 million related to the acquisition of FTT.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660"/>
              <w:spacing w:after="0"/>
              <w:rPr>
                <w:sz w:val="20"/>
                <w:szCs w:val="20"/>
                <w:color w:val="auto"/>
              </w:rPr>
            </w:pPr>
            <w:r>
              <w:rPr>
                <w:rFonts w:ascii="Arial" w:cs="Arial" w:eastAsia="Arial" w:hAnsi="Arial"/>
                <w:sz w:val="18"/>
                <w:szCs w:val="18"/>
                <w:color w:val="auto"/>
              </w:rPr>
              <w:t>A summary of the consideration paid for the acquired ownership in FTT is as follow:</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9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Deferred purchase consideration</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37"/>
        </w:trPr>
        <w:tc>
          <w:tcPr>
            <w:tcW w:w="97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acquired</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976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r>
      <w:tr>
        <w:trPr>
          <w:trHeight w:val="20"/>
        </w:trPr>
        <w:tc>
          <w:tcPr>
            <w:tcW w:w="9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w:t>
      </w:r>
    </w:p>
    <w:p>
      <w:pPr>
        <w:spacing w:after="0" w:line="22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following tables summarize the supplemental condensed consolidated statements of operations information on an unaudited pro forma basis as if the acquisition of FTT occurred on December 31, 2018 and include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920" w:type="dxa"/>
            <w:vAlign w:val="bottom"/>
          </w:tcPr>
          <w:p>
            <w:pPr>
              <w:ind w:left="660"/>
              <w:spacing w:after="0"/>
              <w:rPr>
                <w:sz w:val="20"/>
                <w:szCs w:val="20"/>
                <w:color w:val="auto"/>
              </w:rPr>
            </w:pPr>
            <w:r>
              <w:rPr>
                <w:rFonts w:ascii="Arial" w:cs="Arial" w:eastAsia="Arial" w:hAnsi="Arial"/>
                <w:sz w:val="18"/>
                <w:szCs w:val="18"/>
                <w:color w:val="auto"/>
              </w:rPr>
              <w:t>For the three months ended March 31, 2019 (all amounts, except per share amounts, are in millions):</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89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Pro forma net income before tax</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income</w:t>
            </w: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Pro forma net income attributable to Kratos</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89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Basic pro forma income per share attributable to Kratos</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8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pro forma income per share attributable to Kratos</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89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weighted average common shares used to calculate income per share also reflects the issuance of 1,825,406 shares of our common stock in conjunction with the acquisition. Comparable amounts for the three months ended March 29, 2020 are not presented as the results for FTT for the quarter were fully included in the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Directions, Inc.</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February 24, 2020, the Company acquired Technical Directions, Inc.(“TDI”), a turbine technology company focused on tactical unmanned aerial drones, missile and other systems for approximately $10.5 million in cash, subject to adjustments for transaction expenses, indebtedness, cash on hand, and post-closing working capital adjustments.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unaudited condensed consolidated financial statements. The operating results of the acquisition have been included in the Company’s results of operations from the effective acquisition date. The amount of net sales and earnings of TDI included in the condensed consolidated statement of operations for the three months ended March 29, 2020 are not material. Had the acquisition occurred as of December 29, 2019, net sales, net income from consolidated operations, net income attributable to Kratos, and basic and diluted net income per share attributable to Kratos on a pro forma basis for the three months ended March 29, 2020 would not have been materially different than the reported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Under ASC 606 revenue is recognized when a customer obtains control of promised goods or services. The amount of revenue recognized reflects the consideration that the Company expects to be entitled to receive in exchange for these goods or services.</w:t>
      </w:r>
    </w:p>
    <w:p>
      <w:pPr>
        <w:spacing w:after="0" w:line="16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Company calculates revenues from remaining performance obligations as the dollar value of the remaining performance obligations on executed contracts. On March 29, 2020, the Company had approximately $646.8 million of remaining performance obligations. The Company expects to recognize approximately 54% of the remaining performance obligations as revenue in 2020, an additional 22% by 2021, and the balance thereafter.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three-month periods ended March 29, 2020, and March 31, 2019. Likewise, total cumulative catch-up adjustments were not material for the three-month periods ended March 29, 2020, and March 31, 2019.</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8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6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29, 2020</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29, 2019</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Net Change</w:t>
            </w:r>
          </w:p>
        </w:tc>
      </w:tr>
      <w:tr>
        <w:trPr>
          <w:trHeight w:val="33"/>
        </w:trPr>
        <w:tc>
          <w:tcPr>
            <w:tcW w:w="6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6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Contract assets increased $1.6 million during the year ended March 29, 2020, primarily due to the recognition of revenue related to the satisfaction or partial satisfaction of performance obligations during the quarter ended March 29, 2020, for which the Company has not yet billed the customers. There were no significant impairment losses related to any receivables or contract assets arising from the Company’s contracts with customers during the three months ended March 29, 2020. Contract liabilities increased $4.0 million during the quarter ended March 29, 2020, primarily due to payments received in excess of revenue recognized on these performance obligations. For the three months ended March 29, 2020 and March 31, 2019 the Company recognized revenue of $14.3 million and $15.9 million, respectively, that was previously included in the beginning balance of contract liabilities.</w:t>
      </w:r>
    </w:p>
    <w:p>
      <w:pPr>
        <w:spacing w:after="0" w:line="200" w:lineRule="exact"/>
        <w:rPr>
          <w:sz w:val="20"/>
          <w:szCs w:val="20"/>
          <w:color w:val="auto"/>
        </w:rPr>
      </w:pPr>
    </w:p>
    <w:p>
      <w:pPr>
        <w:spacing w:after="0" w:line="2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March 29, 2020 and December 29, 2019, approximately $11.5 million in unbilled receivables remained outstanding on this project. In addition, the Company is currently in dispute with an international customer in the US segment over approximately $10.0 million in unbilled receivables outstanding as of March 29, 2020 and December 29, 2019. The dispute concerns the completion of certain system requirements and certain contractual milestones. Although there could be a delay in billing and collecting amounts due to the Company under the aforementioned contracts, management has evaluated the present facts of the matters and performed a reassessment of the contractual amounts due and has determined that no adjustment to previously recognized revenue, or the corresponding unbilled receivables, is necessary at March 29, 2020.</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890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29, 2020</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8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Kratos Government Solutions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00"/>
              <w:spacing w:after="0"/>
              <w:rPr>
                <w:sz w:val="20"/>
                <w:szCs w:val="20"/>
                <w:color w:val="auto"/>
              </w:rPr>
            </w:pPr>
            <w:r>
              <w:rPr>
                <w:rFonts w:ascii="Arial" w:cs="Arial" w:eastAsia="Arial" w:hAnsi="Arial"/>
                <w:sz w:val="18"/>
                <w:szCs w:val="18"/>
                <w:color w:val="auto"/>
              </w:rPr>
              <w:t>Fixed price</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plus fee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8900" w:type="dxa"/>
            <w:vAlign w:val="bottom"/>
          </w:tcPr>
          <w:p>
            <w:pPr>
              <w:ind w:left="200"/>
              <w:spacing w:after="0"/>
              <w:rPr>
                <w:sz w:val="20"/>
                <w:szCs w:val="20"/>
                <w:color w:val="auto"/>
              </w:rPr>
            </w:pPr>
            <w:r>
              <w:rPr>
                <w:rFonts w:ascii="Arial" w:cs="Arial" w:eastAsia="Arial" w:hAnsi="Arial"/>
                <w:sz w:val="18"/>
                <w:szCs w:val="18"/>
                <w:color w:val="auto"/>
              </w:rPr>
              <w:t>Time and materials</w:t>
            </w: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Kratos Government Solutions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8900" w:type="dxa"/>
            <w:vAlign w:val="bottom"/>
          </w:tcPr>
          <w:p>
            <w:pPr>
              <w:ind w:left="120"/>
              <w:spacing w:after="0"/>
              <w:rPr>
                <w:sz w:val="20"/>
                <w:szCs w:val="20"/>
                <w:color w:val="auto"/>
              </w:rPr>
            </w:pPr>
            <w:r>
              <w:rPr>
                <w:rFonts w:ascii="Arial" w:cs="Arial" w:eastAsia="Arial" w:hAnsi="Arial"/>
                <w:sz w:val="18"/>
                <w:szCs w:val="18"/>
                <w:color w:val="auto"/>
              </w:rPr>
              <w:t>Unmanned Systems</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Fixed price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8900" w:type="dxa"/>
            <w:vAlign w:val="bottom"/>
          </w:tcPr>
          <w:p>
            <w:pPr>
              <w:ind w:left="200"/>
              <w:spacing w:after="0"/>
              <w:rPr>
                <w:sz w:val="20"/>
                <w:szCs w:val="20"/>
                <w:color w:val="auto"/>
              </w:rPr>
            </w:pPr>
            <w:r>
              <w:rPr>
                <w:rFonts w:ascii="Arial" w:cs="Arial" w:eastAsia="Arial" w:hAnsi="Arial"/>
                <w:sz w:val="18"/>
                <w:szCs w:val="18"/>
                <w:color w:val="auto"/>
              </w:rPr>
              <w:t>Cost plus fee</w:t>
            </w: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Time and materials</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8900" w:type="dxa"/>
            <w:vAlign w:val="bottom"/>
          </w:tcPr>
          <w:p>
            <w:pPr>
              <w:ind w:left="280"/>
              <w:spacing w:after="0"/>
              <w:rPr>
                <w:sz w:val="20"/>
                <w:szCs w:val="20"/>
                <w:color w:val="auto"/>
              </w:rPr>
            </w:pPr>
            <w:r>
              <w:rPr>
                <w:rFonts w:ascii="Arial" w:cs="Arial" w:eastAsia="Arial" w:hAnsi="Arial"/>
                <w:sz w:val="18"/>
                <w:szCs w:val="18"/>
                <w:color w:val="auto"/>
              </w:rPr>
              <w:t>Total Unmanned Systems</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660"/>
              <w:spacing w:after="0"/>
              <w:rPr>
                <w:sz w:val="20"/>
                <w:szCs w:val="20"/>
                <w:color w:val="auto"/>
              </w:rPr>
            </w:pPr>
            <w:r>
              <w:rPr>
                <w:rFonts w:ascii="Arial" w:cs="Arial" w:eastAsia="Arial" w:hAnsi="Arial"/>
                <w:sz w:val="18"/>
                <w:szCs w:val="18"/>
                <w:color w:val="auto"/>
              </w:rPr>
              <w:t>Revenue by customer was as follows (in millions):</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890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29, 2020</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0"/>
        </w:trPr>
        <w:tc>
          <w:tcPr>
            <w:tcW w:w="8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3"/>
                <w:szCs w:val="23"/>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0"/>
        </w:trPr>
        <w:tc>
          <w:tcPr>
            <w:tcW w:w="8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U.S. Commercial and other customers</w:t>
            </w: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Kratos Government Solutions</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color w:val="auto"/>
              </w:rPr>
              <w:t>Unmanned Systems</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8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Commercial and other customers</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8900" w:type="dxa"/>
            <w:vAlign w:val="bottom"/>
          </w:tcPr>
          <w:p>
            <w:pPr>
              <w:ind w:left="200"/>
              <w:spacing w:after="0"/>
              <w:rPr>
                <w:sz w:val="20"/>
                <w:szCs w:val="20"/>
                <w:color w:val="auto"/>
              </w:rPr>
            </w:pPr>
            <w:r>
              <w:rPr>
                <w:rFonts w:ascii="Arial" w:cs="Arial" w:eastAsia="Arial" w:hAnsi="Arial"/>
                <w:sz w:val="18"/>
                <w:szCs w:val="18"/>
                <w:color w:val="auto"/>
              </w:rPr>
              <w:t>Total Unmanned Systems</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100" w:firstLine="8"/>
        <w:spacing w:after="0" w:line="305" w:lineRule="auto"/>
        <w:tabs>
          <w:tab w:leader="none" w:pos="153" w:val="left"/>
        </w:tabs>
        <w:numPr>
          <w:ilvl w:val="0"/>
          <w:numId w:val="7"/>
        </w:numPr>
        <w:rPr>
          <w:rFonts w:ascii="Arial" w:cs="Arial" w:eastAsia="Arial" w:hAnsi="Arial"/>
          <w:sz w:val="10"/>
          <w:szCs w:val="10"/>
          <w:color w:val="auto"/>
        </w:rPr>
      </w:pPr>
      <w:r>
        <w:rPr>
          <w:rFonts w:ascii="Arial" w:cs="Arial" w:eastAsia="Arial" w:hAnsi="Arial"/>
          <w:sz w:val="15"/>
          <w:szCs w:val="15"/>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25" w:lineRule="exact"/>
        <w:rPr>
          <w:rFonts w:ascii="Arial" w:cs="Arial" w:eastAsia="Arial" w:hAnsi="Arial"/>
          <w:sz w:val="10"/>
          <w:szCs w:val="10"/>
          <w:color w:val="auto"/>
        </w:rPr>
      </w:pPr>
    </w:p>
    <w:p>
      <w:pPr>
        <w:ind w:right="2040" w:firstLine="8"/>
        <w:spacing w:after="0" w:line="278" w:lineRule="auto"/>
        <w:tabs>
          <w:tab w:leader="none" w:pos="153" w:val="left"/>
        </w:tabs>
        <w:numPr>
          <w:ilvl w:val="0"/>
          <w:numId w:val="7"/>
        </w:numPr>
        <w:rPr>
          <w:rFonts w:ascii="Arial" w:cs="Arial" w:eastAsia="Arial" w:hAnsi="Arial"/>
          <w:sz w:val="11"/>
          <w:szCs w:val="11"/>
          <w:color w:val="auto"/>
        </w:rPr>
      </w:pPr>
      <w:r>
        <w:rPr>
          <w:rFonts w:ascii="Arial" w:cs="Arial" w:eastAsia="Arial" w:hAnsi="Arial"/>
          <w:sz w:val="16"/>
          <w:szCs w:val="16"/>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working capital adjustment (the “Transaction”). The Company and the Buyer are currently in a dispute regarding the closing net working capital adjustment. The amount in dispute is approximately $8 million.</w:t>
      </w:r>
    </w:p>
    <w:p>
      <w:pPr>
        <w:spacing w:after="0" w:line="17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To date, the Company has collected approximately $5.6 million of the retained net working capital. The Company currently expects that the remaining net working capital retained by the Company will be collected during 2020 once certain legacy projects are completed and the project close-out process has been completed. The Company currently expects to recognize a net approximate break-even on the sale of the PSS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86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March 29, 2020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March 31, 2019</w:t>
            </w: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866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Revenue and operating results for the three months ended March 29, 2020 and March 31, 2019 reflected the performance on contracts, and working capital retained by the Company.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the assets and liabilities of discontinued operations in the accompanying condensed consolidated balance sheets as of March 29, 2020 and December 29, 2019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March 29, 2020</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40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40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4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4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4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Other long-term liabilities of discontinued operations</w:t>
            </w:r>
          </w:p>
        </w:tc>
        <w:tc>
          <w:tcPr>
            <w:tcW w:w="40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60" w:type="dxa"/>
            <w:vAlign w:val="bottom"/>
            <w:vMerge w:val="restart"/>
          </w:tcPr>
          <w:p>
            <w:pPr>
              <w:jc w:val="right"/>
              <w:ind w:right="295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5"/>
        </w:trPr>
        <w:tc>
          <w:tcPr>
            <w:tcW w:w="47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March 29, 2020 and December 29, 2019 by reportable segment are as follows (in millions):</w:t>
      </w:r>
    </w:p>
    <w:p>
      <w:pPr>
        <w:spacing w:after="0" w:line="185"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As of March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37465</wp:posOffset>
            </wp:positionV>
            <wp:extent cx="21342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Kratos</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Unmanned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Government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As of December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37465</wp:posOffset>
            </wp:positionV>
            <wp:extent cx="2065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Kratos</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Unmanned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Systems</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1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29, 2020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29, 2019</w:t>
            </w:r>
          </w:p>
        </w:tc>
        <w:tc>
          <w:tcPr>
            <w:tcW w:w="940" w:type="dxa"/>
            <w:vAlign w:val="bottom"/>
            <w:tcBorders>
              <w:bottom w:val="single" w:sz="8" w:color="auto"/>
            </w:tcBorders>
          </w:tcPr>
          <w:p>
            <w:pPr>
              <w:spacing w:after="0"/>
              <w:rPr>
                <w:sz w:val="16"/>
                <w:szCs w:val="16"/>
                <w:color w:val="auto"/>
              </w:rPr>
            </w:pPr>
          </w:p>
        </w:tc>
      </w:tr>
      <w:tr>
        <w:trPr>
          <w:trHeight w:val="152"/>
        </w:trPr>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3"/>
                <w:szCs w:val="13"/>
                <w:color w:val="auto"/>
              </w:rPr>
            </w:pPr>
          </w:p>
        </w:tc>
        <w:tc>
          <w:tcPr>
            <w:tcW w:w="10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8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4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28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Value</w:t>
            </w:r>
          </w:p>
        </w:tc>
      </w:tr>
      <w:tr>
        <w:trPr>
          <w:trHeight w:val="249"/>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72.3</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19.0</w:t>
            </w: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Developed technology and technical</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know-how</w:t>
            </w: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39.5</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$1.9 million and $1.5 million for the three months ended March 29, 2020 and March 31, 2019,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March 29, 2020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272"/>
              <w:spacing w:after="0"/>
              <w:rPr>
                <w:sz w:val="20"/>
                <w:szCs w:val="20"/>
                <w:color w:val="auto"/>
              </w:rPr>
            </w:pPr>
            <w:r>
              <w:rPr>
                <w:rFonts w:ascii="Arial" w:cs="Arial" w:eastAsia="Arial" w:hAnsi="Arial"/>
                <w:sz w:val="16"/>
                <w:szCs w:val="16"/>
                <w:b w:val="1"/>
                <w:bCs w:val="1"/>
                <w:color w:val="auto"/>
                <w:w w:val="97"/>
              </w:rPr>
              <w:t>December 29, 2019</w:t>
            </w:r>
          </w:p>
        </w:tc>
      </w:tr>
      <w:tr>
        <w:trPr>
          <w:trHeight w:val="33"/>
        </w:trPr>
        <w:tc>
          <w:tcPr>
            <w:tcW w:w="70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580" w:type="dxa"/>
            <w:vAlign w:val="bottom"/>
            <w:tcBorders>
              <w:bottom w:val="single" w:sz="8" w:color="CCEEFF"/>
            </w:tcBorders>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5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20.3</w:t>
            </w:r>
          </w:p>
        </w:tc>
      </w:tr>
      <w:tr>
        <w:trPr>
          <w:trHeight w:val="27"/>
        </w:trPr>
        <w:tc>
          <w:tcPr>
            <w:tcW w:w="7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5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Total inventoried costs</w:t>
            </w:r>
          </w:p>
        </w:tc>
        <w:tc>
          <w:tcPr>
            <w:tcW w:w="1580" w:type="dxa"/>
            <w:vAlign w:val="bottom"/>
            <w:tcBorders>
              <w:top w:val="single" w:sz="8" w:color="auto"/>
              <w:bottom w:val="single" w:sz="8" w:color="auto"/>
            </w:tcBorders>
          </w:tcPr>
          <w:p>
            <w:pPr>
              <w:jc w:val="right"/>
              <w:ind w:right="137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62.7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61.1</w:t>
            </w:r>
          </w:p>
        </w:tc>
      </w:tr>
      <w:tr>
        <w:trPr>
          <w:trHeight w:val="20"/>
        </w:trPr>
        <w:tc>
          <w:tcPr>
            <w:tcW w:w="7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Company calculates net income (loss) per share in accordance with FASB Accounting Standards Codification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260). </w:t>
      </w:r>
      <w:r>
        <w:rPr>
          <w:rFonts w:ascii="Arial" w:cs="Arial" w:eastAsia="Arial" w:hAnsi="Arial"/>
          <w:sz w:val="18"/>
          <w:szCs w:val="18"/>
          <w:color w:val="auto"/>
        </w:rPr>
        <w:t>Under Topic 260, basic net income (loss) per common share attributable to the Kratos shareholders is calculated by dividing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Kratos by the weighted-average number of common shares outstanding during the reporting period. Diluted net income (loss) per common share attributable to the Kratos shareholders reflects the effects of potentially dilutive securities. The dilutive impact of potentially dilutive common shares is determined by applying the treasury stock method.</w:t>
      </w:r>
    </w:p>
    <w:p>
      <w:pPr>
        <w:spacing w:after="0" w:line="188" w:lineRule="exact"/>
        <w:rPr>
          <w:sz w:val="20"/>
          <w:szCs w:val="20"/>
          <w:color w:val="auto"/>
        </w:rPr>
      </w:pPr>
    </w:p>
    <w:p>
      <w:pPr>
        <w:ind w:right="20" w:firstLine="567"/>
        <w:spacing w:after="0" w:line="308" w:lineRule="auto"/>
        <w:rPr>
          <w:sz w:val="20"/>
          <w:szCs w:val="20"/>
          <w:color w:val="auto"/>
        </w:rPr>
      </w:pPr>
      <w:r>
        <w:rPr>
          <w:rFonts w:ascii="Arial" w:cs="Arial" w:eastAsia="Arial" w:hAnsi="Arial"/>
          <w:sz w:val="17"/>
          <w:szCs w:val="17"/>
          <w:color w:val="auto"/>
        </w:rPr>
        <w:t>Shares from stock options and awards, excluded from the calculation of diluted net income (loss) per share because their inclusion would have been anti-dilutive, were 0.9 million for the three months ended March 29, 2020, and 0.0 million for the three months ended March 31,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700" w:type="dxa"/>
            <w:vAlign w:val="bottom"/>
            <w:tcBorders>
              <w:bottom w:val="single" w:sz="8" w:color="auto"/>
            </w:tcBorders>
            <w:gridSpan w:val="5"/>
          </w:tcPr>
          <w:p>
            <w:pPr>
              <w:jc w:val="right"/>
              <w:ind w:right="10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29, 2020</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right of use assets - finance leases</w:t>
            </w:r>
          </w:p>
        </w:tc>
        <w:tc>
          <w:tcPr>
            <w:tcW w:w="1380" w:type="dxa"/>
            <w:vAlign w:val="bottom"/>
            <w:tcBorders>
              <w:bottom w:val="single" w:sz="8" w:color="CCEEFF"/>
            </w:tcBorders>
            <w:shd w:val="clear" w:color="auto" w:fill="CCEEFF"/>
          </w:tcPr>
          <w:p>
            <w:pPr>
              <w:jc w:val="right"/>
              <w:ind w:right="11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on lease liabilities - finance leases</w:t>
            </w:r>
          </w:p>
        </w:tc>
        <w:tc>
          <w:tcPr>
            <w:tcW w:w="13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 (cost resulting from lease payments)</w:t>
            </w: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13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 (cost excluded from lease payments)</w:t>
            </w:r>
          </w:p>
        </w:tc>
        <w:tc>
          <w:tcPr>
            <w:tcW w:w="1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13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38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75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54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29, 2020</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December 29, 2019</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1380" w:type="dxa"/>
            <w:vAlign w:val="bottom"/>
          </w:tcPr>
          <w:p>
            <w:pPr>
              <w:jc w:val="right"/>
              <w:ind w:right="11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39.8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Current portion of operating lease liabilities</w:t>
            </w:r>
          </w:p>
        </w:tc>
        <w:tc>
          <w:tcPr>
            <w:tcW w:w="1380" w:type="dxa"/>
            <w:vAlign w:val="bottom"/>
            <w:tcBorders>
              <w:bottom w:val="single" w:sz="8" w:color="CCEEFF"/>
            </w:tcBorders>
            <w:shd w:val="clear" w:color="auto" w:fill="CCEEFF"/>
          </w:tcPr>
          <w:p>
            <w:pPr>
              <w:jc w:val="right"/>
              <w:ind w:right="11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7540" w:type="dxa"/>
            <w:vAlign w:val="bottom"/>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1380" w:type="dxa"/>
            <w:vAlign w:val="bottom"/>
          </w:tcPr>
          <w:p>
            <w:pPr>
              <w:jc w:val="right"/>
              <w:ind w:right="11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36.0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Pr>
          <w:p>
            <w:pPr>
              <w:jc w:val="right"/>
              <w:ind w:right="11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37.9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380" w:type="dxa"/>
            <w:vAlign w:val="bottom"/>
            <w:tcBorders>
              <w:bottom w:val="single" w:sz="8" w:color="CCEEFF"/>
            </w:tcBorders>
            <w:shd w:val="clear" w:color="auto" w:fill="CCEEFF"/>
          </w:tcPr>
          <w:p>
            <w:pPr>
              <w:jc w:val="right"/>
              <w:ind w:right="11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54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380" w:type="dxa"/>
            <w:vAlign w:val="bottom"/>
          </w:tcPr>
          <w:p>
            <w:pPr>
              <w:jc w:val="right"/>
              <w:ind w:right="11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38.6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2020</w:t>
            </w:r>
          </w:p>
        </w:tc>
        <w:tc>
          <w:tcPr>
            <w:tcW w:w="280" w:type="dxa"/>
            <w:vAlign w:val="bottom"/>
          </w:tcPr>
          <w:p>
            <w:pPr>
              <w:spacing w:after="0"/>
              <w:rPr>
                <w:sz w:val="22"/>
                <w:szCs w:val="22"/>
                <w:color w:val="auto"/>
              </w:rPr>
            </w:pPr>
          </w:p>
        </w:tc>
        <w:tc>
          <w:tcPr>
            <w:tcW w:w="152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 cash paid for interest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Finance lease - financing cash flows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0.1</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 operating cash flows (fixed payments)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r>
      <w:tr>
        <w:trPr>
          <w:trHeight w:val="27"/>
        </w:trPr>
        <w:tc>
          <w:tcPr>
            <w:tcW w:w="7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supplemental noncash information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2020</w:t>
            </w:r>
          </w:p>
        </w:tc>
        <w:tc>
          <w:tcPr>
            <w:tcW w:w="280" w:type="dxa"/>
            <w:vAlign w:val="bottom"/>
          </w:tcPr>
          <w:p>
            <w:pPr>
              <w:spacing w:after="0"/>
              <w:rPr>
                <w:sz w:val="22"/>
                <w:szCs w:val="22"/>
                <w:color w:val="auto"/>
              </w:rPr>
            </w:pPr>
          </w:p>
        </w:tc>
        <w:tc>
          <w:tcPr>
            <w:tcW w:w="158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31, 2019</w:t>
            </w:r>
          </w:p>
        </w:tc>
      </w:tr>
      <w:tr>
        <w:trPr>
          <w:trHeight w:val="215"/>
        </w:trPr>
        <w:tc>
          <w:tcPr>
            <w:tcW w:w="7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Operating lease liabilities arising from obtaining right-of-use assets, including impact of ASC 842</w:t>
            </w:r>
          </w:p>
        </w:tc>
        <w:tc>
          <w:tcPr>
            <w:tcW w:w="3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41.2</w:t>
            </w:r>
          </w:p>
        </w:tc>
      </w:tr>
      <w:tr>
        <w:trPr>
          <w:trHeight w:val="229"/>
        </w:trPr>
        <w:tc>
          <w:tcPr>
            <w:tcW w:w="7400" w:type="dxa"/>
            <w:vAlign w:val="bottom"/>
          </w:tcPr>
          <w:p>
            <w:pPr>
              <w:ind w:left="40"/>
              <w:spacing w:after="0"/>
              <w:rPr>
                <w:sz w:val="20"/>
                <w:szCs w:val="20"/>
                <w:color w:val="auto"/>
              </w:rPr>
            </w:pPr>
            <w:r>
              <w:rPr>
                <w:rFonts w:ascii="Arial" w:cs="Arial" w:eastAsia="Arial" w:hAnsi="Arial"/>
                <w:sz w:val="18"/>
                <w:szCs w:val="18"/>
                <w:color w:val="auto"/>
                <w:w w:val="97"/>
              </w:rPr>
              <w:t>Finance lease liabilities arising from obtaining right-of-use assets, including impact of ASC 842</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400" w:type="dxa"/>
            <w:vAlign w:val="bottom"/>
          </w:tcPr>
          <w:p>
            <w:pPr>
              <w:ind w:left="40"/>
              <w:spacing w:after="0"/>
              <w:rPr>
                <w:sz w:val="20"/>
                <w:szCs w:val="20"/>
                <w:color w:val="auto"/>
              </w:rPr>
            </w:pPr>
            <w:r>
              <w:rPr>
                <w:rFonts w:ascii="Arial" w:cs="Arial" w:eastAsia="Arial" w:hAnsi="Arial"/>
                <w:sz w:val="18"/>
                <w:szCs w:val="18"/>
                <w:color w:val="auto"/>
              </w:rPr>
              <w:t>adoption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93"/>
              <w:spacing w:after="0"/>
              <w:rPr>
                <w:sz w:val="20"/>
                <w:szCs w:val="20"/>
                <w:color w:val="auto"/>
              </w:rPr>
            </w:pPr>
            <w:r>
              <w:rPr>
                <w:rFonts w:ascii="Arial" w:cs="Arial" w:eastAsia="Arial" w:hAnsi="Arial"/>
                <w:sz w:val="18"/>
                <w:szCs w:val="18"/>
                <w:color w:val="auto"/>
              </w:rPr>
              <w:t>39.6</w:t>
            </w:r>
          </w:p>
        </w:tc>
      </w:tr>
      <w:tr>
        <w:trPr>
          <w:trHeight w:val="648"/>
        </w:trPr>
        <w:tc>
          <w:tcPr>
            <w:tcW w:w="7400" w:type="dxa"/>
            <w:vAlign w:val="bottom"/>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5.10</w:t>
            </w:r>
          </w:p>
        </w:tc>
      </w:tr>
      <w:tr>
        <w:trPr>
          <w:trHeight w:val="243"/>
        </w:trPr>
        <w:tc>
          <w:tcPr>
            <w:tcW w:w="740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1"/>
                <w:szCs w:val="21"/>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Arial" w:cs="Arial" w:eastAsia="Arial" w:hAnsi="Arial"/>
                <w:sz w:val="18"/>
                <w:szCs w:val="18"/>
                <w:color w:val="auto"/>
              </w:rPr>
              <w:t>19.60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5"/>
        </w:trPr>
        <w:tc>
          <w:tcPr>
            <w:tcW w:w="7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740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6.53%</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lease liabilities is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tcPr>
          <w:p>
            <w:pPr>
              <w:spacing w:after="0"/>
              <w:rPr>
                <w:sz w:val="16"/>
                <w:szCs w:val="16"/>
                <w:color w:val="auto"/>
              </w:rPr>
            </w:pPr>
          </w:p>
        </w:tc>
        <w:tc>
          <w:tcPr>
            <w:tcW w:w="1700" w:type="dxa"/>
            <w:vAlign w:val="bottom"/>
          </w:tcPr>
          <w:p>
            <w:pPr>
              <w:jc w:val="right"/>
              <w:ind w:right="452"/>
              <w:spacing w:after="0"/>
              <w:rPr>
                <w:sz w:val="20"/>
                <w:szCs w:val="20"/>
                <w:color w:val="auto"/>
              </w:rPr>
            </w:pPr>
            <w:r>
              <w:rPr>
                <w:rFonts w:ascii="Arial" w:cs="Arial" w:eastAsia="Arial" w:hAnsi="Arial"/>
                <w:sz w:val="14"/>
                <w:szCs w:val="14"/>
                <w:b w:val="1"/>
                <w:bCs w:val="1"/>
                <w:color w:val="auto"/>
              </w:rPr>
              <w:t>Finance Leases</w:t>
            </w:r>
          </w:p>
        </w:tc>
      </w:tr>
      <w:tr>
        <w:trPr>
          <w:trHeight w:val="269"/>
        </w:trPr>
        <w:tc>
          <w:tcPr>
            <w:tcW w:w="7200" w:type="dxa"/>
            <w:vAlign w:val="bottom"/>
            <w:tcBorders>
              <w:top w:val="single" w:sz="8" w:color="CCEEFF"/>
            </w:tcBorders>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2020 </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54.5</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200" w:hanging="165"/>
        <w:spacing w:after="0"/>
        <w:tabs>
          <w:tab w:leader="none" w:pos="20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Excludes the three months ended March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ind w:right="140" w:firstLine="567"/>
        <w:spacing w:after="0" w:line="279" w:lineRule="auto"/>
        <w:rPr>
          <w:sz w:val="20"/>
          <w:szCs w:val="20"/>
          <w:color w:val="auto"/>
        </w:rPr>
      </w:pPr>
      <w:r>
        <w:rPr>
          <w:rFonts w:ascii="Arial" w:cs="Arial" w:eastAsia="Arial" w:hAnsi="Arial"/>
          <w:sz w:val="17"/>
          <w:szCs w:val="17"/>
          <w:color w:val="auto"/>
        </w:rPr>
        <w:t>On March 27, 2020, the President signed into law the Coronavirus Aid, Relief and Economic Security Act (the “CARES Act”), which, along with earlier issued IRS guidance, provides for the deferral of certain taxes. The CARES Act, among other things, removed the 80% limitation on the utilization of net operating losses in tax years 2018-2020, and contains numerous other provisions which may benefit the Company. The Company will continue to assess the impact of the CARES Act, as well as any ongoing government guidance related to COVID-19 that may be issued.</w:t>
      </w:r>
    </w:p>
    <w:p>
      <w:pPr>
        <w:spacing w:after="0" w:line="171"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A reconciliation of the income tax expense (benefit) from continuing operations computed by applying the statutory federal income tax rate of 21% to income from continuing operations before income taxes to the provision for income taxes from continuing operations for the three months ended March 29, 2020 and March 31, 2019 was as follows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For the Three Months Ended</w:t>
            </w:r>
          </w:p>
        </w:tc>
      </w:tr>
      <w:tr>
        <w:trPr>
          <w:trHeight w:val="152"/>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4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at federal statutory rate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valuation allowance due to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Nondeductible expenses and other</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Increase (decrease) in reserves for uncertain tax positions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federal 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Benefit for income taxes from continuing operations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assessing the Company’s ability to realize deferred tax assets, management considers, on a periodic basis, whether it is more likely than not that some portion or all of its deferred tax assets will not be realized. In making this assessment, the Company has concluded that negative evidence, including cumulative losses in recent years, continues to outweigh the positive evidence. Accordingly, the Company has maintained a full valuation allowance against the Company’s U.S. federal, combined state and certain foreign net deferred tax assets. However, given the Company’s more recent earnings history, management believes that it is possible that within the next 12 months, sufficient positive evidence may become available to allow management to reach a conclusion that a significant portion of the valuation allowance will no longer be needed. Release of the valuation allowance would result in the recognition of certain deferred tax assets with a potential corresponding decrease to income tax expense for the period the release is recorded. The exact timing and amount of the valuation allowance release would be predicated on the basis of the level of profitability that the Company is able to actually achieve and believes that it would sustain.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months ended March 29, 2020,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2018 the Company was notified by the Internal Revenue Service that its federal income tax return for the calendar year ending December 27, 2015 had been selected for examination. In February of 2020, the Company received notification from the IRS that the examination was completed with no changes to the taxes reported.</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December 29, 2019, the Company had $24.0 million of unrecognized tax benefits that, if recognized, would impact the Company’s effective income tax rate, subject to possible offset by a change in the deferred tax asset valuation allowance. During the three months ended March 29, 2020, unrecognized tax benefits decreased by $0.3 million.</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three months ended March 29, 2020 and March 31, 2019, the Company recorded an expense for interest and penalties of $0.1 million. For the three months ended March 29, 2020 and March 31, 2019, there was no material benefit recorded related to the removal of interest and penalties. The Company believes that it is reasonably possible that as much as $0.1 million of the liabilities for uncertain tax positions will expire within the next twelve months due to the expiration of various applicable statutes of limitations.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6.5% Senior Secured Notes due 2025</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Company incurred debt issuance costs of $6.6 million associated with the 6.5% Notes. The Company utilized the net proceeds from the sale of the 6.5% Notes, as well as cash from its recent equity offering to extinguish its outstanding 7.00% Senior Secured Notes due in 2019 (the “7% Notes”). The total reacquisition price of the 7% Notes was $385.2 million, including a $12.0 million call premium, and $0.3 million of accrued interest.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6.5% Notes will be redeemable by the Company,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March 29, 2020, the Company was in compliance with the covenants contained in the Indenture governing the 6.5% Notes.</w:t>
      </w:r>
    </w:p>
    <w:p>
      <w:pPr>
        <w:spacing w:after="0" w:line="19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29, 2020, there was $300.0 million of 6.5% Notes outstanding.</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20, 2017, the Company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Company’s 6.5% Notes, on all of the Company’s other assets.</w:t>
      </w:r>
    </w:p>
    <w:p>
      <w:pPr>
        <w:spacing w:after="0" w:line="19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March 29, 2020,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6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12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June 11, 2018, the Company entered into a first amendment (the “First Amendment”) to the amended and restated Credit Agreement. Among other things, the First Amendment permitted the sale of the PSS business, provided that certain conditions, including application of the proceeds in accordance with the terms of documents governing the Company’s outstanding indebtedness, were satisfied.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29, 2020, there were no borrowings outstanding on the Credit Agreement and $5.7 million was outstanding on letters of credit, resulting in net borrowing base availability of $64.8 million. The Company was in compliance with the financial covenants of the Credit Agreement and its amendments as of March 29,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March 29, 2020 and December 29, 2019 are presented in the following table: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As of March 29, 2020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29, 2019</w:t>
            </w:r>
          </w:p>
        </w:tc>
        <w:tc>
          <w:tcPr>
            <w:tcW w:w="0" w:type="dxa"/>
            <w:vAlign w:val="bottom"/>
          </w:tcPr>
          <w:p>
            <w:pPr>
              <w:spacing w:after="0"/>
              <w:rPr>
                <w:sz w:val="1"/>
                <w:szCs w:val="1"/>
                <w:color w:val="auto"/>
              </w:rPr>
            </w:pPr>
          </w:p>
        </w:tc>
      </w:tr>
      <w:tr>
        <w:trPr>
          <w:trHeight w:val="152"/>
        </w:trPr>
        <w:tc>
          <w:tcPr>
            <w:tcW w:w="5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170" w:lineRule="exact"/>
        <w:rPr>
          <w:sz w:val="20"/>
          <w:szCs w:val="20"/>
          <w:color w:val="auto"/>
        </w:rPr>
      </w:pPr>
    </w:p>
    <w:p>
      <w:pPr>
        <w:ind w:right="100" w:firstLine="683"/>
        <w:spacing w:after="0" w:line="301" w:lineRule="auto"/>
        <w:rPr>
          <w:sz w:val="20"/>
          <w:szCs w:val="20"/>
          <w:color w:val="auto"/>
        </w:rPr>
      </w:pPr>
      <w:r>
        <w:rPr>
          <w:rFonts w:ascii="Arial" w:cs="Arial" w:eastAsia="Arial" w:hAnsi="Arial"/>
          <w:sz w:val="16"/>
          <w:szCs w:val="16"/>
          <w:color w:val="auto"/>
        </w:rPr>
        <w:t>As of March 29, 2020, the difference between the carrying amount of $295.3 million and the principal amount of $300.0 million presented in the table above is the unamortized debt issuance costs of $4.7 million, which are being accreted to interest expense over the term of the related debt. As of December 29, 2019, the difference between the carrying amount of $295.1 million and the principal amount of $300.0 million presented in the table above is the unamortized debt issuance costs of $4.9 million, which are being accreted to interest expense over the term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operates in two reportable segments. The KGS reportable segment is comprised of an aggregation of KGS operating segments, including the microwave electronic products, satellite, training, and cybersecurity, modular systems, defense and rocket support services, and turbine technologies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16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from continuing operations of the reportable business segments is reconciled to the corresponding consolidated amount. The reconciling item </w:t>
      </w:r>
      <w:r>
        <w:rPr>
          <w:rFonts w:ascii="Arial" w:cs="Arial" w:eastAsia="Arial" w:hAnsi="Arial"/>
          <w:sz w:val="17"/>
          <w:szCs w:val="17"/>
          <w:i w:val="1"/>
          <w:iCs w:val="1"/>
          <w:color w:val="auto"/>
        </w:rPr>
        <w:t>Corporate activities</w:t>
      </w:r>
      <w:r>
        <w:rPr>
          <w:rFonts w:ascii="Arial" w:cs="Arial" w:eastAsia="Arial" w:hAnsi="Arial"/>
          <w:sz w:val="17"/>
          <w:szCs w:val="17"/>
          <w:color w:val="auto"/>
        </w:rPr>
        <w:t xml:space="preserve">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month periods ended March 29, 2020 and March 31, 2019 are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249"/>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Unmanned Systems product sales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Depreciation &amp; amortization:</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8440" w:type="dxa"/>
            <w:vAlign w:val="bottom"/>
          </w:tcPr>
          <w:p>
            <w:pPr>
              <w:ind w:left="380"/>
              <w:spacing w:after="0"/>
              <w:rPr>
                <w:sz w:val="20"/>
                <w:szCs w:val="20"/>
                <w:color w:val="auto"/>
              </w:rPr>
            </w:pPr>
            <w:r>
              <w:rPr>
                <w:rFonts w:ascii="Arial" w:cs="Arial" w:eastAsia="Arial" w:hAnsi="Arial"/>
                <w:sz w:val="18"/>
                <w:szCs w:val="18"/>
                <w:color w:val="auto"/>
              </w:rPr>
              <w:t>Total operating income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Corporate activities</w:t>
      </w:r>
      <w:r>
        <w:rPr>
          <w:rFonts w:ascii="Arial" w:cs="Arial" w:eastAsia="Arial" w:hAnsi="Arial"/>
          <w:sz w:val="16"/>
          <w:szCs w:val="16"/>
          <w:color w:val="auto"/>
        </w:rPr>
        <w:t xml:space="preserve"> for the three months ended March 31, 2019 is $1.2 million of transaction expenses related to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FTT.</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29"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As discussed in “Acquisition” in Note 2, in connection with the Company’s acquisition of FTT, (i) beginning in January 2024, the Holders will have an annual Put Right to sell all of the Minority Interests to the Company at a purchase price based on a specified multiple of the trailing 12 months EBITDA of the Acquired Companies, subject to adjustment as set forth in the Exchange Agreement (provided, however, that following certain events, including a change of control, the Put Right will be accelerated and the Minority Interest Purchase Price will be a specified increased multiple of the trailing 12 months EBITDA of the Acquired Companies as set forth in the Exchange Agreement); and (ii) beginning in January 2025, the Company will have an annual right to purchase all of the Minority Interests from the Holders at the Minority Interest Purchase Price.</w:t>
      </w:r>
    </w:p>
    <w:p>
      <w:pPr>
        <w:spacing w:after="0" w:line="16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of March 29, 2020, no adjustment of the carrying value of the redeemable noncontrolling interest was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2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$124.1 million and $116.9 million, or 73% and 73% of total Kratos revenue, for the three months ended March 29, 2020 and March 31,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3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failure by our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subcontractors or suppliers to perform their contractual obligations; our failure to meet performance obligations; if the unmanned systems markets do not experience significant growth, or if we cannot expand our customer base or if our products do not achieve broad acceptance which could impact our ability to achieve our anticipated level of growth;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risks associated with pandemics, epidemics or other public health emergencies, such as the recent outbreak of coronavirus disease 2019 (COVID-19);risks related to unknown defects or errors in our products; and competition in the marketplace, which could reduce revenues and profit margins, as well as the additional risks and uncertainties described in this Quarterly Report, in “Item 1A-Risk Factors” of our Annual Report on Form 10-K for the fiscal year ended December 29, 2019 filed with the U.S. Securities and Exchange Commission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 on February 24, 2020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Kratos is a government contractor at the forefront of the DoD’s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space and satellite communications, microwave electronics, cyber security/warfare, training systems, rocket systems and missile defense, turbine technologies, and C5ISR.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Kratos employees holding national security clearances. Much of our work is performed at customer locations, or in a secure manufacturing facility. Our primary end customers are national security related agencies. Our entire organization is focused on executing our strategy of becoming the leading technology and intellectual property based product and system company in our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On December 18, 2019, President Trump signed two 2020 spending bills totaling $1.4 trillion. The bills allocate $738 billion to National Defense and $632 billion to non-defense agencies, representing increases over fiscal 2019 of $22 billion and $27 billion, respectively. The National Defense Authorization Act grants a base budget of approximately $666.5 billion (including the establishment of a new, sixth armed service for space) and an additional $71.5 billion for overseas contingency operations funding, a.k.a. the war budget. The federal budget and debt ceiling are expected to continue to be the subject of considerable debate, which could have a significant impact on defense spending broadly and the Company’s programs in particular.</w:t>
      </w:r>
    </w:p>
    <w:p>
      <w:pPr>
        <w:spacing w:after="0" w:line="161"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The overall Federal Government budget environment, including budget caps mandated by the Budget Control Act of 2011 (“BCA”) for fiscal years 2020 and 2021, and uncertainty surrounding the debt ceiling and the appropriations process, remain significant short and long-term risks. Considerable uncertainty exists regarding how future federal budget and program decisions will unfold, including the defense spending priorities of the current Trump or potential future Administration(s) and Congress and what challenges budget reductions (required by the BCA and otherwise) could present for the defense industry. If annual appropriations bills are not timely enacted for the U.S. Government’s fiscal year 2021 or future years, the U.S. Government may again operate under a Continuing Resolution Authorization (“CRA”), restricting new contract or program starts and restricting planned increases on existing production contracts, presenting resource allocation challenges and placing limitations on future planned program budgets, and we may also face another government shutdown of unknown duration. If a prolonged CRA or government shutdown of the DoD were to occur, either could result in program cancellations, disruptions and/or stop work orders and could limit the U.S. Government’s ability to effectively progress programs and to make timely payments, and could also impact our ability to perform on our U.S. Government contracts and successfully compete for new work.</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cuts globally could adversely affect the viability of our subcontractors and suppliers, and our employee base. While we believe that our business is well-positioned in areas that the DoD and other customers have indicated are priorities for future defense spending,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financial position, results of operations and/or cash flows.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nature of our operations expose us to risks associated with pandemics, epidemics or other public health emergencies, such as the recent outbreak of coronavirus disease 2019 (COVID-19) which has spread from China to many other countries across the globe, including the United States. In March 2020, the World Health Organization categorized COVID-19 as a pandemic, and the President of the United States declared the COVID-19 outbreak a national emergency. The outbreak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a company operating in a critical infrastructure industry, as defined by the U.S. Department of Homeland Security. Consistent with federal guidelines and with state and local orders to date, we currently continue to operate. Notwithstanding our continued operations, COVID-19 has begun to have and may have further negative impacts on our operations, supply chain, transportation networks and customers, which may compress our sales and our margins, including as a result of preventative and precautionary measures that we, other businesses and governments are taking. The COVID-19 outbreak is a widespread public health crisis that is adversely affecting the economies and financial markets of many countries. Any resulting economic downturn could adversely affect demand for our products. The progression of this matter could also negatively impact our business or results of operations through the temporary closure of our operating locations or those of our customers or suppliers.</w:t>
      </w:r>
    </w:p>
    <w:p>
      <w:pPr>
        <w:spacing w:after="0" w:line="27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ability of our employees and our suppliers’ and customers’ employees to work may be significantly impacted by individuals contracting or being exposed to COVID-19, or as a result of the control measures noted above, which may significantly hamper our production, including throughout the supply chain. On March 27, 2020, the President of the United States signed and enacted into law the CARES Act, a $2 trillion economic relief bill. We are evaluating the impact of the CARES Act including related stimulus and economic relief actions on our business.</w:t>
      </w:r>
    </w:p>
    <w:p>
      <w:pPr>
        <w:spacing w:after="0" w:line="2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the end of our first quarter, COVID-19 has continued to impact our markets and operations, including supply chain disruptions, delays of certain supplier deliveries, difficulties gaining access to certain locations, difficulties gaining access to customers related to previously scheduled demonstrations and exercises, and decreased demand requirements of certain of our commercial aero and power customers.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and operational impacts of COVID-19 means the related financial impact cannot be reasonably estimated at this time. Our consolidated financial statements and discussion and analysis of financial condition and results of operations reflect estimates and assumptions made by management as of March 29, 2020. Events and changes in circumstances arising after March 29, 2020, including those resulting from the impacts of COVID-19, will be reflected in management’s estimates for future periods.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operates in two reportable segments. The Kratos Government Solutions (“KGS”) reportable segment is comprised of an aggregation of KGS operating segments, including our microwave electronic products, space, training, and cybersecurity, modular systems, rocket systems and missile defense, and turbine technologies operating segments.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Unmanned Systems (“US”) reportable segment consists of our unmanned aerial system and unmanned ground and seaborne system businesses.</w:t>
      </w:r>
    </w:p>
    <w:p>
      <w:pPr>
        <w:spacing w:after="0" w:line="23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29, 2020 to the Three Months Ended March 31, 2019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March 29, 2020 and March 31, 2019 are as follows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2020</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tcPr>
          <w:p>
            <w:pPr>
              <w:spacing w:after="0"/>
              <w:rPr>
                <w:sz w:val="16"/>
                <w:szCs w:val="16"/>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2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97"/>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r>
      <w:tr>
        <w:trPr>
          <w:trHeight w:val="284"/>
        </w:trPr>
        <w:tc>
          <w:tcPr>
            <w:tcW w:w="5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50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Revenues increased $8.5 million to $168.9 million for the three months ended March 29, 2020 from $160.4 million for the three months ended March 31, 2019. Revenues in our KGS segment increased $1.4 million due to the acquisition of FTT, which contributed approximately $9.8 million of additional revenue in the first quarter of 2020 compared to the first quarter of 2019, and increases in our microwave products, rocket system and cyber businesses with aggregate increased revenue of $4.3 million, partially offset by reductions in our training solutions business primarily as a result of the completion of a large foreign material sales contract, reduced revenues in our satellite communications business as a result of the transition to a software-based solution, and the continued contraction of our legacy government services business, which resulted in aggregate reductions of $13.4 million. Revenues in our US segment increased primarily due to new aerial target awards from the U.S. Army and work on new tactical drone development awards.</w:t>
      </w:r>
    </w:p>
    <w:p>
      <w:pPr>
        <w:spacing w:after="0" w:line="16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Product sales increased $7.5 million to $105.3 million for the three months ended March 29, 2020 from $97.8 million for the three months ended March 31, 2019 primarily due to increased production in our US business and our microwave products business partially offset by reductions in our space and satellite business. As a percentage of total revenue, product sales were 62.3% for the three months ended March 29, 2020 as compared to 61.0% for the three months ended March 31, 2019. Service revenues increased by $1.0 million to $63.6 million for the three months ended March 29, 2020 from $62.6 million for the three months ended March 31, 2019. The increase was primarily related to work performed in our recently acquired FTT business.</w:t>
      </w:r>
    </w:p>
    <w:p>
      <w:pPr>
        <w:spacing w:after="0" w:line="16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$7.6 million to $123.1 million for the three months ended March 29, 2020 from $115.5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2019. The increase in cost of revenues was primarily a result of the increase in revenues discussed above.</w:t>
      </w:r>
    </w:p>
    <w:p>
      <w:pPr>
        <w:spacing w:after="0" w:line="12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Gross margin decreased to 27.1% for the three months ended March 29, 2020 from 28.0% for the three months ended March 31, 2019. Margins on services decreased to 28.9% for the three months ended March 29, 2020 from 32.9% for the three months ended March 31, 2019, due primarily to a less favorable mix of revenues, primarily in our Space, Training &amp; Cyber business and our recently acquired FTT business. Margins on products increased to 26.0% for the three months ended March 29, 2020 from 24.8% for the three months ended March 31, 2019, primarily due to the mix of products produced. Margins in the KGS segment decreased slightly to 30.1% for the three months ended March 29, 2020 from 30.3% for the three months ended March 31, 2019. Margins in the US segment decreased to 18.1% for the three months ended March 29,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19.8% for the three months ended March 31, 2019, primarily due to a less favorable mix of products being produced as well as a less favorable mix of revenues reflecting an increase in lower margin development programs during the three months ended March 29, 2020.</w:t>
      </w:r>
    </w:p>
    <w:p>
      <w:pPr>
        <w:spacing w:after="0" w:line="1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i w:val="1"/>
          <w:iCs w:val="1"/>
          <w:color w:val="auto"/>
        </w:rPr>
        <w:t>Selling, General and Administrative (</w:t>
      </w:r>
      <w:r>
        <w:rPr>
          <w:rFonts w:ascii="Arial" w:cs="Arial" w:eastAsia="Arial" w:hAnsi="Arial"/>
          <w:sz w:val="17"/>
          <w:szCs w:val="17"/>
          <w:color w:val="auto"/>
        </w:rPr>
        <w:t>“</w:t>
      </w:r>
      <w:r>
        <w:rPr>
          <w:rFonts w:ascii="Arial" w:cs="Arial" w:eastAsia="Arial" w:hAnsi="Arial"/>
          <w:sz w:val="17"/>
          <w:szCs w:val="17"/>
          <w:i w:val="1"/>
          <w:iCs w:val="1"/>
          <w:color w:val="auto"/>
        </w:rPr>
        <w:t>SG&amp;A</w:t>
      </w:r>
      <w:r>
        <w:rPr>
          <w:rFonts w:ascii="Arial" w:cs="Arial" w:eastAsia="Arial" w:hAnsi="Arial"/>
          <w:sz w:val="17"/>
          <w:szCs w:val="17"/>
          <w:color w:val="auto"/>
        </w:rPr>
        <w:t>”</w:t>
      </w:r>
      <w:r>
        <w:rPr>
          <w:rFonts w:ascii="Arial" w:cs="Arial" w:eastAsia="Arial" w:hAnsi="Arial"/>
          <w:sz w:val="17"/>
          <w:szCs w:val="17"/>
          <w:i w:val="1"/>
          <w:iCs w:val="1"/>
          <w:color w:val="auto"/>
        </w:rPr>
        <w:t xml:space="preserve">) Expenses. </w:t>
      </w:r>
      <w:r>
        <w:rPr>
          <w:rFonts w:ascii="Arial" w:cs="Arial" w:eastAsia="Arial" w:hAnsi="Arial"/>
          <w:sz w:val="17"/>
          <w:szCs w:val="17"/>
          <w:color w:val="auto"/>
        </w:rPr>
        <w:t>SG&amp;A expense was $34.9 million for the three months ended March 29, 2020 and</w:t>
      </w:r>
      <w:r>
        <w:rPr>
          <w:rFonts w:ascii="Arial" w:cs="Arial" w:eastAsia="Arial" w:hAnsi="Arial"/>
          <w:sz w:val="17"/>
          <w:szCs w:val="17"/>
          <w:i w:val="1"/>
          <w:iCs w:val="1"/>
          <w:color w:val="auto"/>
        </w:rPr>
        <w:t xml:space="preserve"> </w:t>
      </w:r>
      <w:r>
        <w:rPr>
          <w:rFonts w:ascii="Arial" w:cs="Arial" w:eastAsia="Arial" w:hAnsi="Arial"/>
          <w:sz w:val="17"/>
          <w:szCs w:val="17"/>
          <w:color w:val="auto"/>
        </w:rPr>
        <w:t>$31.5 million for the three months ended March 31, 2019. As a percentage of revenues, SG&amp;A increased to 20.7% at March 29, 2020 from 19.6% at March 31, 2019, due primarily to an increase in stock compensation expense of $2.1 million and an increase in depreciation and amortization expense of $0.6 million in the three months ended March 29, 2020 compared to the three months ended March 31, 2019.</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Research and Development (</w:t>
      </w:r>
      <w:r>
        <w:rPr>
          <w:rFonts w:ascii="Arial" w:cs="Arial" w:eastAsia="Arial" w:hAnsi="Arial"/>
          <w:sz w:val="18"/>
          <w:szCs w:val="18"/>
          <w:color w:val="auto"/>
        </w:rPr>
        <w:t>“</w:t>
      </w:r>
      <w:r>
        <w:rPr>
          <w:rFonts w:ascii="Arial" w:cs="Arial" w:eastAsia="Arial" w:hAnsi="Arial"/>
          <w:sz w:val="18"/>
          <w:szCs w:val="18"/>
          <w:i w:val="1"/>
          <w:iCs w:val="1"/>
          <w:color w:val="auto"/>
        </w:rPr>
        <w:t>R&amp;D</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R&amp;D expenses increased $1.8 million to $5.7 million for the three months ended March 29,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$3.9 million for the three months ended March 31, 2019, with the primary increases in our space and satellite communications business. As a percentage of revenues, R&amp;D increased to 3.4% for the three months ended March 29, 2020 from 2.4% for the three months ended March 31, 2019. R&amp;D expenditures are primarily related to investments we are making in conjunction with our customers, with the objectives of our products being the new platform for or “designed-in” to certain new long-term program opportunities and our ownership of certain intellectual property rights for products that support these programs as well as investments we are making in our space and satellite communications business related to new software based and open space platforms and technologies.</w:t>
      </w:r>
    </w:p>
    <w:p>
      <w:pPr>
        <w:spacing w:after="0" w:line="19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Restructuring Expenses and Other. </w:t>
      </w:r>
      <w:r>
        <w:rPr>
          <w:rFonts w:ascii="Arial" w:cs="Arial" w:eastAsia="Arial" w:hAnsi="Arial"/>
          <w:sz w:val="17"/>
          <w:szCs w:val="17"/>
          <w:color w:val="auto"/>
        </w:rPr>
        <w:t>The expense of $0.1 million for the three months ended March 29, 2020 was primarily due to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costs related to personnel reduction actions taken in the first quarter of 2020. The expense of $0.1 million for the three months ended March 31, 2019 was primarily due to employee termination costs related to personnel reduction actions taken in the first quarter of 2019.</w:t>
      </w:r>
    </w:p>
    <w:p>
      <w:pPr>
        <w:spacing w:after="0" w:line="16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decreased to $5.9 million from $6.0 million for the three months ended March 29,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respectively.</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Benefit for Income Taxes from Continuing Operations. </w:t>
      </w:r>
      <w:r>
        <w:rPr>
          <w:rFonts w:ascii="Arial" w:cs="Arial" w:eastAsia="Arial" w:hAnsi="Arial"/>
          <w:sz w:val="17"/>
          <w:szCs w:val="17"/>
          <w:color w:val="auto"/>
        </w:rPr>
        <w:t>The income tax benefit from continuing operations for the three months ended March 29,</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2020 and March 31, 2019 was $1.4 million and $1.5 million, respectively. For the three months ended March 29, 2020 the benefit was primarily related to the acquisition of TDI.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Topic 805”), we established deferred tax liabilities of approximately $0.9 million for the increase in the financial statement basis of the acquired assets of TDI. As a result of our ability to recognize deferred tax assets for these deferred tax liabilities, we released valuation allowance against our deferred tax assets and recognized an income tax benefit of $0.9 million. The additional $0.5 million benefit was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 The benefit for the three months ended March 31, 2019 was primarily related to the acquisition of FTT. In accordance with ASC Topic 805, we established deferred tax liabilities of approximately $4.4 million for the increase in the financial statement basis of the acquired assets of FTT. As a result of our ability to recognize deferred tax assets for these deferred tax liabilities, we released the valuation allowance against our deferred tax assets and recognized an income tax benefit of $3.4 million. This benefit was partially offset by current federal, foreign and state taxes of $0.3 million and uncertain tax position liabilities of $1.6 million.</w:t>
      </w:r>
    </w:p>
    <w:p>
      <w:pPr>
        <w:spacing w:after="0" w:line="17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$0.4 million for the three months ended March 29,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reflecting the work performed in relation to outstanding tasks on legacy projects retained by us following the sale of the PSS business. The loss from discontinued operations was $0.6 million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80" w:firstLine="225"/>
        <w:spacing w:after="0" w:line="263" w:lineRule="auto"/>
        <w:rPr>
          <w:sz w:val="20"/>
          <w:szCs w:val="20"/>
          <w:color w:val="auto"/>
        </w:rPr>
      </w:pPr>
      <w:r>
        <w:rPr>
          <w:rFonts w:ascii="Arial" w:cs="Arial" w:eastAsia="Arial" w:hAnsi="Arial"/>
          <w:sz w:val="18"/>
          <w:szCs w:val="18"/>
          <w:color w:val="auto"/>
        </w:rPr>
        <w:t>On March 29, 2020, we had approximately $646.8 million of total backlog, of which $549.8 million was funded. We expect to recognize approximately 54% of the remaining total backlog as revenue in 2020, an additional 22% by 2021 and the balance thereafter. Our comparable total backlog balance as of March 31, 2019, was approximately $620.2 million of which $539.5 million was funded.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14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of March 29, 2020, we had cash and cash equivalents of $158.6 million compared with cash and cash equivalents of $172.6 million as of December 29, 2019, which includes $27.0 million and $24.6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6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total long-term debt, including principal due on our 6.5% Notes (as defined below), increased from $295.1 million at December 29, 2019 to $295.3 million at March 29, 2020, due to the amortization of debt issuance costs.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use our operating cash flow to finance trade accounts receivable, fund necessary increases in inventory,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increased from 134 days as of December 29, 2019 to 140 days at March 29, 2020, primarily as a result of certain contractual billing milestones that have not yet been achieved and collected. Our DSOs are impacted by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 We are currently in dispute with an international customer in our US segment over approximately $10.0 million in unbilled receivables outstanding as of March 29, 2020. The dispute concerns the completion of certain system requirements and contractual milestones. Although there could be a delay in billing and collecting amounts due to us under the aforementioned contracts, we have evaluated the present facts of the matters and performed a reassessment of the contractual amounts due and have determined that no adjustment to previously recognized revenue, or the corresponding unbilled receivables, is necessary at March 29, 2020.</w:t>
      </w:r>
    </w:p>
    <w:p>
      <w:pPr>
        <w:spacing w:after="0" w:line="17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March 31, 2019</w:t>
            </w:r>
          </w:p>
        </w:tc>
      </w:tr>
      <w:tr>
        <w:trPr>
          <w:trHeight w:val="250"/>
        </w:trPr>
        <w:tc>
          <w:tcPr>
            <w:tcW w:w="8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4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w:t>
            </w:r>
          </w:p>
        </w:tc>
      </w:tr>
    </w:tbl>
    <w:p>
      <w:pPr>
        <w:spacing w:after="0" w:line="35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Net cash provided by operating activities from continuing operations for the three months ended March 29, 2020 was impacted by working capital requirements as well as certain investments we are making in our ballistic missile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Net cash used in investing activities from continuing operations for the three months ended March 29, 2020 is comprised of the acquisition of TDI, a payment due under the FTT acquisition agreement, and capital expenditures, which consist primarily of investments in machinery, computer hardware and software and improvement of our physical properties in order to maintain suitable conditions in which to conduct our business. Net cash used in investing activities from continuing operations for the three months ended March 31, 2019 is comprised of the acquisition of FTT and capital expenditures, which consist primarily of investments in machinery, computer hardware and software and improvement of our physical properties in order to maintain suitable conditions in which to conduct our business. During the three months ended March 29, 2020, capital expenditures of approximately $3.0 million were incurred in our US business, primarily related to our unmanned combat target initiative. We expect our capital expenditures for our calendar year 2020 to continue to be significant for investments we are making, specifically in our US business totaling approximately $25 to $30 million, including approximately $20 to $23 million for capital aerial targets and related support equipment.</w:t>
      </w:r>
    </w:p>
    <w:p>
      <w:pPr>
        <w:spacing w:after="0" w:line="181"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Net cash provided by financing activities from continuing operations was $1.3 million for the three months ended March 29, 2020. Net cash provided by financing activities from continuing operations was $0.8 million for the three months ended March 31, 2019.</w:t>
      </w:r>
    </w:p>
    <w:p>
      <w:pPr>
        <w:spacing w:after="0" w:line="14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operating cash flows from discontinued operations for the three months ended March 29, 2020 is substantially related to the loss from operations from our discontinued PSS business unit of $0.4 million which was offset by approximately $1.9 million collected on amounts due related to the legacy projects retained by us. The operating cash flows from discontinued operations for the three months ended March 31, 2019 is substantially related to the discontinued operations of our PSS business unit.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We incurred debt issuance costs of $6.6 million associated with the 6.5% Notes. We utilized the net proceeds from the sale of the 6.5% Notes, as well as cash from its recent equity offering to extinguish the outstanding 7.00% Senior Secured Notes due in 2019 (the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March 29, 2020, we were in compliance with the covenants contained in the Indenture governing the 6.5% Notes.</w:t>
      </w:r>
    </w:p>
    <w:p>
      <w:pPr>
        <w:spacing w:after="0" w:line="17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5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29, 2020, there was $300.0 million of 6.5% Notes outstanding.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20, 2017, we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property)and (ii) a second priority lien, junior to the lien securing our 6.5% Notes, on all of our other assets.</w:t>
      </w:r>
    </w:p>
    <w:p>
      <w:pPr>
        <w:spacing w:after="0" w:line="19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193"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As of March 29, 2020, there were no borrowings outstanding on the Credit Agreement and $5.7 million was outstanding on letters of credit, resulting in net borrowing base availability of $64.8 million. We were in compliance with the financial covenants of the Credit Agreement and its amendments as of March 29,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100"/>
        <w:spacing w:after="0" w:line="253" w:lineRule="auto"/>
        <w:rPr>
          <w:sz w:val="20"/>
          <w:szCs w:val="20"/>
          <w:color w:val="auto"/>
        </w:rPr>
      </w:pPr>
      <w:r>
        <w:rPr>
          <w:rFonts w:ascii="Arial" w:cs="Arial" w:eastAsia="Arial" w:hAnsi="Arial"/>
          <w:sz w:val="18"/>
          <w:szCs w:val="18"/>
          <w:color w:val="auto"/>
        </w:rPr>
        <w:t>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December 30, 2019, we adopted the requirements of ASC 326, Measurement of Credit Losses on Financial Instruments, as discussed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Note 1 to the accompanying Condensed Consolidated Financial Statements. Other than the adoption of ASC 326, there have been no significant changes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our “Critical Accounting Policies or Estimates” as compared to the significant accounting policies described in the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Since December 29, 2019,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March 29,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March 29, 2020 that has materially affected, or is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14 of the Notes to the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 following risk factor is in addition to those previously disclosed in the Form 10-K .</w:t>
      </w:r>
    </w:p>
    <w:p>
      <w:pPr>
        <w:spacing w:after="0" w:line="157" w:lineRule="exact"/>
        <w:rPr>
          <w:sz w:val="20"/>
          <w:szCs w:val="20"/>
          <w:color w:val="auto"/>
        </w:rPr>
      </w:pPr>
    </w:p>
    <w:p>
      <w:pPr>
        <w:ind w:right="320" w:firstLine="648"/>
        <w:spacing w:after="0" w:line="381" w:lineRule="auto"/>
        <w:rPr>
          <w:sz w:val="20"/>
          <w:szCs w:val="20"/>
          <w:color w:val="auto"/>
        </w:rPr>
      </w:pPr>
      <w:r>
        <w:rPr>
          <w:rFonts w:ascii="Arial" w:cs="Arial" w:eastAsia="Arial" w:hAnsi="Arial"/>
          <w:sz w:val="15"/>
          <w:szCs w:val="15"/>
          <w:b w:val="1"/>
          <w:bCs w:val="1"/>
          <w:i w:val="1"/>
          <w:iCs w:val="1"/>
          <w:color w:val="auto"/>
        </w:rPr>
        <w:t>Our operations expose us to risks associated with pandemics, epidemics or other public health emergencies, such as the recent outbreak of coronavirus disease 2019 (COVID-19) which has spread from China to many other countries across the globe, including the United States.</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March 2020, the World Health Organization categorized COVID-19 as a pandemic, and the President of the United States declared the COVID-19 outbreak a national emergency. The outbreak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a company operating in a critical infrastructure industry, as defined by the U.S. Department of Homeland Security. Consistent with federal guidelines and with state and local orders to date, we currently continue to operate. Notwithstanding our continued operations, COVID-19 has begun to have and may have further negative impacts on our operations, supply chain, transportation networks and customers, which may compress our sales and our margins, including as a result of preventative and precautionary measures that we, other businesses and governments are taking. The COVID-19 outbreak is a widespread public health crisis that is adversely affecting the economies and financial markets of many countries. Any resulting economic downturn could adversely affect demand for our products. The progression of this matter could also negatively impact our business or results of operations through the temporary closure of our operating locations or those of our customers or suppliers.</w:t>
      </w:r>
    </w:p>
    <w:p>
      <w:pPr>
        <w:spacing w:after="0" w:line="27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ability of our employees and our suppliers’ and customers’ employees to work may be significantly impacted by individuals contracting or being exposed to COVID-19, or as a result of the control measures noted above, which may significantly hamper our production, including throughout the supply chain. On March 27, 2020, the President of the United States signed and enacted into law the CARES Act, a $2 trillion economic relief bill. We are evaluating the impact of the CARES Act including related stimulus and relief actions on our business.</w:t>
      </w:r>
    </w:p>
    <w:p>
      <w:pPr>
        <w:spacing w:after="0" w:line="2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Since the end of our first quarter, COVID-19 has continued to impact our markets and operations, including supply chain disruptions, delays of certain supplier deliveries, difficulties gaining access to certain locations, difficulties gaining access to customers related to previously scheduled demonstrations and exercises, and decreased demand requirements of certain of our commercial aero and power customers.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and operational impacts of COVID-19 means the related financial impact cannot be reasonably estimated at this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39"/>
          </w:cols>
          <w:pgMar w:left="320" w:top="125" w:right="1440"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19"/>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920" w:type="dxa"/>
            <w:vAlign w:val="bottom"/>
            <w:tcBorders>
              <w:top w:val="single" w:sz="8" w:color="auto"/>
              <w:bottom w:val="single" w:sz="8" w:color="0000FF"/>
            </w:tcBorders>
            <w:gridSpan w:val="13"/>
          </w:tcPr>
          <w:p>
            <w:pPr>
              <w:spacing w:after="0" w:line="202" w:lineRule="exact"/>
              <w:rPr>
                <w:rFonts w:ascii="Arial" w:cs="Arial" w:eastAsia="Arial" w:hAnsi="Arial"/>
                <w:sz w:val="18"/>
                <w:szCs w:val="18"/>
                <w:color w:val="0000FF"/>
                <w:w w:val="88"/>
              </w:rPr>
            </w:pPr>
            <w:hyperlink r:id="rId29">
              <w:r>
                <w:rPr>
                  <w:rFonts w:ascii="Arial" w:cs="Arial" w:eastAsia="Arial" w:hAnsi="Arial"/>
                  <w:sz w:val="18"/>
                  <w:szCs w:val="18"/>
                  <w:color w:val="0000FF"/>
                  <w:w w:val="88"/>
                </w:rPr>
                <w:t>Purchase Agreement, dated February 27, 2019, by and</w:t>
              </w:r>
            </w:hyperlink>
          </w:p>
        </w:tc>
        <w:tc>
          <w:tcPr>
            <w:tcW w:w="200" w:type="dxa"/>
            <w:vAlign w:val="bottom"/>
            <w:tcBorders>
              <w:top w:val="single" w:sz="8" w:color="auto"/>
            </w:tcBorders>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21"/>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among Kratos Defense &amp; Security Solutions, Inc.,</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21"/>
          </w:tcPr>
          <w:p>
            <w:pPr>
              <w:spacing w:after="0" w:line="196"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Shirley Brostmeyer, (“SB”), Joseph Brostmeyer (“JB”),</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8"/>
              </w:rPr>
            </w:pPr>
            <w:hyperlink r:id="rId29">
              <w:r>
                <w:rPr>
                  <w:rFonts w:ascii="Arial" w:cs="Arial" w:eastAsia="Arial" w:hAnsi="Arial"/>
                  <w:sz w:val="18"/>
                  <w:szCs w:val="18"/>
                  <w:color w:val="0000FF"/>
                  <w:w w:val="88"/>
                </w:rPr>
                <w:t>certain trusts established by SB, JB and members of</w:t>
              </w:r>
            </w:hyperlink>
          </w:p>
        </w:tc>
        <w:tc>
          <w:tcPr>
            <w:tcW w:w="260" w:type="dxa"/>
            <w:vAlign w:val="bottom"/>
            <w:tcBorders>
              <w:top w:val="single" w:sz="8" w:color="0000FF"/>
            </w:tcBorders>
            <w:gridSpan w:val="6"/>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20" w:type="dxa"/>
            <w:vAlign w:val="bottom"/>
            <w:gridSpan w:val="21"/>
          </w:tcPr>
          <w:p>
            <w:pPr>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their immediate family, and JB, as the Sellers</w:t>
              </w:r>
            </w:hyperlink>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Representative.</w:t>
              </w:r>
            </w:hyperlink>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Borders>
              <w:bottom w:val="single" w:sz="8" w:color="0000FF"/>
            </w:tcBorders>
            <w:gridSpan w:val="11"/>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Amended and Restated Certificate of Incorporation of</w:t>
              </w:r>
            </w:hyperlink>
          </w:p>
        </w:tc>
        <w:tc>
          <w:tcPr>
            <w:tcW w:w="24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u w:val="single" w:color="auto"/>
                <w:color w:val="0000FF"/>
                <w:w w:val="92"/>
              </w:rPr>
            </w:pPr>
            <w:hyperlink r:id="rId30">
              <w:r>
                <w:rPr>
                  <w:rFonts w:ascii="Arial" w:cs="Arial" w:eastAsia="Arial" w:hAnsi="Arial"/>
                  <w:sz w:val="18"/>
                  <w:szCs w:val="18"/>
                  <w:u w:val="single" w:color="auto"/>
                  <w:color w:val="0000FF"/>
                  <w:w w:val="92"/>
                </w:rPr>
                <w:t>Kratos Defense &amp; Security Solutions, Inc., as amended.</w:t>
              </w:r>
            </w:hyperlink>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Borders>
              <w:bottom w:val="single" w:sz="8" w:color="0000FF"/>
            </w:tcBorders>
            <w:gridSpan w:val="7"/>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Second Amended and Restated Bylaws of Kratos</w:t>
              </w:r>
            </w:hyperlink>
          </w:p>
        </w:tc>
        <w:tc>
          <w:tcPr>
            <w:tcW w:w="52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Defense &amp; Security Solutions, Inc., as amended.</w:t>
              </w:r>
            </w:hyperlink>
          </w:p>
        </w:tc>
        <w:tc>
          <w:tcPr>
            <w:tcW w:w="0" w:type="dxa"/>
            <w:vAlign w:val="bottom"/>
          </w:tcPr>
          <w:p>
            <w:pPr>
              <w:spacing w:after="0"/>
              <w:rPr>
                <w:sz w:val="1"/>
                <w:szCs w:val="1"/>
                <w:color w:val="auto"/>
              </w:rPr>
            </w:pPr>
          </w:p>
        </w:tc>
      </w:tr>
      <w:tr>
        <w:trPr>
          <w:trHeight w:val="270"/>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120" w:type="dxa"/>
            <w:vAlign w:val="bottom"/>
            <w:gridSpan w:val="21"/>
          </w:tcPr>
          <w:p>
            <w:pPr>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Specimen Stock Certificate.</w:t>
              </w:r>
            </w:hyperlink>
          </w:p>
        </w:tc>
        <w:tc>
          <w:tcPr>
            <w:tcW w:w="0" w:type="dxa"/>
            <w:vAlign w:val="bottom"/>
          </w:tcPr>
          <w:p>
            <w:pPr>
              <w:spacing w:after="0"/>
              <w:rPr>
                <w:sz w:val="1"/>
                <w:szCs w:val="1"/>
                <w:color w:val="auto"/>
              </w:rPr>
            </w:pPr>
          </w:p>
        </w:tc>
      </w:tr>
      <w:tr>
        <w:trPr>
          <w:trHeight w:val="445"/>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21"/>
          </w:tcPr>
          <w:p>
            <w:pPr>
              <w:spacing w:after="0"/>
              <w:rPr>
                <w:rFonts w:ascii="Arial" w:cs="Arial" w:eastAsia="Arial" w:hAnsi="Arial"/>
                <w:sz w:val="18"/>
                <w:szCs w:val="18"/>
                <w:color w:val="0000FF"/>
              </w:rPr>
            </w:pPr>
            <w:hyperlink r:id="rId33">
              <w:r>
                <w:rPr>
                  <w:rFonts w:ascii="Arial" w:cs="Arial" w:eastAsia="Arial" w:hAnsi="Arial"/>
                  <w:sz w:val="18"/>
                  <w:szCs w:val="18"/>
                  <w:color w:val="0000FF"/>
                </w:rPr>
                <w:t>Indenture, dated as of November 20, 2017, among</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Kratos Defense &amp; Security Solutions, Inc., as Issuer, the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2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Guarantors party thereto, and Wilmington Trust,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u w:val="single" w:color="auto"/>
                <w:color w:val="0000FF"/>
                <w:w w:val="95"/>
              </w:rPr>
            </w:pPr>
            <w:hyperlink r:id="rId33">
              <w:r>
                <w:rPr>
                  <w:rFonts w:ascii="Arial" w:cs="Arial" w:eastAsia="Arial" w:hAnsi="Arial"/>
                  <w:sz w:val="18"/>
                  <w:szCs w:val="18"/>
                  <w:u w:val="single" w:color="auto"/>
                  <w:color w:val="0000FF"/>
                  <w:w w:val="95"/>
                </w:rPr>
                <w:t>National Association, as Trustee and Collateral Agent.</w:t>
              </w:r>
            </w:hyperlink>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40" w:type="dxa"/>
            <w:vAlign w:val="bottom"/>
            <w:tcBorders>
              <w:bottom w:val="single" w:sz="8" w:color="0000FF"/>
            </w:tcBorders>
            <w:gridSpan w:val="18"/>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First Supplemental Indenture, dated as of December 21,</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2017, among Kratos Defense &amp; Security Solutions, Inc.,</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0" w:type="dxa"/>
            <w:vAlign w:val="bottom"/>
            <w:tcBorders>
              <w:bottom w:val="single" w:sz="8" w:color="0000FF"/>
            </w:tcBorders>
            <w:gridSpan w:val="5"/>
          </w:tcPr>
          <w:p>
            <w:pPr>
              <w:spacing w:after="0" w:line="196"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as Issuer, the Guarantor as party thereto, and</w:t>
              </w:r>
            </w:hyperlink>
          </w:p>
        </w:tc>
        <w:tc>
          <w:tcPr>
            <w:tcW w:w="9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Wilmington Trust, National Association, as Trustee.</w:t>
              </w:r>
            </w:hyperlink>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0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Employment Agreement, effective January 1, 2018 by</w:t>
              </w:r>
            </w:hyperlink>
          </w:p>
        </w:tc>
        <w:tc>
          <w:tcPr>
            <w:tcW w:w="2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tcBorders>
              <w:bottom w:val="single" w:sz="8" w:color="0000FF"/>
            </w:tcBorders>
            <w:gridSpan w:val="17"/>
          </w:tcPr>
          <w:p>
            <w:pPr>
              <w:spacing w:after="0" w:line="196" w:lineRule="exact"/>
              <w:rPr>
                <w:rFonts w:ascii="Arial" w:cs="Arial" w:eastAsia="Arial" w:hAnsi="Arial"/>
                <w:sz w:val="18"/>
                <w:szCs w:val="18"/>
                <w:color w:val="0000FF"/>
                <w:w w:val="88"/>
              </w:rPr>
            </w:pPr>
            <w:hyperlink w:anchor="page39">
              <w:r>
                <w:rPr>
                  <w:rFonts w:ascii="Arial" w:cs="Arial" w:eastAsia="Arial" w:hAnsi="Arial"/>
                  <w:sz w:val="18"/>
                  <w:szCs w:val="18"/>
                  <w:color w:val="0000FF"/>
                  <w:w w:val="88"/>
                </w:rPr>
                <w:t>and between Kratos Defense and Security Systems, Inc.</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21"/>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and Steven Fendley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Employment Agreement, effective January 1, 2018 by</w:t>
              </w:r>
            </w:hyperlink>
          </w:p>
        </w:tc>
        <w:tc>
          <w:tcPr>
            <w:tcW w:w="22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tcBorders>
              <w:bottom w:val="single" w:sz="8" w:color="0000FF"/>
            </w:tcBorders>
            <w:gridSpan w:val="17"/>
          </w:tcPr>
          <w:p>
            <w:pPr>
              <w:spacing w:after="0" w:line="196" w:lineRule="exact"/>
              <w:rPr>
                <w:rFonts w:ascii="Arial" w:cs="Arial" w:eastAsia="Arial" w:hAnsi="Arial"/>
                <w:sz w:val="18"/>
                <w:szCs w:val="18"/>
                <w:color w:val="0000FF"/>
                <w:w w:val="88"/>
              </w:rPr>
            </w:pPr>
            <w:hyperlink w:anchor="page48">
              <w:r>
                <w:rPr>
                  <w:rFonts w:ascii="Arial" w:cs="Arial" w:eastAsia="Arial" w:hAnsi="Arial"/>
                  <w:sz w:val="18"/>
                  <w:szCs w:val="18"/>
                  <w:color w:val="0000FF"/>
                  <w:w w:val="88"/>
                </w:rPr>
                <w:t>and between Kratos Defense and Security Systems, Inc.</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and Phil Carrai</w:t>
              </w:r>
            </w:hyperlink>
          </w:p>
        </w:tc>
        <w:tc>
          <w:tcPr>
            <w:tcW w:w="30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2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of Chief Executive Officer pursuant to</w:t>
              </w:r>
            </w:hyperlink>
          </w:p>
        </w:tc>
        <w:tc>
          <w:tcPr>
            <w:tcW w:w="40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Section 302 of the Sarbanes Oxley Act of 2002.</w:t>
              </w:r>
            </w:hyperlink>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20" w:type="dxa"/>
            <w:vAlign w:val="bottom"/>
            <w:gridSpan w:val="2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60" w:type="dxa"/>
            <w:vAlign w:val="bottom"/>
            <w:tcBorders>
              <w:top w:val="single" w:sz="8" w:color="0000FF"/>
            </w:tcBorders>
            <w:gridSpan w:val="8"/>
          </w:tcPr>
          <w:p>
            <w:pPr>
              <w:spacing w:after="0"/>
              <w:rPr>
                <w:rFonts w:ascii="Arial" w:cs="Arial" w:eastAsia="Arial" w:hAnsi="Arial"/>
                <w:sz w:val="18"/>
                <w:szCs w:val="18"/>
                <w:u w:val="single" w:color="auto"/>
                <w:color w:val="0000FF"/>
                <w:w w:val="95"/>
              </w:rPr>
            </w:pPr>
            <w:hyperlink w:anchor="page58">
              <w:r>
                <w:rPr>
                  <w:rFonts w:ascii="Arial" w:cs="Arial" w:eastAsia="Arial" w:hAnsi="Arial"/>
                  <w:sz w:val="18"/>
                  <w:szCs w:val="18"/>
                  <w:u w:val="single" w:color="auto"/>
                  <w:color w:val="0000FF"/>
                  <w:w w:val="95"/>
                </w:rPr>
                <w:t>Section 302 of the Sarbanes Oxley Act of 2002.</w:t>
              </w:r>
            </w:hyperlink>
          </w:p>
        </w:tc>
        <w:tc>
          <w:tcPr>
            <w:tcW w:w="4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Certification pursuant to 18 U.S.C. Section 1350, as</w:t>
              </w:r>
            </w:hyperlink>
          </w:p>
        </w:tc>
        <w:tc>
          <w:tcPr>
            <w:tcW w:w="38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adopted pursuant to Section 906 of the Sarbanes-Oxley</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21"/>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Act of 2002 for Eric M. DeMarco.</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Certification pursuant to 18 U.S.C. Section 1350, as</w:t>
              </w:r>
            </w:hyperlink>
          </w:p>
        </w:tc>
        <w:tc>
          <w:tcPr>
            <w:tcW w:w="38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adopted pursuant to Section 906 of the Sarbanes-Oxley</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21"/>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Act of 2002 for Deanna Lund.</w:t>
              </w:r>
            </w:hyperlink>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40" w:type="dxa"/>
            <w:vAlign w:val="bottom"/>
          </w:tcPr>
          <w:p>
            <w:pPr>
              <w:spacing w:after="0"/>
              <w:rPr>
                <w:sz w:val="21"/>
                <w:szCs w:val="21"/>
                <w:color w:val="auto"/>
              </w:rPr>
            </w:pPr>
          </w:p>
        </w:tc>
        <w:tc>
          <w:tcPr>
            <w:tcW w:w="39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XBRL Instance Document-the instance document does</w:t>
              </w:r>
            </w:hyperlink>
          </w:p>
        </w:tc>
        <w:tc>
          <w:tcPr>
            <w:tcW w:w="1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not appear in the Interactive Data File because its XBRL</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21"/>
          </w:tcPr>
          <w:p>
            <w:pPr>
              <w:spacing w:after="0"/>
              <w:rPr>
                <w:rFonts w:ascii="Arial" w:cs="Arial" w:eastAsia="Arial" w:hAnsi="Arial"/>
                <w:sz w:val="18"/>
                <w:szCs w:val="18"/>
                <w:u w:val="single" w:color="auto"/>
                <w:color w:val="0000EE"/>
                <w:w w:val="97"/>
              </w:rPr>
            </w:pPr>
            <w:hyperlink w:anchor="page3">
              <w:r>
                <w:rPr>
                  <w:rFonts w:ascii="Arial" w:cs="Arial" w:eastAsia="Arial" w:hAnsi="Arial"/>
                  <w:sz w:val="18"/>
                  <w:szCs w:val="18"/>
                  <w:u w:val="single" w:color="auto"/>
                  <w:color w:val="0000EE"/>
                  <w:w w:val="97"/>
                </w:rPr>
                <w:t>tags are embedded within the Inline XBRL document</w:t>
              </w:r>
            </w:hyperlink>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3"/>
                <w:szCs w:val="23"/>
                <w:color w:val="auto"/>
              </w:rPr>
            </w:pPr>
          </w:p>
        </w:tc>
        <w:tc>
          <w:tcPr>
            <w:tcW w:w="4120" w:type="dxa"/>
            <w:vAlign w:val="bottom"/>
            <w:gridSpan w:val="2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XBRL Taxonomy Extension Schema Document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44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4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700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Filing Date/</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8"/>
        </w:trPr>
        <w:tc>
          <w:tcPr>
            <w:tcW w:w="13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8"/>
        </w:trPr>
        <w:tc>
          <w:tcPr>
            <w:tcW w:w="1480" w:type="dxa"/>
            <w:vAlign w:val="bottom"/>
            <w:gridSpan w:val="2"/>
          </w:tcPr>
          <w:p>
            <w:pPr>
              <w:ind w:left="50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81"/>
              <w:spacing w:after="0"/>
              <w:rPr>
                <w:sz w:val="20"/>
                <w:szCs w:val="20"/>
                <w:color w:val="auto"/>
              </w:rPr>
            </w:pPr>
            <w:r>
              <w:rPr>
                <w:rFonts w:ascii="Arial" w:cs="Arial" w:eastAsia="Arial" w:hAnsi="Arial"/>
                <w:sz w:val="18"/>
                <w:szCs w:val="18"/>
                <w:color w:val="auto"/>
              </w:rPr>
              <w:t>05/08/2019</w:t>
            </w:r>
          </w:p>
        </w:tc>
        <w:tc>
          <w:tcPr>
            <w:tcW w:w="100" w:type="dxa"/>
            <w:vAlign w:val="bottom"/>
          </w:tcPr>
          <w:p>
            <w:pPr>
              <w:spacing w:after="0"/>
              <w:rPr>
                <w:sz w:val="19"/>
                <w:szCs w:val="19"/>
                <w:color w:val="auto"/>
              </w:rPr>
            </w:pPr>
          </w:p>
        </w:tc>
        <w:tc>
          <w:tcPr>
            <w:tcW w:w="1340" w:type="dxa"/>
            <w:vAlign w:val="bottom"/>
          </w:tcPr>
          <w:p>
            <w:pPr>
              <w:jc w:val="right"/>
              <w:ind w:right="479"/>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41"/>
              <w:spacing w:after="0"/>
              <w:rPr>
                <w:sz w:val="20"/>
                <w:szCs w:val="20"/>
                <w:color w:val="auto"/>
              </w:rPr>
            </w:pPr>
            <w:r>
              <w:rPr>
                <w:rFonts w:ascii="Arial" w:cs="Arial" w:eastAsia="Arial" w:hAnsi="Arial"/>
                <w:sz w:val="18"/>
                <w:szCs w:val="18"/>
                <w:color w:val="auto"/>
              </w:rPr>
              <w:t>(001-34460)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0"/>
        <w:spacing w:after="0"/>
        <w:tabs>
          <w:tab w:leader="none" w:pos="1720" w:val="left"/>
          <w:tab w:leader="none" w:pos="34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02/27/2017</w:t>
      </w:r>
      <w:r>
        <w:rPr>
          <w:sz w:val="20"/>
          <w:szCs w:val="20"/>
          <w:color w:val="auto"/>
        </w:rPr>
        <w:tab/>
      </w:r>
      <w:r>
        <w:rPr>
          <w:rFonts w:ascii="Arial" w:cs="Arial" w:eastAsia="Arial" w:hAnsi="Arial"/>
          <w:sz w:val="15"/>
          <w:szCs w:val="15"/>
          <w:color w:val="auto"/>
        </w:rPr>
        <w:t>3.1</w:t>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(001-34460)</w:t>
      </w:r>
    </w:p>
    <w:p>
      <w:pPr>
        <w:spacing w:after="0" w:line="49" w:lineRule="exact"/>
        <w:rPr>
          <w:sz w:val="20"/>
          <w:szCs w:val="20"/>
          <w:color w:val="auto"/>
        </w:rPr>
      </w:pPr>
    </w:p>
    <w:p>
      <w:pPr>
        <w:ind w:left="500"/>
        <w:spacing w:after="0"/>
        <w:tabs>
          <w:tab w:leader="none" w:pos="1720" w:val="left"/>
          <w:tab w:leader="none" w:pos="34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02/27/2017</w:t>
      </w:r>
      <w:r>
        <w:rPr>
          <w:sz w:val="20"/>
          <w:szCs w:val="20"/>
          <w:color w:val="auto"/>
        </w:rPr>
        <w:tab/>
      </w:r>
      <w:r>
        <w:rPr>
          <w:rFonts w:ascii="Arial" w:cs="Arial" w:eastAsia="Arial" w:hAnsi="Arial"/>
          <w:sz w:val="15"/>
          <w:szCs w:val="15"/>
          <w:color w:val="auto"/>
        </w:rPr>
        <w:t>3.2</w:t>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(001-34460)</w:t>
      </w:r>
    </w:p>
    <w:p>
      <w:pPr>
        <w:spacing w:after="0" w:line="49" w:lineRule="exact"/>
        <w:rPr>
          <w:sz w:val="20"/>
          <w:szCs w:val="20"/>
          <w:color w:val="auto"/>
        </w:rPr>
      </w:pPr>
    </w:p>
    <w:p>
      <w:pPr>
        <w:ind w:left="500"/>
        <w:spacing w:after="0"/>
        <w:tabs>
          <w:tab w:leader="none" w:pos="1720" w:val="left"/>
          <w:tab w:leader="none" w:pos="34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02/27/2017</w:t>
      </w:r>
      <w:r>
        <w:rPr>
          <w:sz w:val="20"/>
          <w:szCs w:val="20"/>
          <w:color w:val="auto"/>
        </w:rPr>
        <w:tab/>
      </w:r>
      <w:r>
        <w:rPr>
          <w:rFonts w:ascii="Arial" w:cs="Arial" w:eastAsia="Arial" w:hAnsi="Arial"/>
          <w:sz w:val="15"/>
          <w:szCs w:val="15"/>
          <w:color w:val="auto"/>
        </w:rPr>
        <w:t>4.1</w:t>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(001-34460)</w:t>
      </w:r>
    </w:p>
    <w:p>
      <w:pPr>
        <w:spacing w:after="0" w:line="49" w:lineRule="exact"/>
        <w:rPr>
          <w:sz w:val="20"/>
          <w:szCs w:val="20"/>
          <w:color w:val="auto"/>
        </w:rPr>
      </w:pPr>
    </w:p>
    <w:p>
      <w:pPr>
        <w:ind w:left="540"/>
        <w:spacing w:after="0"/>
        <w:tabs>
          <w:tab w:leader="none" w:pos="172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11/21/2017</w:t>
      </w:r>
      <w:r>
        <w:rPr>
          <w:sz w:val="20"/>
          <w:szCs w:val="20"/>
          <w:color w:val="auto"/>
        </w:rPr>
        <w:tab/>
      </w:r>
      <w:r>
        <w:rPr>
          <w:rFonts w:ascii="Arial" w:cs="Arial" w:eastAsia="Arial" w:hAnsi="Arial"/>
          <w:sz w:val="15"/>
          <w:szCs w:val="15"/>
          <w:color w:val="auto"/>
        </w:rPr>
        <w:t>4.1</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(001-34460)</w:t>
      </w:r>
    </w:p>
    <w:p>
      <w:pPr>
        <w:spacing w:after="0" w:line="200" w:lineRule="exact"/>
        <w:rPr>
          <w:sz w:val="20"/>
          <w:szCs w:val="20"/>
          <w:color w:val="auto"/>
        </w:rPr>
      </w:pPr>
    </w:p>
    <w:p>
      <w:pPr>
        <w:spacing w:after="0" w:line="281" w:lineRule="exact"/>
        <w:rPr>
          <w:sz w:val="20"/>
          <w:szCs w:val="20"/>
          <w:color w:val="auto"/>
        </w:rPr>
      </w:pPr>
    </w:p>
    <w:p>
      <w:pPr>
        <w:ind w:left="500"/>
        <w:spacing w:after="0"/>
        <w:tabs>
          <w:tab w:leader="none" w:pos="1720" w:val="left"/>
          <w:tab w:leader="none" w:pos="34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02/28/2018</w:t>
      </w:r>
      <w:r>
        <w:rPr>
          <w:sz w:val="20"/>
          <w:szCs w:val="20"/>
          <w:color w:val="auto"/>
        </w:rPr>
        <w:tab/>
      </w:r>
      <w:r>
        <w:rPr>
          <w:rFonts w:ascii="Arial" w:cs="Arial" w:eastAsia="Arial" w:hAnsi="Arial"/>
          <w:sz w:val="15"/>
          <w:szCs w:val="15"/>
          <w:color w:val="auto"/>
        </w:rPr>
        <w:t>4.5</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(001-34460)</w:t>
      </w:r>
    </w:p>
    <w:p>
      <w:pPr>
        <w:spacing w:after="0" w:line="200" w:lineRule="exact"/>
        <w:rPr>
          <w:sz w:val="20"/>
          <w:szCs w:val="20"/>
          <w:color w:val="auto"/>
        </w:rPr>
      </w:pPr>
    </w:p>
    <w:p>
      <w:pPr>
        <w:spacing w:after="0" w:line="281"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2">
            <w:col w:w="5420" w:space="120"/>
            <w:col w:w="570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Incorporated by</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Reference</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gridSpan w:val="4"/>
            <w:vMerge w:val="restart"/>
          </w:tcPr>
          <w:p>
            <w:pPr>
              <w:ind w:left="7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2"/>
        </w:trPr>
        <w:tc>
          <w:tcPr>
            <w:tcW w:w="12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17"/>
                <w:szCs w:val="17"/>
                <w:color w:val="auto"/>
              </w:rPr>
            </w:pPr>
          </w:p>
        </w:tc>
        <w:tc>
          <w:tcPr>
            <w:tcW w:w="4240" w:type="dxa"/>
            <w:vAlign w:val="bottom"/>
            <w:gridSpan w:val="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XBRL Taxonomy Extension Calculation Linkbase</w:t>
              </w:r>
            </w:hyperlink>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Document</w:t>
              </w:r>
            </w:hyperlink>
          </w:p>
        </w:tc>
        <w:tc>
          <w:tcPr>
            <w:tcW w:w="2880" w:type="dxa"/>
            <w:vAlign w:val="bottom"/>
            <w:tcBorders>
              <w:top w:val="single" w:sz="8" w:color="0000EE"/>
            </w:tcBorders>
            <w:gridSpan w:val="2"/>
          </w:tcPr>
          <w:p>
            <w:pPr>
              <w:spacing w:after="0"/>
              <w:rPr>
                <w:sz w:val="17"/>
                <w:szCs w:val="17"/>
                <w:color w:val="auto"/>
              </w:rPr>
            </w:pPr>
          </w:p>
        </w:tc>
        <w:tc>
          <w:tcPr>
            <w:tcW w:w="62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1"/>
                <w:szCs w:val="21"/>
                <w:color w:val="auto"/>
              </w:rPr>
            </w:pPr>
          </w:p>
        </w:tc>
        <w:tc>
          <w:tcPr>
            <w:tcW w:w="35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XBRL Taxonomy Extension Definition Linkbase</w:t>
              </w:r>
            </w:hyperlink>
          </w:p>
        </w:tc>
        <w:tc>
          <w:tcPr>
            <w:tcW w:w="700" w:type="dxa"/>
            <w:vAlign w:val="bottom"/>
            <w:gridSpan w:val="4"/>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Document</w:t>
              </w:r>
            </w:hyperlink>
          </w:p>
        </w:tc>
        <w:tc>
          <w:tcPr>
            <w:tcW w:w="3500" w:type="dxa"/>
            <w:vAlign w:val="bottom"/>
            <w:gridSpan w:val="5"/>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4"/>
                <w:szCs w:val="24"/>
                <w:color w:val="auto"/>
              </w:rPr>
            </w:pPr>
          </w:p>
        </w:tc>
        <w:tc>
          <w:tcPr>
            <w:tcW w:w="4240" w:type="dxa"/>
            <w:vAlign w:val="bottom"/>
            <w:gridSpan w:val="6"/>
          </w:tcPr>
          <w:p>
            <w:pPr>
              <w:spacing w:after="0"/>
              <w:rPr>
                <w:rFonts w:ascii="Arial" w:cs="Arial" w:eastAsia="Arial" w:hAnsi="Arial"/>
                <w:sz w:val="18"/>
                <w:szCs w:val="18"/>
                <w:u w:val="single" w:color="auto"/>
                <w:color w:val="0000EE"/>
                <w:w w:val="97"/>
              </w:rPr>
            </w:pPr>
            <w:hyperlink w:anchor="page3">
              <w:r>
                <w:rPr>
                  <w:rFonts w:ascii="Arial" w:cs="Arial" w:eastAsia="Arial" w:hAnsi="Arial"/>
                  <w:sz w:val="18"/>
                  <w:szCs w:val="18"/>
                  <w:u w:val="single" w:color="auto"/>
                  <w:color w:val="0000EE"/>
                  <w:w w:val="97"/>
                </w:rPr>
                <w:t>XBRL Taxonomy Extension Label Linkbase Document</w:t>
              </w:r>
            </w:hyperlink>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19"/>
                <w:szCs w:val="19"/>
                <w:color w:val="auto"/>
              </w:rPr>
            </w:pPr>
          </w:p>
        </w:tc>
        <w:tc>
          <w:tcPr>
            <w:tcW w:w="424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XBRL Taxonomy Extension Presentation Linkbase</w:t>
              </w:r>
            </w:hyperlink>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Document</w:t>
              </w:r>
            </w:hyperlink>
          </w:p>
        </w:tc>
        <w:tc>
          <w:tcPr>
            <w:tcW w:w="2940" w:type="dxa"/>
            <w:vAlign w:val="bottom"/>
            <w:tcBorders>
              <w:top w:val="single" w:sz="8" w:color="0000EE"/>
            </w:tcBorders>
            <w:gridSpan w:val="3"/>
          </w:tcPr>
          <w:p>
            <w:pPr>
              <w:spacing w:after="0"/>
              <w:rPr>
                <w:sz w:val="17"/>
                <w:szCs w:val="17"/>
                <w:color w:val="auto"/>
              </w:rPr>
            </w:pPr>
          </w:p>
        </w:tc>
        <w:tc>
          <w:tcPr>
            <w:tcW w:w="5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14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gridSpan w:val="6"/>
          </w:tcPr>
          <w:p>
            <w:pPr>
              <w:spacing w:after="0"/>
              <w:rPr>
                <w:sz w:val="20"/>
                <w:szCs w:val="20"/>
                <w:color w:val="auto"/>
              </w:rPr>
            </w:pPr>
            <w:r>
              <w:rPr>
                <w:rFonts w:ascii="Arial" w:cs="Arial" w:eastAsia="Arial" w:hAnsi="Arial"/>
                <w:sz w:val="18"/>
                <w:szCs w:val="18"/>
                <w:color w:val="auto"/>
              </w:rPr>
              <w:t>XBRL and contained in Exhibit 101)</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2459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360" w:firstLine="8"/>
        <w:spacing w:after="0" w:line="308"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46" w:lineRule="exact"/>
        <w:rPr>
          <w:sz w:val="20"/>
          <w:szCs w:val="20"/>
          <w:color w:val="auto"/>
        </w:rPr>
      </w:pPr>
    </w:p>
    <w:p>
      <w:pPr>
        <w:ind w:right="60" w:firstLine="8"/>
        <w:spacing w:after="0" w:line="277"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would be competitively harmful if publicly disclosed.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20" w:type="dxa"/>
            <w:vAlign w:val="bottom"/>
          </w:tcPr>
          <w:p>
            <w:pPr>
              <w:ind w:left="55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592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5920" w:type="dxa"/>
            <w:vAlign w:val="bottom"/>
          </w:tcPr>
          <w:p>
            <w:pPr>
              <w:spacing w:after="0"/>
              <w:rPr>
                <w:sz w:val="23"/>
                <w:szCs w:val="23"/>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5920" w:type="dxa"/>
            <w:vAlign w:val="bottom"/>
          </w:tcPr>
          <w:p>
            <w:pPr>
              <w:spacing w:after="0"/>
              <w:rPr>
                <w:sz w:val="23"/>
                <w:szCs w:val="23"/>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810"/>
        </w:trPr>
        <w:tc>
          <w:tcPr>
            <w:tcW w:w="5920" w:type="dxa"/>
            <w:vAlign w:val="bottom"/>
          </w:tcPr>
          <w:p>
            <w:pPr>
              <w:ind w:left="55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592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5920" w:type="dxa"/>
            <w:vAlign w:val="bottom"/>
          </w:tcPr>
          <w:p>
            <w:pPr>
              <w:spacing w:after="0"/>
              <w:rPr>
                <w:sz w:val="23"/>
                <w:szCs w:val="23"/>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5920" w:type="dxa"/>
            <w:vAlign w:val="bottom"/>
          </w:tcPr>
          <w:p>
            <w:pPr>
              <w:spacing w:after="0"/>
              <w:rPr>
                <w:sz w:val="23"/>
                <w:szCs w:val="23"/>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5920" w:type="dxa"/>
            <w:vAlign w:val="bottom"/>
          </w:tcPr>
          <w:p>
            <w:pPr>
              <w:ind w:left="55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592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5920" w:type="dxa"/>
            <w:vAlign w:val="bottom"/>
          </w:tcPr>
          <w:p>
            <w:pPr>
              <w:spacing w:after="0"/>
              <w:rPr>
                <w:sz w:val="23"/>
                <w:szCs w:val="23"/>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5920" w:type="dxa"/>
            <w:vAlign w:val="bottom"/>
          </w:tcPr>
          <w:p>
            <w:pPr>
              <w:spacing w:after="0"/>
              <w:rPr>
                <w:sz w:val="23"/>
                <w:szCs w:val="23"/>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5920" w:type="dxa"/>
            <w:vAlign w:val="bottom"/>
          </w:tcPr>
          <w:p>
            <w:pPr>
              <w:spacing w:after="0"/>
              <w:rPr>
                <w:sz w:val="20"/>
                <w:szCs w:val="20"/>
                <w:color w:val="auto"/>
              </w:rPr>
            </w:pPr>
            <w:r>
              <w:rPr>
                <w:rFonts w:ascii="Arial" w:cs="Arial" w:eastAsia="Arial" w:hAnsi="Arial"/>
                <w:sz w:val="18"/>
                <w:szCs w:val="18"/>
                <w:color w:val="auto"/>
              </w:rPr>
              <w:t>Date:   May 7, 2020</w:t>
            </w:r>
          </w:p>
        </w:tc>
        <w:tc>
          <w:tcPr>
            <w:tcW w:w="5280" w:type="dxa"/>
            <w:vAlign w:val="bottom"/>
          </w:tcPr>
          <w:p>
            <w:pPr>
              <w:spacing w:after="0"/>
              <w:rPr>
                <w:sz w:val="23"/>
                <w:szCs w:val="23"/>
                <w:color w:val="auto"/>
              </w:rPr>
            </w:pPr>
          </w:p>
        </w:tc>
      </w:tr>
      <w:tr>
        <w:trPr>
          <w:trHeight w:val="459"/>
        </w:trPr>
        <w:tc>
          <w:tcPr>
            <w:tcW w:w="5920" w:type="dxa"/>
            <w:vAlign w:val="bottom"/>
          </w:tcPr>
          <w:p>
            <w:pPr>
              <w:ind w:left="5500"/>
              <w:spacing w:after="0"/>
              <w:rPr>
                <w:sz w:val="20"/>
                <w:szCs w:val="20"/>
                <w:color w:val="auto"/>
              </w:rPr>
            </w:pPr>
            <w:r>
              <w:rPr>
                <w:rFonts w:ascii="Arial" w:cs="Arial" w:eastAsia="Arial" w:hAnsi="Arial"/>
                <w:sz w:val="18"/>
                <w:szCs w:val="18"/>
                <w:color w:val="auto"/>
              </w:rPr>
              <w:t>38</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33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THIS EMPLOYMENT AGREEMENT </w:t>
      </w:r>
      <w:r>
        <w:rPr>
          <w:rFonts w:ascii="Arial" w:cs="Arial" w:eastAsia="Arial" w:hAnsi="Arial"/>
          <w:sz w:val="20"/>
          <w:szCs w:val="20"/>
          <w:color w:val="auto"/>
        </w:rPr>
        <w:t>(“Agreement”) is entered into by and between Kratos Defense &amp; Security Solutions, Inc., a</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corporation (“Company”), and Steven Fendley, an individual (“Executive”), effective as of January 1, 2018 (“Effective Date”). Certain terms used in this Agreement denoted by initial capital letters are defined in Section 17, to the extent not defined elsewhere in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wishes to continue to employ Executive upon the terms and conditions contained in this Employment Agreement and Executive wishes to enter into this Agreement and agrees to perform his obligations hereunder in consideration of his employment, salary, benefits and other terms described herein .</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set forth herein, the Company and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intending to be legally bound, hereby agree as follows: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jc w:val="both"/>
        <w:ind w:firstLine="8"/>
        <w:spacing w:after="0" w:line="250" w:lineRule="auto"/>
        <w:tabs>
          <w:tab w:leader="none" w:pos="232" w:val="left"/>
        </w:tabs>
        <w:numPr>
          <w:ilvl w:val="0"/>
          <w:numId w:val="13"/>
        </w:numPr>
        <w:rPr>
          <w:rFonts w:ascii="Arial" w:cs="Arial" w:eastAsia="Arial" w:hAnsi="Arial"/>
          <w:sz w:val="20"/>
          <w:szCs w:val="20"/>
          <w:color w:val="auto"/>
        </w:rPr>
      </w:pPr>
      <w:r>
        <w:rPr>
          <w:rFonts w:ascii="Arial" w:cs="Arial" w:eastAsia="Arial" w:hAnsi="Arial"/>
          <w:sz w:val="20"/>
          <w:szCs w:val="20"/>
          <w:color w:val="auto"/>
        </w:rPr>
        <w:t>Employment. The Company shall employ Executive as Senior Vice President and Division President of the Company’s Unmanned Systems Division (the “Position”), and Executive accepts such employment and agrees to perform services for the Company for the period and upon the other terms and conditions set forth in this Agreement.</w:t>
      </w:r>
    </w:p>
    <w:p>
      <w:pPr>
        <w:spacing w:after="0" w:line="185" w:lineRule="exact"/>
        <w:rPr>
          <w:rFonts w:ascii="Arial" w:cs="Arial" w:eastAsia="Arial" w:hAnsi="Arial"/>
          <w:sz w:val="20"/>
          <w:szCs w:val="20"/>
          <w:color w:val="auto"/>
        </w:rPr>
      </w:pPr>
    </w:p>
    <w:p>
      <w:pPr>
        <w:jc w:val="both"/>
        <w:ind w:firstLine="8"/>
        <w:spacing w:after="0" w:line="250" w:lineRule="auto"/>
        <w:tabs>
          <w:tab w:leader="none" w:pos="21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Term. The term of Executive’s employment hereunder shall be for a period commencing on the Effective Date and ending on December 31, 2020 (the “Term”), subject to earlier termination as hereinafter specified. Upon expiration of the Term, this Agreement may be renewed upon agreement of the parties for an additional term of one (1) year.</w:t>
      </w:r>
    </w:p>
    <w:p>
      <w:pPr>
        <w:spacing w:after="0" w:line="185" w:lineRule="exact"/>
        <w:rPr>
          <w:rFonts w:ascii="Arial" w:cs="Arial" w:eastAsia="Arial" w:hAnsi="Arial"/>
          <w:sz w:val="20"/>
          <w:szCs w:val="20"/>
          <w:color w:val="auto"/>
        </w:rPr>
      </w:pPr>
    </w:p>
    <w:p>
      <w:pPr>
        <w:jc w:val="both"/>
        <w:ind w:firstLine="8"/>
        <w:spacing w:after="0" w:line="270"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Position and Duties. During the term of this Agreement, Executive shall perform all duties and functions customarily performed by the Position of a business of the size and nature similar to that of the Company, and such other related employment duties as the President &amp; CEO of the Company or his designee (the “President”) shall reasonably assign to Executive from time to time. Executive shall perform his duties principally in the State of Texas, with such travel to such other locations as the President may reasonably require. Except as may otherwise be approved in advance by the President, and except during vacation periods and reasonable periods of absence due to sickness, personal injury or other disability, Executive shall devote his working time as needed to the services required of him hereunder. Executive shall use his reasonable best efforts, judgment and energy to improve and advance the business and interest of the Company and its subsidiaries, if applicable, in a manner consistent with the duties of his position and with the Company’s Code of Legal and Ethical Conduct. Executive hereby confirms that he is under no contractual commitments inconsistent with his obligations set forth in this Agreement, and that during his employment, he will not render or perform services, or enter into any contract to do so, for any other corporation, firm, entity or person which are inconsistent with the provisions of this Agreement. To the extent that Executive remains an employee of 5D Systems, Inc., Executive acknowledges and agrees that such employment will not interfere or conflict with his obligations set forth in this Agreement. Executive will refrain from influencing or making any decisions regarding 5D Systems, which decisions shall rest with the President.</w:t>
      </w:r>
    </w:p>
    <w:p>
      <w:pPr>
        <w:spacing w:after="0" w:line="172" w:lineRule="exact"/>
        <w:rPr>
          <w:rFonts w:ascii="Arial" w:cs="Arial" w:eastAsia="Arial" w:hAnsi="Arial"/>
          <w:sz w:val="18"/>
          <w:szCs w:val="18"/>
          <w:color w:val="auto"/>
        </w:rPr>
      </w:pPr>
    </w:p>
    <w:p>
      <w:pPr>
        <w:ind w:left="200" w:hanging="192"/>
        <w:spacing w:after="0"/>
        <w:tabs>
          <w:tab w:leader="none" w:pos="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Compensation.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4.1 Base Salary. As compensation for all services to be rendered by Executive under this Agreement, the Company shall pay to Executive a base annual salary of One Hundred Forty Thousand Dollars ($140,000) (the “Base Salary”), which shall be paid on a regular basis in accordance with the Company’s customary payroll procedures and policies. Executive will be eligible for annual increases to the Base Salary in accordance with the Company’s then current compensation policies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8" w:right="339" w:bottom="1440" w:gutter="0" w:footer="0" w:header="0"/>
        </w:sectPr>
      </w:pPr>
    </w:p>
    <w:bookmarkStart w:id="39" w:name="page40"/>
    <w:bookmarkEnd w:id="39"/>
    <w:p>
      <w:pPr>
        <w:jc w:val="both"/>
        <w:ind w:right="20"/>
        <w:spacing w:after="0" w:line="260" w:lineRule="auto"/>
        <w:rPr>
          <w:sz w:val="20"/>
          <w:szCs w:val="20"/>
          <w:color w:val="auto"/>
        </w:rPr>
      </w:pPr>
      <w:r>
        <w:rPr>
          <w:rFonts w:ascii="Arial" w:cs="Arial" w:eastAsia="Arial" w:hAnsi="Arial"/>
          <w:sz w:val="20"/>
          <w:szCs w:val="20"/>
          <w:color w:val="auto"/>
        </w:rPr>
        <w:t>4.2 Equity Incentives. Executive will be eligible for equity incentive grants at the discretion of the President and the Compensation Committee of the Board of Directors.</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4.3 Participation in Benefit Plans. Executive and eligible family members shall be eligible to participate in, subject to his affirmative election to enroll in such plans requiring enrollment, and to the extent eligible thereunder, in any and all plans of the Company providing general benefits for the Company’s employees, including, but not limited to, any group life insurance, hospitalization, disability, paid time off, medical, dental, pension, profit sharing, savings and stock bonus plans. Executive’s participation in any such plan or program shall be subject to the provisions, rules, and regulations applicable thereto. Nothing in this Agreement shall impose on the Company any affirmative obligation to establish any benefit plan. The Company reserves the right to prospectively terminate or change benefit plans and programs it offers to its employees at any time.</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4.4 Expenses. In accordance with the Company’s policies established from time to time, the Company will pay or reimburse Executive for all reasonable and necessary out-of-pocket expenses incurred by him in the performance of the Position, subject to the presentment of appropriate receipts or expense reports in connection with the Company’s policies and procedures. The following provisions shall be in effect for any reimbursements (and in-kind benefits) to which Executive otherwise becomes entitled under this Agreement, in order to assure that such reimbursements (and benefits) do not create a deferred compensation arrangement subject to Section 409A of the Internal Revenue Code of 1986, as amended (“Code”):</w:t>
      </w:r>
    </w:p>
    <w:p>
      <w:pPr>
        <w:spacing w:after="0" w:line="196" w:lineRule="exact"/>
        <w:rPr>
          <w:sz w:val="20"/>
          <w:szCs w:val="20"/>
          <w:color w:val="auto"/>
        </w:rPr>
      </w:pPr>
    </w:p>
    <w:p>
      <w:pPr>
        <w:ind w:firstLine="8"/>
        <w:spacing w:after="0" w:line="260" w:lineRule="auto"/>
        <w:tabs>
          <w:tab w:leader="none" w:pos="45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amount of reimbursements (or in-kind benefits) to which Executive may become entitled in any one calendar year shall not affect the amount of expenses eligible for reimbursement (or in-kind benefits) hereunder in any other calendar year.</w:t>
      </w:r>
    </w:p>
    <w:p>
      <w:pPr>
        <w:spacing w:after="0" w:line="176" w:lineRule="exact"/>
        <w:rPr>
          <w:rFonts w:ascii="Arial" w:cs="Arial" w:eastAsia="Arial" w:hAnsi="Arial"/>
          <w:sz w:val="20"/>
          <w:szCs w:val="20"/>
          <w:color w:val="auto"/>
        </w:rPr>
      </w:pPr>
    </w:p>
    <w:p>
      <w:pPr>
        <w:jc w:val="both"/>
        <w:ind w:firstLine="8"/>
        <w:spacing w:after="0" w:line="250" w:lineRule="auto"/>
        <w:tabs>
          <w:tab w:leader="none" w:pos="544" w:val="left"/>
        </w:tabs>
        <w:numPr>
          <w:ilvl w:val="0"/>
          <w:numId w:val="14"/>
        </w:numPr>
        <w:rPr>
          <w:rFonts w:ascii="Arial" w:cs="Arial" w:eastAsia="Arial" w:hAnsi="Arial"/>
          <w:sz w:val="20"/>
          <w:szCs w:val="20"/>
          <w:color w:val="auto"/>
        </w:rPr>
      </w:pPr>
      <w:r>
        <w:rPr>
          <w:rFonts w:ascii="Arial" w:cs="Arial" w:eastAsia="Arial" w:hAnsi="Arial"/>
          <w:sz w:val="20"/>
          <w:szCs w:val="20"/>
          <w:color w:val="auto"/>
        </w:rPr>
        <w:t>Each reimbursement to which Executive becomes entitled shall be made by the Company as soon as administratively practicable following Executive’s submission of the supporting documentation, but in no event later than the close of business of the calendar year following the calendar year in which the reimbursable expense is incurred.</w:t>
      </w:r>
    </w:p>
    <w:p>
      <w:pPr>
        <w:spacing w:after="0" w:line="185" w:lineRule="exact"/>
        <w:rPr>
          <w:rFonts w:ascii="Arial" w:cs="Arial" w:eastAsia="Arial" w:hAnsi="Arial"/>
          <w:sz w:val="20"/>
          <w:szCs w:val="20"/>
          <w:color w:val="auto"/>
        </w:rPr>
      </w:pPr>
    </w:p>
    <w:p>
      <w:pPr>
        <w:ind w:left="420" w:hanging="412"/>
        <w:spacing w:after="0"/>
        <w:tabs>
          <w:tab w:leader="none" w:pos="4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Executive’s right to reimbursement (or in-kind benefits) cannot be liquidated or exchanged for any other benefit or payment.</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4.5 Taxes and Other Withholding. The Company may withhold from any benefits or amounts payable (including any Severance Payment, as defined below) under this Agreement all federal, state, city or other taxes and other amounts as shall be required pursuant to any law or governmental regulation or ruling or as elected by Executive.</w:t>
      </w:r>
    </w:p>
    <w:p>
      <w:pPr>
        <w:spacing w:after="0" w:line="186" w:lineRule="exact"/>
        <w:rPr>
          <w:sz w:val="20"/>
          <w:szCs w:val="20"/>
          <w:color w:val="auto"/>
        </w:rPr>
      </w:pPr>
    </w:p>
    <w:p>
      <w:pPr>
        <w:ind w:firstLine="8"/>
        <w:spacing w:after="0" w:line="260" w:lineRule="auto"/>
        <w:tabs>
          <w:tab w:leader="none" w:pos="211"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Annual Leave. Executive shall earn paid time off and shall maintain paid time off balances in accordance with the Company’s standard policies.</w:t>
      </w:r>
    </w:p>
    <w:p>
      <w:pPr>
        <w:spacing w:after="0" w:line="176" w:lineRule="exact"/>
        <w:rPr>
          <w:rFonts w:ascii="Arial" w:cs="Arial" w:eastAsia="Arial" w:hAnsi="Arial"/>
          <w:sz w:val="20"/>
          <w:szCs w:val="20"/>
          <w:color w:val="auto"/>
        </w:rPr>
      </w:pPr>
    </w:p>
    <w:p>
      <w:pPr>
        <w:jc w:val="both"/>
        <w:ind w:firstLine="8"/>
        <w:spacing w:after="0" w:line="250" w:lineRule="auto"/>
        <w:tabs>
          <w:tab w:leader="none" w:pos="198"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Compensation upon Termination. Executive shall be entitled to the following payments, if any, upon the termination of his employment by the Company. The compensation described in this Section 6 shall be in lieu of any separation or severance compensation offered to Executive under any general policies of the Company.</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6.1 For Cause. In the event Executive is terminated by the Company for Cause pursuant to Section 11.1, Executive shall not be entitled to any compensation other than Base Salary accrued through the date of termination, plus accrued but unused paid time off.</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6.2 Resignation. In the event Executive resigns from the Company voluntarily pursuant to Section 11.2, Executive shall be entitled to receive Executive’s Base Salary accrued through the effective date of termination, plus accrued but unused paid time off. Should Executive resign his employment upon thirty (30) days’ advance written notice, Company reserves the right to immediately relieve Executive of all job duties and provide Executive with payment of thirty (30) days Base Salary in lieu of any portion of the remaining notice period.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63" w:right="339" w:bottom="1440" w:gutter="0" w:footer="0" w:header="0"/>
        </w:sectPr>
      </w:pPr>
    </w:p>
    <w:bookmarkStart w:id="40" w:name="page41"/>
    <w:bookmarkEnd w:id="40"/>
    <w:p>
      <w:pPr>
        <w:jc w:val="both"/>
        <w:spacing w:after="0" w:line="278" w:lineRule="auto"/>
        <w:rPr>
          <w:sz w:val="20"/>
          <w:szCs w:val="20"/>
          <w:color w:val="auto"/>
        </w:rPr>
      </w:pPr>
      <w:r>
        <w:rPr>
          <w:rFonts w:ascii="Arial" w:cs="Arial" w:eastAsia="Arial" w:hAnsi="Arial"/>
          <w:sz w:val="18"/>
          <w:szCs w:val="18"/>
          <w:color w:val="auto"/>
        </w:rPr>
        <w:t>6.3 Without Cause. In the event Executive is terminated by the Company Without Cause pursuant to Section 11.3, the Company shall pay to Executive (i) any Base Salary accrued through the date of termination, (ii) any accrued but unused paid time off, (iii) any Incentive Compensation accrued and earned but not yet paid and (iv) continued payment of the Base Salary for six (6) months (the “Severance Period”). Subsection (iv) of this Section 6.3 shall be referred to as a “Severance Payment.” Except as otherwise provided herein, the Severance Payment shall be paid to Executive on a regular basis in accordance with the company’s regular payroll procedures and policies.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6.4 Disability. If Executive becomes physically or mentally disabled during the term of this Agreement and such disability continues for a consecutive period of one hundred and twenty (120) days or 120 days in any 365 day period, the Company may, to the extent permitted by applicable law after the expiration of such period, terminate this Agreement by giving written notice to Executive. For purpose of this Agreement, the term “disabled” shall be defined as Executive’s inability, through physical or mental illness, to perform all of the duties which Executive is required to perform under this Agreement with or without reasonable accommodation as such terms are defined under the Americans with Disabilities Act. In the event that the Executive is terminated pursuant to this section, the Company shall pay to Executive</w:t>
      </w:r>
    </w:p>
    <w:p>
      <w:pPr>
        <w:spacing w:after="0" w:line="1" w:lineRule="exact"/>
        <w:rPr>
          <w:sz w:val="20"/>
          <w:szCs w:val="20"/>
          <w:color w:val="auto"/>
        </w:rPr>
      </w:pPr>
    </w:p>
    <w:p>
      <w:pPr>
        <w:ind w:firstLine="8"/>
        <w:spacing w:after="0" w:line="244" w:lineRule="auto"/>
        <w:tabs>
          <w:tab w:leader="none" w:pos="241" w:val="left"/>
        </w:tabs>
        <w:numPr>
          <w:ilvl w:val="0"/>
          <w:numId w:val="16"/>
        </w:numPr>
        <w:rPr>
          <w:rFonts w:ascii="Arial" w:cs="Arial" w:eastAsia="Arial" w:hAnsi="Arial"/>
          <w:sz w:val="20"/>
          <w:szCs w:val="20"/>
          <w:color w:val="auto"/>
        </w:rPr>
      </w:pPr>
      <w:r>
        <w:rPr>
          <w:rFonts w:ascii="Arial" w:cs="Arial" w:eastAsia="Arial" w:hAnsi="Arial"/>
          <w:sz w:val="20"/>
          <w:szCs w:val="20"/>
          <w:color w:val="auto"/>
        </w:rPr>
        <w:t>Executive’s Base Salary through the date that he is terminated; (ii) any earned and accrued Incentive Compensation; and (iii) any accrued but unused paid time off.</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6.5 Release. The receipt of the Severance Payment or other benefits pursuant to this Section 6 will be subject to Executive signing and not revoking a release of claims agreement in a form prescribed by the Company, and such release becoming effective and irrevocable within forty-five (45) days of Executive’s termination. No severance or other benefits will be paid or provided until the release of claims agreement becomes effective, and any severance amounts or benefits otherwise payable between the date of Executive’s termination and the date such release becomes effective shall be paid on the effective date of such release, subject to the delay in the following paragraph. If the termination occurs after November 15, no payments shall be made until the first payroll date of the following calendar year, after the release has become effective, subject to the delay in the following paragraph.</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6.6 Delay of Payment; Other Section 409A Matters. For the sake of clarity, no severance benefit that is paid on account of Executive’s termination of employment will be paid unless and until Executive incurs a “separation from service” under the default rules of Section 409A of the Internal Revenue Code of 1986, as amended (the “Code”). Notwithstanding any other provision of this Agreement whatsoever, the Company, in its sole discretion, shall have the right to construe this Agreement in a manner that complies with Section 409A of the Code (relating to deferred compensation arrangements) and any related administrative guidance issued by the Internal Revenue Service. Notwithstanding any inconsistent provision of this Agreement, if Executive is a “specified employee” within the meaning of Section 409A of the Code at the time of Executive’s termination, then only that portion of the Severance Payment, together with any other severance payments or benefits that, in each case, are non-qualified deferred compensation under Code Section 409A, which (a) do not exceed the Section 409A Limit (as defined below), and (b) which qualify as separation pay under Treasury Regulation Section 1. 409A-1(b)(9)(iii), may be paid within the first six (6) months following Executive’s termination. Otherwise, the portion of the Severance Payment, together with any other severance payments or benefits that, in each case, are non-qualified deferred compensation under Section 409A, that would otherwise be payable within the six (6) month period following Executive’s termination will instead be paid in a lump sum on the date six (6) months and one (1) day following the date of Executive’s termination (or the next business day if such date is not a business day), provided Executive has complied with the requirements for such payment. For purposes of this Agreement, “Section 409A Limit” means the lesser of two (2) times: (i) Executive’s “annualized compensation” as determined under Treasury Regulation Section 1.409A-1(b)(9)(iii)(A)(1), or (ii) the maximum amount that may be taken into account under a qualified plan pursuant to Section 401(a)(17) of the Code for the year of the termination, or such successor limit as may apply. Each payment specified hereunder is designated a separate payment for purposes of Section 409A. The Company shall have no liability to Executive for any adverse tax or other consequences related to the payments provided hereunder and to the extent any payment or benefit would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63" w:right="3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20"/>
          <w:szCs w:val="20"/>
          <w:color w:val="auto"/>
        </w:rPr>
        <w:t>result in adverse or other tax consequences under Section 409A, Executive shall have no legally enforceable right to such payment or benefit. For purposes of this Agreement, termination of employment and similar phrases mean a “separation from service” within the meaning of Section 409A.</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7. Proprietary Matter; Ownership.</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7.1 Except as permitted or directed by the Company or as required by law, Executive shall not during the term of his employment or at any time thereafter knowingly divulge, furnish, disclose or make accessible (other than in the ordinary course of the business of the Company) to anyone for use in any way any confidential, secret, or proprietary knowledge or information of the Company or its Affiliates that is not in the public domain (“Proprietary Matter”) which Executive has acquired or become acquainted with or will acquire or become acquainted with during his employment, whether developed by himself or by others, including, but not limited to, any trade secrets, confidential or secret designs, processes, formulae, software or computer programs, plans, devices, or material (whether or not patented or patentable, copyrighted or copyrightable) directly or indirectly useful in any aspect of the business of the Company and its Affiliates, any confidential customer, distributor or supplier lists of the Company or its Affiliates, any confidential or secret development or research work of the Company or its Affiliates, or other confidential, secret or non-public aspects of the business of the Company or its Affiliates. Executive acknowledges that the Proprietary Matter constitutes a unique and valuable asset of the Company or its Affiliates, acquired at great time and expense by the Company or such Affiliates, and that any disclosure or other use of the Proprietary Matter other than for the sole benefit of the Company or such Affiliates would be wrongful and could cause irreparable harm to the Company or such Affiliates. The foregoing obligations of confidentiality, however, shall not apply to any knowledge or information which is now published or which subsequently becomes generally publicly known, other than as a direct or indirect result of the breach of this Agreement by Executive or the breach of any obligation of confidentiality by any other person.</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7.2 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its Affiliates or to any experimental work carried on by the Company or its Affiliates. All such inventions, designs, improvements, enhancements, developments and discoveries shall be the exclusive property of the Company or its Affiliates. Executive hereby assigns the rights to all such inventions, designs, improvements, enhancements, developments and discoveries to the Company or its Affiliates. Executive shall reasonably assist the Company or its Affiliates in obtaining patents on all such inventions, designs, improvements, enhancements, developments and discoveries deemed patentable by the Company or its Affiliates and shall execute all documents (including assignments and related affidavits) and do all things reasonably necessary to obtain such patents. This provision shall not apply to any inventions for which no equipment, supplies, facilities or trade secret information of the Company or its Affiliates was used and which was developed on Executive’s own time without using any of the Company’s or its Affiliates’ equipment, supplies, facilities or trade secret information, except for those inventions which either: (a) related at the time of conception or reduction to practice of the invention to the Company’s or its Affiliates’ respective businesses, or actual or demonstrably anticipated research or development of the Company or its Affiliates, or (b) resulted from any work performed by Executive for the Company or its Affiliates.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7.3 Executive acknowledges and understands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if an employee files a lawsuit for retaliation by the Company for reporting a suspected violation of law, the employee may disclose the trade secret to the employee’s attorney and use the trade secret information in the court proceeding, if the employee (A) files any document containing the trade secret under seal; and (B) does not disclose the trade secret, except pursuant to court order. In the event that disclosure of Company trade secrets was not done in good faith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663"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pursuant to the above, the employee may be subject to substantial damages, including punitive damages and attorneys’ fees.</w:t>
      </w:r>
    </w:p>
    <w:p>
      <w:pPr>
        <w:spacing w:after="0" w:line="216" w:lineRule="exact"/>
        <w:rPr>
          <w:sz w:val="20"/>
          <w:szCs w:val="20"/>
          <w:color w:val="auto"/>
        </w:rPr>
      </w:pPr>
    </w:p>
    <w:p>
      <w:pPr>
        <w:jc w:val="both"/>
        <w:ind w:firstLine="8"/>
        <w:spacing w:after="0" w:line="243" w:lineRule="auto"/>
        <w:tabs>
          <w:tab w:leader="none" w:pos="205" w:val="left"/>
        </w:tabs>
        <w:numPr>
          <w:ilvl w:val="0"/>
          <w:numId w:val="17"/>
        </w:numPr>
        <w:rPr>
          <w:rFonts w:ascii="Arial" w:cs="Arial" w:eastAsia="Arial" w:hAnsi="Arial"/>
          <w:sz w:val="20"/>
          <w:szCs w:val="20"/>
          <w:color w:val="auto"/>
        </w:rPr>
      </w:pPr>
      <w:r>
        <w:rPr>
          <w:rFonts w:ascii="Arial" w:cs="Arial" w:eastAsia="Arial" w:hAnsi="Arial"/>
          <w:sz w:val="20"/>
          <w:szCs w:val="20"/>
          <w:color w:val="auto"/>
        </w:rPr>
        <w:t>Ventures. If, during the term of this Agreement, Executive is engaged in or associated with the planning or implementing of any project, program or venture directly related to the business of the Company or its Affiliates and a third party or parties, all rights in the project, program or venture shall belong to the Company and shall constitute a corporate opportunity belonging exclusively to the Company. Except as expressly approved in writing by the Company, Executive shall not be entitled to any interest in such project, program or venture or to any commission, finder’s fee or other compensation in connection therewith, other than the compensation to be paid to Executive as provided in this Agreement.</w:t>
      </w:r>
    </w:p>
    <w:p>
      <w:pPr>
        <w:spacing w:after="0" w:line="195" w:lineRule="exact"/>
        <w:rPr>
          <w:rFonts w:ascii="Arial" w:cs="Arial" w:eastAsia="Arial" w:hAnsi="Arial"/>
          <w:sz w:val="20"/>
          <w:szCs w:val="20"/>
          <w:color w:val="auto"/>
        </w:rPr>
      </w:pPr>
    </w:p>
    <w:p>
      <w:pPr>
        <w:ind w:left="200" w:hanging="192"/>
        <w:spacing w:after="0"/>
        <w:tabs>
          <w:tab w:leader="none" w:pos="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Noninterference With Business.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9.1 During his employment, Executive agrees not to, whether on his own behalf or as a partner, officer, director, employee, agent or consultant of any other person or entity, directly or indirectly, engage or attempt to engage in an employment or business activity which competes against the Company or its Affiliates, any activity the Company or its Affiliates are considering undertaking or is otherwise in conflict with the Company’s or its Affiliates’ business interests, unless the President consents in writing in advance.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9.2 Executive understands and agrees that Company’s and its Affiliates’ employees and customers and any information regarding Company and its Affiliates employees and/or customers is confidential and constitutes trade secrets. Accordingly, Executive agrees that during his employment and thereafter, Executive will not, either directly or indirectly, separately or in association with others use Company or Affiliate trade secret or confidential information for any reason including, but not limited to, to interfere with, impair, disrupt or damage Company’s or its Affiliates relationship with any of its customers or customer prospects by soliciting or encouraging others to solicit any of them for the purpose of diverting or taking away business from Company or its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9.3 For a period of six (6) months following Executive’s separation from employment for any other reason, Executive agrees not to:</w:t>
      </w:r>
    </w:p>
    <w:p>
      <w:pPr>
        <w:spacing w:after="0" w:line="2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9.3.1 interfere with, impair, disrupt, damage or attempt to damage the Company’s or its Affiliates’ relationship with any of its then Customers or Prospective Customers;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9.3.2 knowingly directly or indirectly solicit, induce or attempt to induce any employee, consultant or independent contractor to terminate or breach an employment, contractual or other relationship with the Company or its Affiliates, to leave the Company’s or its Affiliates’ employ for a position involving work in direct competition to that of the Company or its Affiliates.</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9.3.3 Executive acknowledges that the restraints imposed under this Section 9 are reasonable and not unduly harsh or oppressive and that, in the event that Executive is subject to any of the restrictions set forth in Section 9 following his separation from the Company, he would be able to find gainful employment in the general field of manufacturing of unmanned systems related products.</w:t>
      </w:r>
    </w:p>
    <w:p>
      <w:pPr>
        <w:spacing w:after="0" w:line="170" w:lineRule="exact"/>
        <w:rPr>
          <w:sz w:val="20"/>
          <w:szCs w:val="20"/>
          <w:color w:val="auto"/>
        </w:rPr>
      </w:pPr>
    </w:p>
    <w:p>
      <w:pPr>
        <w:jc w:val="both"/>
        <w:ind w:firstLine="8"/>
        <w:spacing w:after="0" w:line="244" w:lineRule="auto"/>
        <w:tabs>
          <w:tab w:leader="none" w:pos="344" w:val="left"/>
        </w:tabs>
        <w:numPr>
          <w:ilvl w:val="0"/>
          <w:numId w:val="18"/>
        </w:numPr>
        <w:rPr>
          <w:rFonts w:ascii="Arial" w:cs="Arial" w:eastAsia="Arial" w:hAnsi="Arial"/>
          <w:sz w:val="20"/>
          <w:szCs w:val="20"/>
          <w:color w:val="auto"/>
        </w:rPr>
      </w:pPr>
      <w:r>
        <w:rPr>
          <w:rFonts w:ascii="Arial" w:cs="Arial" w:eastAsia="Arial" w:hAnsi="Arial"/>
          <w:sz w:val="20"/>
          <w:szCs w:val="20"/>
          <w:color w:val="auto"/>
        </w:rPr>
        <w:t>Non-Disparagement. Executive expressly agrees that during his employment by the Company and after the termination of such employment for any reason, he will make no statement and take no actions of any kind, verbal or written, that directly or indirectly disparages the Company or the Related Parties, injures their general reputation or interferes with the Company’s or its Affiliates’ operations, except as required by applicable law. Nothing in this Section 10 shall restrict the Executive from cooperating or communicating with any governmental or listing entity.</w:t>
      </w:r>
    </w:p>
    <w:p>
      <w:pPr>
        <w:spacing w:after="0" w:line="194" w:lineRule="exact"/>
        <w:rPr>
          <w:rFonts w:ascii="Arial" w:cs="Arial" w:eastAsia="Arial" w:hAnsi="Arial"/>
          <w:sz w:val="20"/>
          <w:szCs w:val="20"/>
          <w:color w:val="auto"/>
        </w:rPr>
      </w:pPr>
    </w:p>
    <w:p>
      <w:pPr>
        <w:ind w:left="300" w:hanging="292"/>
        <w:spacing w:after="0"/>
        <w:tabs>
          <w:tab w:leader="none" w:pos="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Termination Prior to Expiration of the Term.</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11.1 Termination for Cause. The Company may terminate Executive’s employment at any time for “Cause” (as defined in Section 17) immediately upon written notice to Executive. Such written notice shall set forth with reasonable specificity the Company’s basis for such termination.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663" w:right="339" w:bottom="1440" w:gutter="0" w:footer="0" w:header="0"/>
        </w:sectPr>
      </w:pPr>
    </w:p>
    <w:bookmarkStart w:id="43" w:name="page44"/>
    <w:bookmarkEnd w:id="43"/>
    <w:p>
      <w:pPr>
        <w:jc w:val="both"/>
        <w:spacing w:after="0" w:line="260" w:lineRule="auto"/>
        <w:rPr>
          <w:sz w:val="20"/>
          <w:szCs w:val="20"/>
          <w:color w:val="auto"/>
        </w:rPr>
      </w:pPr>
      <w:r>
        <w:rPr>
          <w:rFonts w:ascii="Arial" w:cs="Arial" w:eastAsia="Arial" w:hAnsi="Arial"/>
          <w:sz w:val="20"/>
          <w:szCs w:val="20"/>
          <w:color w:val="auto"/>
        </w:rPr>
        <w:t>11.2 Resignation. Executive’s employment shall be terminated on the earlier of the date that is thirty (30) days following the submission of Executive’s written resignation to the Company or the date such resignation is accepted by the Company.</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11.3 Termination Without Cause. The Company may terminate Executive’s employment Without Cause upon written notice to Executive. Termination “Without Cause” shall mean termination of employment by the Company on any basis other than termination of Executive’s employment hereunder pursuant to Section 11.1 or 11.2, including on account of a disability.</w:t>
      </w:r>
    </w:p>
    <w:p>
      <w:pPr>
        <w:spacing w:after="0" w:line="186" w:lineRule="exact"/>
        <w:rPr>
          <w:sz w:val="20"/>
          <w:szCs w:val="20"/>
          <w:color w:val="auto"/>
        </w:rPr>
      </w:pPr>
    </w:p>
    <w:p>
      <w:pPr>
        <w:jc w:val="both"/>
        <w:ind w:firstLine="8"/>
        <w:spacing w:after="0" w:line="273"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Surrender of Records and Property. Upon termination of his employment for any reason, Executive shall deliver promptly to the Company all records, manuals, books, blank forms, documents, letters, licenses, briefings, memoranda, notes, notebooks, reports, data, tables, and calculations or copies thereof, which are the property of the Company and which relate in any way to the business, customers, products, practices or techniques of the Company, and all 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 ledger, or similar item to be used for keeping records of or information regarding the business of the Company or its customers, Executive shall immediately notify the Company and provide documentation of such purchase, which shall then immediately reimburse Executive for the expense of such purchase.</w:t>
      </w:r>
    </w:p>
    <w:p>
      <w:pPr>
        <w:spacing w:after="0" w:line="168" w:lineRule="exact"/>
        <w:rPr>
          <w:rFonts w:ascii="Arial" w:cs="Arial" w:eastAsia="Arial" w:hAnsi="Arial"/>
          <w:sz w:val="18"/>
          <w:szCs w:val="18"/>
          <w:color w:val="auto"/>
        </w:rPr>
      </w:pPr>
    </w:p>
    <w:p>
      <w:pPr>
        <w:jc w:val="both"/>
        <w:ind w:firstLine="8"/>
        <w:spacing w:after="0" w:line="278" w:lineRule="auto"/>
        <w:tabs>
          <w:tab w:leader="none" w:pos="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Assignment. This Agreement shall not be assignable, in whole or in part, by the Executive. The Company may, upon notice to Executive, assign its rights and obligations under this Agreement to any corporation, firm or other business entity (i) owned or controlled by the Company or to any entity which is or may own or control the Company, or (ii) with which the Company may merge into or consolidate, or (iii) to which the Company may sell or transfer all or substantially all of its assets or to which fifty percent (50%) or more of the equity investment and of the voting control is owned, directly or indirectly, by, or is under the common ownership with, the Company.</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Upon such assignment by Kratos or the Company, this Agreement shall be enforceable by the Executive and the Assignee respectively. After any such assignment by Kratos or the Company, the Executive and Kratos or the Company, as the case may be, shall be discharged from all further liability hereunder to each other.</w:t>
      </w:r>
    </w:p>
    <w:p>
      <w:pPr>
        <w:spacing w:after="0" w:line="186" w:lineRule="exact"/>
        <w:rPr>
          <w:sz w:val="20"/>
          <w:szCs w:val="20"/>
          <w:color w:val="auto"/>
        </w:rPr>
      </w:pPr>
    </w:p>
    <w:p>
      <w:pPr>
        <w:jc w:val="both"/>
        <w:ind w:firstLine="8"/>
        <w:spacing w:after="0" w:line="244" w:lineRule="auto"/>
        <w:tabs>
          <w:tab w:leader="none" w:pos="324"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Injunctive Relief. Executive agrees that it would be difficult to compensate the Company fully for damages for any violation of the provisions of this Agreement, including, without limitation, the provisions of Sections 7, 9, 10 and 12. Accordingly, Executive specifically agrees that the Company shall 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194" w:lineRule="exact"/>
        <w:rPr>
          <w:rFonts w:ascii="Arial" w:cs="Arial" w:eastAsia="Arial" w:hAnsi="Arial"/>
          <w:sz w:val="20"/>
          <w:szCs w:val="20"/>
          <w:color w:val="auto"/>
        </w:rPr>
      </w:pPr>
    </w:p>
    <w:p>
      <w:pPr>
        <w:ind w:left="300" w:hanging="292"/>
        <w:spacing w:after="0"/>
        <w:tabs>
          <w:tab w:leader="none" w:pos="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Arbitration.</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15.1 Claims Covered. The parties shall resolve by arbitration all statutory, contractual and/or common law claims or controversies (“Claims”) that the Company may have against Executive, or that Executive may have against the Company or any of its officers, directors, employees or agents in their capacity as such or otherwise. Claims subject to arbitration include claims for breach of any contract (express or implied).</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15.2 Claims Not Covered. The arbitration of Claims shall not apply to (i) claims by Executive for workers’ compensation or unemployment insurance; (ii) claims which even in the absence of these arbitration provisions could not have been litigated in court or before any administrative proceeding under applicable federal, state or local law; (iii) claims by the Company for injunctive and/or other equitable relief;</w:t>
      </w:r>
    </w:p>
    <w:p>
      <w:pPr>
        <w:spacing w:after="0" w:line="1" w:lineRule="exact"/>
        <w:rPr>
          <w:sz w:val="20"/>
          <w:szCs w:val="20"/>
          <w:color w:val="auto"/>
        </w:rPr>
      </w:pPr>
    </w:p>
    <w:p>
      <w:pPr>
        <w:ind w:firstLine="8"/>
        <w:spacing w:after="0" w:line="269" w:lineRule="auto"/>
        <w:tabs>
          <w:tab w:leader="none" w:pos="335" w:val="left"/>
        </w:tabs>
        <w:numPr>
          <w:ilvl w:val="0"/>
          <w:numId w:val="21"/>
        </w:numPr>
        <w:rPr>
          <w:rFonts w:ascii="Arial" w:cs="Arial" w:eastAsia="Arial" w:hAnsi="Arial"/>
          <w:sz w:val="19"/>
          <w:szCs w:val="19"/>
          <w:color w:val="auto"/>
        </w:rPr>
      </w:pPr>
      <w:r>
        <w:rPr>
          <w:rFonts w:ascii="Arial" w:cs="Arial" w:eastAsia="Arial" w:hAnsi="Arial"/>
          <w:sz w:val="19"/>
          <w:szCs w:val="19"/>
          <w:color w:val="auto"/>
        </w:rPr>
        <w:t>claims for which arbitration is prohibited under applicable rules in the Federal Acquisition Regulation or the Defense Federal Acquisition Regulation Supplement and (v) claims for employee benefits under any employee benefit plan subject to ERISA.</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63" w:right="33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8"/>
          <w:szCs w:val="18"/>
          <w:color w:val="auto"/>
        </w:rPr>
        <w:t>15.3 Procedures. Claims shall be settled by arbitration by a single, neutral arbitrator in accordance with the employment arbitration rules then in effect of Judicial Arbitration and Mediation Services (JAMS), which can be found at www.jamsadr.com/rules-employment-arbitration. The arbitrator shall determine all questions of fact and law relating to any Claim, including but not limited to, whether or not any such Claim is subject to the arbitration provisions contained herein. The parties shall be permitted to engage in such pre-hearing discovery as the arbitrator shall permit. The arbitrator shall issue a written arbitration decision which shall include essential findings and conclusions on which any award is based. The decision shall remain confidential between the parties and shall not be published by the arbitrator or JAMS. Judgment upon the award rendered by the arbitrator may be entered in any court having jurisdiction. Each party shall pay the fees of its own attorneys, the expenses of its witnesses and all other expenses connected with presenting its case, except insofar as such fees or expenses are otherwise recoverable pursuant to a statutory claim or cause of action. The Company shall bear the other costs of the arbitration, including the cost of any record or transcript of the arbitration, administrative fees, the fee of the arbitrator, and all other fees and costs.</w:t>
      </w:r>
    </w:p>
    <w:p>
      <w:pPr>
        <w:spacing w:after="0" w:line="1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15.4 Remedies; Waiver of Jury Trial. Executive understands that Executive is waiving the right to seek certain remedies in court, including the right to a jury trial. The arbitrator shall be empowered to award any relief which might have been available in a court of law or equity.</w:t>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15.5 Required Notice and Statute of Limitations. Arbitration shall be initiated by serving or mailing a written notice to the other party within the applicable statutory limitations period. Any notice to be sent to the Company shall be delivered to the President with a mandatory copy to Kratos’ General Counsel, 4820 Eastgate Mall, Ste. 200, San Diego, CA 92121, facsimile 858-812-7303. The notice shall identify and describe the nature of all claims asserted and the facts upon which such claims are based.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16. Miscellaneous.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16.1 Governing Law and Venue. This Agreement is made under and shall be governed by and construed in accordance with the laws of the State of Texas, without regard to its conflicts of law provisions, and all proceedings shall be brought in the courts or arbitral forums located in the State of Texas or some other location as agreed by the parties.</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16.2 Prior Agreements. This Agreement, coupled with Executive’s Proprietary Information Agreement, contains the entire agreement of the parties relating to the subject matter hereof and supersedes all prior agreements and understandings with respect to such subject matter. The parties have made no agreements, representations or warranties relating to the subject matter of this Agreement which are not set forth herein.</w:t>
      </w:r>
    </w:p>
    <w:p>
      <w:pPr>
        <w:spacing w:after="0" w:line="11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16.3 Successors. The terms of this Agreement and all rights of Executive hereunder shall inure to the benefit of, and be enforceable by, Executive’s personal or legal representatives, executors, administrators, successors, heirs, distributees, devisees and legatees on the one hand, and by any successor or assignee of the Company on the other hand.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16.4 Amendments. No amendment or modification of this Agreement shall be deemed effective unless made in writing signed by the parties.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16.5 No Waiver.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waived and shall not constitute a waiver of such term or condition for the future or as to any act other than that specifically waived.</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16.1 Severability and Reformation. To the extent any provision of this Agreement shall be considered by a court or arbitrator to be invalid or unenforceable, the provision shall be considered deleted herefrom and the remainder of such provision and of this Agreement shall be unaffected and shall continue in full force and effect. Each of the parties recognizes that the restrictions contained in this Agreement are properly required for the adequate protection of the Company’s business and that in the event any covenant or other provision contained herein shall be deemed to be illegal, unenforceable or unreasonable by a court or other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63" w:right="339" w:bottom="1440" w:gutter="0" w:footer="0" w:header="0"/>
        </w:sectPr>
      </w:pPr>
    </w:p>
    <w:bookmarkStart w:id="45" w:name="page46"/>
    <w:bookmarkEnd w:id="45"/>
    <w:p>
      <w:pPr>
        <w:jc w:val="both"/>
        <w:spacing w:after="0" w:line="260" w:lineRule="auto"/>
        <w:rPr>
          <w:sz w:val="20"/>
          <w:szCs w:val="20"/>
          <w:color w:val="auto"/>
        </w:rPr>
      </w:pPr>
      <w:r>
        <w:rPr>
          <w:rFonts w:ascii="Arial" w:cs="Arial" w:eastAsia="Arial" w:hAnsi="Arial"/>
          <w:sz w:val="20"/>
          <w:szCs w:val="20"/>
          <w:color w:val="auto"/>
        </w:rPr>
        <w:t>tribunal of competent jurisdiction, each of the parties agrees and submits to the reduction of said restrictions to such duration and/or scope as said court or tribunal shall deem reasonable.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16.2 Counterparts. This Agreement may be executed in any number of counterparts, each of which shall be deemed to be an original and all which together shall be deemed to be one and the same instrument.</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16.3 Notices. All notices required or permitted hereunder shall be in writing and shall be deemed effectively given or received: (a) upon personal delivery to the party to be notified, (b) when sent by confirmed facsimile if sent during normal business hours of the recipient upon confirmed receipt, if not, then on the next business day, (c) five (5) business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the Company and Executive at their respective addresses as set forth on the signature page hereof or at such other address as the Company or Executive may designate by ten (10) days advance written notice to the other party.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17. Definition of Terms. The following terms referred to in this Agreement shall have the following meanings: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17.1 Affiliate. “Affiliate” with respect to any person or entity, means a person or entity that directly or indirectly through one or more intermediaries controls, is controlled by, or is under common control with, such person or entity.</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17.2 Cause. Termination for “Cause” means termination due to any of the following reasons: (i) Executive’s Misconduct; (ii) Executive’s violation of posted policy or rules of the Company; (iii) Executive’s willful refusal to follow the lawful directions given by Executive’s direct supervisor or the President of the Company from time to time or breach of any material covenant or obligation under this Agreement or other agreement with the Company; (iv) Executive’s breach of the duty of loyalty to the Company that causes or is reasonably likely to cause injury to the Company; or (v) failure to timely secure or loss of any security clearance the Company deems necessary or desirable for Executive to perform the duties of the Position.</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17.3 Customer or Prospective Customer means a person or entity for which the Company or its Affiliate provided or actively sought to provide any products or services, and with whom Executive was involved, consulted or engaged on behalf of the Company or its Affiliate during the previous two (2) years of his employment with the Company or its Affiliate. With respect to the United States Government, the term “entity” shall apply to the Command Level of the organizational or operational unit, branch, or division that initiated, managed or administered the contract (but not the entire agency itself).</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17.4 Misconduct. “Misconduct” means: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17.4.1 Indictment or conviction of a felony or for an act of fraud, embezzlement or other act of gross misconduct against the Company in the performance of duties hereunder.</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17.4.2 Misuse, misappropriation or disclosure of any of the Proprietary Matter, directly or indirectly, or use of it in any way, except as required or permitted in the course of Executive’s employment.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17.4.3 Knowing misappropriation, concealment, or conversion of any money or property of the Company that causes or could cause injury to the Company.</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17.4.4 Reckless conduct which endangers or is reasonably likely to endanger the safety of persons or property during the course of employment or while on Company premises.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17.4.5 A material violation of the Company’s Code of Legal and Ethical Conduct.</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17.5 Related Parties. “Related Parties” means each of the Company’s present and former directors, officers, employees, trustees, agents, attorneys, insurers, shareholders, representatives, predecessors, successors and assigns, and if any, its parent corporations, subsidiaries, divisions, related and affiliated companies and entities.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663" w:right="339" w:bottom="1440" w:gutter="0" w:footer="0" w:header="0"/>
        </w:sectPr>
      </w:pPr>
    </w:p>
    <w:bookmarkStart w:id="46" w:name="page47"/>
    <w:bookmarkEnd w:id="46"/>
    <w:p>
      <w:pPr>
        <w:ind w:left="70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Employment Agreement as of the Effective</w:t>
      </w:r>
      <w:r>
        <w:rPr>
          <w:rFonts w:ascii="Arial" w:cs="Arial" w:eastAsia="Arial" w:hAnsi="Arial"/>
          <w:sz w:val="18"/>
          <w:szCs w:val="18"/>
          <w:b w:val="1"/>
          <w:bCs w:val="1"/>
          <w:color w:val="auto"/>
        </w:rPr>
        <w:t xml:space="preserve"> </w:t>
      </w:r>
      <w:r>
        <w:rPr>
          <w:rFonts w:ascii="Arial" w:cs="Arial" w:eastAsia="Arial" w:hAnsi="Arial"/>
          <w:sz w:val="15"/>
          <w:szCs w:val="15"/>
          <w:color w:val="auto"/>
        </w:rPr>
        <w:t>Date.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120"/>
              <w:spacing w:after="0"/>
              <w:rPr>
                <w:sz w:val="20"/>
                <w:szCs w:val="20"/>
                <w:color w:val="auto"/>
              </w:rPr>
            </w:pPr>
            <w:r>
              <w:rPr>
                <w:rFonts w:ascii="Arial" w:cs="Arial" w:eastAsia="Arial" w:hAnsi="Arial"/>
                <w:sz w:val="20"/>
                <w:szCs w:val="20"/>
                <w:b w:val="1"/>
                <w:bCs w:val="1"/>
                <w:color w:val="auto"/>
              </w:rPr>
              <w:t>THE COMPANY:</w:t>
            </w:r>
          </w:p>
        </w:tc>
        <w:tc>
          <w:tcPr>
            <w:tcW w:w="180" w:type="dxa"/>
            <w:vAlign w:val="bottom"/>
          </w:tcPr>
          <w:p>
            <w:pPr>
              <w:spacing w:after="0"/>
              <w:rPr>
                <w:sz w:val="19"/>
                <w:szCs w:val="19"/>
                <w:color w:val="auto"/>
              </w:rPr>
            </w:pPr>
          </w:p>
        </w:tc>
        <w:tc>
          <w:tcPr>
            <w:tcW w:w="5580" w:type="dxa"/>
            <w:vAlign w:val="bottom"/>
            <w:gridSpan w:val="3"/>
          </w:tcPr>
          <w:p>
            <w:pPr>
              <w:ind w:left="1020"/>
              <w:spacing w:after="0"/>
              <w:rPr>
                <w:sz w:val="20"/>
                <w:szCs w:val="20"/>
                <w:color w:val="auto"/>
              </w:rPr>
            </w:pPr>
            <w:r>
              <w:rPr>
                <w:rFonts w:ascii="Arial" w:cs="Arial" w:eastAsia="Arial" w:hAnsi="Arial"/>
                <w:sz w:val="20"/>
                <w:szCs w:val="20"/>
                <w:b w:val="1"/>
                <w:bCs w:val="1"/>
                <w:color w:val="auto"/>
              </w:rPr>
              <w:t>EXECUTIVE:</w:t>
            </w:r>
          </w:p>
        </w:tc>
      </w:tr>
      <w:tr>
        <w:trPr>
          <w:trHeight w:val="256"/>
        </w:trPr>
        <w:tc>
          <w:tcPr>
            <w:tcW w:w="3600" w:type="dxa"/>
            <w:vAlign w:val="bottom"/>
            <w:gridSpan w:val="5"/>
          </w:tcPr>
          <w:p>
            <w:pPr>
              <w:ind w:left="120"/>
              <w:spacing w:after="0"/>
              <w:rPr>
                <w:sz w:val="20"/>
                <w:szCs w:val="20"/>
                <w:color w:val="auto"/>
              </w:rPr>
            </w:pPr>
            <w:r>
              <w:rPr>
                <w:rFonts w:ascii="Arial" w:cs="Arial" w:eastAsia="Arial" w:hAnsi="Arial"/>
                <w:sz w:val="20"/>
                <w:szCs w:val="20"/>
                <w:b w:val="1"/>
                <w:bCs w:val="1"/>
                <w:color w:val="auto"/>
                <w:w w:val="88"/>
              </w:rPr>
              <w:t xml:space="preserve">Kratos Defense </w:t>
            </w:r>
            <w:r>
              <w:rPr>
                <w:rFonts w:ascii="Arial" w:cs="Arial" w:eastAsia="Arial" w:hAnsi="Arial"/>
                <w:sz w:val="17"/>
                <w:szCs w:val="17"/>
                <w:b w:val="1"/>
                <w:bCs w:val="1"/>
                <w:color w:val="auto"/>
                <w:w w:val="88"/>
              </w:rPr>
              <w:t>&amp;</w:t>
            </w:r>
            <w:r>
              <w:rPr>
                <w:rFonts w:ascii="Arial" w:cs="Arial" w:eastAsia="Arial" w:hAnsi="Arial"/>
                <w:sz w:val="20"/>
                <w:szCs w:val="20"/>
                <w:b w:val="1"/>
                <w:bCs w:val="1"/>
                <w:color w:val="auto"/>
                <w:w w:val="88"/>
              </w:rPr>
              <w:t xml:space="preserve"> Security Solutions, Inc.</w:t>
            </w:r>
          </w:p>
        </w:tc>
        <w:tc>
          <w:tcPr>
            <w:tcW w:w="4000" w:type="dxa"/>
            <w:vAlign w:val="bottom"/>
          </w:tcPr>
          <w:p>
            <w:pPr>
              <w:spacing w:after="0"/>
              <w:rPr>
                <w:sz w:val="22"/>
                <w:szCs w:val="22"/>
                <w:color w:val="auto"/>
              </w:rPr>
            </w:pPr>
          </w:p>
        </w:tc>
      </w:tr>
      <w:tr>
        <w:trPr>
          <w:trHeight w:val="468"/>
        </w:trPr>
        <w:tc>
          <w:tcPr>
            <w:tcW w:w="1840" w:type="dxa"/>
            <w:vAlign w:val="bottom"/>
            <w:gridSpan w:val="2"/>
          </w:tcPr>
          <w:p>
            <w:pPr>
              <w:spacing w:after="0"/>
              <w:rPr>
                <w:sz w:val="20"/>
                <w:szCs w:val="20"/>
                <w:color w:val="auto"/>
              </w:rPr>
            </w:pPr>
            <w:r>
              <w:rPr>
                <w:rFonts w:ascii="Arial" w:cs="Arial" w:eastAsia="Arial" w:hAnsi="Arial"/>
                <w:sz w:val="18"/>
                <w:szCs w:val="18"/>
                <w:color w:val="auto"/>
              </w:rPr>
              <w:t>/s/ Eric DeMarco</w:t>
            </w:r>
          </w:p>
        </w:tc>
        <w:tc>
          <w:tcPr>
            <w:tcW w:w="1760" w:type="dxa"/>
            <w:vAlign w:val="bottom"/>
            <w:gridSpan w:val="3"/>
          </w:tcPr>
          <w:p>
            <w:pPr>
              <w:ind w:left="180"/>
              <w:spacing w:after="0"/>
              <w:rPr>
                <w:sz w:val="20"/>
                <w:szCs w:val="20"/>
                <w:color w:val="auto"/>
              </w:rPr>
            </w:pPr>
            <w:r>
              <w:rPr>
                <w:rFonts w:ascii="Arial" w:cs="Arial" w:eastAsia="Arial" w:hAnsi="Arial"/>
                <w:sz w:val="18"/>
                <w:szCs w:val="18"/>
                <w:color w:val="auto"/>
                <w:w w:val="99"/>
              </w:rPr>
              <w:t xml:space="preserve">/s/ </w:t>
            </w:r>
            <w:r>
              <w:rPr>
                <w:rFonts w:ascii="Arial" w:cs="Arial" w:eastAsia="Arial" w:hAnsi="Arial"/>
                <w:sz w:val="19"/>
                <w:szCs w:val="19"/>
                <w:color w:val="auto"/>
                <w:w w:val="99"/>
              </w:rPr>
              <w:t>Steven Fendley</w:t>
            </w:r>
          </w:p>
        </w:tc>
        <w:tc>
          <w:tcPr>
            <w:tcW w:w="400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3"/>
        </w:trPr>
        <w:tc>
          <w:tcPr>
            <w:tcW w:w="3600" w:type="dxa"/>
            <w:vAlign w:val="bottom"/>
            <w:gridSpan w:val="5"/>
          </w:tcPr>
          <w:p>
            <w:pPr>
              <w:ind w:left="120"/>
              <w:spacing w:after="0"/>
              <w:rPr>
                <w:sz w:val="20"/>
                <w:szCs w:val="20"/>
                <w:color w:val="auto"/>
              </w:rPr>
            </w:pPr>
            <w:r>
              <w:rPr>
                <w:rFonts w:ascii="Arial" w:cs="Arial" w:eastAsia="Arial" w:hAnsi="Arial"/>
                <w:sz w:val="20"/>
                <w:szCs w:val="20"/>
                <w:color w:val="auto"/>
              </w:rPr>
              <w:t>Eric DeMarco President and CEO</w:t>
            </w:r>
          </w:p>
        </w:tc>
        <w:tc>
          <w:tcPr>
            <w:tcW w:w="4000" w:type="dxa"/>
            <w:vAlign w:val="bottom"/>
          </w:tcPr>
          <w:p>
            <w:pPr>
              <w:spacing w:after="0"/>
              <w:rPr>
                <w:sz w:val="20"/>
                <w:szCs w:val="20"/>
                <w:color w:val="auto"/>
              </w:rPr>
            </w:pPr>
            <w:r>
              <w:rPr>
                <w:rFonts w:ascii="Arial" w:cs="Arial" w:eastAsia="Arial" w:hAnsi="Arial"/>
                <w:sz w:val="20"/>
                <w:szCs w:val="20"/>
                <w:color w:val="auto"/>
              </w:rPr>
              <w:t>Steven Fendley</w:t>
            </w:r>
          </w:p>
        </w:tc>
      </w:tr>
      <w:tr>
        <w:trPr>
          <w:trHeight w:val="230"/>
        </w:trPr>
        <w:tc>
          <w:tcPr>
            <w:tcW w:w="1840" w:type="dxa"/>
            <w:vAlign w:val="bottom"/>
            <w:gridSpan w:val="2"/>
          </w:tcPr>
          <w:p>
            <w:pPr>
              <w:ind w:left="120"/>
              <w:spacing w:after="0"/>
              <w:rPr>
                <w:sz w:val="20"/>
                <w:szCs w:val="20"/>
                <w:color w:val="auto"/>
              </w:rPr>
            </w:pPr>
            <w:r>
              <w:rPr>
                <w:rFonts w:ascii="Arial" w:cs="Arial" w:eastAsia="Arial" w:hAnsi="Arial"/>
                <w:sz w:val="20"/>
                <w:szCs w:val="20"/>
                <w:color w:val="auto"/>
              </w:rPr>
              <w:t>President</w:t>
            </w:r>
          </w:p>
        </w:tc>
        <w:tc>
          <w:tcPr>
            <w:tcW w:w="180" w:type="dxa"/>
            <w:vAlign w:val="bottom"/>
          </w:tcPr>
          <w:p>
            <w:pPr>
              <w:spacing w:after="0"/>
              <w:rPr>
                <w:sz w:val="19"/>
                <w:szCs w:val="19"/>
                <w:color w:val="auto"/>
              </w:rPr>
            </w:pPr>
          </w:p>
        </w:tc>
        <w:tc>
          <w:tcPr>
            <w:tcW w:w="5580" w:type="dxa"/>
            <w:vAlign w:val="bottom"/>
            <w:gridSpan w:val="3"/>
          </w:tcPr>
          <w:p>
            <w:pPr>
              <w:ind w:left="260"/>
              <w:spacing w:after="0"/>
              <w:rPr>
                <w:sz w:val="20"/>
                <w:szCs w:val="20"/>
                <w:color w:val="auto"/>
              </w:rPr>
            </w:pPr>
            <w:r>
              <w:rPr>
                <w:rFonts w:ascii="Arial" w:cs="Arial" w:eastAsia="Arial" w:hAnsi="Arial"/>
                <w:sz w:val="20"/>
                <w:szCs w:val="20"/>
                <w:color w:val="auto"/>
              </w:rPr>
              <w:t xml:space="preserve">Senior Vice President </w:t>
            </w:r>
            <w:r>
              <w:rPr>
                <w:rFonts w:ascii="Arial" w:cs="Arial" w:eastAsia="Arial" w:hAnsi="Arial"/>
                <w:sz w:val="17"/>
                <w:szCs w:val="17"/>
                <w:color w:val="auto"/>
              </w:rPr>
              <w:t>&amp;</w:t>
            </w:r>
            <w:r>
              <w:rPr>
                <w:rFonts w:ascii="Arial" w:cs="Arial" w:eastAsia="Arial" w:hAnsi="Arial"/>
                <w:sz w:val="20"/>
                <w:szCs w:val="20"/>
                <w:color w:val="auto"/>
              </w:rPr>
              <w:t xml:space="preserve"> Division</w:t>
            </w:r>
          </w:p>
        </w:tc>
      </w:tr>
      <w:tr>
        <w:trPr>
          <w:trHeight w:val="250"/>
        </w:trPr>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0" w:type="dxa"/>
            <w:vAlign w:val="bottom"/>
          </w:tcPr>
          <w:p>
            <w:pPr>
              <w:ind w:left="1700"/>
              <w:spacing w:after="0"/>
              <w:rPr>
                <w:sz w:val="20"/>
                <w:szCs w:val="20"/>
                <w:color w:val="auto"/>
              </w:rPr>
            </w:pPr>
            <w:r>
              <w:rPr>
                <w:rFonts w:ascii="Arial" w:cs="Arial" w:eastAsia="Arial" w:hAnsi="Arial"/>
                <w:sz w:val="20"/>
                <w:szCs w:val="20"/>
                <w:color w:val="auto"/>
                <w:w w:val="89"/>
              </w:rPr>
              <w:t>Unmanned Systems Division</w:t>
            </w:r>
          </w:p>
        </w:tc>
      </w:tr>
      <w:tr>
        <w:trPr>
          <w:trHeight w:val="715"/>
        </w:trPr>
        <w:tc>
          <w:tcPr>
            <w:tcW w:w="1840" w:type="dxa"/>
            <w:vAlign w:val="bottom"/>
            <w:gridSpan w:val="2"/>
          </w:tcPr>
          <w:p>
            <w:pPr>
              <w:ind w:left="120"/>
              <w:spacing w:after="0"/>
              <w:rPr>
                <w:sz w:val="20"/>
                <w:szCs w:val="20"/>
                <w:color w:val="auto"/>
              </w:rPr>
            </w:pPr>
            <w:r>
              <w:rPr>
                <w:rFonts w:ascii="Arial" w:cs="Arial" w:eastAsia="Arial" w:hAnsi="Arial"/>
                <w:sz w:val="20"/>
                <w:szCs w:val="20"/>
                <w:color w:val="auto"/>
                <w:w w:val="99"/>
              </w:rPr>
              <w:t>Address for Notice:</w:t>
            </w:r>
          </w:p>
        </w:tc>
        <w:tc>
          <w:tcPr>
            <w:tcW w:w="180" w:type="dxa"/>
            <w:vAlign w:val="bottom"/>
          </w:tcPr>
          <w:p>
            <w:pPr>
              <w:spacing w:after="0"/>
              <w:rPr>
                <w:sz w:val="24"/>
                <w:szCs w:val="24"/>
                <w:color w:val="auto"/>
              </w:rPr>
            </w:pP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Address for Notice:</w:t>
            </w:r>
          </w:p>
        </w:tc>
      </w:tr>
      <w:tr>
        <w:trPr>
          <w:trHeight w:val="441"/>
        </w:trPr>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Pr>
          <w:p>
            <w:pPr>
              <w:ind w:left="1600"/>
              <w:spacing w:after="0"/>
              <w:rPr>
                <w:sz w:val="20"/>
                <w:szCs w:val="20"/>
                <w:color w:val="auto"/>
              </w:rPr>
            </w:pPr>
            <w:r>
              <w:rPr>
                <w:rFonts w:ascii="Arial" w:cs="Arial" w:eastAsia="Arial" w:hAnsi="Arial"/>
                <w:sz w:val="20"/>
                <w:szCs w:val="20"/>
                <w:color w:val="auto"/>
              </w:rPr>
              <w:t>2800 Post River Rd.</w:t>
            </w:r>
          </w:p>
        </w:tc>
      </w:tr>
    </w:tbl>
    <w:p>
      <w:pPr>
        <w:ind w:left="80"/>
        <w:spacing w:after="0"/>
        <w:rPr>
          <w:sz w:val="20"/>
          <w:szCs w:val="20"/>
          <w:color w:val="auto"/>
        </w:rPr>
      </w:pPr>
      <w:r>
        <w:rPr>
          <w:rFonts w:ascii="Arial" w:cs="Arial" w:eastAsia="Arial" w:hAnsi="Arial"/>
          <w:sz w:val="20"/>
          <w:szCs w:val="20"/>
          <w:color w:val="auto"/>
        </w:rPr>
        <w:t>4820 Eastgate MallCedar Park, TX 78613</w:t>
      </w:r>
    </w:p>
    <w:p>
      <w:pPr>
        <w:ind w:left="80"/>
        <w:spacing w:after="0"/>
        <w:rPr>
          <w:sz w:val="20"/>
          <w:szCs w:val="20"/>
          <w:color w:val="auto"/>
        </w:rPr>
      </w:pPr>
      <w:r>
        <w:rPr>
          <w:rFonts w:ascii="Arial" w:cs="Arial" w:eastAsia="Arial" w:hAnsi="Arial"/>
          <w:sz w:val="20"/>
          <w:szCs w:val="20"/>
          <w:color w:val="auto"/>
        </w:rPr>
        <w:t>San Diego, CA 92121</w:t>
      </w:r>
    </w:p>
    <w:p>
      <w:pPr>
        <w:ind w:left="80"/>
        <w:spacing w:after="0"/>
        <w:tabs>
          <w:tab w:leader="none" w:pos="700" w:val="left"/>
        </w:tabs>
        <w:rPr>
          <w:sz w:val="20"/>
          <w:szCs w:val="20"/>
          <w:color w:val="auto"/>
        </w:rPr>
      </w:pPr>
      <w:r>
        <w:rPr>
          <w:rFonts w:ascii="Arial" w:cs="Arial" w:eastAsia="Arial" w:hAnsi="Arial"/>
          <w:sz w:val="20"/>
          <w:szCs w:val="20"/>
          <w:color w:val="auto"/>
        </w:rPr>
        <w:t>Attn:</w:t>
        <w:tab/>
        <w:t>President and CEO</w:t>
      </w:r>
    </w:p>
    <w:p>
      <w:pPr>
        <w:ind w:left="1380"/>
        <w:spacing w:after="0"/>
        <w:rPr>
          <w:sz w:val="20"/>
          <w:szCs w:val="20"/>
          <w:color w:val="auto"/>
        </w:rPr>
      </w:pPr>
      <w:r>
        <w:rPr>
          <w:rFonts w:ascii="Arial" w:cs="Arial" w:eastAsia="Arial" w:hAnsi="Arial"/>
          <w:sz w:val="20"/>
          <w:szCs w:val="20"/>
          <w:color w:val="auto"/>
        </w:rPr>
        <w:t>Law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1102"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10.2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(“Agreement”) is entered into by and between Kratos Defense &amp; Security Solutions,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(“Company”) and Phil Carrai, an individual (“Executive”), effective as of January 1, 2020 (“Effective Date”). Certain terms used in this Agreement denoted by initial capital letters are defined in Section 17, to the extent not defined elsewhere in the Agreement.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RECITALS</w:t>
      </w:r>
    </w:p>
    <w:p>
      <w:pPr>
        <w:spacing w:after="0" w:line="22" w:lineRule="exact"/>
        <w:rPr>
          <w:sz w:val="20"/>
          <w:szCs w:val="20"/>
          <w:color w:val="auto"/>
        </w:rPr>
      </w:pPr>
    </w:p>
    <w:p>
      <w:pPr>
        <w:jc w:val="both"/>
        <w:ind w:firstLine="656"/>
        <w:spacing w:after="0" w:line="241" w:lineRule="auto"/>
        <w:tabs>
          <w:tab w:leader="none" w:pos="117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wishes to continue to employ Executive upon the terms and conditions contained in this Agreement, and Executive wishes to enter into the Agreement and agrees to perform his obligations hereunder in consideration of his employment and salary, benefits and other terms described herein.</w:t>
      </w:r>
    </w:p>
    <w:p>
      <w:pPr>
        <w:spacing w:after="0" w:line="20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the consideration of the mutual covenants and agreements set forth herein, the Company and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intending to be legally bound, hereby agree as follows: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 w:lineRule="exact"/>
        <w:rPr>
          <w:sz w:val="20"/>
          <w:szCs w:val="20"/>
          <w:color w:val="auto"/>
        </w:rPr>
      </w:pPr>
    </w:p>
    <w:p>
      <w:pPr>
        <w:jc w:val="both"/>
        <w:ind w:firstLine="8"/>
        <w:spacing w:after="0" w:line="241" w:lineRule="auto"/>
        <w:tabs>
          <w:tab w:leader="none" w:pos="225" w:val="left"/>
        </w:tabs>
        <w:numPr>
          <w:ilvl w:val="0"/>
          <w:numId w:val="23"/>
        </w:numPr>
        <w:rPr>
          <w:rFonts w:ascii="Arial" w:cs="Arial" w:eastAsia="Arial" w:hAnsi="Arial"/>
          <w:sz w:val="20"/>
          <w:szCs w:val="20"/>
          <w:color w:val="auto"/>
        </w:rPr>
      </w:pPr>
      <w:r>
        <w:rPr>
          <w:rFonts w:ascii="Arial" w:cs="Arial" w:eastAsia="Arial" w:hAnsi="Arial"/>
          <w:sz w:val="20"/>
          <w:szCs w:val="20"/>
          <w:color w:val="auto"/>
        </w:rPr>
        <w:t>Employment. The Company shall employ Executive as President of the Company’s Space, Training &amp; Cyber (“STC”) Division (the “Position”), and Executive accepts such employment and agrees to perform services for the Company, for the period and upon the terms and conditions set forth in this Agreement.</w:t>
      </w:r>
    </w:p>
    <w:p>
      <w:pPr>
        <w:spacing w:after="0" w:line="209" w:lineRule="exact"/>
        <w:rPr>
          <w:rFonts w:ascii="Arial" w:cs="Arial" w:eastAsia="Arial" w:hAnsi="Arial"/>
          <w:sz w:val="20"/>
          <w:szCs w:val="20"/>
          <w:color w:val="auto"/>
        </w:rPr>
      </w:pPr>
    </w:p>
    <w:p>
      <w:pPr>
        <w:ind w:right="20" w:firstLine="8"/>
        <w:spacing w:after="0" w:line="260" w:lineRule="auto"/>
        <w:tabs>
          <w:tab w:leader="none" w:pos="21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Term. The term of Executive’s employment hereunder shall be for a period commencing on the Effective Date and ending on December 31, 2022 (the “Term”), subject to earlier termination as hereinafter specified.</w:t>
      </w:r>
    </w:p>
    <w:p>
      <w:pPr>
        <w:spacing w:after="0" w:line="190" w:lineRule="exact"/>
        <w:rPr>
          <w:rFonts w:ascii="Arial" w:cs="Arial" w:eastAsia="Arial" w:hAnsi="Arial"/>
          <w:sz w:val="20"/>
          <w:szCs w:val="20"/>
          <w:color w:val="auto"/>
        </w:rPr>
      </w:pPr>
    </w:p>
    <w:p>
      <w:pPr>
        <w:jc w:val="both"/>
        <w:ind w:firstLine="8"/>
        <w:spacing w:after="0" w:line="271"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Position and Duties. During the term of this Agreement, Executive shall perform all duties and functions customarily performed by the Position of a business of the size and nature similar to that of the Company, and such other related employment duties as the President and CEO of the Company or his designee (the “President”) shall reasonably assign to him from time to time. Executive shall perform his duties principally at the executive offices of STC, with such travel to such other locations from time to time as the President may reasonably require. Except as may otherwise be approved in advance by the President, and except during vacation periods and reasonable periods of absence due to sickness, personal injury or other disability, Executive shall devote his full working time to the services required of him hereunder. Executive shall use his reasonable best efforts, judgment and energy to improve and advance the business and interest of the Company and its subsidiaries and Affiliates, if applicable, in a manner consistent with the duties of the Position and with the Company’s Code of Legal and Ethical Conduct. Executive hereby confirms that he is under no contractual commitments inconsistent with his obligations set forth in this Agreement, and that during his employment, he will not render or perform services, or enter into any contract to do so, for any other corporation, firm, entity or person which are inconsistent with the provisions of this Agreement.</w:t>
      </w:r>
    </w:p>
    <w:p>
      <w:pPr>
        <w:spacing w:after="0" w:line="183" w:lineRule="exact"/>
        <w:rPr>
          <w:rFonts w:ascii="Arial" w:cs="Arial" w:eastAsia="Arial" w:hAnsi="Arial"/>
          <w:sz w:val="18"/>
          <w:szCs w:val="18"/>
          <w:color w:val="auto"/>
        </w:rPr>
      </w:pPr>
    </w:p>
    <w:p>
      <w:pPr>
        <w:ind w:left="200" w:hanging="192"/>
        <w:spacing w:after="0"/>
        <w:tabs>
          <w:tab w:leader="none" w:pos="2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Compensation.</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4.1 Base Salary. As compensation for all services to be rendered by Executive under this Agreement, the Company shall pay to Executive a base annual salary of Four Hundred Fifty Thousand Dollars ($450,000.00) (the “Base Salary”), which shall be paid on a regular basis in accordance with the Company’s customary payroll procedures and policies. Executive will be eligible for annual increases to the Base Salary in accordance with the Company’s then current compensation policies.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4.2 Incentive Compensation. As incentive compensation for services rendered hereunder, Executive may, at the sole and absolute discretion of the Company, be entitled to receive additional annual compensation of up to sixty percent (60%) of the Base Salary (“Incentive Compensation”).</w:t>
      </w:r>
    </w:p>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4.3 Equity Incentives. Executive will be eligible for equity incentive grants at the discretion of Kratos’ President and the Compensation Committee of the Board of Directors.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8" w:right="339" w:bottom="1440" w:gutter="0" w:footer="0" w:header="0"/>
        </w:sectPr>
      </w:pPr>
    </w:p>
    <w:bookmarkStart w:id="48" w:name="page49"/>
    <w:bookmarkEnd w:id="48"/>
    <w:p>
      <w:pPr>
        <w:jc w:val="both"/>
        <w:spacing w:after="0" w:line="243" w:lineRule="auto"/>
        <w:rPr>
          <w:sz w:val="20"/>
          <w:szCs w:val="20"/>
          <w:color w:val="auto"/>
        </w:rPr>
      </w:pPr>
      <w:r>
        <w:rPr>
          <w:rFonts w:ascii="Arial" w:cs="Arial" w:eastAsia="Arial" w:hAnsi="Arial"/>
          <w:sz w:val="20"/>
          <w:szCs w:val="20"/>
          <w:color w:val="auto"/>
        </w:rPr>
        <w:t>4.4 Participation in Benefit Plans. Executive and eligible family members shall be eligible to participate in, subject to his affirmative election to enroll in such plans requiring enrollment and to the extent eligible thereunder, any and all plans of the Company providing general benefits for the Company’s employees, including, but not limited to, any group life insurance, hospitalization, disability, paid time off, medical, dental, pension, profit sharing, savings and stock bonus plans. Executive’s participation in any such plan or program shall be subject to the provisions, rules, and regulations applicable thereto. Nothing in this Agreement shall impose on the Company any affirmative obligation to establish any benefit plan. The Company reserves the right to prospectively terminate or change benefit plans and programs it offers to its employees at any time.</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4.5 Expenses. In accordance with the Company’s policies established from time to time, the Company will pay or reimburse Executive for all reasonable and necessary out-of-pocket expenses incurred by him in the performance of the Position, subject to the presentment of appropriate receipts or expense reports in connection with the Company’s policies and procedures. The following provisions shall be in effect for any reimbursements (and in-kind benefits) to which Executive otherwise becomes entitled under this Agreement, in order to assure that such reimbursements (and benefits) do not create a deferred compensation arrangement subject to Section 409A of the Internal Revenue Code of 1986, as amended (“Code”):</w:t>
      </w:r>
    </w:p>
    <w:p>
      <w:pPr>
        <w:spacing w:after="0" w:line="209" w:lineRule="exact"/>
        <w:rPr>
          <w:sz w:val="20"/>
          <w:szCs w:val="20"/>
          <w:color w:val="auto"/>
        </w:rPr>
      </w:pPr>
    </w:p>
    <w:p>
      <w:pPr>
        <w:ind w:firstLine="8"/>
        <w:spacing w:after="0" w:line="247" w:lineRule="auto"/>
        <w:tabs>
          <w:tab w:leader="none" w:pos="45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amount of reimbursements (or in-kind benefits) to which Executive may become entitled in any one calendar year shall not affect the amount of expenses eligible for reimbursement (or in-kind benefits) hereunder in any other calendar year.</w:t>
      </w:r>
    </w:p>
    <w:p>
      <w:pPr>
        <w:spacing w:after="0" w:line="1" w:lineRule="exact"/>
        <w:rPr>
          <w:rFonts w:ascii="Arial" w:cs="Arial" w:eastAsia="Arial" w:hAnsi="Arial"/>
          <w:sz w:val="20"/>
          <w:szCs w:val="20"/>
          <w:color w:val="auto"/>
        </w:rPr>
      </w:pPr>
    </w:p>
    <w:p>
      <w:pPr>
        <w:jc w:val="both"/>
        <w:ind w:firstLine="8"/>
        <w:spacing w:after="0" w:line="239" w:lineRule="auto"/>
        <w:tabs>
          <w:tab w:leader="none" w:pos="5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Each reimbursement to which Executive becomes entitled shall be made by the Company as soon as administratively practicable following Executive’s submission of the supporting documentation, but in no event later than the close of business of the calendar year following the calendar year in which the reimbursable expense is incurred.</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Executive’s right to reimbursement (or in-kind benefits) cannot be liquidated or exchanged for any other benefit or payment.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4.6 Taxes and Other Withholding. The Company may withhold from any benefits or amounts payable (including any Severance Payment or Change in Control Severance Payment, as defined below) under this Agreement all federal, state, city or other taxes and other amounts as shall be required pursuant to any law or governmental regulation or ruling or as elected by Executive.</w:t>
      </w:r>
    </w:p>
    <w:p>
      <w:pPr>
        <w:spacing w:after="0" w:line="183" w:lineRule="exact"/>
        <w:rPr>
          <w:sz w:val="20"/>
          <w:szCs w:val="20"/>
          <w:color w:val="auto"/>
        </w:rPr>
      </w:pPr>
    </w:p>
    <w:p>
      <w:pPr>
        <w:ind w:firstLine="8"/>
        <w:spacing w:after="0" w:line="260" w:lineRule="auto"/>
        <w:tabs>
          <w:tab w:leader="none" w:pos="211"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Annual Leave. Executive shall earn paid time off and shall maintain paid time off balances in accordance with the Company’s standard policies.</w:t>
      </w:r>
    </w:p>
    <w:p>
      <w:pPr>
        <w:spacing w:after="0" w:line="190" w:lineRule="exact"/>
        <w:rPr>
          <w:rFonts w:ascii="Arial" w:cs="Arial" w:eastAsia="Arial" w:hAnsi="Arial"/>
          <w:sz w:val="20"/>
          <w:szCs w:val="20"/>
          <w:color w:val="auto"/>
        </w:rPr>
      </w:pPr>
    </w:p>
    <w:p>
      <w:pPr>
        <w:jc w:val="both"/>
        <w:ind w:firstLine="8"/>
        <w:spacing w:after="0" w:line="250" w:lineRule="auto"/>
        <w:tabs>
          <w:tab w:leader="none" w:pos="198"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Compensation upon Termination. Executive shall be entitled to the following payments, if any, upon the termination of his employment by the Company. The compensation described in this Section 6 shall be in lieu of any separation or severance compensation offered to Executive under any general policies of the Company.</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6.1 Cause. In the event Executive is terminated by the Company for Cause pursuant to Section 11.1, Executive shall not be entitled to any compensation other than Base Salary accrued through the date of termination, plus accrued but unused paid time off.</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6.2 Resignation. In the event Executive resigns from the Company voluntarily pursuant to Section 11.2, Executive shall be entitled to receive Executive’s Base Salary accrued through the effective date of termination, plus accrued but unused paid time off. Should Executive resign his employment upon thirty (30) days’ advance written notice, Company reserves the right to immediately relieve Executive of all job duties and provide Executive with payment of thirty (30) days Base Salary in lieu of any portion of the notice period.</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6.3 Without Cause. In the event Executive is terminated by the Company Without Cause pursuant to Section 11.3, the Company shall pay to Executive (i) any Base Salary accrued through the date of termination, (ii) any accrued but unused paid time off; (iii) continued payment of the Base Salary for a period of twelve (12) months (the “Severance Period”); and (iv) any Incentive Compensation which is earned as of the date of termination pursuant to the terms of any then existing Incentive Compensation Agreement. The payment provided by Subsection (iii) of this Section 6.3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5" w:right="339" w:bottom="1440" w:gutter="0" w:footer="0" w:header="0"/>
        </w:sectPr>
      </w:pPr>
    </w:p>
    <w:bookmarkStart w:id="49" w:name="page50"/>
    <w:bookmarkEnd w:id="49"/>
    <w:p>
      <w:pPr>
        <w:jc w:val="both"/>
        <w:spacing w:after="0" w:line="260" w:lineRule="auto"/>
        <w:rPr>
          <w:sz w:val="20"/>
          <w:szCs w:val="20"/>
          <w:color w:val="auto"/>
        </w:rPr>
      </w:pPr>
      <w:r>
        <w:rPr>
          <w:rFonts w:ascii="Arial" w:cs="Arial" w:eastAsia="Arial" w:hAnsi="Arial"/>
          <w:sz w:val="20"/>
          <w:szCs w:val="20"/>
          <w:color w:val="auto"/>
        </w:rPr>
        <w:t>shall be referred to as a “Severance Payment.” Except as otherwise provided herein, the Severance Payment shall be paid to Executive on a regular basis in accordance with the Company’s regular payroll procedures and policies.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6.4 Disability. If Executive becomes physically, mentally disabled during the term of this Agreement and such disability continues for a period of three hundred and sixty five (365) days, the Company may, to the extent permitted by applicable law after the expiration of such period, terminate this Agreement by giving written notice to Executive. For purpose of this Agreement, the term “disabled” shall be defined as Executive’s inability through physical, or mental illness, to perform all of the duties which Executive is required to perform under this Agreement with or without reasonable accommodation as such terms are defined under the Americans with Disabilities Act. In the event that the Executive is terminated pursuant to this section, the Company shall pay to Executive (i) Executive’s Base Salary through the date that he is terminated; and (ii) any accrued but unused paid time off.</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6.5 Upon Change of Control. In the event Executive’s employment is terminated by the Company without Cause upon a Change of Control of the Company as defined in the Company’s Restricted Stock Agreement, the Company shall pay to Executive: (i) any Base Salary accrued through the date of termination, (ii) any accrued but unused vacation time; and (iii) continued payment of the Base Salary for a period of twelve (12) months (the “Change of Control Severance Period”). Subsection (iii), above, of this Section 6.5 shall be referred to as a “Change in Control Severance Payment.”</w:t>
      </w:r>
    </w:p>
    <w:p>
      <w:pPr>
        <w:spacing w:after="0" w:line="208"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6.6 Release. The receipt of the Severance Payment, Change in Control Severance Payment or other benefits pursuant to this Section 6 will be subject to Executive signing and not revoking a customary and standard employee release of claims agreement in a form prescribed by the Company, and such release becoming effective and irrevocable within forty-five (45) days of Executive’s termination. No severance or other benefits will be paid or provided until the release of claims agreement becomes effective, and any severance amounts or benefits otherwise payable between the date of Executive’s termination and the date such release becomes effective shall be paid on the effective date of such release, subject to the delay in the following paragraph. If the termination occurs after November 15, no payments shall be made until the first payroll date of the following calendar year, after the release has become effective, subject to the delay in the following paragraph.</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6.7 Delay of Payment; Other 409A Matters. Notwithstanding any other provision of this Agreement whatsoever, the Company, in its sole discretion, shall have the right to construe this Agreement in a manner that complies with Section 409A of the Code (relating to deferred compensation arrangements) and any related administrative guidance issued by the Internal Revenue Service. Notwithstanding any inconsistent provision of this Agreement, if Executive is a “specified employee” within the meaning of Section 409A of the Code at the time of Executive’s termination, then only that portion of the Severance Payment or Change in Control Severance Payment, together with any other severance payments or benefits that, in each case, are non-qualified deferred compensation under Code Section 409A, which (a) do not exceed the Section 409A Limit (as defined below), and (b) which qualify as separation pay under Treasury Regulation Section 1. 409A-1(b)</w:t>
      </w:r>
    </w:p>
    <w:p>
      <w:pPr>
        <w:spacing w:after="0" w:line="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(9)(iii), may be paid within the first six (6) months following Executive’s termination. Otherwise, the portion of the Severance Payment or Change in Control Severance Payment, together with any other severance payments or benefits that, in each case, are non-qualified deferred compensation under Section 409A, that would otherwise be payable within the six (6) month period following Executive’s termination will instead be paid in a lump sum on the date six (6) months and one (1) day following the date of Executive’s termination (or the next business day if such date is not a business day), provided Executive has complied with the requirements for such payment. For purposes of this Agreement, “Section 409A Limit” means the lesser of two (2) times: (i)Executive’s “annualized compensation” as determined under Treasury Regulation Section 1.409A-1(b)(9)(iii)(A)(1), or (ii) the maximum amount that may be taken into account under a qualified plan pursuant to Section 401(a)(17) of the Code for the year of the termination, or such successor limit as may apply. Each payment specified hereunder is designated a separate payment for purposes of Section 409A. The Company shall have no liability to Executive for any adverse tax or other consequences related to the payments provided hereunder and to the extent any payment or benefit would result in adverse or other tax consequences under Section 409A, Executive shall have no legally enforceable right to such payment or benefit. For purposes of this Agreement, termination of employment and similar phrases mean a “separation from service”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5"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7. Proprietary Matter; Ownership.</w:t>
      </w:r>
    </w:p>
    <w:p>
      <w:pPr>
        <w:spacing w:after="0" w:line="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7.1 Except as permitted or directed by the Company or as required by law, Executive shall not during the term of his employment or at any time thereafter knowingly divulge, furnish, disclose or make accessible (other than in the ordinary course of the business of the Company) to anyone for use in any way any confidential, secret, or proprietary knowledge or information of the Company or its Affiliates that is not in the public domain (“Proprietary Matter”) which Executive has acquired or become acquainted with or will acquire or become acquainted with during his employment with the Company and its Affiliates, whether developed by himself or by others, including, but not limited to, any trade secrets, confidential or secret designs, processes, formulae, software or computer programs, plans, devices, or material (whether or not patented or patentable, copyrighted or copyrightable) directly or indirectly useful in any aspect of the business of the Company and its Affiliates, any confidential customer, distributor or supplier lists of the Company or its Affiliates, any confidential or secret development or research work of the Company or its Affiliates, or other confidential, secret or non-public aspects of the business of the Company or its Affiliates. Executive acknowledges that the Proprietary Matter constitutes a unique and valuable asset of the Company or its Affiliates, acquired at great time and expense by the Company or such Affiliates, and that any disclosure or other use of the Proprietary Matter other than for the sole benefit of the Company or such Affiliates would be wrongful and could cause irreparable harm to the Company or such Affiliates. The foregoing obligations of confidentiality, however, shall not apply to any knowledge or information which is now published or which subsequently becomes generally publicly known, other than as a direct or indirect result of the breach of this Agreement by Executive or the breach of any obligation of confidentiality by any other person.</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7.2 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its Affiliates or to any experimental work carried on by the Company or its Affiliates. All such inventions, designs, improvements, enhancements, developments and discoveries shall be the exclusive property of the Company or its Affiliates. Executive hereby assigns the rights to all such inventions, designs, improvements, enhancements, developments and discoveries to the Company or its Affiliates. Executive shall reasonably assist the Company or its Affiliates in obtaining patents on all such inventions, designs, improvements, enhancements, developments and discoveries deemed patentable by the Company or its Affiliates and shall execute all documents (including assignments and related affidavits) and do all things reasonably necessary to obtain such patents. This provision shall not apply to any inventions for which no equipment, supplies, facilities or trade secret information of the Company or its Affiliates was used and which was developed on Executive’s own time without using any of the Company’s or its Affiliates’ equipment, supplies, facilities or trade secret information, except for those inventions which either: (a) related at the time of conception or reduction to practice of the invention to the Company’s or its Affiliates’ respective businesses, or actual or demonstrably anticipated research or development of the Company or its Affiliates, or (b) resulted from any work performed by Executive for the Company or its Affiliates.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7.3 Executive acknowledges and understands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if an employee files a lawsuit for retaliation by the Company for reporting a suspected violation of law, the employee may disclose the trade secret to the employee’s attorney and use the trade secret information in the court proceeding, if the employee (A) files any document containing the trade secret under seal; and (B) does not disclose the trade secret, except pursuant to court order. In the event that disclosure of Company trade secrets was not done in good faith pursuant to the above, the employee may be subject to substantial damages, including punitive damages and attorneys’ fees.</w:t>
      </w:r>
    </w:p>
    <w:p>
      <w:pPr>
        <w:spacing w:after="0" w:line="198" w:lineRule="exact"/>
        <w:rPr>
          <w:sz w:val="20"/>
          <w:szCs w:val="20"/>
          <w:color w:val="auto"/>
        </w:rPr>
      </w:pPr>
    </w:p>
    <w:p>
      <w:pPr>
        <w:jc w:val="both"/>
        <w:ind w:firstLine="8"/>
        <w:spacing w:after="0" w:line="244" w:lineRule="auto"/>
        <w:tabs>
          <w:tab w:leader="none" w:pos="205" w:val="left"/>
        </w:tabs>
        <w:numPr>
          <w:ilvl w:val="0"/>
          <w:numId w:val="26"/>
        </w:numPr>
        <w:rPr>
          <w:rFonts w:ascii="Arial" w:cs="Arial" w:eastAsia="Arial" w:hAnsi="Arial"/>
          <w:sz w:val="20"/>
          <w:szCs w:val="20"/>
          <w:color w:val="auto"/>
        </w:rPr>
      </w:pPr>
      <w:r>
        <w:rPr>
          <w:rFonts w:ascii="Arial" w:cs="Arial" w:eastAsia="Arial" w:hAnsi="Arial"/>
          <w:sz w:val="20"/>
          <w:szCs w:val="20"/>
          <w:color w:val="auto"/>
        </w:rPr>
        <w:t>Ventures. If, during the term of this Agreement, Executive is engaged in or associated with the planning or implementing of any project, program or venture directly related to the business of the Company or its Affiliates and a third party or parties, all rights in the project, program or venture shall belong to the Company and shall constitute a corporate opportunity belonging exclusively to the Company. Except as expressly approved in writing by the Company, Executive shall not be entitled to any interest in such project, program or venture or to any commission,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5" w:right="33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20"/>
          <w:szCs w:val="20"/>
          <w:color w:val="auto"/>
        </w:rPr>
        <w:t>finder’s fee or other compensation in connection therewith, other than the compensation to be paid to Executive as provided in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9. Noninterference With Business.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9.1 During his employment and for the Restricted Period (as defined in Section 17.5), Executive agrees not to, whether on his own behalf or as a partner, officer, director, employee, agent or consultant of any other person or entity, directly or indirectly, engage or attempt to engage in any business that is similar to the type of business conducted by the STC Division for the purpose of improperly diverting or taking away business from the STC Division or the Company in any geographic area in which the STC Division was engaged in business as of the date of termination of Executive’s employment with the Company (except by ownership of five percent (5%) or less of the outstanding stock of any publicly held corporation).</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9.2 During his employment and for the Restricted Period, Executive agrees not to (a) directly or indirectly contact any of the STC Division’s then current customers or prospective customers with whom the STC Division is then engaged in discussions or proposal negotiations for the purpose of improperly diverting or taking away business from the STC Division or the Company; or (b) otherwise interfere with, impair, disrupt or damage the STC Division or the Company’s relationship with any of its then current or prospective customers with whom the STC Division was engaged in discussions or proposal negotiations during Executive’s employment with the Company.</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9.3 During his employment and for two (2) years following the termination of his employment for any reason, Executive agrees not to knowingly directly or indirectly solicit, induce or encourage any employee of the Company to terminate or breach an employment relationship with the Company.</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9.4 Executive and the Company agree that the restrictions in this Section 9 are reasonably necessary to protect the Company’s legitimate business interests, including, without limitation, the preservation of its valuable trade secret and confidential information and the preservation of its goodwill and customer relationships. Executive and the Company further agree that the geographic scope stated herein is reasonable because the STC Division operates throughout the United States and in various places throughout the world.</w:t>
      </w:r>
    </w:p>
    <w:p>
      <w:pPr>
        <w:spacing w:after="0" w:line="175" w:lineRule="exact"/>
        <w:rPr>
          <w:sz w:val="20"/>
          <w:szCs w:val="20"/>
          <w:color w:val="auto"/>
        </w:rPr>
      </w:pPr>
    </w:p>
    <w:p>
      <w:pPr>
        <w:jc w:val="both"/>
        <w:ind w:firstLine="8"/>
        <w:spacing w:after="0" w:line="244" w:lineRule="auto"/>
        <w:tabs>
          <w:tab w:leader="none" w:pos="331"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Non-Disparagement. Executive expressly agrees that during his employment by the Company and for two (2) years following the termination of such employment for any reason, he will make no statement and take no actions of any kind, verbal or written, that directly or indirectly disparages the Company or the Related Parties, injures their general reputation or interferes with the Company’s or its Affiliates’ operations, except as required by applicable law. Nothing in this Section 10 shall restrict Executive from cooperating or communicating with any government or listing entity.</w:t>
      </w:r>
    </w:p>
    <w:p>
      <w:pPr>
        <w:spacing w:after="0" w:line="207" w:lineRule="exact"/>
        <w:rPr>
          <w:rFonts w:ascii="Arial" w:cs="Arial" w:eastAsia="Arial" w:hAnsi="Arial"/>
          <w:sz w:val="20"/>
          <w:szCs w:val="20"/>
          <w:color w:val="auto"/>
        </w:rPr>
      </w:pPr>
    </w:p>
    <w:p>
      <w:pPr>
        <w:ind w:left="300" w:hanging="292"/>
        <w:spacing w:after="0"/>
        <w:tabs>
          <w:tab w:leader="none" w:pos="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Termination Prior to Expiration of the Term.</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11.1 Termination for Cause. The Company may terminate Executive’s employment at any time for “Cause” (each as defined in Section 17) immediately upon written notice to Executive. Such written notice shall set forth with reasonable specificity the Company’s basis for such termination.</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11.2 Resignation. Executive’s employment shall be terminated on the earlier of the date that is thirty (30) days following the submission of Executive’s written resignation to the Company or the date such resignation is accepted by the Company.</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11.3 Termination Without Cause. The Company may terminate Executive’s employment Without Cause upon written notice to Executive. Termination “Without Cause” shall mean termination of employment by the Company on any basis other than termination of Executive’s employment hereunder pursuant to 11.1 or 11.2.</w:t>
      </w:r>
    </w:p>
    <w:p>
      <w:pPr>
        <w:spacing w:after="0" w:line="199" w:lineRule="exact"/>
        <w:rPr>
          <w:sz w:val="20"/>
          <w:szCs w:val="20"/>
          <w:color w:val="auto"/>
        </w:rPr>
      </w:pPr>
    </w:p>
    <w:p>
      <w:pPr>
        <w:ind w:right="20" w:firstLine="8"/>
        <w:spacing w:after="0" w:line="260" w:lineRule="auto"/>
        <w:tabs>
          <w:tab w:leader="none" w:pos="337"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Surrender of Records and Property. Upon termination of his employment for any reason, Executive shall deliver promptly to the Company all records, manuals, books, blank forms, documents, letters, licenses, briefings, memoranda,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5" w:right="339" w:bottom="1440" w:gutter="0" w:footer="0" w:header="0"/>
        </w:sectPr>
      </w:pPr>
    </w:p>
    <w:bookmarkStart w:id="52" w:name="page53"/>
    <w:bookmarkEnd w:id="52"/>
    <w:p>
      <w:pPr>
        <w:jc w:val="both"/>
        <w:spacing w:after="0" w:line="316" w:lineRule="auto"/>
        <w:rPr>
          <w:sz w:val="20"/>
          <w:szCs w:val="20"/>
          <w:color w:val="auto"/>
        </w:rPr>
      </w:pPr>
      <w:r>
        <w:rPr>
          <w:rFonts w:ascii="Arial" w:cs="Arial" w:eastAsia="Arial" w:hAnsi="Arial"/>
          <w:sz w:val="16"/>
          <w:szCs w:val="16"/>
          <w:color w:val="auto"/>
        </w:rPr>
        <w:t>notes, notebooks, reports, data, tables, and calculations or copies thereof, which are the property of the Company and which relate in any way to the business, customers, products, practices or techniques of the Company, and all 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 ledger, or similar item to be used for keeping records of or information regarding the business of the Company or its customers, Executive shall immediately notify the Company and provide documentation of such purchase, which shall then immediately reimburse Executive for the expense of such purchase.</w:t>
      </w:r>
    </w:p>
    <w:p>
      <w:pPr>
        <w:spacing w:after="0" w:line="153" w:lineRule="exact"/>
        <w:rPr>
          <w:sz w:val="20"/>
          <w:szCs w:val="20"/>
          <w:color w:val="auto"/>
        </w:rPr>
      </w:pPr>
    </w:p>
    <w:p>
      <w:pPr>
        <w:jc w:val="both"/>
        <w:ind w:firstLine="8"/>
        <w:spacing w:after="0" w:line="250" w:lineRule="auto"/>
        <w:tabs>
          <w:tab w:leader="none" w:pos="31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Assignment. This Agreement shall not be assignable, in whole or in part, by Executive. The Company may, upon notice to Executive, assign its rights and obligations under this Agreement to an Affiliate of the Company or any purchaser of substantially all of the Company’s assets.</w:t>
      </w:r>
    </w:p>
    <w:p>
      <w:pPr>
        <w:spacing w:after="0" w:line="19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Upon such assignment by the Company, this Agreement shall be enforceable by the Executive and the assignee respectively. After any such assignment by the Company, Executive and the Company shall be discharged from all further liability hereunder to each other.</w:t>
      </w:r>
    </w:p>
    <w:p>
      <w:pPr>
        <w:spacing w:after="0" w:line="143" w:lineRule="exact"/>
        <w:rPr>
          <w:sz w:val="20"/>
          <w:szCs w:val="20"/>
          <w:color w:val="auto"/>
        </w:rPr>
      </w:pPr>
    </w:p>
    <w:p>
      <w:pPr>
        <w:jc w:val="both"/>
        <w:ind w:firstLine="8"/>
        <w:spacing w:after="0" w:line="244" w:lineRule="auto"/>
        <w:tabs>
          <w:tab w:leader="none" w:pos="324"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Injunctive Relief. Executive agrees that it would be difficult to compensate the Company fully for damages for any violation of the provisions of this Agreement, including, without limitation, the provisions of Sections 7, 9, 10 and 12. Accordingly, Executive specifically agrees that the Company shall 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207" w:lineRule="exact"/>
        <w:rPr>
          <w:rFonts w:ascii="Arial" w:cs="Arial" w:eastAsia="Arial" w:hAnsi="Arial"/>
          <w:sz w:val="20"/>
          <w:szCs w:val="20"/>
          <w:color w:val="auto"/>
        </w:rPr>
      </w:pPr>
    </w:p>
    <w:p>
      <w:pPr>
        <w:ind w:left="300" w:hanging="292"/>
        <w:spacing w:after="0"/>
        <w:tabs>
          <w:tab w:leader="none" w:pos="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Arbitration.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15.1 Claims Covered. The parties shall resolve by arbitration all statutory, contractual and/or common law claims or controversies (“Claims”) that the Company may have against Executive, or that Executive may have against the Company or any of its officers, directors, employees or agents in their capacity as such or otherwise. Claims subject to arbitration include claims for breach of any contract (express or implied).</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15.2 Claims Not Covered. The arbitration of Claims shall not apply to (i) claims by Executive for workers’ compensation or unemployment insurance; (ii) claims which even in the absence of these arbitration provisions could not have been litigated in court or before any administrative proceeding under applicable federal, state or local law; (iii) claims by the Company for injunctive and/or other equitable relief;</w:t>
      </w:r>
    </w:p>
    <w:p>
      <w:pPr>
        <w:spacing w:after="0" w:line="1" w:lineRule="exact"/>
        <w:rPr>
          <w:sz w:val="20"/>
          <w:szCs w:val="20"/>
          <w:color w:val="auto"/>
        </w:rPr>
      </w:pPr>
    </w:p>
    <w:p>
      <w:pPr>
        <w:ind w:firstLine="8"/>
        <w:spacing w:after="0" w:line="269" w:lineRule="auto"/>
        <w:tabs>
          <w:tab w:leader="none" w:pos="335" w:val="left"/>
        </w:tabs>
        <w:numPr>
          <w:ilvl w:val="0"/>
          <w:numId w:val="31"/>
        </w:numPr>
        <w:rPr>
          <w:rFonts w:ascii="Arial" w:cs="Arial" w:eastAsia="Arial" w:hAnsi="Arial"/>
          <w:sz w:val="19"/>
          <w:szCs w:val="19"/>
          <w:color w:val="auto"/>
        </w:rPr>
      </w:pPr>
      <w:r>
        <w:rPr>
          <w:rFonts w:ascii="Arial" w:cs="Arial" w:eastAsia="Arial" w:hAnsi="Arial"/>
          <w:sz w:val="19"/>
          <w:szCs w:val="19"/>
          <w:color w:val="auto"/>
        </w:rPr>
        <w:t>claims for which arbitration is prohibited under applicable rules in the Federal Acquisition Regulation or the Defense Federal Acquisition Regulation Supplement and (v) claims for employee benefits under any employee benefit plan subject to ERISA.</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15.3 Procedures. Claims shall be settled by arbitration by a single, neutral arbitrator in accordance with the employment arbitration rules then in effect of Judicial Arbitration and Mediation Services (JAMS) which can be found at www.jamsadr.com/rules-employment-arbitration. The arbitrator shall determine all questions of fact and law relating to any Claim, including but not limited to, whether or not any such Claim is subject to the arbitration provisions contained herein. The parties shall be permitted to engage in such pre-hearing discovery as the arbitrator shall permit. The arbitrator shall issue a written arbitration decision which shall include essential findings and conclusions on which any award is based. The decision shall remain confidential between the parties and shall not be published by the arbitrator or JAMS. Judgment upon the award rendered by the arbitrator may be entered in any court having jurisdiction. Each party shall pay the fees of its own attorneys, the expenses of its witnesses and all other expenses connected with presenting its case, except insofar as such fees or expenses are otherwise recoverable pursuant to a statutory claim or cause of action. The Company shall bear the other costs of the arbitration, including the cost of any record or transcript of the arbitration, administrative fees, the fee of the arbitrator, and all other fees and costs.</w:t>
      </w:r>
    </w:p>
    <w:p>
      <w:pPr>
        <w:spacing w:after="0" w:line="18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15.4 Remedies; Waiver of Jury Trial. Executive understands that Executive is waiving the right to seek certain remedies in court, including the right to a jury trial. The arbitrator shall be empowered to award any relief which might have been available in a court of law or equity.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5"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9"/>
          <w:szCs w:val="19"/>
          <w:color w:val="auto"/>
        </w:rPr>
        <w:t>15.5 Required Notice and Statute of Limitations. Arbitration shall be initiated by serving or mailing a written notice to the other party within the applicable statutory limitations period. Any notice to be sent to the Company shall be delivered to the Company President with a mandatory copy to Kratos’ General Counsel, 10680 Treena Street, 6th Floor, San Diego, CA 92131, facsimile 858-812-7303. The notice shall identify and describe the nature of all claims asserted and the facts upon which such claims are based.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16. Miscellaneous.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16.1 Governing Law and Venue. This Agreement is made under and shall be governed by and construed in accordance with the laws of the State of Delaware, without regard to its conflicts of law provisions, and all proceedings shall be brought in the courts or arbitral forums located in located in Northern Virginia (Washington, D.C. metropolitan area), San Diego, California, or some other location as agreed by the parties.</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16.2 Prior Agreements. This Agreement, coupled with Executive’s Proprietary Information Agreement, contains the entire agreement of the parties relating to the subject matter hereof and supersedes all prior agreements and understandings with respect to such subject matter. The parties have made no agreements, representations or warranties relating to the subject matter of this Agreement which are not set forth herein.</w:t>
      </w:r>
    </w:p>
    <w:p>
      <w:pPr>
        <w:spacing w:after="0" w:line="13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16.3 Successors. The terms of this Agreement and all rights of Executive hereunder shall inure to the benefit of, and be enforceable by, Executive’s personal or legal representatives, executors, administrators, successors, heirs, distributees, devisees and legatees on the one hand, and by any successor or assignee of the Company on the other hand.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16.4 Amendments. No amendment or modification of this Agreement shall be deemed effective unless made in writing signed by the parties.</w:t>
      </w:r>
    </w:p>
    <w:p>
      <w:pPr>
        <w:spacing w:after="0" w:line="25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16.5 No Waiver.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waived and shall not constitute a waiver of such term or condition for the future or as to any act other than that specifically waived.</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16.6 Severability and Reformation. To the extent any provision of this Agreement shall be considered by a court or arbitrator to be invalid or unenforceable, the provision shall be considered deleted here from and the remainder of such provision and of this Agreement shall be unaffected and shall continue in full force and effect. Each of the parties recognizes that the restrictions contained in this Agreement are properly required for the adequate protection of the Company’s business and that in the event any covenant or other provision contained herein shall be deemed to be illegal, unenforceable or unreasonable by a court or other tribunal of competent jurisdiction, each of the parties agrees and submits to the reduction of said restrictions to such duration and/or scope as said court or tribunal shall deem reasonable.</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16.7 Counterparts. This Agreement may be executed in any number of counterparts, each of which shall be deemed to be an original and all which together shall be deemed to be one and the same instrument.</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16.8 Notices. All notices required or permitted hereunder shall be in writing and shall be deemed effectively given or received: (a) upon personal delivery to the party to be notified, (b) when sent by confirmed facsimile if sent during normal business hours of the recipient upon confirmed receipt, if not, then on the next business day, (c) five (5) business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the Company and Executive at their respective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84" w:right="339" w:bottom="1440" w:gutter="0" w:footer="0" w:header="0"/>
        </w:sectPr>
      </w:pPr>
    </w:p>
    <w:bookmarkStart w:id="54" w:name="page55"/>
    <w:bookmarkEnd w:id="54"/>
    <w:p>
      <w:pPr>
        <w:jc w:val="both"/>
        <w:spacing w:after="0" w:line="260" w:lineRule="auto"/>
        <w:rPr>
          <w:sz w:val="20"/>
          <w:szCs w:val="20"/>
          <w:color w:val="auto"/>
        </w:rPr>
      </w:pPr>
      <w:r>
        <w:rPr>
          <w:rFonts w:ascii="Arial" w:cs="Arial" w:eastAsia="Arial" w:hAnsi="Arial"/>
          <w:sz w:val="20"/>
          <w:szCs w:val="20"/>
          <w:color w:val="auto"/>
        </w:rPr>
        <w:t>addresses as set forth on the signature page hereof or at such other address as the Company or Executive may designate by ten (10) days advance written notice to the other party.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17. Definition of Terms. The following terms referred to in this Agreement shall have the following meanings:</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17.1 Affiliate. “Affiliate” with respect to any person or entity, means a person or entity that directly or indirectly through one or more intermediaries controls, is controlled by, or is under common control with, such person or entity.</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17.2 Cause. Termination for “Cause” means termination due to any of the following reasons: (i) Executive’s Misconduct; (ii) Executive’s willful violation of posted policy or rules of the Company; (iii) Executive’s willful refusal to follow the lawful directions given by Executive’s direct supervisor or the President of the Company from time to time or breach of any material covenant or obligation under this Agreement or other agreement with the Company; or (iv) Executive’s breach of the duty of loyalty to the Company that causes or is reasonably likely to cause injury to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17.3 Misconduct. “Misconduct” means:</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17.3.1 Indictment or conviction of a felony or for an act of fraud, embezzlement or other act of gross misconduct against the Company in the performance of duties hereunder.</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17.3.2 Misuse, misappropriation or disclosure of any of the Proprietary Matter, directly or indirectly, or use of it in any way, except as required or permitted in the course of Executive’s employment.</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17.3.3 Knowing misappropriation, concealment, or conversion of any money or property of the Company that causes or could cause injury to the Company.</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17.3.4 Reckless conduct which endangers or is reasonably likely to endanger the safety of persons or property during the course of employment or while on Company premises.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17.3.5 A material violation of the Company’s Code of Legal and Ethical Conduct.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17.4 Related Parties. “Related Parties” means each of the Company’s present and former directors, officers, employees, trustees, agents, attorneys, insurers, shareholders, representatives, predecessors, successors and assigns, and if any, its parent corporations, subsidiaries, divisions, related and affiliated companies and entities.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17.5 Restricted Period. The “Restricted Period” means a period of (a) two (2) years after the termination of Executive’s employment for Cause or (b) one (1) year after the termination of Executive’s employment for any other reason.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Employment Agreement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gridSpan w:val="3"/>
          </w:tcPr>
          <w:p>
            <w:pPr>
              <w:spacing w:after="0"/>
              <w:rPr>
                <w:sz w:val="20"/>
                <w:szCs w:val="20"/>
                <w:color w:val="auto"/>
              </w:rPr>
            </w:pPr>
            <w:r>
              <w:rPr>
                <w:rFonts w:ascii="Arial" w:cs="Arial" w:eastAsia="Arial" w:hAnsi="Arial"/>
                <w:sz w:val="20"/>
                <w:szCs w:val="20"/>
                <w:b w:val="1"/>
                <w:bCs w:val="1"/>
                <w:color w:val="auto"/>
              </w:rPr>
              <w:t>THE COMPANY:</w:t>
            </w:r>
          </w:p>
        </w:tc>
        <w:tc>
          <w:tcPr>
            <w:tcW w:w="3440" w:type="dxa"/>
            <w:vAlign w:val="bottom"/>
            <w:gridSpan w:val="4"/>
          </w:tcPr>
          <w:p>
            <w:pPr>
              <w:ind w:left="60"/>
              <w:spacing w:after="0"/>
              <w:rPr>
                <w:sz w:val="20"/>
                <w:szCs w:val="20"/>
                <w:color w:val="auto"/>
              </w:rPr>
            </w:pPr>
            <w:r>
              <w:rPr>
                <w:rFonts w:ascii="Arial" w:cs="Arial" w:eastAsia="Arial" w:hAnsi="Arial"/>
                <w:sz w:val="20"/>
                <w:szCs w:val="20"/>
                <w:b w:val="1"/>
                <w:bCs w:val="1"/>
                <w:color w:val="auto"/>
              </w:rPr>
              <w:t>EXECUTIVE:</w:t>
            </w:r>
          </w:p>
        </w:tc>
      </w:tr>
      <w:tr>
        <w:trPr>
          <w:trHeight w:val="256"/>
        </w:trPr>
        <w:tc>
          <w:tcPr>
            <w:tcW w:w="5920" w:type="dxa"/>
            <w:vAlign w:val="bottom"/>
            <w:gridSpan w:val="7"/>
          </w:tcPr>
          <w:p>
            <w:pPr>
              <w:spacing w:after="0"/>
              <w:rPr>
                <w:sz w:val="20"/>
                <w:szCs w:val="20"/>
                <w:color w:val="auto"/>
              </w:rPr>
            </w:pPr>
            <w:r>
              <w:rPr>
                <w:rFonts w:ascii="Arial" w:cs="Arial" w:eastAsia="Arial" w:hAnsi="Arial"/>
                <w:sz w:val="20"/>
                <w:szCs w:val="20"/>
                <w:b w:val="1"/>
                <w:bCs w:val="1"/>
                <w:color w:val="auto"/>
              </w:rPr>
              <w:t>Kratos Defense &amp; Security Solutions, Inc.</w:t>
            </w:r>
          </w:p>
        </w:tc>
      </w:tr>
      <w:tr>
        <w:trPr>
          <w:trHeight w:val="644"/>
        </w:trPr>
        <w:tc>
          <w:tcPr>
            <w:tcW w:w="2480" w:type="dxa"/>
            <w:vAlign w:val="bottom"/>
            <w:gridSpan w:val="3"/>
          </w:tcPr>
          <w:p>
            <w:pPr>
              <w:spacing w:after="0"/>
              <w:rPr>
                <w:sz w:val="20"/>
                <w:szCs w:val="20"/>
                <w:color w:val="auto"/>
              </w:rPr>
            </w:pPr>
            <w:r>
              <w:rPr>
                <w:rFonts w:ascii="Arial" w:cs="Arial" w:eastAsia="Arial" w:hAnsi="Arial"/>
                <w:sz w:val="20"/>
                <w:szCs w:val="20"/>
                <w:color w:val="auto"/>
              </w:rPr>
              <w:t>By: /s/ Eric DeMarco</w:t>
            </w:r>
          </w:p>
        </w:tc>
        <w:tc>
          <w:tcPr>
            <w:tcW w:w="220" w:type="dxa"/>
            <w:vAlign w:val="bottom"/>
          </w:tcPr>
          <w:p>
            <w:pPr>
              <w:spacing w:after="0"/>
              <w:rPr>
                <w:sz w:val="24"/>
                <w:szCs w:val="24"/>
                <w:color w:val="auto"/>
              </w:rPr>
            </w:pPr>
          </w:p>
        </w:tc>
        <w:tc>
          <w:tcPr>
            <w:tcW w:w="3220" w:type="dxa"/>
            <w:vAlign w:val="bottom"/>
            <w:gridSpan w:val="3"/>
          </w:tcPr>
          <w:p>
            <w:pPr>
              <w:spacing w:after="0"/>
              <w:rPr>
                <w:sz w:val="20"/>
                <w:szCs w:val="20"/>
                <w:color w:val="auto"/>
              </w:rPr>
            </w:pPr>
            <w:r>
              <w:rPr>
                <w:rFonts w:ascii="Arial" w:cs="Arial" w:eastAsia="Arial" w:hAnsi="Arial"/>
                <w:sz w:val="20"/>
                <w:szCs w:val="20"/>
                <w:color w:val="auto"/>
              </w:rPr>
              <w:t>/s/ Phil Carrai</w:t>
            </w:r>
          </w:p>
        </w:tc>
      </w:tr>
      <w:tr>
        <w:trPr>
          <w:trHeight w:val="20"/>
        </w:trPr>
        <w:tc>
          <w:tcPr>
            <w:tcW w:w="3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2480" w:type="dxa"/>
            <w:vAlign w:val="bottom"/>
            <w:gridSpan w:val="3"/>
          </w:tcPr>
          <w:p>
            <w:pPr>
              <w:spacing w:after="0"/>
              <w:rPr>
                <w:sz w:val="20"/>
                <w:szCs w:val="20"/>
                <w:color w:val="auto"/>
              </w:rPr>
            </w:pPr>
            <w:r>
              <w:rPr>
                <w:rFonts w:ascii="Arial" w:cs="Arial" w:eastAsia="Arial" w:hAnsi="Arial"/>
                <w:sz w:val="20"/>
                <w:szCs w:val="20"/>
                <w:color w:val="auto"/>
              </w:rPr>
              <w:t>Name: Eric DeMarco</w:t>
            </w:r>
          </w:p>
        </w:tc>
        <w:tc>
          <w:tcPr>
            <w:tcW w:w="2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Arial" w:cs="Arial" w:eastAsia="Arial" w:hAnsi="Arial"/>
                <w:sz w:val="20"/>
                <w:szCs w:val="20"/>
                <w:color w:val="auto"/>
              </w:rPr>
              <w:t>Phil Carrai</w:t>
            </w:r>
          </w:p>
        </w:tc>
      </w:tr>
      <w:tr>
        <w:trPr>
          <w:trHeight w:val="250"/>
        </w:trPr>
        <w:tc>
          <w:tcPr>
            <w:tcW w:w="2480" w:type="dxa"/>
            <w:vAlign w:val="bottom"/>
            <w:gridSpan w:val="3"/>
          </w:tcPr>
          <w:p>
            <w:pPr>
              <w:spacing w:after="0"/>
              <w:rPr>
                <w:sz w:val="20"/>
                <w:szCs w:val="20"/>
                <w:color w:val="auto"/>
              </w:rPr>
            </w:pPr>
            <w:r>
              <w:rPr>
                <w:rFonts w:ascii="Arial" w:cs="Arial" w:eastAsia="Arial" w:hAnsi="Arial"/>
                <w:sz w:val="20"/>
                <w:szCs w:val="20"/>
                <w:color w:val="auto"/>
              </w:rPr>
              <w:t>Title: President and CEO</w:t>
            </w:r>
          </w:p>
        </w:tc>
        <w:tc>
          <w:tcPr>
            <w:tcW w:w="220" w:type="dxa"/>
            <w:vAlign w:val="bottom"/>
          </w:tcPr>
          <w:p>
            <w:pPr>
              <w:spacing w:after="0"/>
              <w:rPr>
                <w:sz w:val="21"/>
                <w:szCs w:val="21"/>
                <w:color w:val="auto"/>
              </w:rPr>
            </w:pPr>
          </w:p>
        </w:tc>
        <w:tc>
          <w:tcPr>
            <w:tcW w:w="3220" w:type="dxa"/>
            <w:vAlign w:val="bottom"/>
            <w:gridSpan w:val="3"/>
          </w:tcPr>
          <w:p>
            <w:pPr>
              <w:ind w:left="80"/>
              <w:spacing w:after="0"/>
              <w:rPr>
                <w:sz w:val="20"/>
                <w:szCs w:val="20"/>
                <w:color w:val="auto"/>
              </w:rPr>
            </w:pPr>
            <w:r>
              <w:rPr>
                <w:rFonts w:ascii="Arial" w:cs="Arial" w:eastAsia="Arial" w:hAnsi="Arial"/>
                <w:sz w:val="20"/>
                <w:szCs w:val="20"/>
                <w:color w:val="auto"/>
              </w:rPr>
              <w:t>Title: President, STC</w:t>
            </w:r>
          </w:p>
        </w:tc>
      </w:tr>
      <w:tr>
        <w:trPr>
          <w:trHeight w:val="414"/>
        </w:trPr>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20" w:type="dxa"/>
            <w:vAlign w:val="bottom"/>
            <w:gridSpan w:val="2"/>
          </w:tcPr>
          <w:p>
            <w:pPr>
              <w:ind w:left="740"/>
              <w:spacing w:after="0"/>
              <w:rPr>
                <w:sz w:val="20"/>
                <w:szCs w:val="20"/>
                <w:color w:val="auto"/>
              </w:rPr>
            </w:pPr>
            <w:r>
              <w:rPr>
                <w:rFonts w:ascii="Arial" w:cs="Arial" w:eastAsia="Arial" w:hAnsi="Arial"/>
                <w:sz w:val="20"/>
                <w:szCs w:val="20"/>
                <w:color w:val="auto"/>
                <w:w w:val="88"/>
              </w:rPr>
              <w:t>Date: 12/11/2019</w:t>
            </w:r>
          </w:p>
        </w:tc>
      </w:tr>
      <w:tr>
        <w:trPr>
          <w:trHeight w:val="484"/>
        </w:trPr>
        <w:tc>
          <w:tcPr>
            <w:tcW w:w="2480" w:type="dxa"/>
            <w:vAlign w:val="bottom"/>
            <w:gridSpan w:val="3"/>
          </w:tcPr>
          <w:p>
            <w:pPr>
              <w:spacing w:after="0"/>
              <w:rPr>
                <w:sz w:val="20"/>
                <w:szCs w:val="20"/>
                <w:color w:val="auto"/>
              </w:rPr>
            </w:pPr>
            <w:r>
              <w:rPr>
                <w:rFonts w:ascii="Arial" w:cs="Arial" w:eastAsia="Arial" w:hAnsi="Arial"/>
                <w:sz w:val="20"/>
                <w:szCs w:val="20"/>
                <w:color w:val="auto"/>
              </w:rPr>
              <w:t>Address for Notice:</w:t>
            </w:r>
          </w:p>
        </w:tc>
        <w:tc>
          <w:tcPr>
            <w:tcW w:w="2540" w:type="dxa"/>
            <w:vAlign w:val="bottom"/>
            <w:gridSpan w:val="3"/>
          </w:tcPr>
          <w:p>
            <w:pPr>
              <w:ind w:left="60"/>
              <w:spacing w:after="0"/>
              <w:rPr>
                <w:sz w:val="20"/>
                <w:szCs w:val="20"/>
                <w:color w:val="auto"/>
              </w:rPr>
            </w:pPr>
            <w:r>
              <w:rPr>
                <w:rFonts w:ascii="Arial" w:cs="Arial" w:eastAsia="Arial" w:hAnsi="Arial"/>
                <w:sz w:val="20"/>
                <w:szCs w:val="20"/>
                <w:color w:val="auto"/>
              </w:rPr>
              <w:t>Address for Notice:</w:t>
            </w:r>
          </w:p>
        </w:tc>
        <w:tc>
          <w:tcPr>
            <w:tcW w:w="900" w:type="dxa"/>
            <w:vAlign w:val="bottom"/>
            <w:tcBorders>
              <w:top w:val="single" w:sz="8" w:color="auto"/>
            </w:tcBorders>
          </w:tcPr>
          <w:p>
            <w:pPr>
              <w:spacing w:after="0"/>
              <w:rPr>
                <w:sz w:val="24"/>
                <w:szCs w:val="24"/>
                <w:color w:val="auto"/>
              </w:rPr>
            </w:pPr>
          </w:p>
        </w:tc>
      </w:tr>
      <w:tr>
        <w:trPr>
          <w:trHeight w:val="438"/>
        </w:trPr>
        <w:tc>
          <w:tcPr>
            <w:tcW w:w="2480" w:type="dxa"/>
            <w:vAlign w:val="bottom"/>
            <w:gridSpan w:val="3"/>
          </w:tcPr>
          <w:p>
            <w:pPr>
              <w:spacing w:after="0"/>
              <w:rPr>
                <w:sz w:val="20"/>
                <w:szCs w:val="20"/>
                <w:color w:val="auto"/>
              </w:rPr>
            </w:pPr>
            <w:r>
              <w:rPr>
                <w:rFonts w:ascii="Arial" w:cs="Arial" w:eastAsia="Arial" w:hAnsi="Arial"/>
                <w:sz w:val="20"/>
                <w:szCs w:val="20"/>
                <w:color w:val="auto"/>
                <w:w w:val="89"/>
              </w:rPr>
              <w:t>10680 Treena Street, 6th Floor</w:t>
            </w:r>
          </w:p>
        </w:tc>
        <w:tc>
          <w:tcPr>
            <w:tcW w:w="220" w:type="dxa"/>
            <w:vAlign w:val="bottom"/>
          </w:tcPr>
          <w:p>
            <w:pPr>
              <w:spacing w:after="0"/>
              <w:rPr>
                <w:sz w:val="24"/>
                <w:szCs w:val="24"/>
                <w:color w:val="auto"/>
              </w:rPr>
            </w:pPr>
          </w:p>
        </w:tc>
        <w:tc>
          <w:tcPr>
            <w:tcW w:w="3220" w:type="dxa"/>
            <w:vAlign w:val="bottom"/>
            <w:gridSpan w:val="3"/>
          </w:tcPr>
          <w:p>
            <w:pPr>
              <w:ind w:left="520"/>
              <w:spacing w:after="0"/>
              <w:rPr>
                <w:sz w:val="20"/>
                <w:szCs w:val="20"/>
                <w:color w:val="auto"/>
              </w:rPr>
            </w:pPr>
            <w:r>
              <w:rPr>
                <w:rFonts w:ascii="Arial" w:cs="Arial" w:eastAsia="Arial" w:hAnsi="Arial"/>
                <w:sz w:val="20"/>
                <w:szCs w:val="20"/>
                <w:color w:val="auto"/>
              </w:rPr>
              <w:t>1259 Cobble Pond Way</w:t>
            </w:r>
          </w:p>
        </w:tc>
      </w:tr>
      <w:tr>
        <w:trPr>
          <w:trHeight w:val="229"/>
        </w:trPr>
        <w:tc>
          <w:tcPr>
            <w:tcW w:w="2480" w:type="dxa"/>
            <w:vAlign w:val="bottom"/>
            <w:gridSpan w:val="3"/>
          </w:tcPr>
          <w:p>
            <w:pPr>
              <w:spacing w:after="0"/>
              <w:rPr>
                <w:sz w:val="20"/>
                <w:szCs w:val="20"/>
                <w:color w:val="auto"/>
              </w:rPr>
            </w:pPr>
            <w:r>
              <w:rPr>
                <w:rFonts w:ascii="Arial" w:cs="Arial" w:eastAsia="Arial" w:hAnsi="Arial"/>
                <w:sz w:val="20"/>
                <w:szCs w:val="20"/>
                <w:color w:val="auto"/>
              </w:rPr>
              <w:t>San Diego, CA 92131</w:t>
            </w:r>
          </w:p>
        </w:tc>
        <w:tc>
          <w:tcPr>
            <w:tcW w:w="220" w:type="dxa"/>
            <w:vAlign w:val="bottom"/>
          </w:tcPr>
          <w:p>
            <w:pPr>
              <w:spacing w:after="0"/>
              <w:rPr>
                <w:sz w:val="19"/>
                <w:szCs w:val="19"/>
                <w:color w:val="auto"/>
              </w:rPr>
            </w:pPr>
          </w:p>
        </w:tc>
        <w:tc>
          <w:tcPr>
            <w:tcW w:w="3220" w:type="dxa"/>
            <w:vAlign w:val="bottom"/>
            <w:gridSpan w:val="3"/>
          </w:tcPr>
          <w:p>
            <w:pPr>
              <w:ind w:left="40"/>
              <w:spacing w:after="0"/>
              <w:rPr>
                <w:sz w:val="20"/>
                <w:szCs w:val="20"/>
                <w:color w:val="auto"/>
              </w:rPr>
            </w:pPr>
            <w:r>
              <w:rPr>
                <w:rFonts w:ascii="Arial" w:cs="Arial" w:eastAsia="Arial" w:hAnsi="Arial"/>
                <w:sz w:val="20"/>
                <w:szCs w:val="20"/>
                <w:color w:val="auto"/>
              </w:rPr>
              <w:t>Vienna, VA 22182</w:t>
            </w:r>
          </w:p>
        </w:tc>
      </w:tr>
      <w:tr>
        <w:trPr>
          <w:trHeight w:val="250"/>
        </w:trPr>
        <w:tc>
          <w:tcPr>
            <w:tcW w:w="2480" w:type="dxa"/>
            <w:vAlign w:val="bottom"/>
            <w:gridSpan w:val="3"/>
          </w:tcPr>
          <w:p>
            <w:pPr>
              <w:spacing w:after="0"/>
              <w:rPr>
                <w:sz w:val="20"/>
                <w:szCs w:val="20"/>
                <w:color w:val="auto"/>
              </w:rPr>
            </w:pPr>
            <w:r>
              <w:rPr>
                <w:rFonts w:ascii="Arial" w:cs="Arial" w:eastAsia="Arial" w:hAnsi="Arial"/>
                <w:sz w:val="20"/>
                <w:szCs w:val="20"/>
                <w:color w:val="auto"/>
              </w:rPr>
              <w:t>Attn:  Law Department</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981"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652"/>
        <w:spacing w:after="0" w:line="24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280" w:hanging="644"/>
        <w:spacing w:after="0" w:line="25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46"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40" w:hanging="644"/>
        <w:spacing w:after="0" w:line="246"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80" w:hanging="644"/>
        <w:spacing w:after="0" w:line="255"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644"/>
        <w:spacing w:after="0" w:line="257"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May 7, 2020</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34925</wp:posOffset>
            </wp:positionV>
            <wp:extent cx="3446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55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7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right="520" w:hanging="652"/>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200" w:hanging="652"/>
        <w:spacing w:after="0" w:line="27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8"/>
          <w:szCs w:val="18"/>
          <w:color w:val="auto"/>
        </w:rPr>
      </w:pPr>
    </w:p>
    <w:p>
      <w:pPr>
        <w:ind w:left="1300" w:right="280" w:hanging="644"/>
        <w:spacing w:after="0" w:line="266"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 w:lineRule="exact"/>
        <w:rPr>
          <w:rFonts w:ascii="Arial" w:cs="Arial" w:eastAsia="Arial" w:hAnsi="Arial"/>
          <w:sz w:val="18"/>
          <w:szCs w:val="18"/>
          <w:color w:val="auto"/>
        </w:rPr>
      </w:pPr>
    </w:p>
    <w:p>
      <w:pPr>
        <w:ind w:left="1300" w:right="100" w:hanging="644"/>
        <w:spacing w:after="0" w:line="266"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Arial" w:cs="Arial" w:eastAsia="Arial" w:hAnsi="Arial"/>
          <w:sz w:val="18"/>
          <w:szCs w:val="18"/>
          <w:color w:val="auto"/>
        </w:rPr>
      </w:pPr>
    </w:p>
    <w:p>
      <w:pPr>
        <w:ind w:left="1300" w:right="140" w:hanging="644"/>
        <w:spacing w:after="0" w:line="259"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180" w:hanging="644"/>
        <w:spacing w:after="0" w:line="278"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8"/>
          <w:szCs w:val="18"/>
          <w:color w:val="auto"/>
        </w:rPr>
      </w:pPr>
    </w:p>
    <w:p>
      <w:pPr>
        <w:ind w:left="660" w:right="120" w:hanging="652"/>
        <w:spacing w:after="0" w:line="28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300" w:hanging="644"/>
        <w:spacing w:after="0" w:line="280"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Date: May 7, 2020</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34925</wp:posOffset>
            </wp:positionV>
            <wp:extent cx="3446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55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54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29, 2020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7,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549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55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29, 2020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7,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5490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5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1)"/>
      <w:numFmt w:val="lowerLetter"/>
      <w:start w:val="2"/>
    </w:lvl>
  </w:abstractNum>
  <w:abstractNum w:abstractNumId="4">
    <w:nsid w:val="62BBD95A"/>
    <w:multiLevelType w:val="hybridMultilevel"/>
    <w:lvl w:ilvl="0">
      <w:lvlJc w:val="left"/>
      <w:lvlText w:val="(%1)"/>
      <w:numFmt w:val="lowerLetter"/>
      <w:start w:val="3"/>
    </w:lvl>
  </w:abstractNum>
  <w:abstractNum w:abstractNumId="5">
    <w:nsid w:val="436C6125"/>
    <w:multiLevelType w:val="hybridMultilevel"/>
    <w:lvl w:ilvl="0">
      <w:lvlJc w:val="left"/>
      <w:lvlText w:val="(%1)"/>
      <w:numFmt w:val="lowerLetter"/>
      <w:start w:val="6"/>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decimal"/>
      <w:start w:val="5"/>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decimal"/>
      <w:start w:val="8"/>
    </w:lvl>
  </w:abstractNum>
  <w:abstractNum w:abstractNumId="17">
    <w:nsid w:val="189A769B"/>
    <w:multiLevelType w:val="hybridMultilevel"/>
    <w:lvl w:ilvl="0">
      <w:lvlJc w:val="left"/>
      <w:lvlText w:val="%1."/>
      <w:numFmt w:val="decimal"/>
      <w:start w:val="10"/>
    </w:lvl>
  </w:abstractNum>
  <w:abstractNum w:abstractNumId="18">
    <w:nsid w:val="54E49EB4"/>
    <w:multiLevelType w:val="hybridMultilevel"/>
    <w:lvl w:ilvl="0">
      <w:lvlJc w:val="left"/>
      <w:lvlText w:val="%1."/>
      <w:numFmt w:val="decimal"/>
      <w:start w:val="12"/>
    </w:lvl>
  </w:abstractNum>
  <w:abstractNum w:abstractNumId="19">
    <w:nsid w:val="71F32454"/>
    <w:multiLevelType w:val="hybridMultilevel"/>
    <w:lvl w:ilvl="0">
      <w:lvlJc w:val="left"/>
      <w:lvlText w:val="%1."/>
      <w:numFmt w:val="decimal"/>
      <w:start w:val="14"/>
    </w:lvl>
  </w:abstractNum>
  <w:abstractNum w:abstractNumId="20">
    <w:nsid w:val="2CA88611"/>
    <w:multiLevelType w:val="hybridMultilevel"/>
    <w:lvl w:ilvl="0">
      <w:lvlJc w:val="left"/>
      <w:lvlText w:val="(%1)"/>
      <w:numFmt w:val="lowerRoman"/>
      <w:start w:val="4"/>
    </w:lvl>
  </w:abstractNum>
  <w:abstractNum w:abstractNumId="21">
    <w:nsid w:val="836C40E"/>
    <w:multiLevelType w:val="hybridMultilevel"/>
    <w:lvl w:ilvl="0">
      <w:lvlJc w:val="left"/>
      <w:lvlText w:val="%1."/>
      <w:numFmt w:val="upperLetter"/>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decimal"/>
      <w:start w:val="5"/>
    </w:lvl>
  </w:abstractNum>
  <w:abstractNum w:abstractNumId="25">
    <w:nsid w:val="1E7FF521"/>
    <w:multiLevelType w:val="hybridMultilevel"/>
    <w:lvl w:ilvl="0">
      <w:lvlJc w:val="left"/>
      <w:lvlText w:val="%1."/>
      <w:numFmt w:val="decimal"/>
      <w:start w:val="8"/>
    </w:lvl>
  </w:abstractNum>
  <w:abstractNum w:abstractNumId="26">
    <w:nsid w:val="7C3DBD3D"/>
    <w:multiLevelType w:val="hybridMultilevel"/>
    <w:lvl w:ilvl="0">
      <w:lvlJc w:val="left"/>
      <w:lvlText w:val="%1."/>
      <w:numFmt w:val="decimal"/>
      <w:start w:val="10"/>
    </w:lvl>
  </w:abstractNum>
  <w:abstractNum w:abstractNumId="27">
    <w:nsid w:val="737B8DDC"/>
    <w:multiLevelType w:val="hybridMultilevel"/>
    <w:lvl w:ilvl="0">
      <w:lvlJc w:val="left"/>
      <w:lvlText w:val="%1."/>
      <w:numFmt w:val="decimal"/>
      <w:start w:val="12"/>
    </w:lvl>
  </w:abstractNum>
  <w:abstractNum w:abstractNumId="28">
    <w:nsid w:val="6CEAF087"/>
    <w:multiLevelType w:val="hybridMultilevel"/>
    <w:lvl w:ilvl="0">
      <w:lvlJc w:val="left"/>
      <w:lvlText w:val="%1."/>
      <w:numFmt w:val="decimal"/>
      <w:start w:val="13"/>
    </w:lvl>
  </w:abstractNum>
  <w:abstractNum w:abstractNumId="29">
    <w:nsid w:val="22221A70"/>
    <w:multiLevelType w:val="hybridMultilevel"/>
    <w:lvl w:ilvl="0">
      <w:lvlJc w:val="left"/>
      <w:lvlText w:val="%1."/>
      <w:numFmt w:val="decimal"/>
      <w:start w:val="14"/>
    </w:lvl>
  </w:abstractNum>
  <w:abstractNum w:abstractNumId="30">
    <w:nsid w:val="4516DDE9"/>
    <w:multiLevelType w:val="hybridMultilevel"/>
    <w:lvl w:ilvl="0">
      <w:lvlJc w:val="left"/>
      <w:lvlText w:val="(%1)"/>
      <w:numFmt w:val="lowerRoman"/>
      <w:start w:val="4"/>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29" Type="http://schemas.openxmlformats.org/officeDocument/2006/relationships/hyperlink" Target="http://www.sec.gov/Archives/edgar/data/1069258/000106925819000017/exhibit23redacted.htm" TargetMode="External"/><Relationship Id="rId30" Type="http://schemas.openxmlformats.org/officeDocument/2006/relationships/hyperlink" Target="http://www.sec.gov/Archives/edgar/data/1069258/000106925817000009/ktos20161225ex-31.htm" TargetMode="External"/><Relationship Id="rId31" Type="http://schemas.openxmlformats.org/officeDocument/2006/relationships/hyperlink" Target="http://www.sec.gov/Archives/edgar/data/1069258/000106925817000009/ktos20161225ex-32.htm" TargetMode="External"/><Relationship Id="rId32" Type="http://schemas.openxmlformats.org/officeDocument/2006/relationships/hyperlink" Target="http://www.sec.gov/Archives/edgar/data/1069258/000106925817000009/kratoscommonformofcertif.htm" TargetMode="External"/><Relationship Id="rId33" Type="http://schemas.openxmlformats.org/officeDocument/2006/relationships/hyperlink" Target="http://www.sec.gov/Archives/edgar/data/1069258/000110465917069690/a17-27375_1ex4d1.htm" TargetMode="External"/><Relationship Id="rId34"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2020-05-07T15:41:29Z</dcterms:created>
  <dcterms:modified xsi:type="dcterms:W3CDTF">2020-05-07T15:41:29Z</dcterms:modified>
</cp:coreProperties>
</file>