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212725</wp:posOffset>
            </wp:positionH>
            <wp:positionV relativeFrom="page">
              <wp:posOffset>525780</wp:posOffset>
            </wp:positionV>
            <wp:extent cx="7124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4065" cy="8255"/>
                    </a:xfrm>
                    <a:prstGeom prst="rect">
                      <a:avLst/>
                    </a:prstGeom>
                    <a:noFill/>
                  </pic:spPr>
                </pic:pic>
              </a:graphicData>
            </a:graphic>
          </wp:anchor>
        </w:drawing>
        <w:drawing>
          <wp:anchor simplePos="0" relativeHeight="251657728" behindDoc="1" locked="0" layoutInCell="0" allowOverlap="1">
            <wp:simplePos x="0" y="0"/>
            <wp:positionH relativeFrom="page">
              <wp:posOffset>212725</wp:posOffset>
            </wp:positionH>
            <wp:positionV relativeFrom="page">
              <wp:posOffset>549910</wp:posOffset>
            </wp:positionV>
            <wp:extent cx="7124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406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1715770</wp:posOffset>
            </wp:positionH>
            <wp:positionV relativeFrom="paragraph">
              <wp:posOffset>111760</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1715770</wp:posOffset>
            </wp:positionH>
            <wp:positionV relativeFrom="paragraph">
              <wp:posOffset>95250</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7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1" w:lineRule="exact"/>
        <w:rPr>
          <w:sz w:val="24"/>
          <w:szCs w:val="24"/>
          <w:color w:val="auto"/>
        </w:rPr>
      </w:pPr>
    </w:p>
    <w:p>
      <w:pPr>
        <w:ind w:left="4440" w:right="3200" w:hanging="4084"/>
        <w:spacing w:after="0" w:line="267" w:lineRule="auto"/>
        <w:tabs>
          <w:tab w:leader="none" w:pos="14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28, 2025</w:t>
      </w:r>
    </w:p>
    <w:p>
      <w:pPr>
        <w:spacing w:after="0" w:line="76" w:lineRule="exact"/>
        <w:rPr>
          <w:sz w:val="24"/>
          <w:szCs w:val="24"/>
          <w:color w:val="auto"/>
        </w:rPr>
      </w:pPr>
    </w:p>
    <w:p>
      <w:pPr>
        <w:ind w:left="4600" w:right="2600" w:hanging="4244"/>
        <w:spacing w:after="0" w:line="364" w:lineRule="auto"/>
        <w:tabs>
          <w:tab w:leader="none" w:pos="1411"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AND EXCHANGE ACT OF 1934 Commission file number 001-34460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KRATOS DEFENSE &amp; SECURITY SOLUTIONS,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955" w:right="339" w:bottom="1440" w:gutter="0" w:footer="0" w:header="0"/>
        </w:sectPr>
      </w:pPr>
    </w:p>
    <w:p>
      <w:pPr>
        <w:spacing w:after="0" w:line="13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13-3818604</w:t>
      </w:r>
    </w:p>
    <w:p>
      <w:pPr>
        <w:spacing w:after="0" w:line="30" w:lineRule="exact"/>
        <w:rPr>
          <w:sz w:val="24"/>
          <w:szCs w:val="24"/>
          <w:color w:val="auto"/>
        </w:rPr>
      </w:pPr>
    </w:p>
    <w:p>
      <w:pPr>
        <w:sectPr>
          <w:pgSz w:w="11900" w:h="16838" w:orient="portrait"/>
          <w:cols w:equalWidth="0" w:num="2">
            <w:col w:w="6820" w:space="720"/>
            <w:col w:w="3700"/>
          </w:cols>
          <w:pgMar w:left="320" w:top="955" w:right="33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60" w:lineRule="exact"/>
        <w:rPr>
          <w:sz w:val="24"/>
          <w:szCs w:val="24"/>
          <w:color w:val="auto"/>
        </w:rPr>
      </w:pPr>
    </w:p>
    <w:p>
      <w:pPr>
        <w:sectPr>
          <w:pgSz w:w="11900" w:h="16838" w:orient="portrait"/>
          <w:cols w:equalWidth="0" w:num="2">
            <w:col w:w="6200" w:space="720"/>
            <w:col w:w="4320"/>
          </w:cols>
          <w:pgMar w:left="320" w:top="955" w:right="3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5"/>
          <w:szCs w:val="15"/>
          <w:color w:val="auto"/>
        </w:rPr>
        <w:t>1 Chisholm Trail, Suite 300</w:t>
      </w:r>
    </w:p>
    <w:p>
      <w:pPr>
        <w:spacing w:after="0" w:line="2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5"/>
          <w:szCs w:val="15"/>
          <w:color w:val="auto"/>
        </w:rPr>
        <w:t>Round Rock, TX</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78681</w:t>
      </w:r>
    </w:p>
    <w:p>
      <w:pPr>
        <w:spacing w:after="0" w:line="25" w:lineRule="exact"/>
        <w:rPr>
          <w:sz w:val="24"/>
          <w:szCs w:val="24"/>
          <w:color w:val="auto"/>
        </w:rPr>
      </w:pPr>
    </w:p>
    <w:p>
      <w:pPr>
        <w:sectPr>
          <w:pgSz w:w="11900" w:h="16838" w:orient="portrait"/>
          <w:cols w:equalWidth="0" w:num="2">
            <w:col w:w="3540" w:space="300"/>
            <w:col w:w="7400"/>
          </w:cols>
          <w:pgMar w:left="320" w:top="955" w:right="3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11" w:lineRule="exact"/>
        <w:rPr>
          <w:sz w:val="24"/>
          <w:szCs w:val="24"/>
          <w:color w:val="auto"/>
        </w:rPr>
      </w:pPr>
    </w:p>
    <w:p>
      <w:pPr>
        <w:sectPr>
          <w:pgSz w:w="11900" w:h="16838" w:orient="portrait"/>
          <w:cols w:equalWidth="0" w:num="2">
            <w:col w:w="4260" w:space="620"/>
            <w:col w:w="6360"/>
          </w:cols>
          <w:pgMar w:left="320" w:top="955" w:right="339" w:bottom="1440" w:gutter="0" w:footer="0" w:header="0"/>
          <w:type w:val="continuous"/>
        </w:sectPr>
      </w:pPr>
    </w:p>
    <w:p>
      <w:pPr>
        <w:spacing w:after="0" w:line="28"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(512) 238-9840</w:t>
      </w:r>
    </w:p>
    <w:p>
      <w:pPr>
        <w:spacing w:after="0" w:line="200" w:lineRule="exact"/>
        <w:rPr>
          <w:sz w:val="24"/>
          <w:szCs w:val="24"/>
          <w:color w:val="auto"/>
        </w:rPr>
      </w:pPr>
    </w:p>
    <w:p>
      <w:pPr>
        <w:sectPr>
          <w:pgSz w:w="11900" w:h="16838" w:orient="portrait"/>
          <w:cols w:equalWidth="0" w:num="2">
            <w:col w:w="4960" w:space="200"/>
            <w:col w:w="6080"/>
          </w:cols>
          <w:pgMar w:left="320" w:top="955"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06" w:lineRule="exact"/>
        <w:rPr>
          <w:sz w:val="24"/>
          <w:szCs w:val="24"/>
          <w:color w:val="auto"/>
        </w:rPr>
      </w:pPr>
    </w:p>
    <w:tbl>
      <w:tblPr>
        <w:tblLayout w:type="fixed"/>
        <w:tblInd w:w="150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220" w:type="dxa"/>
            <w:vAlign w:val="bottom"/>
          </w:tcPr>
          <w:p>
            <w:pPr>
              <w:spacing w:after="0"/>
              <w:rPr>
                <w:sz w:val="13"/>
                <w:szCs w:val="13"/>
                <w:color w:val="auto"/>
              </w:rPr>
            </w:pPr>
          </w:p>
        </w:tc>
        <w:tc>
          <w:tcPr>
            <w:tcW w:w="18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300" w:type="dxa"/>
            <w:vAlign w:val="bottom"/>
            <w:gridSpan w:val="2"/>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r>
      <w:tr>
        <w:trPr>
          <w:trHeight w:val="20"/>
        </w:trPr>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198"/>
        </w:trPr>
        <w:tc>
          <w:tcPr>
            <w:tcW w:w="366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color w:val="auto"/>
                <w:w w:val="97"/>
              </w:rPr>
              <w:t>Common Stock, $0.001 par value</w:t>
            </w:r>
          </w:p>
        </w:tc>
        <w:tc>
          <w:tcPr>
            <w:tcW w:w="18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w w:val="92"/>
              </w:rPr>
              <w:t>KTOS</w:t>
            </w:r>
          </w:p>
        </w:tc>
        <w:tc>
          <w:tcPr>
            <w:tcW w:w="78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NASDAQ Global Select Market</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8" w:lineRule="exact"/>
        <w:rPr>
          <w:sz w:val="24"/>
          <w:szCs w:val="24"/>
          <w:color w:val="auto"/>
        </w:rPr>
      </w:pPr>
    </w:p>
    <w:p>
      <w:pPr>
        <w:ind w:left="300" w:right="3700"/>
        <w:spacing w:after="0" w:line="210"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8" w:lineRule="exact"/>
        <w:rPr>
          <w:sz w:val="24"/>
          <w:szCs w:val="24"/>
          <w:color w:val="auto"/>
        </w:rPr>
      </w:pPr>
    </w:p>
    <w:p>
      <w:pPr>
        <w:ind w:right="260" w:firstLine="306"/>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 w:lineRule="exact"/>
        <w:rPr>
          <w:sz w:val="24"/>
          <w:szCs w:val="24"/>
          <w:color w:val="auto"/>
        </w:rPr>
      </w:pPr>
    </w:p>
    <w:p>
      <w:pPr>
        <w:ind w:firstLine="306"/>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 w:lineRule="exact"/>
        <w:rPr>
          <w:sz w:val="24"/>
          <w:szCs w:val="24"/>
          <w:color w:val="auto"/>
        </w:rPr>
      </w:pPr>
    </w:p>
    <w:p>
      <w:pPr>
        <w:ind w:right="140" w:firstLine="306"/>
        <w:spacing w:after="0" w:line="24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55" w:right="339" w:bottom="1440" w:gutter="0" w:footer="0" w:header="0"/>
          <w:type w:val="continuous"/>
        </w:sectPr>
      </w:pPr>
    </w:p>
    <w:p>
      <w:pPr>
        <w:spacing w:after="0" w:line="117" w:lineRule="exact"/>
        <w:rPr>
          <w:sz w:val="24"/>
          <w:szCs w:val="24"/>
          <w:color w:val="auto"/>
        </w:rPr>
      </w:pPr>
    </w:p>
    <w:p>
      <w:pPr>
        <w:ind w:left="47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7" w:lineRule="exact"/>
        <w:rPr>
          <w:sz w:val="24"/>
          <w:szCs w:val="24"/>
          <w:color w:val="auto"/>
        </w:rPr>
      </w:pPr>
    </w:p>
    <w:p>
      <w:pPr>
        <w:sectPr>
          <w:pgSz w:w="11900" w:h="16838" w:orient="portrait"/>
          <w:cols w:equalWidth="0" w:num="2">
            <w:col w:w="9740" w:space="720"/>
            <w:col w:w="780"/>
          </w:cols>
          <w:pgMar w:left="320" w:top="955" w:right="33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1" w:lineRule="exact"/>
        <w:rPr>
          <w:sz w:val="24"/>
          <w:szCs w:val="24"/>
          <w:color w:val="auto"/>
        </w:rPr>
      </w:pPr>
    </w:p>
    <w:p>
      <w:pPr>
        <w:sectPr>
          <w:pgSz w:w="11900" w:h="16838" w:orient="portrait"/>
          <w:cols w:equalWidth="0" w:num="2">
            <w:col w:w="6660" w:space="720"/>
            <w:col w:w="3860"/>
          </w:cols>
          <w:pgMar w:left="320" w:top="955" w:right="339" w:bottom="1440" w:gutter="0" w:footer="0" w:header="0"/>
          <w:type w:val="continuous"/>
        </w:sectPr>
      </w:pPr>
    </w:p>
    <w:p>
      <w:pPr>
        <w:ind w:left="47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59" w:lineRule="exact"/>
        <w:rPr>
          <w:sz w:val="24"/>
          <w:szCs w:val="24"/>
          <w:color w:val="auto"/>
        </w:rPr>
      </w:pPr>
    </w:p>
    <w:p>
      <w:pPr>
        <w:sectPr>
          <w:pgSz w:w="11900" w:h="16838" w:orient="portrait"/>
          <w:cols w:equalWidth="0" w:num="2">
            <w:col w:w="9740" w:space="720"/>
            <w:col w:w="780"/>
          </w:cols>
          <w:pgMar w:left="320" w:top="955" w:right="33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1" w:lineRule="exact"/>
        <w:rPr>
          <w:sz w:val="24"/>
          <w:szCs w:val="24"/>
          <w:color w:val="auto"/>
        </w:rPr>
      </w:pPr>
    </w:p>
    <w:p>
      <w:pPr>
        <w:sectPr>
          <w:pgSz w:w="11900" w:h="16838" w:orient="portrait"/>
          <w:cols w:equalWidth="0" w:num="2">
            <w:col w:w="6380" w:space="720"/>
            <w:col w:w="4140"/>
          </w:cols>
          <w:pgMar w:left="320" w:top="955" w:right="339" w:bottom="1440" w:gutter="0" w:footer="0" w:header="0"/>
          <w:type w:val="continuous"/>
        </w:sectPr>
      </w:pPr>
    </w:p>
    <w:p>
      <w:pPr>
        <w:ind w:left="10460"/>
        <w:spacing w:after="0" w:line="161" w:lineRule="exact"/>
        <w:rPr>
          <w:sz w:val="20"/>
          <w:szCs w:val="20"/>
          <w:color w:val="auto"/>
        </w:rPr>
      </w:pPr>
      <w:r>
        <w:rPr>
          <w:rFonts w:ascii="MS PGothic" w:cs="MS PGothic" w:eastAsia="MS PGothic" w:hAnsi="MS PGothic"/>
          <w:sz w:val="16"/>
          <w:szCs w:val="16"/>
          <w:color w:val="auto"/>
        </w:rPr>
        <w:t>☐</w:t>
      </w:r>
    </w:p>
    <w:p>
      <w:pPr>
        <w:spacing w:after="0" w:line="36" w:lineRule="exact"/>
        <w:rPr>
          <w:sz w:val="24"/>
          <w:szCs w:val="24"/>
          <w:color w:val="auto"/>
        </w:rPr>
      </w:pPr>
    </w:p>
    <w:p>
      <w:pPr>
        <w:ind w:left="7100"/>
        <w:spacing w:after="0"/>
        <w:rPr>
          <w:sz w:val="20"/>
          <w:szCs w:val="20"/>
          <w:color w:val="auto"/>
        </w:rPr>
      </w:pPr>
      <w:r>
        <w:rPr>
          <w:rFonts w:ascii="Times New Roman" w:cs="Times New Roman" w:eastAsia="Times New Roman" w:hAnsi="Times New Roman"/>
          <w:sz w:val="14"/>
          <w:szCs w:val="14"/>
          <w:color w:val="auto"/>
        </w:rPr>
        <w:t>Emerging growth company</w:t>
      </w:r>
    </w:p>
    <w:p>
      <w:pPr>
        <w:sectPr>
          <w:pgSz w:w="11900" w:h="16838" w:orient="portrait"/>
          <w:cols w:equalWidth="0" w:num="1">
            <w:col w:w="11240"/>
          </w:cols>
          <w:pgMar w:left="320" w:top="955" w:right="339" w:bottom="1440" w:gutter="0" w:footer="0" w:header="0"/>
          <w:type w:val="continuous"/>
        </w:sectPr>
      </w:pPr>
    </w:p>
    <w:p>
      <w:pPr>
        <w:spacing w:after="0" w:line="182" w:lineRule="exact"/>
        <w:rPr>
          <w:sz w:val="24"/>
          <w:szCs w:val="24"/>
          <w:color w:val="auto"/>
        </w:rPr>
      </w:pPr>
    </w:p>
    <w:p>
      <w:pPr>
        <w:ind w:right="320" w:firstLine="306"/>
        <w:spacing w:after="0" w:line="286"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1" w:lineRule="exact"/>
        <w:rPr>
          <w:sz w:val="24"/>
          <w:szCs w:val="24"/>
          <w:color w:val="auto"/>
        </w:rPr>
      </w:pPr>
    </w:p>
    <w:p>
      <w:pPr>
        <w:ind w:right="380" w:firstLine="306"/>
        <w:spacing w:after="0" w:line="19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460" w:firstLine="306"/>
        <w:spacing w:after="0" w:line="284"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3" w:lineRule="exact"/>
        <w:rPr>
          <w:sz w:val="24"/>
          <w:szCs w:val="24"/>
          <w:color w:val="auto"/>
        </w:rPr>
      </w:pPr>
    </w:p>
    <w:p>
      <w:pPr>
        <w:ind w:right="160" w:firstLine="306"/>
        <w:spacing w:after="0" w:line="273"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left="30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5" w:lineRule="exact"/>
        <w:rPr>
          <w:sz w:val="24"/>
          <w:szCs w:val="24"/>
          <w:color w:val="auto"/>
        </w:rPr>
      </w:pPr>
    </w:p>
    <w:p>
      <w:pPr>
        <w:ind w:right="100" w:firstLine="306"/>
        <w:spacing w:after="0" w:line="253"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equity held by non-affiliates as of June 29, 2025, the last business day of the registrant’s most recently completed second fiscal quarter, was approximately $6.5 billion, based on the closing sale price for shares of the registrant’s common stock as reported by the NASDAQ Global Select Market on such date. This disclosure excludes shares of common stock held by executive officers, directors and stockholders whose individual ownership exceeded 10% of the common stock outstanding on June 28, 2024 because such persons may be deemed to be affiliates. This determination of affiliate status is not necessarily a conclusive determination for any other purpose.</w:t>
      </w:r>
    </w:p>
    <w:p>
      <w:pPr>
        <w:spacing w:after="0" w:line="3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4"/>
          <w:szCs w:val="14"/>
          <w:color w:val="auto"/>
        </w:rPr>
        <w:t>As of February 20, 2026, 170,329,158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496570</wp:posOffset>
            </wp:positionV>
            <wp:extent cx="716534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340" cy="4127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96520</wp:posOffset>
            </wp:positionV>
            <wp:extent cx="7124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406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120650</wp:posOffset>
            </wp:positionV>
            <wp:extent cx="7124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4065" cy="825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16" w:lineRule="exact"/>
        <w:rPr>
          <w:sz w:val="20"/>
          <w:szCs w:val="20"/>
          <w:color w:val="auto"/>
        </w:rPr>
      </w:pPr>
    </w:p>
    <w:p>
      <w:pPr>
        <w:ind w:firstLine="611"/>
        <w:spacing w:after="0" w:line="288" w:lineRule="auto"/>
        <w:rPr>
          <w:sz w:val="20"/>
          <w:szCs w:val="20"/>
          <w:color w:val="auto"/>
        </w:rPr>
      </w:pPr>
      <w:r>
        <w:rPr>
          <w:rFonts w:ascii="Times New Roman" w:cs="Times New Roman" w:eastAsia="Times New Roman" w:hAnsi="Times New Roman"/>
          <w:sz w:val="16"/>
          <w:szCs w:val="16"/>
          <w:color w:val="auto"/>
        </w:rPr>
        <w:t>Items 10, 11, 12, 13 and 14 of Part III of this annual report on Form 10-K incorporate information by reference from the registrant’s definitive proxy statement to be filed pursuant to Regulation 14A in connection with the registrant’s 2026 Annual Meeting of Stockholders or an amendment to this annual report on Form 10-K to be filed with the Securities and Exchange Commission within 120 days after the close of the fiscal year covered by this annual report on Form 10-K.</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40"/>
          </w:cols>
          <w:pgMar w:left="320" w:top="654"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80" w:type="dxa"/>
            <w:vAlign w:val="bottom"/>
            <w:gridSpan w:val="12"/>
          </w:tcPr>
          <w:p>
            <w:pPr>
              <w:jc w:val="center"/>
              <w:ind w:right="1800"/>
              <w:spacing w:after="0"/>
              <w:rPr>
                <w:sz w:val="20"/>
                <w:szCs w:val="20"/>
                <w:color w:val="auto"/>
              </w:rPr>
            </w:pPr>
            <w:r>
              <w:rPr>
                <w:rFonts w:ascii="Times New Roman" w:cs="Times New Roman" w:eastAsia="Times New Roman" w:hAnsi="Times New Roman"/>
                <w:sz w:val="17"/>
                <w:szCs w:val="17"/>
                <w:b w:val="1"/>
                <w:bCs w:val="1"/>
                <w:color w:val="auto"/>
                <w:w w:val="99"/>
              </w:rPr>
              <w:t>KRATOS DEFENSE &amp; SECURITY SOLUTIONS, INC.</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60" w:type="dxa"/>
            <w:vAlign w:val="bottom"/>
            <w:gridSpan w:val="8"/>
          </w:tcPr>
          <w:p>
            <w:pPr>
              <w:jc w:val="center"/>
              <w:ind w:right="3700"/>
              <w:spacing w:after="0"/>
              <w:rPr>
                <w:sz w:val="20"/>
                <w:szCs w:val="20"/>
                <w:color w:val="auto"/>
              </w:rPr>
            </w:pPr>
            <w:r>
              <w:rPr>
                <w:rFonts w:ascii="Times New Roman" w:cs="Times New Roman" w:eastAsia="Times New Roman" w:hAnsi="Times New Roman"/>
                <w:sz w:val="17"/>
                <w:szCs w:val="17"/>
                <w:b w:val="1"/>
                <w:bCs w:val="1"/>
                <w:color w:val="auto"/>
                <w:w w:val="99"/>
              </w:rPr>
              <w:t>FORM 10-K</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780" w:type="dxa"/>
            <w:vAlign w:val="bottom"/>
            <w:gridSpan w:val="12"/>
          </w:tcPr>
          <w:p>
            <w:pPr>
              <w:jc w:val="center"/>
              <w:ind w:right="1780"/>
              <w:spacing w:after="0"/>
              <w:rPr>
                <w:sz w:val="20"/>
                <w:szCs w:val="20"/>
                <w:color w:val="auto"/>
              </w:rPr>
            </w:pPr>
            <w:r>
              <w:rPr>
                <w:rFonts w:ascii="Times New Roman" w:cs="Times New Roman" w:eastAsia="Times New Roman" w:hAnsi="Times New Roman"/>
                <w:sz w:val="17"/>
                <w:szCs w:val="17"/>
                <w:b w:val="1"/>
                <w:bCs w:val="1"/>
                <w:color w:val="auto"/>
                <w:w w:val="99"/>
              </w:rPr>
              <w:t>FOR THE FISCAL YEAR ENDED DECEMBER 28, 2025</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gridSpan w:val="9"/>
          </w:tcPr>
          <w:p>
            <w:pPr>
              <w:jc w:val="center"/>
              <w:ind w:right="3000"/>
              <w:spacing w:after="0"/>
              <w:rPr>
                <w:sz w:val="20"/>
                <w:szCs w:val="20"/>
                <w:color w:val="auto"/>
              </w:rPr>
            </w:pPr>
            <w:r>
              <w:rPr>
                <w:rFonts w:ascii="Times New Roman" w:cs="Times New Roman" w:eastAsia="Times New Roman" w:hAnsi="Times New Roman"/>
                <w:sz w:val="17"/>
                <w:szCs w:val="17"/>
                <w:b w:val="1"/>
                <w:bCs w:val="1"/>
                <w:color w:val="auto"/>
                <w:w w:val="99"/>
              </w:rPr>
              <w:t>TABLE OF CONTENTS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0" w:type="dxa"/>
            <w:vAlign w:val="bottom"/>
          </w:tcPr>
          <w:p>
            <w:pPr>
              <w:spacing w:after="0"/>
              <w:rPr>
                <w:sz w:val="24"/>
                <w:szCs w:val="24"/>
                <w:color w:val="auto"/>
              </w:rPr>
            </w:pPr>
          </w:p>
        </w:tc>
        <w:tc>
          <w:tcPr>
            <w:tcW w:w="9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920" w:type="dxa"/>
            <w:vAlign w:val="bottom"/>
            <w:gridSpan w:val="8"/>
            <w:vMerge w:val="continue"/>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5"/>
              </w:rPr>
              <w:t>Item 1.</w:t>
            </w:r>
          </w:p>
        </w:tc>
        <w:tc>
          <w:tcPr>
            <w:tcW w:w="60" w:type="dxa"/>
            <w:vAlign w:val="bottom"/>
            <w:tcBorders>
              <w:top w:val="single" w:sz="8" w:color="0000FF"/>
            </w:tcBorders>
          </w:tcPr>
          <w:p>
            <w:pPr>
              <w:spacing w:after="0"/>
              <w:rPr>
                <w:sz w:val="17"/>
                <w:szCs w:val="17"/>
                <w:color w:val="auto"/>
              </w:rPr>
            </w:pPr>
          </w:p>
        </w:tc>
        <w:tc>
          <w:tcPr>
            <w:tcW w:w="38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872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Business</w:t>
            </w:r>
          </w:p>
        </w:tc>
        <w:tc>
          <w:tcPr>
            <w:tcW w:w="13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5"/>
              </w:rPr>
              <w:t>Item 1A.</w:t>
            </w:r>
          </w:p>
        </w:tc>
        <w:tc>
          <w:tcPr>
            <w:tcW w:w="32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860" w:type="dxa"/>
            <w:vAlign w:val="bottom"/>
            <w:gridSpan w:val="18"/>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9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Item 1B.</w:t>
            </w:r>
          </w:p>
        </w:tc>
        <w:tc>
          <w:tcPr>
            <w:tcW w:w="8960" w:type="dxa"/>
            <w:vAlign w:val="bottom"/>
            <w:gridSpan w:val="23"/>
          </w:tcPr>
          <w:p>
            <w:pPr>
              <w:ind w:left="240"/>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Item 1C.</w:t>
            </w:r>
          </w:p>
        </w:tc>
        <w:tc>
          <w:tcPr>
            <w:tcW w:w="8960" w:type="dxa"/>
            <w:vAlign w:val="bottom"/>
            <w:gridSpan w:val="23"/>
          </w:tcPr>
          <w:p>
            <w:pPr>
              <w:ind w:left="240"/>
              <w:spacing w:after="0"/>
              <w:rPr>
                <w:sz w:val="20"/>
                <w:szCs w:val="20"/>
                <w:color w:val="auto"/>
              </w:rPr>
            </w:pPr>
            <w:r>
              <w:rPr>
                <w:rFonts w:ascii="Times New Roman" w:cs="Times New Roman" w:eastAsia="Times New Roman" w:hAnsi="Times New Roman"/>
                <w:sz w:val="17"/>
                <w:szCs w:val="17"/>
                <w:color w:val="0000FF"/>
              </w:rPr>
              <w:t>Cybersecurity</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5"/>
              </w:rPr>
              <w:t>Item 2.</w:t>
            </w:r>
          </w:p>
        </w:tc>
        <w:tc>
          <w:tcPr>
            <w:tcW w:w="80" w:type="dxa"/>
            <w:vAlign w:val="bottom"/>
            <w:tcBorders>
              <w:top w:val="single" w:sz="8" w:color="0000FF"/>
            </w:tcBorders>
            <w:gridSpan w:val="2"/>
          </w:tcPr>
          <w:p>
            <w:pPr>
              <w:spacing w:after="0"/>
              <w:rPr>
                <w:sz w:val="17"/>
                <w:szCs w:val="17"/>
                <w:color w:val="auto"/>
              </w:rPr>
            </w:pPr>
          </w:p>
        </w:tc>
        <w:tc>
          <w:tcPr>
            <w:tcW w:w="3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Properties</w:t>
            </w:r>
          </w:p>
        </w:tc>
        <w:tc>
          <w:tcPr>
            <w:tcW w:w="260" w:type="dxa"/>
            <w:vAlign w:val="bottom"/>
            <w:tcBorders>
              <w:top w:val="single" w:sz="8" w:color="0000FF"/>
            </w:tcBorders>
            <w:gridSpan w:val="2"/>
          </w:tcPr>
          <w:p>
            <w:pPr>
              <w:spacing w:after="0"/>
              <w:rPr>
                <w:sz w:val="17"/>
                <w:szCs w:val="17"/>
                <w:color w:val="auto"/>
              </w:rPr>
            </w:pPr>
          </w:p>
        </w:tc>
        <w:tc>
          <w:tcPr>
            <w:tcW w:w="7760" w:type="dxa"/>
            <w:vAlign w:val="bottom"/>
            <w:gridSpan w:val="17"/>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3.</w:t>
            </w:r>
          </w:p>
        </w:tc>
        <w:tc>
          <w:tcPr>
            <w:tcW w:w="3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872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5"/>
              </w:rPr>
              <w:t>Item 4.</w:t>
            </w:r>
          </w:p>
        </w:tc>
        <w:tc>
          <w:tcPr>
            <w:tcW w:w="80" w:type="dxa"/>
            <w:vAlign w:val="bottom"/>
            <w:gridSpan w:val="2"/>
          </w:tcPr>
          <w:p>
            <w:pPr>
              <w:spacing w:after="0"/>
              <w:rPr>
                <w:sz w:val="17"/>
                <w:szCs w:val="17"/>
                <w:color w:val="auto"/>
              </w:rPr>
            </w:pPr>
          </w:p>
        </w:tc>
        <w:tc>
          <w:tcPr>
            <w:tcW w:w="3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Mine Safety Disclosures</w:t>
            </w:r>
          </w:p>
        </w:tc>
        <w:tc>
          <w:tcPr>
            <w:tcW w:w="7040" w:type="dxa"/>
            <w:vAlign w:val="bottom"/>
            <w:gridSpan w:val="14"/>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b w:val="1"/>
                <w:bCs w:val="1"/>
                <w:color w:val="0000FF"/>
                <w:w w:val="94"/>
              </w:rPr>
              <w:t>PART II</w:t>
            </w:r>
          </w:p>
        </w:tc>
        <w:tc>
          <w:tcPr>
            <w:tcW w:w="30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5"/>
              </w:rPr>
              <w:t>Item 5.</w:t>
            </w:r>
          </w:p>
        </w:tc>
        <w:tc>
          <w:tcPr>
            <w:tcW w:w="44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76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w w:val="99"/>
              </w:rPr>
              <w:t>Market for Registrant’s Common Equity, Related Stockholder Matters and Issuer Purchases of Equity Securities</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5"/>
              </w:rPr>
              <w:t>Item 6.</w:t>
            </w:r>
          </w:p>
        </w:tc>
        <w:tc>
          <w:tcPr>
            <w:tcW w:w="44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7"/>
              </w:rPr>
              <w:t>Reserved</w:t>
            </w:r>
          </w:p>
        </w:tc>
        <w:tc>
          <w:tcPr>
            <w:tcW w:w="8080" w:type="dxa"/>
            <w:vAlign w:val="bottom"/>
            <w:gridSpan w:val="20"/>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5"/>
              </w:rPr>
              <w:t>Item 7.</w:t>
            </w:r>
          </w:p>
        </w:tc>
        <w:tc>
          <w:tcPr>
            <w:tcW w:w="44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6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w w:val="99"/>
              </w:rPr>
              <w:t>Management’s Discussion and Analysis of Financial Condition and Results of Operations</w:t>
            </w:r>
          </w:p>
        </w:tc>
        <w:tc>
          <w:tcPr>
            <w:tcW w:w="262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5"/>
              </w:rPr>
              <w:t>Item 7A.</w:t>
            </w:r>
          </w:p>
        </w:tc>
        <w:tc>
          <w:tcPr>
            <w:tcW w:w="32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w w:val="99"/>
              </w:rPr>
              <w:t>Quantitative and Qualitative Disclosures About Market Risk</w:t>
            </w:r>
          </w:p>
        </w:tc>
        <w:tc>
          <w:tcPr>
            <w:tcW w:w="460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8.</w:t>
            </w:r>
          </w:p>
        </w:tc>
        <w:tc>
          <w:tcPr>
            <w:tcW w:w="44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872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5"/>
              </w:rPr>
              <w:t>Item 9.</w:t>
            </w:r>
          </w:p>
        </w:tc>
        <w:tc>
          <w:tcPr>
            <w:tcW w:w="44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61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w w:val="99"/>
              </w:rPr>
              <w:t>Changes in and Disagreements with Accountants on Accounting and Financial Disclosure</w:t>
            </w:r>
          </w:p>
        </w:tc>
        <w:tc>
          <w:tcPr>
            <w:tcW w:w="260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5"/>
              </w:rPr>
              <w:t>Item 9A.</w:t>
            </w:r>
          </w:p>
        </w:tc>
        <w:tc>
          <w:tcPr>
            <w:tcW w:w="32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Controls and Procedures</w:t>
            </w:r>
          </w:p>
        </w:tc>
        <w:tc>
          <w:tcPr>
            <w:tcW w:w="7040" w:type="dxa"/>
            <w:vAlign w:val="bottom"/>
            <w:gridSpan w:val="14"/>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9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Item 9B.</w:t>
            </w:r>
          </w:p>
        </w:tc>
        <w:tc>
          <w:tcPr>
            <w:tcW w:w="8960" w:type="dxa"/>
            <w:vAlign w:val="bottom"/>
            <w:gridSpan w:val="23"/>
          </w:tcPr>
          <w:p>
            <w:pPr>
              <w:ind w:left="240"/>
              <w:spacing w:after="0"/>
              <w:rPr>
                <w:sz w:val="20"/>
                <w:szCs w:val="20"/>
                <w:color w:val="auto"/>
              </w:rPr>
            </w:pPr>
            <w:r>
              <w:rPr>
                <w:rFonts w:ascii="Times New Roman" w:cs="Times New Roman" w:eastAsia="Times New Roman" w:hAnsi="Times New Roman"/>
                <w:sz w:val="17"/>
                <w:szCs w:val="17"/>
                <w:color w:val="0000FF"/>
              </w:rPr>
              <w:t>Other Information</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Item 9C.</w:t>
            </w:r>
          </w:p>
        </w:tc>
        <w:tc>
          <w:tcPr>
            <w:tcW w:w="8960" w:type="dxa"/>
            <w:vAlign w:val="bottom"/>
            <w:gridSpan w:val="23"/>
          </w:tcPr>
          <w:p>
            <w:pPr>
              <w:ind w:left="240"/>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b w:val="1"/>
                <w:bCs w:val="1"/>
                <w:color w:val="0000FF"/>
                <w:w w:val="93"/>
              </w:rPr>
              <w:t>PART III</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1"/>
              </w:rPr>
              <w:t>Item 10.</w:t>
            </w:r>
          </w:p>
        </w:tc>
        <w:tc>
          <w:tcPr>
            <w:tcW w:w="3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872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1"/>
              </w:rPr>
              <w:t>Item 11.</w:t>
            </w:r>
          </w:p>
        </w:tc>
        <w:tc>
          <w:tcPr>
            <w:tcW w:w="3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4860" w:type="dxa"/>
            <w:vAlign w:val="bottom"/>
            <w:gridSpan w:val="8"/>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1"/>
              </w:rPr>
              <w:t>Item 12.</w:t>
            </w:r>
          </w:p>
        </w:tc>
        <w:tc>
          <w:tcPr>
            <w:tcW w:w="3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w w:val="99"/>
              </w:rPr>
              <w:t>Security Ownership of Certain Beneficial Owners and Management and Related Stockholder Matters</w:t>
            </w:r>
          </w:p>
        </w:tc>
        <w:tc>
          <w:tcPr>
            <w:tcW w:w="18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13.</w:t>
            </w:r>
          </w:p>
        </w:tc>
        <w:tc>
          <w:tcPr>
            <w:tcW w:w="2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72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1"/>
              </w:rPr>
              <w:t>Item 14.</w:t>
            </w:r>
          </w:p>
        </w:tc>
        <w:tc>
          <w:tcPr>
            <w:tcW w:w="100" w:type="dxa"/>
            <w:vAlign w:val="bottom"/>
            <w:tcBorders>
              <w:top w:val="single" w:sz="8" w:color="0000FF"/>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9"/>
              </w:rPr>
              <w:t>Principal Accountant Fees and Services</w:t>
            </w:r>
          </w:p>
        </w:tc>
        <w:tc>
          <w:tcPr>
            <w:tcW w:w="2440" w:type="dxa"/>
            <w:vAlign w:val="bottom"/>
            <w:tcBorders>
              <w:top w:val="single" w:sz="8" w:color="0000FF"/>
            </w:tcBorders>
            <w:gridSpan w:val="6"/>
          </w:tcPr>
          <w:p>
            <w:pPr>
              <w:spacing w:after="0"/>
              <w:rPr>
                <w:sz w:val="17"/>
                <w:szCs w:val="17"/>
                <w:color w:val="auto"/>
              </w:rPr>
            </w:pPr>
          </w:p>
        </w:tc>
        <w:tc>
          <w:tcPr>
            <w:tcW w:w="358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92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1"/>
              </w:rPr>
              <w:t>Item 15.</w:t>
            </w:r>
          </w:p>
        </w:tc>
        <w:tc>
          <w:tcPr>
            <w:tcW w:w="100" w:type="dxa"/>
            <w:vAlign w:val="bottom"/>
            <w:tcBorders>
              <w:top w:val="single" w:sz="8" w:color="0000FF"/>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72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1"/>
              </w:rPr>
              <w:t>Item 16.</w:t>
            </w:r>
          </w:p>
        </w:tc>
        <w:tc>
          <w:tcPr>
            <w:tcW w:w="3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5740" w:type="dxa"/>
            <w:vAlign w:val="bottom"/>
            <w:gridSpan w:val="10"/>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0"/>
        </w:trPr>
        <w:tc>
          <w:tcPr>
            <w:tcW w:w="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Borders>
              <w:top w:val="single" w:sz="8" w:color="0000FF"/>
            </w:tcBorders>
            <w:gridSpan w:val="7"/>
          </w:tcPr>
          <w:p>
            <w:pPr>
              <w:spacing w:after="0"/>
              <w:rPr>
                <w:sz w:val="24"/>
                <w:szCs w:val="24"/>
                <w:color w:val="auto"/>
              </w:rPr>
            </w:pPr>
          </w:p>
        </w:tc>
        <w:tc>
          <w:tcPr>
            <w:tcW w:w="3160" w:type="dxa"/>
            <w:vAlign w:val="bottom"/>
            <w:gridSpan w:val="9"/>
          </w:tcPr>
          <w:p>
            <w:pPr>
              <w:jc w:val="center"/>
              <w:ind w:left="2675"/>
              <w:spacing w:after="0"/>
              <w:rPr>
                <w:sz w:val="20"/>
                <w:szCs w:val="20"/>
                <w:color w:val="auto"/>
              </w:rPr>
            </w:pPr>
            <w:r>
              <w:rPr>
                <w:rFonts w:ascii="Times New Roman" w:cs="Times New Roman" w:eastAsia="Times New Roman" w:hAnsi="Times New Roman"/>
                <w:sz w:val="17"/>
                <w:szCs w:val="17"/>
                <w:color w:val="auto"/>
                <w:w w:val="93"/>
              </w:rPr>
              <w:t>2</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-27940</wp:posOffset>
            </wp:positionV>
            <wp:extent cx="3365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 w:name="page4"/>
    <w:bookmarkEnd w:id="3"/>
    <w:p>
      <w:pPr>
        <w:ind w:right="540" w:firstLine="611"/>
        <w:spacing w:after="0" w:line="279" w:lineRule="auto"/>
        <w:rPr>
          <w:sz w:val="20"/>
          <w:szCs w:val="20"/>
          <w:color w:val="auto"/>
        </w:rPr>
      </w:pPr>
      <w:r>
        <w:rPr>
          <w:rFonts w:ascii="Times New Roman" w:cs="Times New Roman" w:eastAsia="Times New Roman" w:hAnsi="Times New Roman"/>
          <w:sz w:val="17"/>
          <w:szCs w:val="17"/>
          <w:color w:val="auto"/>
        </w:rPr>
        <w:t>All references to “us,” “we,” “our,” the “Company” and “Kratos” refer to Kratos Defense &amp; Security Solutions, Inc., a Delaware corporation, and its subsidiaries.</w:t>
      </w:r>
    </w:p>
    <w:p>
      <w:pPr>
        <w:spacing w:after="0" w:line="118"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b w:val="1"/>
          <w:bCs w:val="1"/>
          <w:color w:val="auto"/>
        </w:rPr>
        <w:t>FORWARD</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LOOKING STATEMENTS</w:t>
      </w:r>
    </w:p>
    <w:p>
      <w:pPr>
        <w:spacing w:after="0" w:line="246" w:lineRule="exact"/>
        <w:rPr>
          <w:sz w:val="20"/>
          <w:szCs w:val="20"/>
          <w:color w:val="auto"/>
        </w:rPr>
      </w:pPr>
    </w:p>
    <w:p>
      <w:pPr>
        <w:ind w:firstLine="611"/>
        <w:spacing w:after="0" w:line="241" w:lineRule="auto"/>
        <w:rPr>
          <w:sz w:val="20"/>
          <w:szCs w:val="20"/>
          <w:color w:val="auto"/>
        </w:rPr>
      </w:pPr>
      <w:r>
        <w:rPr>
          <w:rFonts w:ascii="Times New Roman" w:cs="Times New Roman" w:eastAsia="Times New Roman" w:hAnsi="Times New Roman"/>
          <w:sz w:val="17"/>
          <w:szCs w:val="17"/>
          <w:i w:val="1"/>
          <w:iCs w:val="1"/>
          <w:color w:val="auto"/>
        </w:rPr>
        <w:t>This Annual Report on Form 10-K (this “Annual Report”) contains “forward-looking statements” relating to our future financial performance, the market for our services, our opportunities, and our expected future capital expenditures.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War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currently unforeseen risks associated with any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related to our international operations;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w:t>
      </w:r>
    </w:p>
    <w:p>
      <w:pPr>
        <w:spacing w:after="0" w:line="241" w:lineRule="exact"/>
        <w:rPr>
          <w:sz w:val="20"/>
          <w:szCs w:val="20"/>
          <w:color w:val="auto"/>
        </w:rPr>
      </w:pPr>
    </w:p>
    <w:p>
      <w:pPr>
        <w:ind w:right="240" w:firstLine="611"/>
        <w:spacing w:after="0" w:line="250" w:lineRule="auto"/>
        <w:rPr>
          <w:sz w:val="20"/>
          <w:szCs w:val="20"/>
          <w:color w:val="auto"/>
        </w:rPr>
      </w:pPr>
      <w:r>
        <w:rPr>
          <w:rFonts w:ascii="Times New Roman" w:cs="Times New Roman" w:eastAsia="Times New Roman" w:hAnsi="Times New Roman"/>
          <w:sz w:val="17"/>
          <w:szCs w:val="17"/>
          <w:i w:val="1"/>
          <w:iCs w:val="1"/>
          <w:color w:val="auto"/>
        </w:rPr>
        <w:t>Additional significant risks and uncertainties that could cause our actual results or achievements to differ materially from the results or achievements expressed in or implied by our forward-looking statements, include, but are not limited to those specifically addressed in Item 1A “Risk Factors” in this Annual Report, as well as those discussed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1" w:lineRule="exact"/>
        <w:rPr>
          <w:sz w:val="20"/>
          <w:szCs w:val="20"/>
          <w:color w:val="auto"/>
        </w:rPr>
      </w:pPr>
    </w:p>
    <w:p>
      <w:pPr>
        <w:ind w:firstLine="535"/>
        <w:spacing w:after="0" w:line="252" w:lineRule="auto"/>
        <w:rPr>
          <w:sz w:val="20"/>
          <w:szCs w:val="20"/>
          <w:color w:val="auto"/>
        </w:rPr>
      </w:pPr>
      <w:r>
        <w:rPr>
          <w:rFonts w:ascii="Times New Roman" w:cs="Times New Roman" w:eastAsia="Times New Roman" w:hAnsi="Times New Roman"/>
          <w:sz w:val="17"/>
          <w:szCs w:val="17"/>
          <w:color w:val="auto"/>
        </w:rPr>
        <w:t>Kratos is a technology, hardware, products, system and software company addressing the defense, national security, and commercial markets. Kratos makes true internally funded research, development, capital and other investments, to rapidly develop, produce and field relevant solutions that address our customers’ mission critical needs and requirements. At Kratos, affordability is a technology, and we seek to utilize proven, leading 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 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 We believe that there is a generational recapitalization of weapon systems and related defense industrial bases occurring globally, including with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4" w:name="page5"/>
    <w:bookmarkEnd w:id="4"/>
    <w:p>
      <w:pPr>
        <w:ind w:right="60"/>
        <w:spacing w:after="0" w:line="269" w:lineRule="auto"/>
        <w:rPr>
          <w:sz w:val="20"/>
          <w:szCs w:val="20"/>
          <w:color w:val="auto"/>
        </w:rPr>
      </w:pPr>
      <w:r>
        <w:rPr>
          <w:rFonts w:ascii="Times New Roman" w:cs="Times New Roman" w:eastAsia="Times New Roman" w:hAnsi="Times New Roman"/>
          <w:sz w:val="16"/>
          <w:szCs w:val="16"/>
          <w:color w:val="auto"/>
        </w:rPr>
        <w:t>United States and its allies, to address individual and potential collective peer and near peer threats, including Russia, China, North Korea and Iran. The Company currently has record levels of backlog and opportunity pipeline. The Company is currently making significant capital, property, plant, equipment and other internally funded investments to address its backlog, current opportunity pipeline, and expected and potential future program and contract awards, including from or with the Department of War, traditional legacy prime systems integrators and partners. These investments include unmanned jet powered aircraft such as Kratos Valkyrie ahead of potential contract award; a hypersonic system fabrication and integration facility including for Kratos Zeus solid rocket missiles (SRMs) and Erinyes hypersonic flight systems in Indiana; the procurement of long lead items for 60 Oriole and 60 Zeus SRM’s for ballistic missile defense related, hypersonic or other expected customer missions; relocation and expansion of our small turbojet engine production capacity in Michigan; establishment of a planned small turbofan jet engine production facility in Oklahoma; expansion of our existing microwave electronics manufacturing facility in Israel, establishment of an additional microwave electronics facility in Israel, including a space qualified facility; expansion of our machining, milling, casting, 3D printing and additive manufacturing capable facility in the United States to support our jet engine and other hardware product and system manufacturing requirements; establishment of a new facility related to the Sentinel intercontinental ballistic missile (ICBM) program; expansion of our unmanned jet drone manufacturing capability; and expansion of existing and construction of additional classified facilities for certain programs and contracts. Investments related to the Company’s Prometheus venture with Rafael and the new turbofan production facility in Oklahoma related to our arrangement with GE Aerospace are expected to begin to ramp up during 2026.</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We were incorporated in the state of New York on December 19, 1994 and began operations in March 1995. We reincorporated in the state of Delaware in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1998.</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Update</w:t>
      </w:r>
    </w:p>
    <w:p>
      <w:pPr>
        <w:spacing w:after="0" w:line="216" w:lineRule="exact"/>
        <w:rPr>
          <w:sz w:val="20"/>
          <w:szCs w:val="20"/>
          <w:color w:val="auto"/>
        </w:rPr>
      </w:pPr>
    </w:p>
    <w:p>
      <w:pPr>
        <w:ind w:right="120" w:firstLine="535"/>
        <w:spacing w:after="0" w:line="255" w:lineRule="auto"/>
        <w:rPr>
          <w:sz w:val="20"/>
          <w:szCs w:val="20"/>
          <w:color w:val="auto"/>
        </w:rPr>
      </w:pPr>
      <w:r>
        <w:rPr>
          <w:rFonts w:ascii="Times New Roman" w:cs="Times New Roman" w:eastAsia="Times New Roman" w:hAnsi="Times New Roman"/>
          <w:sz w:val="17"/>
          <w:szCs w:val="17"/>
          <w:color w:val="auto"/>
        </w:rPr>
        <w:t>On November 5, 2024, the U.S. Presidential and Congressional elections occurred, with Donald Trump being elected President of the United States, and the Republican party controlling both the U.S. Senate and the U.S. House of Representatives. On March 14, 2025 the Senate voted to pass the “Full-Year Continuing Appropriations and Extensions Act of 2025” (H.R. 1968) to further extend appropriations and avert a government shutdown through the end of the federal government’s fiscal year 2025 on September 30, 2025. This continuing resolution (“CRA”) largely extended fiscal year 2024 spending levels, including certain limited flexibility to reallocate certain program funds, and, according to the Congressional Budget Office, would allow for $1.6 trillion in discretionary spending in the federal government’s fiscal year 2025, with $893 billion for defense (an approximately $6 billion increase) and $708 billion for non-defense spending (an approximately $13 billion reduction).</w:t>
      </w:r>
    </w:p>
    <w:p>
      <w:pPr>
        <w:spacing w:after="0" w:line="202" w:lineRule="exact"/>
        <w:rPr>
          <w:sz w:val="20"/>
          <w:szCs w:val="20"/>
          <w:color w:val="auto"/>
        </w:rPr>
      </w:pPr>
    </w:p>
    <w:p>
      <w:pPr>
        <w:ind w:right="60" w:firstLine="535"/>
        <w:spacing w:after="0" w:line="257"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This reconciliation bill appropriated an additional $156 billion for defense spending and national security priorities and is expected to result in increased investment by the DoW in defense modernization projects and increasing weapons and armaments production capacity. Approximately $113 billion of the $156 billion in OBBBA funding for defense and national security priorities is intended to be added to the final 2026 defense appropriations Bill (see below) The appropriated funds will remain available to be obligated until September 30, 2029 and can be expended through 2035.</w:t>
      </w:r>
    </w:p>
    <w:p>
      <w:pPr>
        <w:spacing w:after="0" w:line="201" w:lineRule="exact"/>
        <w:rPr>
          <w:sz w:val="20"/>
          <w:szCs w:val="20"/>
          <w:color w:val="auto"/>
        </w:rPr>
      </w:pPr>
    </w:p>
    <w:p>
      <w:pPr>
        <w:ind w:right="160" w:firstLine="535"/>
        <w:spacing w:after="0" w:line="279" w:lineRule="auto"/>
        <w:rPr>
          <w:sz w:val="20"/>
          <w:szCs w:val="20"/>
          <w:color w:val="auto"/>
        </w:rPr>
      </w:pPr>
      <w:r>
        <w:rPr>
          <w:rFonts w:ascii="Times New Roman" w:cs="Times New Roman" w:eastAsia="Times New Roman" w:hAnsi="Times New Roman"/>
          <w:sz w:val="17"/>
          <w:szCs w:val="17"/>
          <w:color w:val="auto"/>
        </w:rPr>
        <w:t>The federal government’s 2026 fiscal year began on October 1, 2025, without the passage of Appropriation Acts or a CRA, resulting in a U.S. Government shutdown. On November 9, 2025, a stopgap spending measure was enacted, which expired on January 30, 2026.</w:t>
      </w:r>
    </w:p>
    <w:p>
      <w:pPr>
        <w:spacing w:after="0" w:line="182" w:lineRule="exact"/>
        <w:rPr>
          <w:sz w:val="20"/>
          <w:szCs w:val="20"/>
          <w:color w:val="auto"/>
        </w:rPr>
      </w:pPr>
    </w:p>
    <w:p>
      <w:pPr>
        <w:ind w:right="200" w:firstLine="535"/>
        <w:spacing w:after="0" w:line="257" w:lineRule="auto"/>
        <w:rPr>
          <w:sz w:val="20"/>
          <w:szCs w:val="20"/>
          <w:color w:val="auto"/>
        </w:rPr>
      </w:pPr>
      <w:r>
        <w:rPr>
          <w:rFonts w:ascii="Times New Roman" w:cs="Times New Roman" w:eastAsia="Times New Roman" w:hAnsi="Times New Roman"/>
          <w:sz w:val="17"/>
          <w:szCs w:val="17"/>
          <w:color w:val="auto"/>
        </w:rPr>
        <w:t>On February 3, 2026 President Trump signed the Consolidated Appropriations Act, 2026 (H.R. 7148) a $1.2 trillion funding package, that ended a brief government shutdown that began on February 1, 2026. This law provides funding for most federal agencies, including the DoW, through September 30, 2026. The funding bill includes $838.7 billion in defense appropriations for the DoW. This $838.7 billion, plus the approximate $113 billion included in the OBBBA noted above, and including approximately $45 billion in Department of Energy National Security related funds, brings the total U.S. Federal Fiscal Year 2026 National Security spend to approximately $1 trillion.</w:t>
      </w:r>
    </w:p>
    <w:p>
      <w:pPr>
        <w:spacing w:after="0" w:line="201" w:lineRule="exact"/>
        <w:rPr>
          <w:sz w:val="20"/>
          <w:szCs w:val="20"/>
          <w:color w:val="auto"/>
        </w:rPr>
      </w:pPr>
    </w:p>
    <w:p>
      <w:pPr>
        <w:ind w:firstLine="535"/>
        <w:spacing w:after="0" w:line="255" w:lineRule="auto"/>
        <w:rPr>
          <w:sz w:val="20"/>
          <w:szCs w:val="20"/>
          <w:color w:val="auto"/>
        </w:rPr>
      </w:pPr>
      <w:r>
        <w:rPr>
          <w:rFonts w:ascii="Times New Roman" w:cs="Times New Roman" w:eastAsia="Times New Roman" w:hAnsi="Times New Roman"/>
          <w:sz w:val="17"/>
          <w:szCs w:val="17"/>
          <w:color w:val="auto"/>
        </w:rPr>
        <w:t>The potential challenges presented by the recent U.S. Government shutdown, Presidential and Congressional changes, proposed new tariffs, the current budgetary and deficit funding environment, the Trump Administration’s stated fiscal policies, Israel, Ukraine, Venezuela and Taiwan funding support, potential heightened levels of inflation, ongoing supply chain disruption, and the challenging appropriations process, among other items, all continue to potentially create significant short and long-term risks to the industry and the Company. Additionally, the Trump Administration has recently executed certain executive orders directly related to significantly changing the current DoW procurement policies and procedures, and the Federal Acquisition Regulations, the potential impact of which such changes, if effected either by executive orders or changes to the relevant law, to the industry, and to Kratos, is unknown at this time.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5" w:name="page6"/>
    <w:bookmarkEnd w:id="5"/>
    <w:p>
      <w:pPr>
        <w:ind w:right="100" w:firstLine="535"/>
        <w:spacing w:after="0" w:line="255" w:lineRule="auto"/>
        <w:rPr>
          <w:sz w:val="20"/>
          <w:szCs w:val="20"/>
          <w:color w:val="auto"/>
        </w:rPr>
      </w:pPr>
      <w:r>
        <w:rPr>
          <w:rFonts w:ascii="Times New Roman" w:cs="Times New Roman" w:eastAsia="Times New Roman" w:hAnsi="Times New Roman"/>
          <w:sz w:val="17"/>
          <w:szCs w:val="17"/>
          <w:color w:val="auto"/>
        </w:rPr>
        <w:t>We believe continued budget and deficit funding pressures (which are expected), CRAs (which are also expected), future Federal Government debt ceiling issues, or current and potential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possible that budget and program decisions made in such an uncertain environment would have long-term implications for our Company and the entire defense industry. Additionally, funding for certain programs, including those in which we currently participate or are pursuing, may be reduced, delayed or cancelled, and budget uncertainty or funding cuts globally could adversely affect the viability of our customers, partners, teammates, subcontractors, suppliers, and our employee base.</w:t>
      </w:r>
    </w:p>
    <w:p>
      <w:pPr>
        <w:spacing w:after="0" w:line="202" w:lineRule="exact"/>
        <w:rPr>
          <w:sz w:val="20"/>
          <w:szCs w:val="20"/>
          <w:color w:val="auto"/>
        </w:rPr>
      </w:pPr>
    </w:p>
    <w:p>
      <w:pPr>
        <w:ind w:right="220" w:firstLine="535"/>
        <w:spacing w:after="0" w:line="279" w:lineRule="auto"/>
        <w:rPr>
          <w:sz w:val="20"/>
          <w:szCs w:val="20"/>
          <w:color w:val="auto"/>
        </w:rPr>
      </w:pPr>
      <w:r>
        <w:rPr>
          <w:rFonts w:ascii="Times New Roman" w:cs="Times New Roman" w:eastAsia="Times New Roman" w:hAnsi="Times New Roman"/>
          <w:sz w:val="17"/>
          <w:szCs w:val="17"/>
          <w:color w:val="auto"/>
        </w:rPr>
        <w:t>Such a dynamic and challenging federal and DoW budgetary environment may negatively impact our customers, business and programs, and could have a material adverse effect on our forecasts, estimates, financial position, results of operations and/or cash flows.</w:t>
      </w:r>
    </w:p>
    <w:p>
      <w:pPr>
        <w:spacing w:after="0" w:line="182" w:lineRule="exact"/>
        <w:rPr>
          <w:sz w:val="20"/>
          <w:szCs w:val="20"/>
          <w:color w:val="auto"/>
        </w:rPr>
      </w:pPr>
    </w:p>
    <w:p>
      <w:pPr>
        <w:ind w:firstLine="535"/>
        <w:spacing w:after="0" w:line="255" w:lineRule="auto"/>
        <w:rPr>
          <w:sz w:val="20"/>
          <w:szCs w:val="20"/>
          <w:color w:val="auto"/>
        </w:rPr>
      </w:pPr>
      <w:r>
        <w:rPr>
          <w:rFonts w:ascii="Times New Roman" w:cs="Times New Roman" w:eastAsia="Times New Roman" w:hAnsi="Times New Roman"/>
          <w:sz w:val="17"/>
          <w:szCs w:val="17"/>
          <w:color w:val="auto"/>
        </w:rPr>
        <w:t>We also continue to be affected by various unfavorable macroeconomic conditions including adverse supply chain disruptions that continue throughout the industry and for us, and related delays in the receipt and delivery of materials, parts, supplies, etc., which in certain instances and for certain items is significant. To mitigate the impact of these delays, we have implemented advanced and larger lot purchases of certain materials and parts which has resulted in an increased use of our working capital, which is expected to continue. In addition, inflation and the related increased costs of inputs needed to execute our business, including materials, parts, supplies, consultants, subcontractors, vendors, etc., have significantly increased our business costs and have adversely impacted our operations, profit margins and financial forecasts.</w:t>
      </w:r>
    </w:p>
    <w:p>
      <w:pPr>
        <w:spacing w:after="0" w:line="205" w:lineRule="exact"/>
        <w:rPr>
          <w:sz w:val="20"/>
          <w:szCs w:val="20"/>
          <w:color w:val="auto"/>
        </w:rPr>
      </w:pPr>
    </w:p>
    <w:p>
      <w:pPr>
        <w:ind w:right="40" w:firstLine="535"/>
        <w:spacing w:after="0" w:line="255" w:lineRule="auto"/>
        <w:rPr>
          <w:sz w:val="20"/>
          <w:szCs w:val="20"/>
          <w:color w:val="auto"/>
        </w:rPr>
      </w:pPr>
      <w:r>
        <w:rPr>
          <w:rFonts w:ascii="Times New Roman" w:cs="Times New Roman" w:eastAsia="Times New Roman" w:hAnsi="Times New Roman"/>
          <w:sz w:val="17"/>
          <w:szCs w:val="17"/>
          <w:color w:val="auto"/>
        </w:rPr>
        <w:t>Also, an industry wide shortage of qualified labor, and the cost of that labor for the Company and its labor base is a significant operational challenge. The cost of labor has increased significantly and current challenges in hiring, obtaining and retaining employees, including those employees requiring National Security clearances, is adversely impacting Kratos’ ability to execute its business. The challenge of retaining skilled experienced production personnel has continued to negatively impact our operating margins, especially on our longer-term firm fixed-priced production contracts. There is also a significant industry wide labor shortage, including in the Science, Technology, Engineering, and Math (STEM) discipline areas, and also including employees willing and/or able to obtain National Security clearances, and for high level manufacturing and production disciplines.</w:t>
      </w:r>
    </w:p>
    <w:p>
      <w:pPr>
        <w:spacing w:after="0" w:line="205" w:lineRule="exact"/>
        <w:rPr>
          <w:sz w:val="20"/>
          <w:szCs w:val="20"/>
          <w:color w:val="auto"/>
        </w:rPr>
      </w:pPr>
    </w:p>
    <w:p>
      <w:pPr>
        <w:ind w:firstLine="535"/>
        <w:spacing w:after="0" w:line="255" w:lineRule="auto"/>
        <w:rPr>
          <w:sz w:val="20"/>
          <w:szCs w:val="20"/>
          <w:color w:val="auto"/>
        </w:rPr>
      </w:pPr>
      <w:r>
        <w:rPr>
          <w:rFonts w:ascii="Times New Roman" w:cs="Times New Roman" w:eastAsia="Times New Roman" w:hAnsi="Times New Roman"/>
          <w:sz w:val="17"/>
          <w:szCs w:val="17"/>
          <w:color w:val="auto"/>
        </w:rPr>
        <w:t>We believe that our business is well-positioned, including in areas that the Trump Administration, the DoW, and national security related and other customers currently indicate are priorities for future defense spending. As noted above, we believe that there is a generational recapitalization of weapon systems and the defense industrial base occurring with the U.S. and its allies to address peer and near peer threats, including Russia, China, North Korea and Iran. We believe that the Company’s positioning as a proven provider of military grade hardware, products, systems and software to address these threats for and with our customers and partners is recognized in the industry. We believe that the Company’s military grade hardware, software and solution offerings, including jet unmanned aerial drones, rocket and hypersonic systems, C5ISR and air defense systems, jet engine and propulsion systems for missiles, drones, hypersonic and supersonic vehicles, microwave electronics for missile, radar and air defense systems and training systems, address mission critical priority areas of the DoW.</w:t>
      </w:r>
    </w:p>
    <w:p>
      <w:pPr>
        <w:spacing w:after="0" w:line="202" w:lineRule="exact"/>
        <w:rPr>
          <w:sz w:val="20"/>
          <w:szCs w:val="20"/>
          <w:color w:val="auto"/>
        </w:rPr>
      </w:pPr>
    </w:p>
    <w:p>
      <w:pPr>
        <w:jc w:val="both"/>
        <w:ind w:right="160" w:firstLine="535"/>
        <w:spacing w:after="0" w:line="264" w:lineRule="auto"/>
        <w:rPr>
          <w:sz w:val="20"/>
          <w:szCs w:val="20"/>
          <w:color w:val="auto"/>
        </w:rPr>
      </w:pPr>
      <w:r>
        <w:rPr>
          <w:rFonts w:ascii="Times New Roman" w:cs="Times New Roman" w:eastAsia="Times New Roman" w:hAnsi="Times New Roman"/>
          <w:sz w:val="17"/>
          <w:szCs w:val="17"/>
          <w:color w:val="auto"/>
        </w:rPr>
        <w:t>Our Consolidated Financial Statements and Management’s Discussion and Analysis of Financial Condition and Results of Operations reflect estimates and assumptions made by management as of December 28, 2025. Events and changes in circumstances arising after December 28, 2025, including those resulting from the continuing impacts of the current unfavorable macroeconomic climate, will be reflected in management’s estimates for future periods.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Reporting Segments</w:t>
      </w:r>
    </w:p>
    <w:p>
      <w:pPr>
        <w:spacing w:after="0" w:line="216" w:lineRule="exact"/>
        <w:rPr>
          <w:sz w:val="20"/>
          <w:szCs w:val="20"/>
          <w:color w:val="auto"/>
        </w:rPr>
      </w:pPr>
    </w:p>
    <w:p>
      <w:pPr>
        <w:ind w:right="180" w:firstLine="611"/>
        <w:spacing w:after="0" w:line="257" w:lineRule="auto"/>
        <w:rPr>
          <w:sz w:val="20"/>
          <w:szCs w:val="20"/>
          <w:color w:val="auto"/>
        </w:rPr>
      </w:pPr>
      <w:r>
        <w:rPr>
          <w:rFonts w:ascii="Times New Roman" w:cs="Times New Roman" w:eastAsia="Times New Roman" w:hAnsi="Times New Roman"/>
          <w:sz w:val="17"/>
          <w:szCs w:val="17"/>
          <w:color w:val="auto"/>
        </w:rPr>
        <w:t>The Company currently operates in two reportable segments. The Kratos Government Solutions (“KGS”) reportable segment is comprised of an aggregation of KGS operating segments, including our microwave electronics products, space, satellite and cyber, training solutions, C5ISR/modular systems, turbine technologies, and defense and rocket support services operating segments. The Unmanned Systems (“US”) reportable segment is comprised of an aggregation of US operating segments, including our unmanned aerial, unmanned ground, unmanned seaborne and command, control and communications system businesses.</w:t>
      </w:r>
    </w:p>
    <w:p>
      <w:pPr>
        <w:spacing w:after="0" w:line="201" w:lineRule="exact"/>
        <w:rPr>
          <w:sz w:val="20"/>
          <w:szCs w:val="20"/>
          <w:color w:val="auto"/>
        </w:rPr>
      </w:pPr>
    </w:p>
    <w:p>
      <w:pPr>
        <w:ind w:right="100" w:firstLine="611"/>
        <w:spacing w:after="0" w:line="259" w:lineRule="auto"/>
        <w:rPr>
          <w:sz w:val="20"/>
          <w:szCs w:val="20"/>
          <w:color w:val="auto"/>
        </w:rPr>
      </w:pPr>
      <w:r>
        <w:rPr>
          <w:rFonts w:ascii="Times New Roman" w:cs="Times New Roman" w:eastAsia="Times New Roman" w:hAnsi="Times New Roman"/>
          <w:sz w:val="17"/>
          <w:szCs w:val="17"/>
          <w:color w:val="auto"/>
        </w:rPr>
        <w:t>We organize our operating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13 of the Notes to Consolidated Financial Statements contained within this Annual</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Report. From a customer and solutions perspective, we view our business as an integrated whole, leveraging skills and assets wherever possible.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Strengths</w:t>
      </w:r>
    </w:p>
    <w:p>
      <w:pPr>
        <w:spacing w:after="0" w:line="216" w:lineRule="exact"/>
        <w:rPr>
          <w:sz w:val="20"/>
          <w:szCs w:val="20"/>
          <w:color w:val="auto"/>
        </w:rPr>
      </w:pPr>
    </w:p>
    <w:p>
      <w:pPr>
        <w:ind w:firstLine="611"/>
        <w:spacing w:after="0" w:line="259" w:lineRule="auto"/>
        <w:rPr>
          <w:sz w:val="20"/>
          <w:szCs w:val="20"/>
          <w:color w:val="auto"/>
        </w:rPr>
      </w:pPr>
      <w:r>
        <w:rPr>
          <w:rFonts w:ascii="Times New Roman" w:cs="Times New Roman" w:eastAsia="Times New Roman" w:hAnsi="Times New Roman"/>
          <w:sz w:val="17"/>
          <w:szCs w:val="17"/>
          <w:color w:val="auto"/>
        </w:rPr>
        <w:t>We believe that Kratos being a technology company, focused on affordability and the composition and experience of our Board of Directors and Executive management team, our ability to act and make decisions quickly, our culture of rapid innovation and our investments to develop and maintain intellectual property, proprietary products, and technology, are strongly aligned with certain of the highest priority spending areas of the DoW, the U.S. National Security Strategy, and the DoW’s focus on leveraging technology to defeat or deter peer and near-peer adversaries, are competitive advantages.</w:t>
      </w:r>
    </w:p>
    <w:p>
      <w:pPr>
        <w:spacing w:after="0" w:line="200" w:lineRule="exact"/>
        <w:rPr>
          <w:sz w:val="20"/>
          <w:szCs w:val="20"/>
          <w:color w:val="auto"/>
        </w:rPr>
      </w:pPr>
    </w:p>
    <w:p>
      <w:pPr>
        <w:ind w:right="20" w:firstLine="611"/>
        <w:spacing w:after="0" w:line="253" w:lineRule="auto"/>
        <w:rPr>
          <w:sz w:val="20"/>
          <w:szCs w:val="20"/>
          <w:color w:val="auto"/>
        </w:rPr>
      </w:pPr>
      <w:r>
        <w:rPr>
          <w:rFonts w:ascii="Times New Roman" w:cs="Times New Roman" w:eastAsia="Times New Roman" w:hAnsi="Times New Roman"/>
          <w:sz w:val="17"/>
          <w:szCs w:val="17"/>
          <w:color w:val="auto"/>
        </w:rPr>
        <w:t>Additionally, we believe Kratos’ strategy of being “first to market” with our hardware systems, products, technology and solutions, is also a competitive differentiator, including in certain areas as compared to the traditional defense industrial complex prime system integrators, as well as venture capital backed defense technology companies. We also believe that our proven ability to rapidly design, develop, demonstrate and field disruptive, transformative and leading technology products and systems, at an affordable cost, also differentiates us from our competitors, both traditional and new. We believe that our reputation, longstanding customer relationships, past-performance qualifications and the designed-in position of our hardware systems, technology and products into our customers’ and partners’ platforms, programs and systems, provide a unique competitive advantage and position us well for future accelerated growth. We routinely partner or team with the large traditional defense industry system integrators when certain opportunities require a significant internally funded investment that Kratos is unwilling to make, or when Kratos believes that teaming significantly increases our probability of win. A recent example of our first to market strategy is our design and development of our low-cost Erinyes, Dark Fury and other hypersonic vehicles and our Zeus solid rocket motors, which have recently had several successful missions.</w:t>
      </w:r>
    </w:p>
    <w:p>
      <w:pPr>
        <w:spacing w:after="0" w:line="202" w:lineRule="exact"/>
        <w:rPr>
          <w:sz w:val="20"/>
          <w:szCs w:val="20"/>
          <w:color w:val="auto"/>
        </w:rPr>
      </w:pPr>
    </w:p>
    <w:p>
      <w:pPr>
        <w:ind w:right="40" w:firstLine="611"/>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Kratos’ specialized National Security focus is aligned with mission-critical National Security priorities. </w:t>
      </w:r>
      <w:r>
        <w:rPr>
          <w:rFonts w:ascii="Times New Roman" w:cs="Times New Roman" w:eastAsia="Times New Roman" w:hAnsi="Times New Roman"/>
          <w:sz w:val="17"/>
          <w:szCs w:val="17"/>
          <w:color w:val="auto"/>
        </w:rPr>
        <w:t>Continued and increased concerns related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threats posed by certain foreign nations, including nations with peer or near peer capabilities, have caused the U.S. Government to identify National Security as an area of enhanced functional and spending priority. Budget pressures, particularly related to DoW spending, have placed a premium on rapidly developing and fielding low-cost, high-technology hardware, systems and solutions, that can be fielded in quantities, i.e. affordable mass, to address National Security requirements. While budget pressures routinely cause delays in contracts or orders for our business, the global threat environment and current budget projections suggest that future years defense spending will continue to be significant, including to address the increasing threats to the United States and its allies. The outlook for defense spending is primarily focused on deterring and defeating our adversaries, power projection, warfighting readiness, lethality, and recapitalization of key strategic defense systems to address peer and near peer threats. We believe that Kratos’ primary capabilities and areas of focus, certain ones which are listed below, are aligned with the objectives of the U.S. Government including those outlined in the 2022 National Defense Strategy document:</w:t>
      </w:r>
    </w:p>
    <w:p>
      <w:pPr>
        <w:spacing w:after="0" w:line="205" w:lineRule="exact"/>
        <w:rPr>
          <w:sz w:val="20"/>
          <w:szCs w:val="20"/>
          <w:color w:val="auto"/>
        </w:rPr>
      </w:pPr>
    </w:p>
    <w:p>
      <w:pPr>
        <w:ind w:left="600" w:hanging="29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Unmanned aerial drones, unmanned ground and unmanned seaborne systems and related autonomy and artificial intelligence.</w:t>
      </w:r>
    </w:p>
    <w:p>
      <w:pPr>
        <w:spacing w:after="0" w:line="46"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Satellite communications, C2, TT&amp;C and Space Domain Awareness capabilities and technology.</w:t>
      </w:r>
    </w:p>
    <w:p>
      <w:pPr>
        <w:spacing w:after="0" w:line="33"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Microwave electronics, including in support of air defense, missile, radar, space, satellite and communication systems.</w:t>
      </w:r>
    </w:p>
    <w:p>
      <w:pPr>
        <w:spacing w:after="0" w:line="46"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Electronic warfare, attack, missile, and radar systems.</w:t>
      </w:r>
    </w:p>
    <w:p>
      <w:pPr>
        <w:spacing w:after="0" w:line="46"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Intelligence, surveillance and reconnaissance technology, platforms solutions and systems.</w:t>
      </w:r>
    </w:p>
    <w:p>
      <w:pPr>
        <w:spacing w:after="0" w:line="33"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Ballistic missile defense, hypersonic and other “High Performance” type systems.</w:t>
      </w:r>
    </w:p>
    <w:p>
      <w:pPr>
        <w:spacing w:after="0" w:line="46"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C5ISR systems, including Air Defense, Strategic Deterrence Systems and support of the “Strategic Triad”.</w:t>
      </w:r>
    </w:p>
    <w:p>
      <w:pPr>
        <w:spacing w:after="0" w:line="46"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and information assurance.</w:t>
      </w:r>
    </w:p>
    <w:p>
      <w:pPr>
        <w:spacing w:after="0" w:line="33"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Specialized training and operational readiness systems and solutions.</w:t>
      </w:r>
    </w:p>
    <w:p>
      <w:pPr>
        <w:spacing w:after="0" w:line="46"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Jet engines for drones, missiles and loitering munitions.</w:t>
      </w:r>
    </w:p>
    <w:p>
      <w:pPr>
        <w:spacing w:after="0" w:line="46"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Rocket engines, SRM’s and propulsion systems for hypersonic, space and other systems.</w:t>
      </w:r>
    </w:p>
    <w:p>
      <w:pPr>
        <w:spacing w:after="0" w:line="297" w:lineRule="exact"/>
        <w:rPr>
          <w:sz w:val="20"/>
          <w:szCs w:val="20"/>
          <w:color w:val="auto"/>
        </w:rPr>
      </w:pPr>
    </w:p>
    <w:p>
      <w:pPr>
        <w:ind w:firstLine="611"/>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IP-centric technology company with proprietary products, technology and systems which address critical current and emerging threats faced by U.S. and allied militaries. </w:t>
      </w:r>
      <w:r>
        <w:rPr>
          <w:rFonts w:ascii="Times New Roman" w:cs="Times New Roman" w:eastAsia="Times New Roman" w:hAnsi="Times New Roman"/>
          <w:sz w:val="17"/>
          <w:szCs w:val="17"/>
          <w:color w:val="auto"/>
        </w:rPr>
        <w:t>As a technology-focused company at the forefront of the DoW’s strategy for technology rich, transformative, disruptive and affordable systems,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current and growing portfolio of proprietary systems, products, solutions, and related intellectual property addresses certain of the most critical mission needs and requirements of U.S. and allied militaries. At Kratos, affordability is a technology, a core competency and a focus that we believe is disruptive and brings an important value proposition to our customers and partners. Kratos business focus areas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7" w:name="page8"/>
    <w:bookmarkEnd w:id="7"/>
    <w:p>
      <w:pPr>
        <w:ind w:right="40"/>
        <w:spacing w:after="0" w:line="279" w:lineRule="auto"/>
        <w:rPr>
          <w:sz w:val="20"/>
          <w:szCs w:val="20"/>
          <w:color w:val="auto"/>
        </w:rPr>
      </w:pPr>
      <w:r>
        <w:rPr>
          <w:rFonts w:ascii="Times New Roman" w:cs="Times New Roman" w:eastAsia="Times New Roman" w:hAnsi="Times New Roman"/>
          <w:sz w:val="17"/>
          <w:szCs w:val="17"/>
          <w:color w:val="auto"/>
        </w:rPr>
        <w:t>include: unmanned systems, space and satellite communications, microwave electronics, cybersecurity/warfare, missile defense, hypersonic systems, C5ISR, turbine technologies, jet and rocket engines and training systems.</w:t>
      </w:r>
    </w:p>
    <w:p>
      <w:pPr>
        <w:spacing w:after="0" w:line="178" w:lineRule="exact"/>
        <w:rPr>
          <w:sz w:val="20"/>
          <w:szCs w:val="20"/>
          <w:color w:val="auto"/>
        </w:rPr>
      </w:pPr>
    </w:p>
    <w:p>
      <w:pPr>
        <w:ind w:firstLine="611"/>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Technology-driven company aligned with and supporting our customers’ increased innovation, technology, and strategic National Security initiatives, with focus on speed and affordability. </w:t>
      </w:r>
      <w:r>
        <w:rPr>
          <w:rFonts w:ascii="Times New Roman" w:cs="Times New Roman" w:eastAsia="Times New Roman" w:hAnsi="Times New Roman"/>
          <w:sz w:val="17"/>
          <w:szCs w:val="17"/>
          <w:color w:val="auto"/>
        </w:rPr>
        <w:t>As the DoW works to increase, maintain or achieve a technological advantage over adversaries, it has continued its efforts to create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breakthrough technologies for National Security and related commercial markets, accelerate innovation to the warfighter and repurpose current capabilities to create cost-effective, disruptive technology advances that result in rapidly fielded systems and products in quantity. With our focus on delivering proven leading edge systems, products and technologies that address the most critical current and emerging threats, our customers include some of the most technologically advanced organizations of the defense and National Security establishment, including the U.S. Air Force (USAF), the U.S. Navy (USN), the U.S. Army, the U.S. Marine Corps (USMC), the U.S. Space Force, and the U.S. Space Command, and others. Additionally, Kratos customers also include the Defense Innovation Unit (“DIU”) (formerly the Defense Innovation Unit Experimental (“DIUx”)), Defense Advanced Research Projects Agency (“DARPA”), Air Force Research Laboratory (“AFRL”), the Strategic Capabilities Office (“SCO”), the Office of the Secretary of War (“OSW”), the Strategic Command (“STRATCOM”), the National Aeronautics and Space Administration (“NASA”), the Space Development Agency (SDA), the Space Force, the U.S. intelligence community, and other confidential customers. We believe our focus on low cost, constant innovation, capability improvements across our product and solutions portfolio, speed of development, and engineering, design and development for affordable mass production are key differentiators that are disruptive to certain traditional market norms and align us with and address our customers’ and our traditional large defense system integrator partners’ key initiatives.</w:t>
      </w:r>
    </w:p>
    <w:p>
      <w:pPr>
        <w:spacing w:after="0" w:line="210" w:lineRule="exact"/>
        <w:rPr>
          <w:sz w:val="20"/>
          <w:szCs w:val="20"/>
          <w:color w:val="auto"/>
        </w:rPr>
      </w:pPr>
    </w:p>
    <w:p>
      <w:pPr>
        <w:ind w:right="120" w:firstLine="611"/>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In-depth understanding of customer missions. </w:t>
      </w:r>
      <w:r>
        <w:rPr>
          <w:rFonts w:ascii="Times New Roman" w:cs="Times New Roman" w:eastAsia="Times New Roman" w:hAnsi="Times New Roman"/>
          <w:sz w:val="17"/>
          <w:szCs w:val="17"/>
          <w:color w:val="auto"/>
        </w:rPr>
        <w:t>We believe that Kratos has a reputation for being an industry disruptor, including by successfully rapidly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designing, developing, demonstrating and fielding mission-critical products, hardware, solutions and services to our customers, at an affordable cost. Our long-term relationships with the U.S. Air Force, U.S. Army, U.S. Navy, U.S. Marine Corps and other National Security-related customers and agencies, and commercial and other customers and entities, enable us to develop an in-depth understanding of their missions, problems and technical requirements. In addition, a substantial number of our employees are located at our customer locations, or at secure manufacturing and other secure facilities, all of which provides Kratos with valuable strategic insight into our customers’ ongoing missions and future program and mission requirements. We are also closely aligned with most of the traditional, large, system integrator defense companies. This understanding of our customers’ and partners’ missions, requirements, and needs, in conjunction with the strategic location of our employees, enables us to offer technical solutions tailored to our customers’ and partners’ specific requirements and evolving mission objectives. In addition, once our products are “designed in” to a program or system and we are on-site with a customer and providing our hardware, software, products and solutions, we have historically been successful in winning new and recompete business.</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u w:val="single" w:color="auto"/>
          <w:color w:val="auto"/>
        </w:rPr>
        <w:t>Relevant Products, Systems and Solutions</w:t>
      </w:r>
    </w:p>
    <w:p>
      <w:pPr>
        <w:spacing w:after="0" w:line="241" w:lineRule="exact"/>
        <w:rPr>
          <w:sz w:val="20"/>
          <w:szCs w:val="20"/>
          <w:color w:val="auto"/>
        </w:rPr>
      </w:pPr>
    </w:p>
    <w:p>
      <w:pPr>
        <w:ind w:right="40" w:firstLine="611"/>
        <w:spacing w:after="0" w:line="255" w:lineRule="auto"/>
        <w:rPr>
          <w:sz w:val="20"/>
          <w:szCs w:val="20"/>
          <w:color w:val="auto"/>
        </w:rPr>
      </w:pPr>
      <w:r>
        <w:rPr>
          <w:rFonts w:ascii="Times New Roman" w:cs="Times New Roman" w:eastAsia="Times New Roman" w:hAnsi="Times New Roman"/>
          <w:sz w:val="17"/>
          <w:szCs w:val="17"/>
          <w:color w:val="auto"/>
        </w:rPr>
        <w:t>We believe that Kratos is an industry leader of high performance, jet powered unmanned aerial target drone systems, which represent certain of the highest performance jet powered unmanned aerial aircraft in the world. Kratos is the primary provider of jet target drone systems to the USN, with the BQM-177, the USAF with the BQM-167, and the U.S. Army with the MQM-178. In addition to the United States Armed Services, Kratos sells its target drones to numerous allied countries globally. Kratos is currently under contract with a U.S. Government Agency for a Next Generation Target Drone (5GAT). Kratos is currently in sole source production year 21 for the BQM-167 with the USAF, sole source production year 7 with the USN for BQM-177, and single source production year 13, with the U.S. Army for MQM-178.</w:t>
      </w:r>
    </w:p>
    <w:p>
      <w:pPr>
        <w:spacing w:after="0" w:line="205" w:lineRule="exact"/>
        <w:rPr>
          <w:sz w:val="20"/>
          <w:szCs w:val="20"/>
          <w:color w:val="auto"/>
        </w:rPr>
      </w:pPr>
    </w:p>
    <w:p>
      <w:pPr>
        <w:ind w:right="60" w:firstLine="611"/>
        <w:spacing w:after="0" w:line="255" w:lineRule="auto"/>
        <w:rPr>
          <w:sz w:val="20"/>
          <w:szCs w:val="20"/>
          <w:color w:val="auto"/>
        </w:rPr>
      </w:pPr>
      <w:r>
        <w:rPr>
          <w:rFonts w:ascii="Times New Roman" w:cs="Times New Roman" w:eastAsia="Times New Roman" w:hAnsi="Times New Roman"/>
          <w:sz w:val="17"/>
          <w:szCs w:val="17"/>
          <w:color w:val="auto"/>
        </w:rPr>
        <w:t>Kratos also provides Kratos’ Mako high performance jet powered tactical unmanned drone, which flew manned/unmanned teaming missions with a USMC manned fighter aircraft in 2015. Kratos’ Fifth Generation Stealth Valkyrie tactical drone systems have flown with the USAF and USMC, is under contract with the USMC and is currently involved with the USMC project Eagle. Other Kratos jet powered tactical drones flying today, include Thanatos, Apollo, Athena, and Air Wolf, each of which is currently under a customer funded contract. Kratos’ tactical drones are recognized for their extreme high performance, low cost and ability to be rapidly fielded. The Trump Administration, the Secretary of War and other Trump Administration leadership have indicated their support and the potential for increased future funding for unmanned aerial drone systems and related autonomy and artificial intelligence systems.</w:t>
      </w:r>
    </w:p>
    <w:p>
      <w:pPr>
        <w:spacing w:after="0" w:line="205" w:lineRule="exact"/>
        <w:rPr>
          <w:sz w:val="20"/>
          <w:szCs w:val="20"/>
          <w:color w:val="auto"/>
        </w:rPr>
      </w:pPr>
    </w:p>
    <w:p>
      <w:pPr>
        <w:ind w:right="20" w:firstLine="611"/>
        <w:spacing w:after="0" w:line="259" w:lineRule="auto"/>
        <w:rPr>
          <w:sz w:val="20"/>
          <w:szCs w:val="20"/>
          <w:color w:val="auto"/>
        </w:rPr>
      </w:pPr>
      <w:r>
        <w:rPr>
          <w:rFonts w:ascii="Times New Roman" w:cs="Times New Roman" w:eastAsia="Times New Roman" w:hAnsi="Times New Roman"/>
          <w:sz w:val="17"/>
          <w:szCs w:val="17"/>
          <w:color w:val="auto"/>
        </w:rPr>
        <w:t>We believe that Kratos is an industry leader in affordable rocket systems and SRMs which are specifically designed and developed for low cost ballistic missile target, hypersonic, sub orbital and other National Security related missions. Kratos is also a recognized industry leader in low cost hypersonic flight vehicles, ballistic missile targets and “other” systems. Over the past few years, Kratos has been in development on a new solid rocket motor system, Zeus (Zeus 1 and Zeus 2), and related hypersonic flight vehicle systems, including Erinyes and Dark Fury, each of which Kratos has made significant internally</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8" w:name="page9"/>
    <w:bookmarkEnd w:id="8"/>
    <w:p>
      <w:pPr>
        <w:ind w:right="40"/>
        <w:spacing w:after="0" w:line="255" w:lineRule="auto"/>
        <w:rPr>
          <w:sz w:val="20"/>
          <w:szCs w:val="20"/>
          <w:color w:val="auto"/>
        </w:rPr>
      </w:pPr>
      <w:r>
        <w:rPr>
          <w:rFonts w:ascii="Times New Roman" w:cs="Times New Roman" w:eastAsia="Times New Roman" w:hAnsi="Times New Roman"/>
          <w:sz w:val="17"/>
          <w:szCs w:val="17"/>
          <w:color w:val="auto"/>
        </w:rPr>
        <w:t>funded investments for rapid development, fielding and a first to market position. In November 2024, Kratos announced that Zeus 1 and Zeus 2 SRMs had completed their first successful flight on October 24, 2024, from the NASA Wallops Flight Facility in Virginia under a customer funded mission. In June 2024, Kratos announced the successful launch and flight of the Kratos Erinyes hypersonic flyer, also under a customer funded mission. The exercise, designated Hypersonic Test Bed-1 (HTB-1), demonstrated hypersonic flight that enabled the collection of data for multiple experiments to be provided to test teams for design and evaluation of new technologies. In February 2025, Kratos announced the second successful flight of the Erinyes Hypersonic flight system in conjunction with its government customers.</w:t>
      </w:r>
    </w:p>
    <w:p>
      <w:pPr>
        <w:spacing w:after="0" w:line="205" w:lineRule="exact"/>
        <w:rPr>
          <w:sz w:val="20"/>
          <w:szCs w:val="20"/>
          <w:color w:val="auto"/>
        </w:rPr>
      </w:pPr>
    </w:p>
    <w:p>
      <w:pPr>
        <w:ind w:right="100" w:firstLine="611"/>
        <w:spacing w:after="0" w:line="279" w:lineRule="auto"/>
        <w:rPr>
          <w:sz w:val="20"/>
          <w:szCs w:val="20"/>
          <w:color w:val="auto"/>
        </w:rPr>
      </w:pPr>
      <w:r>
        <w:rPr>
          <w:rFonts w:ascii="Times New Roman" w:cs="Times New Roman" w:eastAsia="Times New Roman" w:hAnsi="Times New Roman"/>
          <w:sz w:val="17"/>
          <w:szCs w:val="17"/>
          <w:color w:val="auto"/>
        </w:rPr>
        <w:t>Subsequent to the successful initial flights of the Zeus SRM’s and the Erinyes hypersonic system, Kratos was awarded the Mach TB 2.0 hypersonic system related contract, the largest contract in Kratos history with an estimated value of $1.45 billion, if all options are exercised over a five-year period.</w:t>
      </w:r>
    </w:p>
    <w:p>
      <w:pPr>
        <w:spacing w:after="0" w:line="182" w:lineRule="exact"/>
        <w:rPr>
          <w:sz w:val="20"/>
          <w:szCs w:val="20"/>
          <w:color w:val="auto"/>
        </w:rPr>
      </w:pPr>
    </w:p>
    <w:p>
      <w:pPr>
        <w:ind w:right="480" w:firstLine="611"/>
        <w:spacing w:after="0" w:line="259" w:lineRule="auto"/>
        <w:rPr>
          <w:sz w:val="20"/>
          <w:szCs w:val="20"/>
          <w:color w:val="auto"/>
        </w:rPr>
      </w:pPr>
      <w:r>
        <w:rPr>
          <w:rFonts w:ascii="Times New Roman" w:cs="Times New Roman" w:eastAsia="Times New Roman" w:hAnsi="Times New Roman"/>
          <w:sz w:val="17"/>
          <w:szCs w:val="17"/>
          <w:color w:val="auto"/>
        </w:rPr>
        <w:t>Kratos is a recognized industry leader in the rapid development of low cost jet engines for missiles, drones and other systems. Kratos’ engine and propulsion teams are also recognized as industry leaders in the design, engineering and development of hypersonic, space and supersonic propulsion systems, including Kratos being the engine development lead for Boom Supersonics (Concorde commercial supersonic jet replacement) Overture’s aircraft engines, the Symphony.</w:t>
      </w:r>
    </w:p>
    <w:p>
      <w:pPr>
        <w:spacing w:after="0" w:line="200" w:lineRule="exact"/>
        <w:rPr>
          <w:sz w:val="20"/>
          <w:szCs w:val="20"/>
          <w:color w:val="auto"/>
        </w:rPr>
      </w:pPr>
    </w:p>
    <w:p>
      <w:pPr>
        <w:ind w:firstLine="611"/>
        <w:spacing w:after="0" w:line="279" w:lineRule="auto"/>
        <w:rPr>
          <w:sz w:val="20"/>
          <w:szCs w:val="20"/>
          <w:color w:val="auto"/>
        </w:rPr>
      </w:pPr>
      <w:r>
        <w:rPr>
          <w:rFonts w:ascii="Times New Roman" w:cs="Times New Roman" w:eastAsia="Times New Roman" w:hAnsi="Times New Roman"/>
          <w:sz w:val="17"/>
          <w:szCs w:val="17"/>
          <w:color w:val="auto"/>
        </w:rPr>
        <w:t>We believe that Kratos is also an industry leader in hardware, products, systems and microwave electronics for numerous air defense, missile, radar, nuclear, strategic and other systems, including; Iron Dome, Iron Sting, Arrow, Patriot, THAAD, IBCS, IFPC and others.</w:t>
      </w:r>
    </w:p>
    <w:p>
      <w:pPr>
        <w:spacing w:after="0" w:line="182" w:lineRule="exact"/>
        <w:rPr>
          <w:sz w:val="20"/>
          <w:szCs w:val="20"/>
          <w:color w:val="auto"/>
        </w:rPr>
      </w:pPr>
    </w:p>
    <w:p>
      <w:pPr>
        <w:ind w:right="120" w:firstLine="611"/>
        <w:spacing w:after="0" w:line="259" w:lineRule="auto"/>
        <w:rPr>
          <w:sz w:val="20"/>
          <w:szCs w:val="20"/>
          <w:color w:val="auto"/>
        </w:rPr>
      </w:pPr>
      <w:r>
        <w:rPr>
          <w:rFonts w:ascii="Times New Roman" w:cs="Times New Roman" w:eastAsia="Times New Roman" w:hAnsi="Times New Roman"/>
          <w:sz w:val="17"/>
          <w:szCs w:val="17"/>
          <w:color w:val="auto"/>
        </w:rPr>
        <w:t>We believe that Kratos is also an industry leader in ground-based command, control and communications systems (“C3”), Telemetry Tracking and Control (“TT&amp;C”) and other systems for satellites, and a leader in related radio frequency interference identification, geolocation and mitigation, or Space Domain Awareness. Our primary customers include the U.S. Air Force, Space Command, Space Development and other agencies, and also commercial customers, enterprises and entities.</w:t>
      </w:r>
    </w:p>
    <w:p>
      <w:pPr>
        <w:spacing w:after="0" w:line="200" w:lineRule="exact"/>
        <w:rPr>
          <w:sz w:val="20"/>
          <w:szCs w:val="20"/>
          <w:color w:val="auto"/>
        </w:rPr>
      </w:pPr>
    </w:p>
    <w:p>
      <w:pPr>
        <w:ind w:right="500" w:firstLine="611"/>
        <w:spacing w:after="0" w:line="311" w:lineRule="auto"/>
        <w:rPr>
          <w:sz w:val="20"/>
          <w:szCs w:val="20"/>
          <w:color w:val="auto"/>
        </w:rPr>
      </w:pPr>
      <w:r>
        <w:rPr>
          <w:rFonts w:ascii="Times New Roman" w:cs="Times New Roman" w:eastAsia="Times New Roman" w:hAnsi="Times New Roman"/>
          <w:sz w:val="16"/>
          <w:szCs w:val="16"/>
          <w:color w:val="auto"/>
        </w:rPr>
        <w:t>We also believe that our advanced capabilities in the training systems and solutions market, including mixed, virtual and synthetic reality technology, products and systems for aircraft, combat and other vehicles, have allowed us to successfully remain at the forefront of defense industry readiness initiatives.</w:t>
      </w:r>
    </w:p>
    <w:p>
      <w:pPr>
        <w:spacing w:after="0" w:line="160" w:lineRule="exact"/>
        <w:rPr>
          <w:sz w:val="20"/>
          <w:szCs w:val="20"/>
          <w:color w:val="auto"/>
        </w:rPr>
      </w:pPr>
    </w:p>
    <w:p>
      <w:pPr>
        <w:ind w:right="260" w:firstLine="611"/>
        <w:spacing w:after="0" w:line="259" w:lineRule="auto"/>
        <w:rPr>
          <w:sz w:val="20"/>
          <w:szCs w:val="20"/>
          <w:color w:val="auto"/>
        </w:rPr>
      </w:pPr>
      <w:r>
        <w:rPr>
          <w:rFonts w:ascii="Times New Roman" w:cs="Times New Roman" w:eastAsia="Times New Roman" w:hAnsi="Times New Roman"/>
          <w:sz w:val="17"/>
          <w:szCs w:val="17"/>
          <w:color w:val="auto"/>
        </w:rPr>
        <w:t>We believe our strategy of internally funding the research and development of many of our systems, products, software, solutions and capabilities, will continue to enable Kratos to be “first to market”, ahead of the competition and advance our position in high growth markets, such as high performance unmanned combat aerial vehicles (“UCAVs”), turbine and engine technologies, hypersonic systems, ballistic missile targets, microwave electronics and satellite communications, and allow us to grow, over the long-term, at a rate greater than that of the industry.</w:t>
      </w:r>
    </w:p>
    <w:p>
      <w:pPr>
        <w:spacing w:after="0" w:line="196" w:lineRule="exact"/>
        <w:rPr>
          <w:sz w:val="20"/>
          <w:szCs w:val="20"/>
          <w:color w:val="auto"/>
        </w:rPr>
      </w:pPr>
    </w:p>
    <w:p>
      <w:pPr>
        <w:ind w:right="20" w:firstLine="611"/>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Diverse base of key contracts with low concentration. </w:t>
      </w:r>
      <w:r>
        <w:rPr>
          <w:rFonts w:ascii="Times New Roman" w:cs="Times New Roman" w:eastAsia="Times New Roman" w:hAnsi="Times New Roman"/>
          <w:sz w:val="17"/>
          <w:szCs w:val="17"/>
          <w:color w:val="auto"/>
        </w:rPr>
        <w:t>Kratos’ leading hardware, technology, products and systems, which are focused on many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highest priority National Security areas allows us the opportunity to bid on and pursue a large number of contract and program opportunities as the lead or prime contractor, while also providing Kratos the opportunity to partner or team on additional large opportunities, better positioning our Company for success. Many of our contracts are single-award and/or sole source in nature, where we or our team are the only awardee by the customer. In certain cases, our ability to obtain single award and/or sole source contracts is due to our intellectual property, proprietary products, historical performance qualifications, relative experience, affordability or Kratos already having demonstrated a first to market working system.</w:t>
      </w:r>
    </w:p>
    <w:p>
      <w:pPr>
        <w:spacing w:after="0" w:line="205" w:lineRule="exact"/>
        <w:rPr>
          <w:sz w:val="20"/>
          <w:szCs w:val="20"/>
          <w:color w:val="auto"/>
        </w:rPr>
      </w:pPr>
    </w:p>
    <w:p>
      <w:pPr>
        <w:ind w:right="20" w:firstLine="611"/>
        <w:spacing w:after="0" w:line="259" w:lineRule="auto"/>
        <w:rPr>
          <w:sz w:val="20"/>
          <w:szCs w:val="20"/>
          <w:color w:val="auto"/>
        </w:rPr>
      </w:pPr>
      <w:r>
        <w:rPr>
          <w:rFonts w:ascii="Times New Roman" w:cs="Times New Roman" w:eastAsia="Times New Roman" w:hAnsi="Times New Roman"/>
          <w:sz w:val="17"/>
          <w:szCs w:val="17"/>
          <w:color w:val="auto"/>
        </w:rPr>
        <w:t>We have a highly diverse base of customers and contracts with no contract representing more than 5% of 2025 revenue. Our fixed-price contracts, the majority of which are production contracts, represent approximately 69% of our 2025 revenue. Our cost-plus-fee contracts and time and materials contracts represent approximately 27% and 4%, respectively, of our 2025 revenue. We believe our diverse base of key contracts and low reliance on any one contract provides us with a stable, balanced revenue stream.</w:t>
      </w:r>
    </w:p>
    <w:p>
      <w:pPr>
        <w:spacing w:after="0" w:line="200" w:lineRule="exact"/>
        <w:rPr>
          <w:sz w:val="20"/>
          <w:szCs w:val="20"/>
          <w:color w:val="auto"/>
        </w:rPr>
      </w:pPr>
    </w:p>
    <w:p>
      <w:pPr>
        <w:ind w:firstLine="611"/>
        <w:spacing w:after="0" w:line="254" w:lineRule="auto"/>
        <w:rPr>
          <w:sz w:val="20"/>
          <w:szCs w:val="20"/>
          <w:color w:val="auto"/>
        </w:rPr>
      </w:pPr>
      <w:r>
        <w:rPr>
          <w:rFonts w:ascii="Times New Roman" w:cs="Times New Roman" w:eastAsia="Times New Roman" w:hAnsi="Times New Roman"/>
          <w:sz w:val="17"/>
          <w:szCs w:val="17"/>
          <w:color w:val="auto"/>
        </w:rPr>
        <w:t>Representative recent major contract awards for Kratos include the $1.45 billion (if all options are exercised over a five-year period) MACH-TB 2.0 contract award to support the Office of the Under Secretary of Defense for Research and Engineering (OUSD (R&amp;E)) Test Resource Management Center (TRMC) to support OUSD’s National Hypersonic Initiative 2.0 by creating an affordable flight test bed to rapidly increase hypersonic flight test capacity, a $34.8 million contract from the USMC for Valkyrie mission system integration, a $116.7 million prime contract to create and operate an Advanced Fire Control Ground Infrastructure (AFCGI) from the U.S. Space Development Agency, an approximate $100.0 million total potential value hypersonic system program award, a $48.0 million contract for geolocation global support services, a $59.3 million award for additional BQM-177A subsonic aerial target system, a potential subcontract value of greater than $50.0 million if options are exercised for short/medium range suborbital vehicles, two contract awards for approximately $30.0 million each for air defense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9" w:name="page10"/>
    <w:bookmarkEnd w:id="9"/>
    <w:p>
      <w:pPr>
        <w:ind w:right="100"/>
        <w:spacing w:after="0" w:line="254" w:lineRule="auto"/>
        <w:rPr>
          <w:sz w:val="20"/>
          <w:szCs w:val="20"/>
          <w:color w:val="auto"/>
        </w:rPr>
      </w:pPr>
      <w:r>
        <w:rPr>
          <w:rFonts w:ascii="Times New Roman" w:cs="Times New Roman" w:eastAsia="Times New Roman" w:hAnsi="Times New Roman"/>
          <w:sz w:val="17"/>
          <w:szCs w:val="17"/>
          <w:color w:val="auto"/>
        </w:rPr>
        <w:t>related hardware, a $25.0 million contract task order under the Command and Control System-Consolidated (CCS-C) Sustainment and Resiliency (C-SAR) contract with the U.S. Space Force System Command to support ground system capabilities for evolved strategic satellite communications. We also received a single award Phase 1 agreement with an initial total projected ceiling of $175 million across multiple phases to develop an organic sustainment capability for the U.S. Navy’s AN/SPY-1 radar systems known internally as project Anaconda, a single award projected value $68.3 million contract to build a state-or-the-art mid-tier arc jet and coupled fiber laser facility for hypersonic materials evaluations, known internally as Project Helios, and a recent announcement that Kratos’ teammate Northrop Grumman was competitively awarded the U.S. Marine Corps’ Marine Air-Ground Task Force Uncrewed Expeditionary Tactical Aircraft (MUX TACAIR) Collaborative Combat Aircraft (CCA), which combines Northrop Grumman’s uncrewed capabilities and autonomous leadership with Kratos’ Valkyrie uncrewed aerial system to work alongside crewed fighters to provide air dominance in high-threat environments.</w:t>
      </w:r>
    </w:p>
    <w:p>
      <w:pPr>
        <w:spacing w:after="0" w:line="200" w:lineRule="exact"/>
        <w:rPr>
          <w:sz w:val="20"/>
          <w:szCs w:val="20"/>
          <w:color w:val="auto"/>
        </w:rPr>
      </w:pPr>
    </w:p>
    <w:p>
      <w:pPr>
        <w:ind w:right="80" w:firstLine="611"/>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Significant cash flow visibility driven by stable backlog. </w:t>
      </w:r>
      <w:r>
        <w:rPr>
          <w:rFonts w:ascii="Times New Roman" w:cs="Times New Roman" w:eastAsia="Times New Roman" w:hAnsi="Times New Roman"/>
          <w:sz w:val="17"/>
          <w:szCs w:val="17"/>
          <w:color w:val="auto"/>
        </w:rPr>
        <w:t>As of December 28, 2025 and December 29, 2024, our total backlog (see “Backlog” below)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approximately $1,573.4 million and $1,445.1 million respectively, of which approximately $1,232.0 million was funded in 2025 and $1,090.1 million was funded in 2024. The majority of our sales are from awards issued under long-term contracts, typically three to five years in duration. Our contract backlog provides visibility into stable future revenue and cash flow over a diverse set of contracts. Importantly, a number of our systems and products are designed-in and support long term, multi-year/multi-decade programs, which provides significant operational and financial visibility to our Company.</w:t>
      </w:r>
    </w:p>
    <w:p>
      <w:pPr>
        <w:spacing w:after="0" w:line="197" w:lineRule="exact"/>
        <w:rPr>
          <w:sz w:val="20"/>
          <w:szCs w:val="20"/>
          <w:color w:val="auto"/>
        </w:rPr>
      </w:pPr>
    </w:p>
    <w:p>
      <w:pPr>
        <w:ind w:right="60" w:firstLine="611"/>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Highly skilled employees and an experienced management team. </w:t>
      </w:r>
      <w:r>
        <w:rPr>
          <w:rFonts w:ascii="Times New Roman" w:cs="Times New Roman" w:eastAsia="Times New Roman" w:hAnsi="Times New Roman"/>
          <w:sz w:val="17"/>
          <w:szCs w:val="17"/>
          <w:color w:val="auto"/>
        </w:rPr>
        <w:t>We deliver our systems, products and services through a skilled and primarily engineering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technically oriented workforce of approximately 4,300 employees. Our executives and senior managers have significant experience with technology companies, commercial enterprises, U.S. Government agencies, the U.S. military, U.S. Government contractors and other relevant entities. A significant number of Kratos employees hold National Security clearances. Members of our management team have experience growing commercial, technology and national security focused businesses both organically and through acquisitions and delivering significant value to investors, shareholders and stakeholders. We believe that the cumulative experience and differentiated expertise of our personnel in our core focus areas, coupled with our sizable and technically oriented employee base, allow us to qualify for and bid on larger programs and contracts in a prime contracting role.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52" w:lineRule="exact"/>
        <w:rPr>
          <w:sz w:val="20"/>
          <w:szCs w:val="20"/>
          <w:color w:val="auto"/>
        </w:rPr>
      </w:pPr>
    </w:p>
    <w:p>
      <w:pPr>
        <w:ind w:firstLine="611"/>
        <w:spacing w:after="0" w:line="254" w:lineRule="auto"/>
        <w:rPr>
          <w:sz w:val="20"/>
          <w:szCs w:val="20"/>
          <w:color w:val="auto"/>
        </w:rPr>
      </w:pPr>
      <w:r>
        <w:rPr>
          <w:rFonts w:ascii="Times New Roman" w:cs="Times New Roman" w:eastAsia="Times New Roman" w:hAnsi="Times New Roman"/>
          <w:sz w:val="17"/>
          <w:szCs w:val="17"/>
          <w:color w:val="auto"/>
        </w:rPr>
        <w:t>Our strategy is to be a leading technology, hardware, products, systems, software and products provider to the defense, national security and relevant commercial and related global markets, and to disrupt our market focus areas, by being first to market with relevant internally funded and developed offerings, engineered and designed to be mass produced at an affordable cost. In executing our strategy, Kratos primarily seeks to utilize proven technology, which we modify, adopt, change, integrate and apply to address market opportunities that we identify jointly with our customers and with our partners. This approach allows us to rapidly develop and field relevant offerings, while reducing technical, schedule and financial risk. At Kratos, “affordability is a technology”, and “better is the enemy of good enough”, which we believe are critical elements of the successful execution of our strategy. Additionally, whenever there is a defense/security/commercial “multi use” opportunity for our technology, products and systems, we lever off of this opportunity with increased efficiencies and further reduced cost opportunity via increased quantities provided to dual or multiple markets.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Internal Growth</w:t>
      </w:r>
    </w:p>
    <w:p>
      <w:pPr>
        <w:spacing w:after="0" w:line="140" w:lineRule="exact"/>
        <w:rPr>
          <w:sz w:val="20"/>
          <w:szCs w:val="20"/>
          <w:color w:val="auto"/>
        </w:rPr>
      </w:pPr>
    </w:p>
    <w:p>
      <w:pPr>
        <w:ind w:right="220" w:firstLine="611"/>
        <w:spacing w:after="0" w:line="255" w:lineRule="auto"/>
        <w:rPr>
          <w:sz w:val="20"/>
          <w:szCs w:val="20"/>
          <w:color w:val="auto"/>
        </w:rPr>
      </w:pPr>
      <w:r>
        <w:rPr>
          <w:rFonts w:ascii="Times New Roman" w:cs="Times New Roman" w:eastAsia="Times New Roman" w:hAnsi="Times New Roman"/>
          <w:sz w:val="17"/>
          <w:szCs w:val="17"/>
          <w:color w:val="auto"/>
        </w:rPr>
        <w:t>We are focused on generating internal growth by capitalizing on our ability to rapidly develop, demonstrate and field leading technology systems and products at an affordable cost and by being “first to market” with our offerings. We make targeted discretionary investments in mission critical DoW, National Security and related commercial opportunity priority areas in order to achieve our first to market objective. Primary Kratos business areas include unmanned systems, space and satellite communications, cybersecurity, microwave electronics, hypersonic and rocket systems, missile defense, jet engines, rocket motors, turbine technologies and propulsion systems, and training systems, which we believe have the highest potential for growth, including as based on the recent Fiscal 2025 National Security budget submittal and National Defense Authorization Act (NDAA). In certain areas, Kratos will retain important intellectual property as a result of the internally funded investments we have made.</w:t>
      </w:r>
    </w:p>
    <w:p>
      <w:pPr>
        <w:spacing w:after="0" w:line="202" w:lineRule="exact"/>
        <w:rPr>
          <w:sz w:val="20"/>
          <w:szCs w:val="20"/>
          <w:color w:val="auto"/>
        </w:rPr>
      </w:pPr>
    </w:p>
    <w:p>
      <w:pPr>
        <w:ind w:right="40" w:firstLine="611"/>
        <w:spacing w:after="0" w:line="259" w:lineRule="auto"/>
        <w:rPr>
          <w:sz w:val="20"/>
          <w:szCs w:val="20"/>
          <w:color w:val="auto"/>
        </w:rPr>
      </w:pPr>
      <w:r>
        <w:rPr>
          <w:rFonts w:ascii="Times New Roman" w:cs="Times New Roman" w:eastAsia="Times New Roman" w:hAnsi="Times New Roman"/>
          <w:sz w:val="17"/>
          <w:szCs w:val="17"/>
          <w:color w:val="auto"/>
        </w:rPr>
        <w:t>Additionally, due to Kratos’ unique technology, product and potential intellectual property positions, including in the space, satellite, UAS, propulsion, engine, turbine, rocket, hypersonic and other areas, we are routinely approached to partner or team on large, new program and contract opportunities, where Kratos offerings and affordability are an important competitive differentiator. A key aspect of Kratos’ internal growth philosophy is also that “it is better to have a large part of something, than</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10" w:name="page11"/>
    <w:bookmarkEnd w:id="10"/>
    <w:p>
      <w:pPr>
        <w:ind w:right="260"/>
        <w:spacing w:after="0" w:line="279" w:lineRule="auto"/>
        <w:rPr>
          <w:sz w:val="20"/>
          <w:szCs w:val="20"/>
          <w:color w:val="auto"/>
        </w:rPr>
      </w:pPr>
      <w:r>
        <w:rPr>
          <w:rFonts w:ascii="Times New Roman" w:cs="Times New Roman" w:eastAsia="Times New Roman" w:hAnsi="Times New Roman"/>
          <w:sz w:val="17"/>
          <w:szCs w:val="17"/>
          <w:color w:val="auto"/>
        </w:rPr>
        <w:t>all of nothing”, which is directly relevant to our teaming and partnership approach and strategy, including with the traditional large aerospace and defense system integrators.</w:t>
      </w:r>
    </w:p>
    <w:p>
      <w:pPr>
        <w:spacing w:after="0" w:line="178" w:lineRule="exact"/>
        <w:rPr>
          <w:sz w:val="20"/>
          <w:szCs w:val="20"/>
          <w:color w:val="auto"/>
        </w:rPr>
      </w:pPr>
    </w:p>
    <w:p>
      <w:pPr>
        <w:ind w:right="100" w:firstLine="611"/>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Expand technology product, solution and service offerings provided to existing customers. </w:t>
      </w:r>
      <w:r>
        <w:rPr>
          <w:rFonts w:ascii="Times New Roman" w:cs="Times New Roman" w:eastAsia="Times New Roman" w:hAnsi="Times New Roman"/>
          <w:sz w:val="17"/>
          <w:szCs w:val="17"/>
          <w:color w:val="auto"/>
        </w:rPr>
        <w:t>We are focused on expanding the technology, products, systems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solutions we provide to our customers by making targeted internally funded investments in certain core focus areas, by leveraging our strong relationships, technical capabilities, intellectual property and past performance qualifications and by offering a wider range of comprehensive low-cost technology leading and proven products and solutions compared to our competitors. In regard to areas of specialization, our product and solution offerings include the manufacturing of specialized defense electronics; integrated technology and software solutions for satellite command, control and communications; specialized high performance UCAV and drone aircraft for tactical and threat representation target purposes; Unmanned Ground Systems (“UGS”); Unmanned Seaborne Systems; engine and propulsion systems; and rocket, ballistic missile target and hypersonic systems. We believe our understanding of customer needs, missions, requirements and processes, our reputation and past performance qualifications and our ability to rapidly deliver low cost, technology leading hardware, systems, products and solutions, position us well for success in the current National Security and geopolitical threat environment.</w:t>
      </w:r>
    </w:p>
    <w:p>
      <w:pPr>
        <w:spacing w:after="0" w:line="201"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Capitalize on current contract base. </w:t>
      </w:r>
      <w:r>
        <w:rPr>
          <w:rFonts w:ascii="Times New Roman" w:cs="Times New Roman" w:eastAsia="Times New Roman" w:hAnsi="Times New Roman"/>
          <w:sz w:val="17"/>
          <w:szCs w:val="17"/>
          <w:color w:val="auto"/>
        </w:rPr>
        <w:t>We are pursuing new program and contract opportunities and awards as we build the business with our expanding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base, intellectual property ownership, contract portfolio, and product, hardware, solution, software, service offerings and past performance qualifications. We are also aggressively pursuing several National Security priority areas, including high performance UCAVs or CCAs, satellite communications command, control, communication and signal monitoring products and offerings, space domain awareness (“SDA”), microwave electronics for missiles, radars, electronic warfare and communications, cybersecurity solutions, propulsion and engine systems, specialized training systems, autonomy and artificial intelligence systems, robotics, directed energy systems, hypersonic systems and next generation ballistic missile targets. Additionally, we are assessing new program areas and platforms to pursue that are consistent with our core capabilities, technology and intellectual property. These current and existing programs, contracts, customers and related offerings provide Kratos important past performance qualifications and experience, positioning us to credibly pursue new opportunities.</w:t>
      </w:r>
    </w:p>
    <w:p>
      <w:pPr>
        <w:spacing w:after="0" w:line="198" w:lineRule="exact"/>
        <w:rPr>
          <w:sz w:val="20"/>
          <w:szCs w:val="20"/>
          <w:color w:val="auto"/>
        </w:rPr>
      </w:pPr>
    </w:p>
    <w:p>
      <w:pPr>
        <w:ind w:right="40" w:firstLine="611"/>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Expand customer and contract base. </w:t>
      </w:r>
      <w:r>
        <w:rPr>
          <w:rFonts w:ascii="Times New Roman" w:cs="Times New Roman" w:eastAsia="Times New Roman" w:hAnsi="Times New Roman"/>
          <w:sz w:val="17"/>
          <w:szCs w:val="17"/>
          <w:color w:val="auto"/>
        </w:rPr>
        <w:t>We are focused on expanding our customer base into areas with significant growth opportunities, including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indicated by the National Defense Authorization Act for Fiscal Year 2026 which was passed and signed into law by President Trump on December 18, 2025. and the Trump Administration’s indicated priority areas, including as documented by multiple Executive Orders. We intend to leverage our technology, intellectual property, proprietary products, capabilities, industry reputation, past performance qualifications, long-term customer relationships and diverse contract base to address these priorities. We also believe that our ability to rapidly develop, demonstrate and field high technology systems and products, at an affordable cost, is a clear competitive differentiator for our Company, and is aligned with recent comments made by the Secretary of War. We anticipate that this overall expansion in our capabilities will enable us to pursue larger program opportunities, higher value work and to further diversify our revenue base across additional U.S. Government, international and commercial customers.</w:t>
      </w:r>
    </w:p>
    <w:p>
      <w:pPr>
        <w:spacing w:after="0" w:line="198" w:lineRule="exact"/>
        <w:rPr>
          <w:sz w:val="20"/>
          <w:szCs w:val="20"/>
          <w:color w:val="auto"/>
        </w:rPr>
      </w:pPr>
    </w:p>
    <w:p>
      <w:pPr>
        <w:ind w:right="40" w:firstLine="611"/>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Improve operating margins. </w:t>
      </w:r>
      <w:r>
        <w:rPr>
          <w:rFonts w:ascii="Times New Roman" w:cs="Times New Roman" w:eastAsia="Times New Roman" w:hAnsi="Times New Roman"/>
          <w:sz w:val="17"/>
          <w:szCs w:val="17"/>
          <w:color w:val="auto"/>
        </w:rPr>
        <w:t>We believe that we have opportunities to increase our operating margins and improve profitability in the future as we transition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certain development programs, which typically generate inherently lower margins, to production programs, which typically generate higher margins, and by leveraging our corporate infrastructure investments as our business and revenues increase. We are proactively focused on continuously improving efficiencies, reducing costs, and concentrating our efforts on operational excellence.</w:t>
      </w:r>
    </w:p>
    <w:p>
      <w:pPr>
        <w:spacing w:after="0" w:line="194" w:lineRule="exact"/>
        <w:rPr>
          <w:sz w:val="20"/>
          <w:szCs w:val="20"/>
          <w:color w:val="auto"/>
        </w:rPr>
      </w:pPr>
    </w:p>
    <w:p>
      <w:pPr>
        <w:ind w:right="60" w:firstLine="611"/>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Invest and Partner in strategic growth areas. </w:t>
      </w:r>
      <w:r>
        <w:rPr>
          <w:rFonts w:ascii="Times New Roman" w:cs="Times New Roman" w:eastAsia="Times New Roman" w:hAnsi="Times New Roman"/>
          <w:sz w:val="17"/>
          <w:szCs w:val="17"/>
          <w:color w:val="auto"/>
        </w:rPr>
        <w:t>Over the past several years, we have made significant internally funded investments in strategic growth areas,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unmanned tactical aircraft drone systems, space and satellite communication software and systems, rocket engines, SRMs and hypersonic systems, jet engines, turbine and other engine technologies. Specifically, we have increased internally funded research and development, capital and other expenditures, non-recurring engineering expenditures, and infrastructure investments, including executive management, bid, proposal and new business capture, pursuit and related expenses. We have made these investments with the intention of developing, demonstrating, fielding, bringing to production and being first to market in these strategic growth areas. These internally funded investments typically allow us to retain certain intellectual property rights, design and data packages, for these platforms, software and systems, including to ultimately secure sole source technology or production positions in these strategic growth areas. Specifically, since 2013, we have invested over $310 million in our UAS business and since 2019, approximately $315 million in our Space, Satellite and Cyber business, and made investments of approximately $25 million in rocket and hypersonic systems, and engine and turbine technology areas, through internally funded research, development, contract design retrofit costs, contract design costs for new platforms, software design and development, non-recurring engineering costs and capital expenditures related to these strategic growth areas.</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11" w:name="page12"/>
    <w:bookmarkEnd w:id="11"/>
    <w:p>
      <w:pPr>
        <w:ind w:left="620" w:hanging="313"/>
        <w:spacing w:after="0" w:line="25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2019, we have invested approximately $315 million in Kratos’ Space, Satellite and Cyber business through internally funded research and development, software design and development and capital expenditures, primarily related to our next generation, software based, virtualized satellite C2, TT&amp;C, and other ground-based OpenSpace™ communications systems, which we released “first to market” in 2021, and our global SDA system. Related to certain of these investments, in 2022, we received an approximate $160 million potential contract award from Blue Halo (acquired by AeroVironment) and a significant contract award from Intelsat (acquired by SES) as a result of Kratos OpenSpace™ products and technology. In 2023, we introduced the satellite industry’s first open edge terminal for satellite communications and other applications and we announced that our OpenSpace platform is the first commercially available, fully virtualized satellite ground system to achieve MEF 3.0 Carrier Ethernet certification. In 2024, we received a number of contract awards including a $48 million contract for geolocation global support services, a $116.7 million contract from the U.S. Space Development Agency for Ground System to support advanced fire control missions and a $579 million single award IDIQ for Space Form Satcom C2 System. In September 2025, we completed the preliminary design review (PDR) for the Space Development Agency’s Advanced Fire Control Ground Integration (AFCGI) system. Kratos’ successful completion of the PDR with zero liens is expected to allow the program to advance on an accelerated timeline, aligning with projected launch milestones.</w:t>
      </w:r>
    </w:p>
    <w:p>
      <w:pPr>
        <w:spacing w:after="0" w:line="121" w:lineRule="exact"/>
        <w:rPr>
          <w:rFonts w:ascii="Times New Roman" w:cs="Times New Roman" w:eastAsia="Times New Roman" w:hAnsi="Times New Roman"/>
          <w:sz w:val="17"/>
          <w:szCs w:val="17"/>
          <w:color w:val="auto"/>
        </w:rPr>
      </w:pPr>
    </w:p>
    <w:p>
      <w:pPr>
        <w:ind w:left="620" w:right="40" w:hanging="313"/>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2024 we entered into a Memorandum of Understanding (MOU) with GE Aerospace to partner on the development and production of small affordable engines that could potentially power unmanned aerial systems, collaborative combat aircraft, missile, drone and similar applications. The teaming agreement was formalized and executed in June 2025, to advance propulsion technologies for the next generation of affordable unmanned aerial systems and Collaborative Combat Aircraft-type (CCA-type) aircraft, The teaming agreement expands on the MOU and provides the framework for Kratos and GE Aerospace to develop, manufacture, test, and field the GEK800 engine, as well as collaborate on other low-cost expendable turbofan engines. In October 2025, GE Aerospace and Kratos announced the successful completion of altitude testing on its GEK800 engine. In addition to the joint work on the GEK800, Kratos and GE Aerospace have commenced work on another new engine, the GEK1500. The engines under development support unmanned aerial systems, CCAs, and similar applications, positioning Kratos and GE Aerospace to offer affordable mass propulsion solutions across a range of next-generation defense applications for the Department of War. In October 2025, GE Aerospace and Kratos announced the successful completion of altitude testing on its GEK800 engine.</w:t>
      </w:r>
    </w:p>
    <w:p>
      <w:pPr>
        <w:spacing w:after="0" w:line="104" w:lineRule="exact"/>
        <w:rPr>
          <w:rFonts w:ascii="Times New Roman" w:cs="Times New Roman" w:eastAsia="Times New Roman" w:hAnsi="Times New Roman"/>
          <w:sz w:val="17"/>
          <w:szCs w:val="17"/>
          <w:color w:val="auto"/>
        </w:rPr>
      </w:pPr>
    </w:p>
    <w:p>
      <w:pPr>
        <w:ind w:left="620" w:right="20" w:hanging="313"/>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 the past few years, Kratos has been in development on a new solid rocket motor system, Zeus (Zeus 1 and Zeus 2), and related hypersonic flight vehicle systems, Erinyes and Dark Fury, all of which Kratos has internally funded through investments totaling $25 million for rapid development, fielding and a first to market position. In November 2024, Kratos announced that Zeus 1 and Zeus 2 SRMs had completed their first successful flight on October 24, 2024, from the NASA Wallops Flight Facility in Virginia under a customer funded mission. In June 2024, Kratos announced the successful launch and flight of the Kratos Erinyes hypersonic flyer, also under a customer funded mission. The exercise, designated Hypersonic Test Bed-1 (HTB-1), demonstrated hypersonic flight that enabled the collection of data for multiple experiments to be provided to test teams for design and evaluation of new technologies. Subsequent to the successful flights of the Zeus SRMs and the Erinyes hypersonic system, Kratos was awarded the Mach TB 2.0 Hypersonic System related contract, the largest contract in Kratos history at $1.45 billion, if all options are exercised over a five-year period. The Company announced the second successful flight of the Erinyes hypersonic test bed in January 2025.</w:t>
      </w:r>
    </w:p>
    <w:p>
      <w:pPr>
        <w:spacing w:after="0" w:line="115" w:lineRule="exact"/>
        <w:rPr>
          <w:sz w:val="20"/>
          <w:szCs w:val="20"/>
          <w:color w:val="auto"/>
        </w:rPr>
      </w:pPr>
    </w:p>
    <w:p>
      <w:pPr>
        <w:ind w:right="100" w:firstLine="611"/>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Capitalize on corporate infrastructure investments. </w:t>
      </w:r>
      <w:r>
        <w:rPr>
          <w:rFonts w:ascii="Times New Roman" w:cs="Times New Roman" w:eastAsia="Times New Roman" w:hAnsi="Times New Roman"/>
          <w:sz w:val="17"/>
          <w:szCs w:val="17"/>
          <w:color w:val="auto"/>
        </w:rPr>
        <w:t>In recent periods, we have made significant investments in our senior and technical management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infrastructure related to cybersecurity threats to our Company, increased and changing regulations we are subject to, and the changing National Security industry environment. These investments also included hiring senior executives and managers with significant experience in the National Security and technology industries, hiring firms to support us on Capitol Hill, Congressionally and with our customers, strengthening our internal controls over financial reporting and accounting staff in support of increasing public company reporting requirements, expanding our infrastructure in response to increases in cybersecurity protection and related regulatory requirements, including the DoW’s Cybersecurity Maturity Model Certification (“CMMC”) requirement for all federal contractors, and expanding our backlog and bid and proposal pipeline resources. We have also made significant investments in secure facilities to enable us to bid on, successfully receive and execute on classified programs and opportunities. As a result of these and other investments, we expect to be allocating additional resources in our pursuit of new, larger and highly technical prime contract opportunities. We believe our management experience, technical capabilities, manufacturing, production and corporate infrastructure can support a company with a much larger revenue base than we currently have. Accordingly, we believe that, to the extent our revenue grows, we will be able to leverage this infrastructure base and increase our operating margins.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52" w:lineRule="exact"/>
        <w:rPr>
          <w:sz w:val="20"/>
          <w:szCs w:val="20"/>
          <w:color w:val="auto"/>
        </w:rPr>
      </w:pPr>
    </w:p>
    <w:p>
      <w:pPr>
        <w:ind w:right="40" w:firstLine="611"/>
        <w:spacing w:after="0" w:line="255" w:lineRule="auto"/>
        <w:rPr>
          <w:sz w:val="20"/>
          <w:szCs w:val="20"/>
          <w:color w:val="auto"/>
        </w:rPr>
      </w:pPr>
      <w:r>
        <w:rPr>
          <w:rFonts w:ascii="Times New Roman" w:cs="Times New Roman" w:eastAsia="Times New Roman" w:hAnsi="Times New Roman"/>
          <w:sz w:val="17"/>
          <w:szCs w:val="17"/>
          <w:color w:val="auto"/>
        </w:rPr>
        <w:t>A representative list of government customers in our KGS and US segments during 2025 included the U.S. Air Force, U.S. Army, U.S. Navy, U.S. Marines, Missile Defense Agency, Space Command, Space Force, NASA, the AFRL, foreign military sales (“FMS”), the U.S. Southern Command, STRATCOM, the SCO, DIU (formerly DIUx), the Rapid Capabilities Offices, the U.S. intelligence community, DARPA, Office of the Secretary of War (OSW), and certain confidential customers. A representative list of non-government customers during 2025 included tier one, large U.S. Government contractors and system integrators such as Northrop Grumman, Lockheed Martin, General Dynamics, Raytheon Technologies, BAE Systems, and L3Harris, as well as Intelsat (acquired by SES), Blue Halo (acquired by AeroVironment), Microsoft, Amazon, Airbus, Siemens, Rolls Royce, Boom, GE Aerospace and others.</w:t>
      </w:r>
    </w:p>
    <w:p>
      <w:pPr>
        <w:spacing w:after="0" w:line="205" w:lineRule="exact"/>
        <w:rPr>
          <w:sz w:val="20"/>
          <w:szCs w:val="20"/>
          <w:color w:val="auto"/>
        </w:rPr>
      </w:pPr>
    </w:p>
    <w:p>
      <w:pPr>
        <w:ind w:firstLine="611"/>
        <w:spacing w:after="0" w:line="264" w:lineRule="auto"/>
        <w:rPr>
          <w:sz w:val="20"/>
          <w:szCs w:val="20"/>
          <w:color w:val="auto"/>
        </w:rPr>
      </w:pPr>
      <w:r>
        <w:rPr>
          <w:rFonts w:ascii="Times New Roman" w:cs="Times New Roman" w:eastAsia="Times New Roman" w:hAnsi="Times New Roman"/>
          <w:sz w:val="17"/>
          <w:szCs w:val="17"/>
          <w:color w:val="auto"/>
        </w:rPr>
        <w:t>Revenue from the U.S. Government (which includes FMS) includes revenue from contracts for which we are the prime contractor as well as those for which we are a subcontractor and the ultimate customer is the U.S. Government. Revenues from U.S. Government agency customers in aggregate accounted for approximately 68%, 67% and 69% of total revenues in 2025, 2024, and 2023,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Backlog</w:t>
      </w:r>
    </w:p>
    <w:p>
      <w:pPr>
        <w:spacing w:after="0" w:line="216" w:lineRule="exact"/>
        <w:rPr>
          <w:sz w:val="20"/>
          <w:szCs w:val="20"/>
          <w:color w:val="auto"/>
        </w:rPr>
      </w:pPr>
    </w:p>
    <w:p>
      <w:pPr>
        <w:ind w:right="60" w:firstLine="611"/>
        <w:spacing w:after="0" w:line="255" w:lineRule="auto"/>
        <w:rPr>
          <w:sz w:val="20"/>
          <w:szCs w:val="20"/>
          <w:color w:val="auto"/>
        </w:rPr>
      </w:pPr>
      <w:r>
        <w:rPr>
          <w:rFonts w:ascii="Times New Roman" w:cs="Times New Roman" w:eastAsia="Times New Roman" w:hAnsi="Times New Roman"/>
          <w:sz w:val="17"/>
          <w:szCs w:val="17"/>
          <w:color w:val="auto"/>
        </w:rPr>
        <w:t>Effective January 1, 2018, we adopted the requirements of Accounting Standards Codification 606, Revenue from Contracts with Customers (“ASC 606”), utilizing the modified retrospective method as discussed in Note 1 of the Notes to Consolidated Financial Statements contained within this Annual Report. Since our adoption of ASC 606, revenues from remaining performance obligations, also referred to as total backlog, are now calculated as the dollar value of our remaining performance obligations on executed contracts. As of December 28, 2025 and December 29, 2024, our backlog was approximately $1,573.4 million and $1,445.1 million, respectively, of which $1,232.0 million was funded in 2025 and $1,090.1 million was funded in 2024. Backlog as of December 28, 2025 as compared to December 29, 2024 has increased primarily as a result of contract awards in our Space and Satellite, Microwave Products, and Unmanned Systems businesses. We expect to recognize approximately 54.0% of the remaining total backlog as revenue in 2026, an additional 20.0% in 2027 and the balance thereafter.</w:t>
      </w:r>
    </w:p>
    <w:p>
      <w:pPr>
        <w:spacing w:after="0" w:line="202" w:lineRule="exact"/>
        <w:rPr>
          <w:sz w:val="20"/>
          <w:szCs w:val="20"/>
          <w:color w:val="auto"/>
        </w:rPr>
      </w:pPr>
    </w:p>
    <w:p>
      <w:pPr>
        <w:ind w:right="40" w:firstLine="611"/>
        <w:spacing w:after="0" w:line="255" w:lineRule="auto"/>
        <w:rPr>
          <w:sz w:val="20"/>
          <w:szCs w:val="20"/>
          <w:color w:val="auto"/>
        </w:rPr>
      </w:pPr>
      <w:r>
        <w:rPr>
          <w:rFonts w:ascii="Times New Roman" w:cs="Times New Roman" w:eastAsia="Times New Roman" w:hAnsi="Times New Roman"/>
          <w:sz w:val="17"/>
          <w:szCs w:val="17"/>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the Company is expected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contract. For IDIQ contracts, only awarded or funded task orders are included for backlog purposes.</w:t>
      </w:r>
    </w:p>
    <w:p>
      <w:pPr>
        <w:spacing w:after="0" w:line="202" w:lineRule="exact"/>
        <w:rPr>
          <w:sz w:val="20"/>
          <w:szCs w:val="20"/>
          <w:color w:val="auto"/>
        </w:rPr>
      </w:pPr>
    </w:p>
    <w:p>
      <w:pPr>
        <w:ind w:right="20" w:firstLine="611"/>
        <w:spacing w:after="0" w:line="255" w:lineRule="auto"/>
        <w:rPr>
          <w:sz w:val="20"/>
          <w:szCs w:val="20"/>
          <w:color w:val="auto"/>
        </w:rPr>
      </w:pPr>
      <w:r>
        <w:rPr>
          <w:rFonts w:ascii="Times New Roman" w:cs="Times New Roman" w:eastAsia="Times New Roman" w:hAnsi="Times New Roman"/>
          <w:sz w:val="17"/>
          <w:szCs w:val="17"/>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the Company’s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205" w:lineRule="exact"/>
        <w:rPr>
          <w:sz w:val="20"/>
          <w:szCs w:val="20"/>
          <w:color w:val="auto"/>
        </w:rPr>
      </w:pPr>
    </w:p>
    <w:p>
      <w:pPr>
        <w:ind w:right="160" w:firstLine="611"/>
        <w:spacing w:after="0" w:line="259" w:lineRule="auto"/>
        <w:rPr>
          <w:sz w:val="20"/>
          <w:szCs w:val="20"/>
          <w:color w:val="auto"/>
        </w:rPr>
      </w:pPr>
      <w:r>
        <w:rPr>
          <w:rFonts w:ascii="Times New Roman" w:cs="Times New Roman" w:eastAsia="Times New Roman" w:hAnsi="Times New Roman"/>
          <w:sz w:val="17"/>
          <w:szCs w:val="17"/>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200" w:lineRule="exact"/>
        <w:rPr>
          <w:sz w:val="20"/>
          <w:szCs w:val="20"/>
          <w:color w:val="auto"/>
        </w:rPr>
      </w:pPr>
    </w:p>
    <w:p>
      <w:pPr>
        <w:jc w:val="both"/>
        <w:ind w:right="300" w:firstLine="611"/>
        <w:spacing w:after="0" w:line="264" w:lineRule="auto"/>
        <w:rPr>
          <w:sz w:val="20"/>
          <w:szCs w:val="20"/>
          <w:color w:val="auto"/>
        </w:rPr>
      </w:pPr>
      <w:r>
        <w:rPr>
          <w:rFonts w:ascii="Times New Roman" w:cs="Times New Roman" w:eastAsia="Times New Roman" w:hAnsi="Times New Roman"/>
          <w:sz w:val="17"/>
          <w:szCs w:val="17"/>
          <w:color w:val="auto"/>
        </w:rPr>
        <w:t>A significant number of the programs that Kratos’ systems, products and solutions support are multi-year/multi-decade in nature. Accordingly, based on historical customer usage or operational tempo, the Company has reasonable expectations or visibility of what ultimate orders for Kratos’ systems, products and solutions will be. The Company does not include these expected amounts in its backlog until a related contract award is received.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3" w:name="page14"/>
    <w:bookmarkEnd w:id="13"/>
    <w:p>
      <w:pPr>
        <w:ind w:right="20" w:firstLine="611"/>
        <w:spacing w:after="0" w:line="259" w:lineRule="auto"/>
        <w:rPr>
          <w:sz w:val="20"/>
          <w:szCs w:val="20"/>
          <w:color w:val="auto"/>
        </w:rPr>
      </w:pPr>
      <w:r>
        <w:rPr>
          <w:rFonts w:ascii="Times New Roman" w:cs="Times New Roman" w:eastAsia="Times New Roman" w:hAnsi="Times New Roman"/>
          <w:sz w:val="17"/>
          <w:szCs w:val="17"/>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Program</w:t>
      </w:r>
    </w:p>
    <w:p>
      <w:pPr>
        <w:spacing w:after="0" w:line="178" w:lineRule="exact"/>
        <w:rPr>
          <w:sz w:val="20"/>
          <w:szCs w:val="20"/>
          <w:color w:val="auto"/>
        </w:rPr>
      </w:pPr>
    </w:p>
    <w:p>
      <w:pPr>
        <w:ind w:right="120" w:firstLine="611"/>
        <w:spacing w:after="0" w:line="273" w:lineRule="auto"/>
        <w:rPr>
          <w:sz w:val="20"/>
          <w:szCs w:val="20"/>
          <w:color w:val="auto"/>
        </w:rPr>
      </w:pPr>
      <w:r>
        <w:rPr>
          <w:rFonts w:ascii="Times New Roman" w:cs="Times New Roman" w:eastAsia="Times New Roman" w:hAnsi="Times New Roman"/>
          <w:sz w:val="16"/>
          <w:szCs w:val="16"/>
          <w:color w:val="auto"/>
        </w:rPr>
        <w:t>In the normal course of business, we may collect and store personal information and certain sensitive information of the Company and third parties, including proprietary and confidential business information, trade secrets, intellectual property, sensitive third-party information and employee information. To protect this information, our existing cybersecurity policies require monitoring and detection programs, network security measures, encryption of critical data, and security assessment of vendors. We maintain various protections designed to safeguard against cyberattacks, including firewalls and virus detection software. We have established and test our disaster recovery plan and we protect against business interruption by backing up our major systems. In addition, we periodically scan our environment for any vulnerabilities, perform penetration testing and engage cybersecurity consultants to assess effectiveness of our data security practices. A cybersecurity consultant conducts regular network security reviews, scans and audits. In addition, we maintain insurance that includes cybersecurity coverage.</w:t>
      </w:r>
    </w:p>
    <w:p>
      <w:pPr>
        <w:spacing w:after="0" w:line="190" w:lineRule="exact"/>
        <w:rPr>
          <w:sz w:val="20"/>
          <w:szCs w:val="20"/>
          <w:color w:val="auto"/>
        </w:rPr>
      </w:pPr>
    </w:p>
    <w:p>
      <w:pPr>
        <w:ind w:right="160" w:firstLine="611"/>
        <w:spacing w:after="0" w:line="259" w:lineRule="auto"/>
        <w:rPr>
          <w:sz w:val="20"/>
          <w:szCs w:val="20"/>
          <w:color w:val="auto"/>
        </w:rPr>
      </w:pPr>
      <w:r>
        <w:rPr>
          <w:rFonts w:ascii="Times New Roman" w:cs="Times New Roman" w:eastAsia="Times New Roman" w:hAnsi="Times New Roman"/>
          <w:sz w:val="17"/>
          <w:szCs w:val="17"/>
          <w:color w:val="auto"/>
        </w:rPr>
        <w:t>Our cybersecurity program incorporates industry-standard frameworks, policies and practices designed to protect the privacy and security of our sensitive information and sensitive information of third parties with whom we do business. Our cybersecurity team reports to the full Board of Directors typically on an annual basis on information security and cybersecurity matters, or more frequently as needed. Certain members from our Board of Directors have cybersecurity experience. See “Item 1C. Cybersecurity” below for additional information.</w:t>
      </w:r>
    </w:p>
    <w:p>
      <w:pPr>
        <w:spacing w:after="0" w:line="200" w:lineRule="exact"/>
        <w:rPr>
          <w:sz w:val="20"/>
          <w:szCs w:val="20"/>
          <w:color w:val="auto"/>
        </w:rPr>
      </w:pPr>
    </w:p>
    <w:p>
      <w:pPr>
        <w:ind w:right="20" w:firstLine="611"/>
        <w:spacing w:after="0" w:line="259" w:lineRule="auto"/>
        <w:rPr>
          <w:sz w:val="20"/>
          <w:szCs w:val="20"/>
          <w:color w:val="auto"/>
        </w:rPr>
      </w:pPr>
      <w:r>
        <w:rPr>
          <w:rFonts w:ascii="Times New Roman" w:cs="Times New Roman" w:eastAsia="Times New Roman" w:hAnsi="Times New Roman"/>
          <w:sz w:val="17"/>
          <w:szCs w:val="17"/>
          <w:color w:val="auto"/>
        </w:rPr>
        <w:t>Despite the implementation of our cybersecurity program, our security measures cannot guarantee that a significant cyberattack will not occur. A successful attack on our information technology or other systems could have significant consequences to our business. While we devote resources to our security measures to protect our systems and information, these measures cannot provide absolute security. See “Risk Factors” for additional information about the risks to our business associated with a breach or compromise to our information technology systems.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91" w:lineRule="exact"/>
        <w:rPr>
          <w:sz w:val="20"/>
          <w:szCs w:val="20"/>
          <w:color w:val="auto"/>
        </w:rPr>
      </w:pPr>
    </w:p>
    <w:p>
      <w:pPr>
        <w:ind w:right="420" w:firstLine="611"/>
        <w:spacing w:after="0" w:line="279" w:lineRule="auto"/>
        <w:rPr>
          <w:sz w:val="20"/>
          <w:szCs w:val="20"/>
          <w:color w:val="auto"/>
        </w:rPr>
      </w:pPr>
      <w:r>
        <w:rPr>
          <w:rFonts w:ascii="Times New Roman" w:cs="Times New Roman" w:eastAsia="Times New Roman" w:hAnsi="Times New Roman"/>
          <w:sz w:val="17"/>
          <w:szCs w:val="17"/>
          <w:color w:val="auto"/>
        </w:rPr>
        <w:t>As of December 28, 2025, we had a work force of approximately 4,300 full-time, part-time and on-call employees in approximately 14 countries. Our employees are our greatest asset, and the ability to recruit, retain, fairly compensate, and develop our workforce is critical to Kratos’ success.</w:t>
      </w:r>
    </w:p>
    <w:p>
      <w:pPr>
        <w:spacing w:after="0" w:line="182" w:lineRule="exact"/>
        <w:rPr>
          <w:sz w:val="20"/>
          <w:szCs w:val="20"/>
          <w:color w:val="auto"/>
        </w:rPr>
      </w:pPr>
    </w:p>
    <w:p>
      <w:pPr>
        <w:ind w:firstLine="611"/>
        <w:spacing w:after="0" w:line="254" w:lineRule="auto"/>
        <w:rPr>
          <w:sz w:val="20"/>
          <w:szCs w:val="20"/>
          <w:color w:val="auto"/>
        </w:rPr>
      </w:pPr>
      <w:r>
        <w:rPr>
          <w:rFonts w:ascii="Times New Roman" w:cs="Times New Roman" w:eastAsia="Times New Roman" w:hAnsi="Times New Roman"/>
          <w:sz w:val="17"/>
          <w:szCs w:val="17"/>
          <w:color w:val="auto"/>
        </w:rPr>
        <w:t>We work diligently to attract the best talent from a diverse range of sources in order to meet the current and future demands of our business. We have established relationships with local job networks and educational institutions to proactively attract a diverse pool of talent. We also strive to provide a compensation and benefits package that will attract, retain, and motivate employees and reward their performance, including competitive market-based pay and comprehensive benefits. In addition to earning a base salary, eligible employees are compensated for their contributions to the Company’s goals with both short-term cash incentives and long-term equity-based incentives. We are committed to providing fair and equitable pay for employees, utilizing both external and internal benchmarking tools to do so. Eligible employees in the U.S. also have access to a wide range of benefits including medical, dental, and vision plans; life insurance, disability insurance and identity theft insurance; savings and retirement plans; an employee stock purchase plan; and other resources. Programs and benefits differ internationally for a variety of reasons, such as local legal requirements and market practices.</w:t>
      </w:r>
    </w:p>
    <w:p>
      <w:pPr>
        <w:spacing w:after="0" w:line="204" w:lineRule="exact"/>
        <w:rPr>
          <w:sz w:val="20"/>
          <w:szCs w:val="20"/>
          <w:color w:val="auto"/>
        </w:rPr>
      </w:pPr>
    </w:p>
    <w:p>
      <w:pPr>
        <w:ind w:right="100" w:firstLine="611"/>
        <w:spacing w:after="0" w:line="257" w:lineRule="auto"/>
        <w:rPr>
          <w:sz w:val="20"/>
          <w:szCs w:val="20"/>
          <w:color w:val="auto"/>
        </w:rPr>
      </w:pPr>
      <w:r>
        <w:rPr>
          <w:rFonts w:ascii="Times New Roman" w:cs="Times New Roman" w:eastAsia="Times New Roman" w:hAnsi="Times New Roman"/>
          <w:sz w:val="17"/>
          <w:szCs w:val="17"/>
          <w:color w:val="auto"/>
        </w:rPr>
        <w:t>We are also committed to employee development. The Company maintains talent and succession planning processes, including annual reviews and regular touchpoint reviews throughout the year, and periodic succession review of executive management by the Company’s chief executive officer and board of directors. We also provide training opportunities for employees at all levels, including live and online training, on the job training, and tuition reimbursement for formal continuing education. Our training program also includes compliance training to regularly promote and reinforce the Company’s culture of ethics and integrity in business.</w:t>
      </w:r>
    </w:p>
    <w:p>
      <w:pPr>
        <w:spacing w:after="0" w:line="201" w:lineRule="exact"/>
        <w:rPr>
          <w:sz w:val="20"/>
          <w:szCs w:val="20"/>
          <w:color w:val="auto"/>
        </w:rPr>
      </w:pPr>
    </w:p>
    <w:p>
      <w:pPr>
        <w:jc w:val="both"/>
        <w:ind w:right="40" w:firstLine="611"/>
        <w:spacing w:after="0" w:line="264" w:lineRule="auto"/>
        <w:rPr>
          <w:sz w:val="20"/>
          <w:szCs w:val="20"/>
          <w:color w:val="auto"/>
        </w:rPr>
      </w:pPr>
      <w:r>
        <w:rPr>
          <w:rFonts w:ascii="Times New Roman" w:cs="Times New Roman" w:eastAsia="Times New Roman" w:hAnsi="Times New Roman"/>
          <w:sz w:val="17"/>
          <w:szCs w:val="17"/>
          <w:color w:val="auto"/>
        </w:rPr>
        <w:t>Guided by our values, we are committed to creating a company where everyone is included and respected, and where we support each other in reaching our full potential. We are committed to diverse representation across all levels of our workforce to reflect the vibrant and thriving diversity of the communities in which we live and work.</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107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78" w:lineRule="exact"/>
        <w:rPr>
          <w:sz w:val="20"/>
          <w:szCs w:val="20"/>
          <w:color w:val="auto"/>
        </w:rPr>
      </w:pPr>
    </w:p>
    <w:p>
      <w:pPr>
        <w:ind w:right="20" w:firstLine="611"/>
        <w:spacing w:after="0" w:line="264" w:lineRule="auto"/>
        <w:rPr>
          <w:sz w:val="20"/>
          <w:szCs w:val="20"/>
          <w:color w:val="auto"/>
        </w:rPr>
      </w:pPr>
      <w:r>
        <w:rPr>
          <w:rFonts w:ascii="Times New Roman" w:cs="Times New Roman" w:eastAsia="Times New Roman" w:hAnsi="Times New Roman"/>
          <w:sz w:val="17"/>
          <w:szCs w:val="17"/>
          <w:color w:val="auto"/>
        </w:rPr>
        <w:t>Our market is competitive and includes a number of companies in the U.S. defense, National Security, venture capital and private equity financed and commercial markets and industries. Most of the companies that we compete against have significantly greater financial, technical, marketing and other resources and generate greater revenues than we do. Competition in the KGS and US segments include tier one, large U.S. Government contractors, newer defense technology</w:t>
      </w:r>
    </w:p>
    <w:p>
      <w:pPr>
        <w:spacing w:after="0" w:line="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companies including Anduril, XBow, Shield AI, Castelion, Ursa Major, Bee Hive, and others, and system integrators such as Northrop Grumman, Lockheed Martin, General Dynamics, Raytheon Technologies, BAE Systems, L3Harris, General Atomics, and Boeing. While we view these and other government contractors and companies in our industry as competitors, we also routinely team or partner with these same companies in joint proposals or in the delivery of our products, solutions and services for customers. In fact, many of our tier one competitors are also our partners and our customers. Tier two competitors include smaller government contractors such as Mercury Systems, Qinetiq, Cobham, CACI, Peraton, Linquest (now owned by KBR), Viasat and AAR Corp. Intense competition and long operating cycles are key characteristics of business within the defense industry. It is also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 and simultaneously perform as a supplier to or be a customer of that same competitor on other contracts, or vice versa. The nature of major defense programs, conducted under binding contracts, allows companies that perform well to benefit from a level of program continuity not frequently found in other industries.</w:t>
      </w:r>
    </w:p>
    <w:p>
      <w:pPr>
        <w:spacing w:after="0" w:line="202" w:lineRule="exact"/>
        <w:rPr>
          <w:sz w:val="20"/>
          <w:szCs w:val="20"/>
          <w:color w:val="auto"/>
        </w:rPr>
      </w:pPr>
    </w:p>
    <w:p>
      <w:pPr>
        <w:jc w:val="both"/>
        <w:ind w:right="220" w:firstLine="611"/>
        <w:spacing w:after="0" w:line="275" w:lineRule="auto"/>
        <w:rPr>
          <w:sz w:val="20"/>
          <w:szCs w:val="20"/>
          <w:color w:val="auto"/>
        </w:rPr>
      </w:pPr>
      <w:r>
        <w:rPr>
          <w:rFonts w:ascii="Times New Roman" w:cs="Times New Roman" w:eastAsia="Times New Roman" w:hAnsi="Times New Roman"/>
          <w:sz w:val="16"/>
          <w:szCs w:val="16"/>
          <w:color w:val="auto"/>
        </w:rPr>
        <w:t>We believe that the principal competitive factors in our ability to win new business include our ability as a technology company to address the defense, national security and commercial markets, our belief that affordability is a technology, our focus on making internally funded investments, our ability to rapidly develop and produce actual working products and systems, our ability to manufacture military qualified and specified hardware and our strategy of being first to market with relevant systems, products and technology, focused on priority DoW requirements and funding areas. We also believe that our relationships with the traditional defense industry aerospace and defense system integrators, and the value we bring to them in partnership to pursue large new program opportunities, is</w:t>
      </w:r>
    </w:p>
    <w:p>
      <w:pPr>
        <w:spacing w:after="0" w:line="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also a key differentiator for our Company. Also important is our reputation, past performance qualifications, customer relationships, domain and technology expertise, the ability to obtain and replace contract vehicles, the ability to deliver results within budget (time and cost), reputation, accountability, staffing flexibility, and project management expertise. Additionally, our ability to deliver cost effective systems, products, solutions and services that meet our customers’ and partners’ requirements is also a key differentiator.</w:t>
      </w:r>
    </w:p>
    <w:p>
      <w:pPr>
        <w:spacing w:after="0" w:line="200" w:lineRule="exact"/>
        <w:rPr>
          <w:sz w:val="20"/>
          <w:szCs w:val="20"/>
          <w:color w:val="auto"/>
        </w:rPr>
      </w:pPr>
    </w:p>
    <w:p>
      <w:pPr>
        <w:ind w:right="20" w:firstLine="611"/>
        <w:spacing w:after="0" w:line="275" w:lineRule="auto"/>
        <w:rPr>
          <w:sz w:val="20"/>
          <w:szCs w:val="20"/>
          <w:color w:val="auto"/>
        </w:rPr>
      </w:pPr>
      <w:r>
        <w:rPr>
          <w:rFonts w:ascii="Times New Roman" w:cs="Times New Roman" w:eastAsia="Times New Roman" w:hAnsi="Times New Roman"/>
          <w:sz w:val="16"/>
          <w:szCs w:val="16"/>
          <w:color w:val="auto"/>
        </w:rPr>
        <w:t>In the U.S. defense, IT, and services markets, the U.S. Government has stressed competition and affordability or low cost in connection with its future procurement of products and services, i.e. affordable mass. This has led to fewer sole source awards, as well as more emphasis on cost competitiveness, with certain contract awards issued on a Low Price Technically Acceptable (“LPTA”) basis, rather than a best value basis, which has historically negatively impacted certain areas of our Defense and Rocket Support Systems (“DRSS”) business in our KGS segment and in our training services business. In addition, competitor bid protests have become more prevalent in the current competitive environment, resulting in further delay of contract procurement activity. As a result of these changing market</w:t>
      </w:r>
    </w:p>
    <w:p>
      <w:pPr>
        <w:spacing w:after="0" w:line="3"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7"/>
          <w:szCs w:val="17"/>
          <w:color w:val="auto"/>
        </w:rPr>
        <w:t>dynamics, Kratos has made the strategic decision to deemphasize these types of potential LPTA services businesses, and to focus our financial and other resources on our products, systems, software and technology focused business areas, making internally funded investments in our related core competency and market focus business areas, developing and owning important intellectual property and being first to market with our offerings.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52" w:lineRule="exact"/>
        <w:rPr>
          <w:sz w:val="20"/>
          <w:szCs w:val="20"/>
          <w:color w:val="auto"/>
        </w:rPr>
      </w:pPr>
    </w:p>
    <w:p>
      <w:pPr>
        <w:ind w:firstLine="167"/>
        <w:spacing w:after="0" w:line="277" w:lineRule="auto"/>
        <w:rPr>
          <w:sz w:val="20"/>
          <w:szCs w:val="20"/>
          <w:color w:val="auto"/>
        </w:rPr>
      </w:pPr>
      <w:r>
        <w:rPr>
          <w:rFonts w:ascii="Times New Roman" w:cs="Times New Roman" w:eastAsia="Times New Roman" w:hAnsi="Times New Roman"/>
          <w:sz w:val="16"/>
          <w:szCs w:val="16"/>
          <w:color w:val="auto"/>
        </w:rPr>
        <w:t>We believe that our future success depends upon our ability to continue to rapidly develop new products and services, and enhancements to and applications for our existing products and services, to be delivered at an affordable cost. Our research and development expenses were $40.0 million, $40.3 million and $38.4 million in 2025, 2024, and 2023, respectively. We intend to continue our focus on research and development as a key strategy for growth, which will focus on investments in those fields that we believe will offer the greatest opportunity for growth and profitability. Our current primary internal research and development (“IR&amp;D”) focus areas include satellite communications and signal monitoring, unmanned systems, electronic products, turbine technologies, rocket, hypersonic and other systems.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107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52" w:lineRule="exact"/>
        <w:rPr>
          <w:sz w:val="20"/>
          <w:szCs w:val="20"/>
          <w:color w:val="auto"/>
        </w:rPr>
      </w:pPr>
    </w:p>
    <w:p>
      <w:pPr>
        <w:ind w:firstLine="611"/>
        <w:spacing w:after="0" w:line="264" w:lineRule="auto"/>
        <w:rPr>
          <w:sz w:val="20"/>
          <w:szCs w:val="20"/>
          <w:color w:val="auto"/>
        </w:rPr>
      </w:pPr>
      <w:r>
        <w:rPr>
          <w:rFonts w:ascii="Times New Roman" w:cs="Times New Roman" w:eastAsia="Times New Roman" w:hAnsi="Times New Roman"/>
          <w:sz w:val="17"/>
          <w:szCs w:val="17"/>
          <w:color w:val="auto"/>
        </w:rPr>
        <w:t>We believe that our continued success depends in large part on our proprietary technology, the intellectual skills of our employees and the ability of our employees to continue to innovate. We rely on a combination of patent, copyright, trademark and trade secret laws, as well as confidentiality agreements, to establish and protect our proprietary rights.</w:t>
      </w:r>
    </w:p>
    <w:p>
      <w:pPr>
        <w:spacing w:after="0" w:line="93" w:lineRule="exact"/>
        <w:rPr>
          <w:sz w:val="20"/>
          <w:szCs w:val="20"/>
          <w:color w:val="auto"/>
        </w:rPr>
      </w:pPr>
    </w:p>
    <w:p>
      <w:pPr>
        <w:ind w:right="40" w:firstLine="611"/>
        <w:spacing w:after="0" w:line="255" w:lineRule="auto"/>
        <w:rPr>
          <w:sz w:val="20"/>
          <w:szCs w:val="20"/>
          <w:color w:val="auto"/>
        </w:rPr>
      </w:pPr>
      <w:r>
        <w:rPr>
          <w:rFonts w:ascii="Times New Roman" w:cs="Times New Roman" w:eastAsia="Times New Roman" w:hAnsi="Times New Roman"/>
          <w:sz w:val="17"/>
          <w:szCs w:val="17"/>
          <w:color w:val="auto"/>
        </w:rPr>
        <w:t>As of December 28, 2025, we held a number of U.S. and foreign patents. Patents applicable to specific products extend for varying periods according to the date of patent application filing or patent grant and the legal term of patents in the various countries where patent protection is obtained. We do not consider our business to be materially dependent upon any individual patent, and we do not believe that our business would be materially affected by the expiration of any particular intellectual property right. We will continue to file and pursue patent applications when and where appropriate to attempt to protect our rights in our proprietary technologies. We also encourage our employees to continue to invent and develop new technologies so as to maintain our competitiveness in the marketplace.</w:t>
      </w:r>
    </w:p>
    <w:p>
      <w:pPr>
        <w:spacing w:after="0" w:line="205" w:lineRule="exact"/>
        <w:rPr>
          <w:sz w:val="20"/>
          <w:szCs w:val="20"/>
          <w:color w:val="auto"/>
        </w:rPr>
      </w:pPr>
    </w:p>
    <w:p>
      <w:pPr>
        <w:ind w:right="220" w:firstLine="611"/>
        <w:spacing w:after="0" w:line="279" w:lineRule="auto"/>
        <w:rPr>
          <w:sz w:val="20"/>
          <w:szCs w:val="20"/>
          <w:color w:val="auto"/>
        </w:rPr>
      </w:pPr>
      <w:r>
        <w:rPr>
          <w:rFonts w:ascii="Times New Roman" w:cs="Times New Roman" w:eastAsia="Times New Roman" w:hAnsi="Times New Roman"/>
          <w:sz w:val="17"/>
          <w:szCs w:val="17"/>
          <w:color w:val="auto"/>
        </w:rPr>
        <w:t>We own or have rights to use certain trademarks, service marks and trade names that we use in conjunction with the operation of our business. Certain of our trademarks have also been registered in selected foreign countries.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subject to various government regulations, including various U.S. Government regulations as a contractor and subcontractor to the agencies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Government. Among the most significant U.S. Government regulations affecting our business are:</w:t>
      </w:r>
    </w:p>
    <w:p>
      <w:pPr>
        <w:spacing w:after="0" w:line="120" w:lineRule="exact"/>
        <w:rPr>
          <w:sz w:val="20"/>
          <w:szCs w:val="20"/>
          <w:color w:val="auto"/>
        </w:rPr>
      </w:pPr>
    </w:p>
    <w:p>
      <w:pPr>
        <w:ind w:left="1220" w:right="360" w:hanging="301"/>
        <w:spacing w:after="0" w:line="279" w:lineRule="auto"/>
        <w:tabs>
          <w:tab w:leader="none" w:pos="12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Acquisition Regulations and supplemental agency regulations, which comprehensively regulate the formation, administration, and performance under government contracts;</w:t>
      </w:r>
    </w:p>
    <w:p>
      <w:pPr>
        <w:spacing w:after="0" w:line="93" w:lineRule="exact"/>
        <w:rPr>
          <w:rFonts w:ascii="Times New Roman" w:cs="Times New Roman" w:eastAsia="Times New Roman" w:hAnsi="Times New Roman"/>
          <w:sz w:val="17"/>
          <w:szCs w:val="17"/>
          <w:color w:val="auto"/>
        </w:rPr>
      </w:pPr>
    </w:p>
    <w:p>
      <w:pPr>
        <w:ind w:left="1220" w:right="500" w:hanging="301"/>
        <w:spacing w:after="0" w:line="279" w:lineRule="auto"/>
        <w:tabs>
          <w:tab w:leader="none" w:pos="12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Truthful Cost or Pricing Data Statute (formerly the Truth in Negotiations Act), which requires certification and disclosure of all cost and pricing data in connection with contract negotiations;</w:t>
      </w:r>
    </w:p>
    <w:p>
      <w:pPr>
        <w:spacing w:after="0" w:line="93" w:lineRule="exact"/>
        <w:rPr>
          <w:rFonts w:ascii="Times New Roman" w:cs="Times New Roman" w:eastAsia="Times New Roman" w:hAnsi="Times New Roman"/>
          <w:sz w:val="17"/>
          <w:szCs w:val="17"/>
          <w:color w:val="auto"/>
        </w:rPr>
      </w:pPr>
    </w:p>
    <w:p>
      <w:pPr>
        <w:ind w:left="1220" w:right="420" w:hanging="301"/>
        <w:spacing w:after="0" w:line="279" w:lineRule="auto"/>
        <w:tabs>
          <w:tab w:leader="none" w:pos="12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Accounting Standards, which impose accounting requirements that govern our right to reimbursement under cost-based government contracts;</w:t>
      </w:r>
    </w:p>
    <w:p>
      <w:pPr>
        <w:spacing w:after="0" w:line="80" w:lineRule="exact"/>
        <w:rPr>
          <w:rFonts w:ascii="Times New Roman" w:cs="Times New Roman" w:eastAsia="Times New Roman" w:hAnsi="Times New Roman"/>
          <w:sz w:val="17"/>
          <w:szCs w:val="17"/>
          <w:color w:val="auto"/>
        </w:rPr>
      </w:pPr>
    </w:p>
    <w:p>
      <w:pPr>
        <w:ind w:left="1220" w:right="540" w:hanging="301"/>
        <w:spacing w:after="0" w:line="279" w:lineRule="auto"/>
        <w:tabs>
          <w:tab w:leader="none" w:pos="12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Industrial Security Manual, which establishes the security guidelines for classified programs and facilities as well as individual security clearances;</w:t>
      </w:r>
    </w:p>
    <w:p>
      <w:pPr>
        <w:spacing w:after="0" w:line="93" w:lineRule="exact"/>
        <w:rPr>
          <w:rFonts w:ascii="Times New Roman" w:cs="Times New Roman" w:eastAsia="Times New Roman" w:hAnsi="Times New Roman"/>
          <w:sz w:val="17"/>
          <w:szCs w:val="17"/>
          <w:color w:val="auto"/>
        </w:rPr>
      </w:pPr>
    </w:p>
    <w:p>
      <w:pPr>
        <w:ind w:left="1220" w:right="160" w:hanging="301"/>
        <w:spacing w:after="0" w:line="279" w:lineRule="auto"/>
        <w:tabs>
          <w:tab w:leader="none" w:pos="12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which prohibits U.S. companies from providing anything of value to a foreign official to help obtain, retain or direct business, or obtain any unfair advantages;</w:t>
      </w:r>
    </w:p>
    <w:p>
      <w:pPr>
        <w:spacing w:after="0" w:line="93" w:lineRule="exact"/>
        <w:rPr>
          <w:rFonts w:ascii="Times New Roman" w:cs="Times New Roman" w:eastAsia="Times New Roman" w:hAnsi="Times New Roman"/>
          <w:sz w:val="17"/>
          <w:szCs w:val="17"/>
          <w:color w:val="auto"/>
        </w:rPr>
      </w:pPr>
    </w:p>
    <w:p>
      <w:pPr>
        <w:ind w:left="1220" w:right="40" w:hanging="301"/>
        <w:spacing w:after="0" w:line="279" w:lineRule="auto"/>
        <w:tabs>
          <w:tab w:leader="none" w:pos="12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False Claims Act and the False Statements Act, which, respectively, impose penalties for payments made on the basis of false facts provided to the government and impose penalties on the basis of false statements, even if they do not result in a payment; and</w:t>
      </w:r>
    </w:p>
    <w:p>
      <w:pPr>
        <w:spacing w:after="0" w:line="80" w:lineRule="exact"/>
        <w:rPr>
          <w:rFonts w:ascii="Times New Roman" w:cs="Times New Roman" w:eastAsia="Times New Roman" w:hAnsi="Times New Roman"/>
          <w:sz w:val="17"/>
          <w:szCs w:val="17"/>
          <w:color w:val="auto"/>
        </w:rPr>
      </w:pPr>
    </w:p>
    <w:p>
      <w:pPr>
        <w:ind w:left="1220" w:right="520" w:hanging="301"/>
        <w:spacing w:after="0" w:line="279" w:lineRule="auto"/>
        <w:tabs>
          <w:tab w:leader="none" w:pos="12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regulations and executive orders restricting the use and dissemination of information classified for National Security purposes and the exportation of certain products and technical data.</w:t>
      </w:r>
    </w:p>
    <w:p>
      <w:pPr>
        <w:spacing w:after="0" w:line="93" w:lineRule="exact"/>
        <w:rPr>
          <w:sz w:val="20"/>
          <w:szCs w:val="20"/>
          <w:color w:val="auto"/>
        </w:rPr>
      </w:pPr>
    </w:p>
    <w:p>
      <w:pPr>
        <w:ind w:right="40" w:firstLine="611"/>
        <w:spacing w:after="0" w:line="264" w:lineRule="auto"/>
        <w:rPr>
          <w:sz w:val="20"/>
          <w:szCs w:val="20"/>
          <w:color w:val="auto"/>
        </w:rPr>
      </w:pPr>
      <w:r>
        <w:rPr>
          <w:rFonts w:ascii="Times New Roman" w:cs="Times New Roman" w:eastAsia="Times New Roman" w:hAnsi="Times New Roman"/>
          <w:sz w:val="17"/>
          <w:szCs w:val="17"/>
          <w:color w:val="auto"/>
        </w:rPr>
        <w:t>We also need special security clearances to continue working on and advancing certain of our programs and contracts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to obtain government clearances.</w:t>
      </w:r>
    </w:p>
    <w:p>
      <w:pPr>
        <w:spacing w:after="0" w:line="106" w:lineRule="exact"/>
        <w:rPr>
          <w:sz w:val="20"/>
          <w:szCs w:val="20"/>
          <w:color w:val="auto"/>
        </w:rPr>
      </w:pPr>
    </w:p>
    <w:p>
      <w:pPr>
        <w:ind w:right="140" w:firstLine="611"/>
        <w:spacing w:after="0" w:line="255" w:lineRule="auto"/>
        <w:rPr>
          <w:sz w:val="20"/>
          <w:szCs w:val="20"/>
          <w:color w:val="auto"/>
        </w:rPr>
      </w:pPr>
      <w:r>
        <w:rPr>
          <w:rFonts w:ascii="Times New Roman" w:cs="Times New Roman" w:eastAsia="Times New Roman" w:hAnsi="Times New Roman"/>
          <w:sz w:val="17"/>
          <w:szCs w:val="17"/>
          <w:color w:val="auto"/>
        </w:rPr>
        <w:t>In addition, we are subject to industry-specific regulations due to the nature of the products and services we provide. For example, certain aspects of our business are subject to further regulation by additional U.S. government authorities, including (i) the Federal Aviation Administration, which regulates airspace for all air vehicles in the U.S. National Airspace System, (ii) the National Telecommunications and Information Administration and the Federal Communications Commission, which regulate the wireless communications upon which our UAS business depend in the United States and (iii) the Defense Trade Controls of the U.S. Department of State that administers the International Traffic in Arms Regulations, which regulate the export of controlled technical data, defense articles and defense services.</w:t>
      </w:r>
    </w:p>
    <w:p>
      <w:pPr>
        <w:spacing w:after="0" w:line="104" w:lineRule="exact"/>
        <w:rPr>
          <w:sz w:val="20"/>
          <w:szCs w:val="20"/>
          <w:color w:val="auto"/>
        </w:rPr>
      </w:pPr>
    </w:p>
    <w:p>
      <w:pPr>
        <w:ind w:right="120" w:firstLine="611"/>
        <w:spacing w:after="0" w:line="259" w:lineRule="auto"/>
        <w:rPr>
          <w:sz w:val="20"/>
          <w:szCs w:val="20"/>
          <w:color w:val="auto"/>
        </w:rPr>
      </w:pPr>
      <w:r>
        <w:rPr>
          <w:rFonts w:ascii="Times New Roman" w:cs="Times New Roman" w:eastAsia="Times New Roman" w:hAnsi="Times New Roman"/>
          <w:sz w:val="17"/>
          <w:szCs w:val="17"/>
          <w:color w:val="auto"/>
        </w:rPr>
        <w:t>The nature of the work we do for the federal government may also limit the parties who may invest in or acquire us. Export laws may keep us from providing potential foreign acquirers with a review of the technical data they would be acquiring. In addition, there are special requirements for foreign parties who wish to buy or acquire control or influence over companies that control technology or produce goods in the security interests of the U.S. There may need to be a review under the Exon-Florio provisions of the Defense Production Act. including review by the Committee on Foreign Investment in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16" w:name="page17"/>
    <w:bookmarkEnd w:id="16"/>
    <w:p>
      <w:pPr>
        <w:spacing w:after="0" w:line="264" w:lineRule="auto"/>
        <w:rPr>
          <w:sz w:val="20"/>
          <w:szCs w:val="20"/>
          <w:color w:val="auto"/>
        </w:rPr>
      </w:pPr>
      <w:r>
        <w:rPr>
          <w:rFonts w:ascii="Times New Roman" w:cs="Times New Roman" w:eastAsia="Times New Roman" w:hAnsi="Times New Roman"/>
          <w:sz w:val="17"/>
          <w:szCs w:val="17"/>
          <w:color w:val="auto"/>
        </w:rPr>
        <w:t>United States (CFIUS) under the Foreign Investment Risk Review Modernization Act of 2018 (FIRRMA). Finally, the government may require a prospective foreign owner to establish intermediaries to actually run that part of the company that does classified work, and establishing a subsidiary and its separate operation may make such an acquisition less appealing to such potential acquirers.</w:t>
      </w:r>
    </w:p>
    <w:p>
      <w:pPr>
        <w:spacing w:after="0" w:line="106" w:lineRule="exact"/>
        <w:rPr>
          <w:sz w:val="20"/>
          <w:szCs w:val="20"/>
          <w:color w:val="auto"/>
        </w:rPr>
      </w:pPr>
    </w:p>
    <w:p>
      <w:pPr>
        <w:ind w:right="40" w:firstLine="611"/>
        <w:spacing w:after="0" w:line="259" w:lineRule="auto"/>
        <w:rPr>
          <w:sz w:val="20"/>
          <w:szCs w:val="20"/>
          <w:color w:val="auto"/>
        </w:rPr>
      </w:pPr>
      <w:r>
        <w:rPr>
          <w:rFonts w:ascii="Times New Roman" w:cs="Times New Roman" w:eastAsia="Times New Roman" w:hAnsi="Times New Roman"/>
          <w:sz w:val="17"/>
          <w:szCs w:val="17"/>
          <w:color w:val="auto"/>
        </w:rPr>
        <w:t>In addition, the export from the U.S. of certain of our products may require the issuance of a license by the U.S. Department of Commerce under the Export Administration Act, and its implementing regulations as kept in force by the International Emergency Economic Powers Act of 1977. Some of our products may require the issuance of a license by the U.S. Department of State under the Arms Export Control Act and its implementing regulations, which licenses are generally harder to obtain and take longer to obtain than do Export Administration Act licenses.</w:t>
      </w:r>
    </w:p>
    <w:p>
      <w:pPr>
        <w:spacing w:after="0" w:line="98" w:lineRule="exact"/>
        <w:rPr>
          <w:sz w:val="20"/>
          <w:szCs w:val="20"/>
          <w:color w:val="auto"/>
        </w:rPr>
      </w:pPr>
    </w:p>
    <w:p>
      <w:pPr>
        <w:ind w:right="460" w:firstLine="611"/>
        <w:spacing w:after="0" w:line="279" w:lineRule="auto"/>
        <w:rPr>
          <w:sz w:val="20"/>
          <w:szCs w:val="20"/>
          <w:color w:val="auto"/>
        </w:rPr>
      </w:pPr>
      <w:r>
        <w:rPr>
          <w:rFonts w:ascii="Times New Roman" w:cs="Times New Roman" w:eastAsia="Times New Roman" w:hAnsi="Times New Roman"/>
          <w:sz w:val="17"/>
          <w:szCs w:val="17"/>
          <w:color w:val="auto"/>
        </w:rPr>
        <w:t>Our business may require compliance with state or local laws designed to limit the uses of personal user information gathered online or require online services to establish privacy policies.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Availability</w:t>
      </w:r>
    </w:p>
    <w:p>
      <w:pPr>
        <w:spacing w:after="0" w:line="152" w:lineRule="exact"/>
        <w:rPr>
          <w:sz w:val="20"/>
          <w:szCs w:val="20"/>
          <w:color w:val="auto"/>
        </w:rPr>
      </w:pPr>
    </w:p>
    <w:p>
      <w:pPr>
        <w:ind w:right="20" w:firstLine="611"/>
        <w:spacing w:after="0" w:line="259" w:lineRule="auto"/>
        <w:rPr>
          <w:sz w:val="20"/>
          <w:szCs w:val="20"/>
          <w:color w:val="auto"/>
        </w:rPr>
      </w:pPr>
      <w:r>
        <w:rPr>
          <w:rFonts w:ascii="Times New Roman" w:cs="Times New Roman" w:eastAsia="Times New Roman" w:hAnsi="Times New Roman"/>
          <w:sz w:val="17"/>
          <w:szCs w:val="17"/>
          <w:color w:val="auto"/>
        </w:rPr>
        <w:t>We procure critical material, components, products and subsystems from domestic and global supply partners. These supply sources may be single sources for certain components and the material provided may have extended lead times. To support our continuing customer needs, we have taken steps to mitigate sourcing risks. This includes working closely with our suppliers to ensure future material and subsystem availability to support our manufacturing plans. In some cases, we have elected to stock reserve material to ensure future availability.</w:t>
      </w:r>
    </w:p>
    <w:p>
      <w:pPr>
        <w:spacing w:after="0" w:line="73" w:lineRule="exact"/>
        <w:rPr>
          <w:sz w:val="20"/>
          <w:szCs w:val="20"/>
          <w:color w:val="auto"/>
        </w:rPr>
      </w:pPr>
    </w:p>
    <w:p>
      <w:pPr>
        <w:ind w:right="20" w:firstLine="611"/>
        <w:spacing w:after="0" w:line="257" w:lineRule="auto"/>
        <w:rPr>
          <w:sz w:val="20"/>
          <w:szCs w:val="20"/>
          <w:color w:val="auto"/>
        </w:rPr>
      </w:pPr>
      <w:r>
        <w:rPr>
          <w:rFonts w:ascii="Times New Roman" w:cs="Times New Roman" w:eastAsia="Times New Roman" w:hAnsi="Times New Roman"/>
          <w:sz w:val="17"/>
          <w:szCs w:val="17"/>
          <w:color w:val="auto"/>
        </w:rPr>
        <w:t>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is experiencing increased demand and a global shortage of semiconductors, creating substantial uncertainty regarding our suppliers’ continued production of key components for our products, and the supply for certain subcomponents and parts is impacting our C5ISR business, and the shortage of qualified vendors which supply certain ancillary parts for our aerial targets have resulted in cost increases. See “Risk Factors” for further discussion regarding risks related to raw materials.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w:t>
      </w:r>
    </w:p>
    <w:p>
      <w:pPr>
        <w:spacing w:after="0" w:line="140" w:lineRule="exact"/>
        <w:rPr>
          <w:sz w:val="20"/>
          <w:szCs w:val="20"/>
          <w:color w:val="auto"/>
        </w:rPr>
      </w:pPr>
    </w:p>
    <w:p>
      <w:pPr>
        <w:ind w:right="140" w:firstLine="611"/>
        <w:spacing w:after="0" w:line="246" w:lineRule="auto"/>
        <w:rPr>
          <w:sz w:val="20"/>
          <w:szCs w:val="20"/>
          <w:color w:val="auto"/>
        </w:rPr>
      </w:pPr>
      <w:r>
        <w:rPr>
          <w:rFonts w:ascii="Times New Roman" w:cs="Times New Roman" w:eastAsia="Times New Roman" w:hAnsi="Times New Roman"/>
          <w:sz w:val="17"/>
          <w:szCs w:val="17"/>
          <w:color w:val="auto"/>
        </w:rPr>
        <w:t>Our manufacturing operations are subject to many requirements under environmental laws and regulations. In the U.S., the U.S. Environmental Protection Agency and similar state agencies administer laws that restrict the emission of pollutants into the air, discharges of pollutants into bodies of water and disposal of pollutants in the ground. Violations of these laws can result in significant civil and criminal penalties and incarceration. The failure to obtain a permit for certain activities may be a violation of environmental law and subject the owner and operator to civil and criminal sanctions. Most environmental agencies also have the power to shut down an operation if it is operating in violation of environmental law. U.S. laws also allow citizens to bring private enforcement actions in some situations. Outside the U.S., the environmental laws and their enforcement vary and may be more burdensome.</w:t>
      </w:r>
    </w:p>
    <w:p>
      <w:pPr>
        <w:spacing w:after="0" w:line="199" w:lineRule="exact"/>
        <w:rPr>
          <w:sz w:val="20"/>
          <w:szCs w:val="20"/>
          <w:color w:val="auto"/>
        </w:rPr>
      </w:pPr>
    </w:p>
    <w:p>
      <w:pPr>
        <w:jc w:val="both"/>
        <w:ind w:right="80" w:firstLine="611"/>
        <w:spacing w:after="0" w:line="259" w:lineRule="auto"/>
        <w:rPr>
          <w:sz w:val="20"/>
          <w:szCs w:val="20"/>
          <w:color w:val="auto"/>
        </w:rPr>
      </w:pPr>
      <w:r>
        <w:rPr>
          <w:rFonts w:ascii="Times New Roman" w:cs="Times New Roman" w:eastAsia="Times New Roman" w:hAnsi="Times New Roman"/>
          <w:sz w:val="17"/>
          <w:szCs w:val="17"/>
          <w:color w:val="auto"/>
        </w:rPr>
        <w:t>Other environmental laws, primarily in the U.S., address the contamination of land and groundwater and require the clean-up of such contamination. These laws may apply not only to the owner or operator of an on-going business, but also to the owner of land contaminated by a prior owner or operator. In addition, if a parcel is contaminated by the release of a hazardous substance, such as through its historic use as a disposal site, any person or company that has contributed to that contamination, whether or not it has a legal interest in the land, may be subject to a requirement to clean up the parcel.</w:t>
      </w:r>
    </w:p>
    <w:p>
      <w:pPr>
        <w:spacing w:after="0" w:line="111" w:lineRule="exact"/>
        <w:rPr>
          <w:sz w:val="20"/>
          <w:szCs w:val="20"/>
          <w:color w:val="auto"/>
        </w:rPr>
      </w:pPr>
    </w:p>
    <w:p>
      <w:pPr>
        <w:ind w:firstLine="611"/>
        <w:spacing w:after="0" w:line="279" w:lineRule="auto"/>
        <w:rPr>
          <w:sz w:val="20"/>
          <w:szCs w:val="20"/>
          <w:color w:val="auto"/>
        </w:rPr>
      </w:pPr>
      <w:r>
        <w:rPr>
          <w:rFonts w:ascii="Times New Roman" w:cs="Times New Roman" w:eastAsia="Times New Roman" w:hAnsi="Times New Roman"/>
          <w:sz w:val="17"/>
          <w:szCs w:val="17"/>
          <w:color w:val="auto"/>
        </w:rPr>
        <w:t>We have management programs and processes in place that are intended to achieve compliance with, and minimize the potential for violations of, applicable environmental laws and regulations.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40" w:lineRule="exact"/>
        <w:rPr>
          <w:sz w:val="20"/>
          <w:szCs w:val="20"/>
          <w:color w:val="auto"/>
        </w:rPr>
      </w:pPr>
    </w:p>
    <w:p>
      <w:pPr>
        <w:ind w:right="80" w:firstLine="611"/>
        <w:spacing w:after="0" w:line="281" w:lineRule="auto"/>
        <w:rPr>
          <w:sz w:val="20"/>
          <w:szCs w:val="20"/>
          <w:color w:val="auto"/>
        </w:rPr>
      </w:pPr>
      <w:r>
        <w:rPr>
          <w:rFonts w:ascii="Times New Roman" w:cs="Times New Roman" w:eastAsia="Times New Roman" w:hAnsi="Times New Roman"/>
          <w:sz w:val="16"/>
          <w:szCs w:val="16"/>
          <w:color w:val="auto"/>
        </w:rPr>
        <w:t xml:space="preserve">We file reports with the Securities and Exchange Commission (“SEC”). We make available on our website under “Investor Relations/Financial Information/SEC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Times New Roman" w:cs="Times New Roman" w:eastAsia="Times New Roman" w:hAnsi="Times New Roman"/>
          <w:sz w:val="16"/>
          <w:szCs w:val="16"/>
          <w:i w:val="1"/>
          <w:iCs w:val="1"/>
          <w:color w:val="auto"/>
        </w:rPr>
        <w:t>www.kratosdefense.com</w:t>
      </w:r>
      <w:r>
        <w:rPr>
          <w:rFonts w:ascii="Times New Roman" w:cs="Times New Roman" w:eastAsia="Times New Roman" w:hAnsi="Times New Roman"/>
          <w:sz w:val="16"/>
          <w:szCs w:val="16"/>
          <w:color w:val="auto"/>
        </w:rPr>
        <w:t>. The SEC also maintains an Internet site that contains our reports, proxy and information statements, and other information at www.sec.gov.</w:t>
      </w:r>
    </w:p>
    <w:p>
      <w:pPr>
        <w:spacing w:after="0" w:line="132" w:lineRule="exact"/>
        <w:rPr>
          <w:sz w:val="20"/>
          <w:szCs w:val="20"/>
          <w:color w:val="auto"/>
        </w:rPr>
      </w:pPr>
    </w:p>
    <w:p>
      <w:pPr>
        <w:ind w:right="120" w:firstLine="611"/>
        <w:spacing w:after="0" w:line="279" w:lineRule="auto"/>
        <w:rPr>
          <w:sz w:val="20"/>
          <w:szCs w:val="20"/>
          <w:color w:val="auto"/>
        </w:rPr>
      </w:pPr>
      <w:r>
        <w:rPr>
          <w:rFonts w:ascii="Times New Roman" w:cs="Times New Roman" w:eastAsia="Times New Roman" w:hAnsi="Times New Roman"/>
          <w:sz w:val="17"/>
          <w:szCs w:val="17"/>
          <w:color w:val="auto"/>
        </w:rPr>
        <w:t>We have included our website address and the SEC’s website in this report solely as an inactive textual reference. References to our website and the SEC’s website in this report are provided as a convenience and do not constitute, and should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17" w:name="page18"/>
    <w:bookmarkEnd w:id="17"/>
    <w:p>
      <w:pPr>
        <w:spacing w:after="0" w:line="279" w:lineRule="auto"/>
        <w:rPr>
          <w:sz w:val="20"/>
          <w:szCs w:val="20"/>
          <w:color w:val="auto"/>
        </w:rPr>
      </w:pPr>
      <w:r>
        <w:rPr>
          <w:rFonts w:ascii="Times New Roman" w:cs="Times New Roman" w:eastAsia="Times New Roman" w:hAnsi="Times New Roman"/>
          <w:sz w:val="17"/>
          <w:szCs w:val="17"/>
          <w:color w:val="auto"/>
        </w:rPr>
        <w:t>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20"/>
          </w:cols>
          <w:pgMar w:left="320" w:top="849"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12" w:lineRule="exact"/>
        <w:rPr>
          <w:sz w:val="20"/>
          <w:szCs w:val="20"/>
          <w:color w:val="auto"/>
        </w:rPr>
      </w:pPr>
    </w:p>
    <w:p>
      <w:pPr>
        <w:ind w:firstLine="611"/>
        <w:spacing w:after="0" w:line="258"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the related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w:t>
      </w:r>
    </w:p>
    <w:p>
      <w:pPr>
        <w:spacing w:after="0" w:line="63" w:lineRule="exact"/>
        <w:rPr>
          <w:sz w:val="20"/>
          <w:szCs w:val="20"/>
          <w:color w:val="auto"/>
        </w:rPr>
      </w:pPr>
    </w:p>
    <w:p>
      <w:pPr>
        <w:ind w:left="620" w:right="160" w:hanging="313"/>
        <w:spacing w:after="0" w:line="259"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dynamics within our markets may affect our ability to win new contracts and result in reduced revenues, which could have a material adverse effect on our financial position, results of operations and/or cash flows.</w:t>
      </w:r>
    </w:p>
    <w:p>
      <w:pPr>
        <w:spacing w:after="0" w:line="1" w:lineRule="exact"/>
        <w:rPr>
          <w:rFonts w:ascii="Times New Roman" w:cs="Times New Roman" w:eastAsia="Times New Roman" w:hAnsi="Times New Roman"/>
          <w:sz w:val="17"/>
          <w:szCs w:val="17"/>
          <w:color w:val="auto"/>
        </w:rPr>
      </w:pPr>
    </w:p>
    <w:p>
      <w:pPr>
        <w:ind w:left="620" w:right="60" w:hanging="313"/>
        <w:spacing w:after="0" w:line="25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Government provides a significant portion of our revenue, and our business could be adversely affected by changes in the fiscal and other policies of the U.S. Government and other governmental entities.</w:t>
      </w:r>
    </w:p>
    <w:p>
      <w:pPr>
        <w:ind w:left="620" w:right="280" w:hanging="313"/>
        <w:spacing w:after="0" w:line="25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ind w:left="620" w:right="560" w:hanging="313"/>
        <w:spacing w:after="0" w:line="25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establish and maintain important relationships with government agencies and prime contractors, our ability to successfully maintain and develop new business may be adversely affected.</w:t>
      </w:r>
    </w:p>
    <w:p>
      <w:pPr>
        <w:ind w:left="600" w:hanging="293"/>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or delay of one or more of our largest customers, programs, or applications could adversely affect our results of operations.</w:t>
      </w:r>
    </w:p>
    <w:p>
      <w:pPr>
        <w:spacing w:after="0" w:line="8" w:lineRule="exact"/>
        <w:rPr>
          <w:rFonts w:ascii="Times New Roman" w:cs="Times New Roman" w:eastAsia="Times New Roman" w:hAnsi="Times New Roman"/>
          <w:sz w:val="17"/>
          <w:szCs w:val="17"/>
          <w:color w:val="auto"/>
        </w:rPr>
      </w:pPr>
    </w:p>
    <w:p>
      <w:pPr>
        <w:ind w:left="620" w:right="220" w:hanging="313"/>
        <w:spacing w:after="0" w:line="25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pauses or stop work orders by our customers or contract penalties could adversely affect our results of operations.</w:t>
      </w:r>
    </w:p>
    <w:p>
      <w:pPr>
        <w:ind w:left="620" w:right="20" w:hanging="313"/>
        <w:spacing w:after="0" w:line="25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subcontractors or suppliers fail to perform their contractual obligations, our performance and reputation as a contractor and our ability to obtain future business could suffer.</w:t>
      </w:r>
    </w:p>
    <w:p>
      <w:pPr>
        <w:ind w:left="620" w:right="120" w:hanging="313"/>
        <w:spacing w:after="0" w:line="25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intense competition from many competitors that have greater resources than we do, which could result in price reductions, reduced profitability or loss of market share.</w:t>
      </w:r>
    </w:p>
    <w:p>
      <w:pPr>
        <w:ind w:left="620" w:right="300" w:hanging="313"/>
        <w:spacing w:after="0" w:line="25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UAS and UGS markets do not experience significant growth, if we cannot expand our customer base or if our products do not achieve broad acceptance, or if the products we have developed or will develop do not become programs of record, then we may not be able to achieve our anticipated level of growth.</w:t>
      </w:r>
    </w:p>
    <w:p>
      <w:pPr>
        <w:ind w:left="600" w:hanging="293"/>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our GSA contracts or GWACs could impair our ability to attract new business.</w:t>
      </w:r>
    </w:p>
    <w:p>
      <w:pPr>
        <w:spacing w:after="0" w:line="8" w:lineRule="exact"/>
        <w:rPr>
          <w:rFonts w:ascii="Times New Roman" w:cs="Times New Roman" w:eastAsia="Times New Roman" w:hAnsi="Times New Roman"/>
          <w:sz w:val="17"/>
          <w:szCs w:val="17"/>
          <w:color w:val="auto"/>
        </w:rPr>
      </w:pPr>
    </w:p>
    <w:p>
      <w:pPr>
        <w:ind w:left="620" w:right="520" w:hanging="313"/>
        <w:spacing w:after="0" w:line="25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contracts differ materially from standard commercial contracts, involve competitive bidding and may be subject to cancellation or delay without penalty.</w:t>
      </w:r>
    </w:p>
    <w:p>
      <w:pPr>
        <w:ind w:left="620" w:right="520" w:hanging="313"/>
        <w:spacing w:after="0" w:line="25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receive the full amounts estimated under the contracts in our backlog, which could reduce our revenue in future periods below the levels anticipated. This makes backlog an uncertain indicator of future operating results.</w:t>
      </w:r>
    </w:p>
    <w:p>
      <w:pPr>
        <w:ind w:left="620" w:right="200" w:hanging="313"/>
        <w:spacing w:after="0" w:line="25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preference for minority-owned, small and small disadvantaged businesses could impact our ability to be a prime contractor and limit our opportunity to work as a subcontractor on certain governmental procurements.</w:t>
      </w:r>
    </w:p>
    <w:p>
      <w:pPr>
        <w:ind w:left="600" w:hanging="293"/>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in-sourcing could result in loss of business opportunities and personnel.</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be negatively impacted by cyber and other security threats or disruptions.</w:t>
      </w:r>
    </w:p>
    <w:p>
      <w:pPr>
        <w:spacing w:after="0" w:line="8" w:lineRule="exact"/>
        <w:rPr>
          <w:rFonts w:ascii="Times New Roman" w:cs="Times New Roman" w:eastAsia="Times New Roman" w:hAnsi="Times New Roman"/>
          <w:sz w:val="17"/>
          <w:szCs w:val="17"/>
          <w:color w:val="auto"/>
        </w:rPr>
      </w:pPr>
    </w:p>
    <w:p>
      <w:pPr>
        <w:ind w:left="620" w:right="100" w:hanging="313"/>
        <w:spacing w:after="0" w:line="25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are complex and could have unknown defects or errors, which may increase our costs, harm our reputation with customers, give rise to costly litigation, or divert our resources from other purposes.</w:t>
      </w:r>
    </w:p>
    <w:p>
      <w:pPr>
        <w:ind w:left="620" w:right="500" w:hanging="313"/>
        <w:spacing w:after="0" w:line="25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the volatile and flammable nature of certain components of our products and equipment, fires or explosions may disrupt our business or cause significant injuries, which could adversely affect our financial results.</w:t>
      </w:r>
    </w:p>
    <w:p>
      <w:pPr>
        <w:ind w:left="620" w:right="260" w:hanging="313"/>
        <w:spacing w:after="0" w:line="25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margins and operating results may suffer if we experience unfavorable changes in the proportion of cost-plus-fee or fixed-price contracts in our total contract mix.</w:t>
      </w:r>
    </w:p>
    <w:p>
      <w:pPr>
        <w:ind w:left="600" w:hanging="293"/>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and may continue to incur goodwill impairment charges in our reporting entities, which could harm our profitability.</w:t>
      </w:r>
    </w:p>
    <w:p>
      <w:pPr>
        <w:spacing w:after="0" w:line="8" w:lineRule="exact"/>
        <w:rPr>
          <w:rFonts w:ascii="Times New Roman" w:cs="Times New Roman" w:eastAsia="Times New Roman" w:hAnsi="Times New Roman"/>
          <w:sz w:val="17"/>
          <w:szCs w:val="17"/>
          <w:color w:val="auto"/>
        </w:rPr>
      </w:pPr>
    </w:p>
    <w:p>
      <w:pPr>
        <w:ind w:left="620" w:hanging="313"/>
        <w:spacing w:after="0" w:line="26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utilize our net operating loss carryforwards and certain other tax attributes may be limited. We may be required to record valuation allowances on our net operating loss carryforwards in future periods, which could adversely impact our profitability and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Operations</w:t>
      </w:r>
    </w:p>
    <w:p>
      <w:pPr>
        <w:spacing w:after="0" w:line="63" w:lineRule="exact"/>
        <w:rPr>
          <w:sz w:val="20"/>
          <w:szCs w:val="20"/>
          <w:color w:val="auto"/>
        </w:rPr>
      </w:pPr>
    </w:p>
    <w:p>
      <w:pPr>
        <w:ind w:left="5540" w:right="3320" w:hanging="5233"/>
        <w:spacing w:after="0" w:line="920" w:lineRule="auto"/>
        <w:tabs>
          <w:tab w:leader="none" w:pos="61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expose us to risks associated with pandemics, epidemics or other public health emergencies.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-298450</wp:posOffset>
            </wp:positionV>
            <wp:extent cx="716534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9" w:name="page20"/>
    <w:bookmarkEnd w:id="19"/>
    <w:p>
      <w:pPr>
        <w:ind w:left="600" w:hanging="293"/>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additional capital to fund the growth of our business, and financing may not be available on favorable terms or at all.</w:t>
      </w:r>
    </w:p>
    <w:p>
      <w:pPr>
        <w:spacing w:after="0" w:line="23"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cash may be subject to a risk of loss and we may be exposed to fluctuations in the market values of our portfolio investments and in interest rates.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Past acquisitions and future acquisitions could prove difficult to integrate, disrupt our business, dilute stockholder value and strain our resources.</w:t>
      </w:r>
    </w:p>
    <w:p>
      <w:pPr>
        <w:spacing w:after="0" w:line="8" w:lineRule="exact"/>
        <w:rPr>
          <w:rFonts w:ascii="Times New Roman" w:cs="Times New Roman" w:eastAsia="Times New Roman" w:hAnsi="Times New Roman"/>
          <w:sz w:val="17"/>
          <w:szCs w:val="17"/>
          <w:color w:val="auto"/>
        </w:rPr>
      </w:pPr>
    </w:p>
    <w:p>
      <w:pPr>
        <w:ind w:left="620" w:right="360" w:hanging="313"/>
        <w:spacing w:after="0" w:line="25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any member of our senior management could impair our relationships with U.S. Government customers and disrupt the management of our business.</w:t>
      </w:r>
    </w:p>
    <w:p>
      <w:pPr>
        <w:ind w:left="620" w:right="180" w:hanging="313"/>
        <w:spacing w:after="0" w:line="25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attract and retain skilled employees or employees with the necessary National Security clearances, we might not be able to perform under our contracts or win new business.</w:t>
      </w:r>
    </w:p>
    <w:p>
      <w:pPr>
        <w:ind w:left="620" w:right="100" w:hanging="313"/>
        <w:spacing w:after="0" w:line="25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the requirements of the National Industrial Security Program Operating Manual for our facility security clearance, which is a prerequisite to our ability to perform on classified contracts for the U.S. Government.</w:t>
      </w:r>
    </w:p>
    <w:p>
      <w:pPr>
        <w:ind w:left="620" w:right="320" w:hanging="313"/>
        <w:spacing w:after="0" w:line="25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DoW CMMC requirements issued by the Pentagon which may limit our ability to bid and win projects. The cost for the DoW CMMC requirements may be significant.</w:t>
      </w:r>
    </w:p>
    <w:p>
      <w:pPr>
        <w:ind w:left="600" w:hanging="293"/>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breaches or disruptions of our information technology systems could negatively impact our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International Operations</w:t>
      </w:r>
    </w:p>
    <w:p>
      <w:pPr>
        <w:spacing w:after="0" w:line="63" w:lineRule="exact"/>
        <w:rPr>
          <w:sz w:val="20"/>
          <w:szCs w:val="20"/>
          <w:color w:val="auto"/>
        </w:rPr>
      </w:pPr>
    </w:p>
    <w:p>
      <w:pPr>
        <w:ind w:left="600" w:hanging="293"/>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 derived from our international business could be subject to global economic downturn and hardship.</w:t>
      </w:r>
    </w:p>
    <w:p>
      <w:pPr>
        <w:spacing w:after="0" w:line="23"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international business exposes us to additional risks.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tax laws and regulations could expose us to additional tax liabilities and could adversely affect our financial risks.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Indebtedness</w:t>
      </w:r>
    </w:p>
    <w:p>
      <w:pPr>
        <w:spacing w:after="0" w:line="63" w:lineRule="exact"/>
        <w:rPr>
          <w:sz w:val="20"/>
          <w:szCs w:val="20"/>
          <w:color w:val="auto"/>
        </w:rPr>
      </w:pPr>
    </w:p>
    <w:p>
      <w:pPr>
        <w:ind w:left="600" w:hanging="293"/>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borrow under our revolving line of credit, which could adversely affect our cash flow, financial condition and business.</w:t>
      </w:r>
    </w:p>
    <w:p>
      <w:pPr>
        <w:spacing w:after="0" w:line="23" w:lineRule="exact"/>
        <w:rPr>
          <w:rFonts w:ascii="Times New Roman" w:cs="Times New Roman" w:eastAsia="Times New Roman" w:hAnsi="Times New Roman"/>
          <w:sz w:val="17"/>
          <w:szCs w:val="17"/>
          <w:color w:val="auto"/>
        </w:rPr>
      </w:pPr>
    </w:p>
    <w:p>
      <w:pPr>
        <w:ind w:left="620" w:right="120" w:hanging="313"/>
        <w:spacing w:after="0" w:line="25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subsidiaries may incur long-term indebtedness, which may introduce the risks associated with our leverage, including our ability to service our indebtedness.</w:t>
      </w:r>
    </w:p>
    <w:p>
      <w:pPr>
        <w:ind w:left="620" w:right="300" w:hanging="313"/>
        <w:spacing w:after="0" w:line="25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portion of our business is conducted through foreign subsidiaries, and the failure to generate sufficient cash flow from these subsidiaries, or otherwise repatriate or receive cash from these subsidiaries, could result in our inability to repay indebtedness that we may incur.</w:t>
      </w:r>
    </w:p>
    <w:p>
      <w:pPr>
        <w:ind w:left="620" w:right="780" w:hanging="313"/>
        <w:spacing w:after="0" w:line="26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Intellectual Property</w:t>
      </w:r>
    </w:p>
    <w:p>
      <w:pPr>
        <w:spacing w:after="0" w:line="63" w:lineRule="exact"/>
        <w:rPr>
          <w:sz w:val="20"/>
          <w:szCs w:val="20"/>
          <w:color w:val="auto"/>
        </w:rPr>
      </w:pPr>
    </w:p>
    <w:p>
      <w:pPr>
        <w:ind w:left="600" w:hanging="293"/>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protect our intellectual property rights.</w:t>
      </w:r>
    </w:p>
    <w:p>
      <w:pPr>
        <w:spacing w:after="0" w:line="23"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Disclosure of trade secrets could cause harm to our business.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harmed by intellectual property infringement claims.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Regulatory, Environmental and Legal Issues</w:t>
      </w:r>
    </w:p>
    <w:p>
      <w:pPr>
        <w:spacing w:after="0" w:line="63" w:lineRule="exact"/>
        <w:rPr>
          <w:sz w:val="20"/>
          <w:szCs w:val="20"/>
          <w:color w:val="auto"/>
        </w:rPr>
      </w:pPr>
    </w:p>
    <w:p>
      <w:pPr>
        <w:ind w:left="600" w:hanging="293"/>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complex procurement laws and regulations could cause us to lose business and subject us to a variety of penalties.</w:t>
      </w:r>
    </w:p>
    <w:p>
      <w:pPr>
        <w:spacing w:after="0" w:line="23" w:lineRule="exact"/>
        <w:rPr>
          <w:rFonts w:ascii="Times New Roman" w:cs="Times New Roman" w:eastAsia="Times New Roman" w:hAnsi="Times New Roman"/>
          <w:sz w:val="17"/>
          <w:szCs w:val="17"/>
          <w:color w:val="auto"/>
        </w:rPr>
      </w:pPr>
    </w:p>
    <w:p>
      <w:pPr>
        <w:ind w:left="620" w:hanging="313"/>
        <w:spacing w:after="0" w:line="250"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contracts and administrative processes and systems are subject to audits and cost adjustments by the U.S. Government, which could reduce our revenue, disrupt our business or otherwise adversely affect our results of operations.</w:t>
      </w:r>
    </w:p>
    <w:p>
      <w:pPr>
        <w:ind w:left="620" w:right="100" w:hanging="313"/>
        <w:spacing w:after="0" w:line="260"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Common Stock</w:t>
      </w:r>
    </w:p>
    <w:p>
      <w:pPr>
        <w:spacing w:after="0" w:line="63" w:lineRule="exact"/>
        <w:rPr>
          <w:sz w:val="20"/>
          <w:szCs w:val="20"/>
          <w:color w:val="auto"/>
        </w:rPr>
      </w:pPr>
    </w:p>
    <w:p>
      <w:pPr>
        <w:ind w:right="2060" w:firstLine="307"/>
        <w:spacing w:after="0" w:line="560" w:lineRule="auto"/>
        <w:tabs>
          <w:tab w:leader="none" w:pos="60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contracts with the U.S. Government are classified, which may limit investor insight into portions of our business. For a more complete discussion of the material risks facing our business, see below.</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Competitive dynamics within our markets may affect our ability to win new contracts and result in reduced revenues, which could have a material adverse effect on our financial position, results of operations and/or cash flows.</w:t>
      </w:r>
    </w:p>
    <w:p>
      <w:pPr>
        <w:spacing w:after="0" w:line="153" w:lineRule="exact"/>
        <w:rPr>
          <w:sz w:val="20"/>
          <w:szCs w:val="20"/>
          <w:color w:val="auto"/>
        </w:rPr>
      </w:pPr>
    </w:p>
    <w:p>
      <w:pPr>
        <w:ind w:right="20" w:firstLine="611"/>
        <w:spacing w:after="0" w:line="253" w:lineRule="auto"/>
        <w:rPr>
          <w:sz w:val="20"/>
          <w:szCs w:val="20"/>
          <w:color w:val="auto"/>
        </w:rPr>
      </w:pPr>
      <w:r>
        <w:rPr>
          <w:rFonts w:ascii="Times New Roman" w:cs="Times New Roman" w:eastAsia="Times New Roman" w:hAnsi="Times New Roman"/>
          <w:sz w:val="17"/>
          <w:szCs w:val="17"/>
          <w:color w:val="auto"/>
        </w:rPr>
        <w:t>We operate in highly competitive markets and our competitors may have more financial capacity or more extensive or specialized engineering, technical, manufacturing, marketing or servicing capabilities than we do. They may be willing to accept more risk or lower profitability in competing for contracts. We have seen, and anticipate we will continue to see, increased competition, including in some of our core markets, especially as a result of our customers’ budget pressures and their focus on speed, affordability and competition. The U.S. government’s continued emphasis on reforming its acquisition processes, including procuring commercial products and services and utilizing non-Federal Acquisition Regulation-based procurement methods, such as Other Transaction Authority (OTA) agreements and other contract types, has facilitated, and may continue to facilitate, participation by new and emerging market entrants, which has increased and may in the future further increase competition for the programs we pursue, which could result in reduced contract opportunities, increased pricing pressure, and/or demands to accept less favorable terms. In certain circumstances, these alternative contracting models may place increased risk on the contractor, such as the potential for greater assumption of development costs or for limited reimbursement recourse in certain situations. Further, certain non-Federal Acquisition Regulation-based procurement methods, such as OTA awards, are not subject to all of the procurement requirements that typically apply to DoW contracts and rights to protest such awards may be more limited than for other contracts.</w:t>
      </w:r>
    </w:p>
    <w:p>
      <w:pPr>
        <w:spacing w:after="0" w:line="178" w:lineRule="exact"/>
        <w:rPr>
          <w:sz w:val="20"/>
          <w:szCs w:val="20"/>
          <w:color w:val="auto"/>
        </w:rPr>
      </w:pPr>
    </w:p>
    <w:p>
      <w:pPr>
        <w:ind w:right="180" w:firstLine="611"/>
        <w:spacing w:after="0" w:line="259" w:lineRule="auto"/>
        <w:rPr>
          <w:sz w:val="20"/>
          <w:szCs w:val="20"/>
          <w:color w:val="auto"/>
        </w:rPr>
      </w:pPr>
      <w:r>
        <w:rPr>
          <w:rFonts w:ascii="Times New Roman" w:cs="Times New Roman" w:eastAsia="Times New Roman" w:hAnsi="Times New Roman"/>
          <w:sz w:val="17"/>
          <w:szCs w:val="17"/>
          <w:color w:val="auto"/>
        </w:rPr>
        <w:t>Our customers are increasingly working with commercial contractors as well as newer entrants and startups in the defense industry for some products and services. Such contractors may have lower cost, more agile operating structures and access to capital and talent, a greater ability to leverage changes in the customer’s acquisition strategies (e.g., multiple awardees, short lifecycles) or be more inclined to take on increased risk than we are. In addition, some customers continue to utilize small business contractors or determine to source work internally.</w:t>
      </w:r>
    </w:p>
    <w:p>
      <w:pPr>
        <w:spacing w:after="0" w:line="175" w:lineRule="exact"/>
        <w:rPr>
          <w:sz w:val="20"/>
          <w:szCs w:val="20"/>
          <w:color w:val="auto"/>
        </w:rPr>
      </w:pPr>
    </w:p>
    <w:p>
      <w:pPr>
        <w:ind w:right="180" w:firstLine="611"/>
        <w:spacing w:after="0" w:line="264" w:lineRule="auto"/>
        <w:rPr>
          <w:sz w:val="20"/>
          <w:szCs w:val="20"/>
          <w:color w:val="auto"/>
        </w:rPr>
      </w:pPr>
      <w:r>
        <w:rPr>
          <w:rFonts w:ascii="Times New Roman" w:cs="Times New Roman" w:eastAsia="Times New Roman" w:hAnsi="Times New Roman"/>
          <w:sz w:val="17"/>
          <w:szCs w:val="17"/>
          <w:color w:val="auto"/>
        </w:rPr>
        <w:t>Our success in competing depends, in part, on our ability to remain price- and cost-competitive, respond to changes in customer acquisition strategies and preferences, accurately anticipate our customers’ needs, successfully effect our digital transformation strategy and identify, adopt and integrate new digital technologies, including artificial intelligence, into our manufacturing, operations, business processes, products and services.</w:t>
      </w:r>
    </w:p>
    <w:p>
      <w:pPr>
        <w:spacing w:after="0" w:line="170" w:lineRule="exact"/>
        <w:rPr>
          <w:sz w:val="20"/>
          <w:szCs w:val="20"/>
          <w:color w:val="auto"/>
        </w:rPr>
      </w:pPr>
    </w:p>
    <w:p>
      <w:pPr>
        <w:jc w:val="both"/>
        <w:ind w:firstLine="611"/>
        <w:spacing w:after="0" w:line="264" w:lineRule="auto"/>
        <w:rPr>
          <w:sz w:val="20"/>
          <w:szCs w:val="20"/>
          <w:color w:val="auto"/>
        </w:rPr>
      </w:pPr>
      <w:r>
        <w:rPr>
          <w:rFonts w:ascii="Times New Roman" w:cs="Times New Roman" w:eastAsia="Times New Roman" w:hAnsi="Times New Roman"/>
          <w:sz w:val="17"/>
          <w:szCs w:val="17"/>
          <w:color w:val="auto"/>
        </w:rPr>
        <w:t>We expect that the increasing competition in the U.S. and outside the U.S. from U.S., foreign and multinational firms, including new entrants, could further increase due to mergers or acquisitions within our industry and could limit our access to certain suppliers, absent appropriate remedies to protect our interests. We are also facing increasing competition for, and more limited access to, various critical products, services and supplies.</w:t>
      </w:r>
    </w:p>
    <w:p>
      <w:pPr>
        <w:spacing w:after="0" w:line="170" w:lineRule="exact"/>
        <w:rPr>
          <w:sz w:val="20"/>
          <w:szCs w:val="20"/>
          <w:color w:val="auto"/>
        </w:rPr>
      </w:pPr>
    </w:p>
    <w:p>
      <w:pPr>
        <w:ind w:right="120" w:firstLine="611"/>
        <w:spacing w:after="0" w:line="264" w:lineRule="auto"/>
        <w:rPr>
          <w:sz w:val="20"/>
          <w:szCs w:val="20"/>
          <w:color w:val="auto"/>
        </w:rPr>
      </w:pPr>
      <w:r>
        <w:rPr>
          <w:rFonts w:ascii="Times New Roman" w:cs="Times New Roman" w:eastAsia="Times New Roman" w:hAnsi="Times New Roman"/>
          <w:sz w:val="17"/>
          <w:szCs w:val="17"/>
          <w:color w:val="auto"/>
        </w:rPr>
        <w:t>Additionally, in some instances, companies both inside and outside the U.S. may receive loans, investments, subsidies, preferential treatment and other assistance from their governments or customers that may not be provided or available to us. Such assistance may increase the competitiveness of such companies in certain opportunities that we may pursue. Certain foreign companies may also be subject to fewer restrictions on technology transfer than we are.</w:t>
      </w:r>
    </w:p>
    <w:p>
      <w:pPr>
        <w:spacing w:after="0" w:line="170" w:lineRule="exact"/>
        <w:rPr>
          <w:sz w:val="20"/>
          <w:szCs w:val="20"/>
          <w:color w:val="auto"/>
        </w:rPr>
      </w:pPr>
    </w:p>
    <w:p>
      <w:pPr>
        <w:ind w:right="300" w:firstLine="611"/>
        <w:spacing w:after="0" w:line="264" w:lineRule="auto"/>
        <w:rPr>
          <w:sz w:val="20"/>
          <w:szCs w:val="20"/>
          <w:color w:val="auto"/>
        </w:rPr>
      </w:pPr>
      <w:r>
        <w:rPr>
          <w:rFonts w:ascii="Times New Roman" w:cs="Times New Roman" w:eastAsia="Times New Roman" w:hAnsi="Times New Roman"/>
          <w:sz w:val="17"/>
          <w:szCs w:val="17"/>
          <w:color w:val="auto"/>
        </w:rPr>
        <w:t>In addition, U.S. government procurement and certain other countries’ laws permit legal challenges to the terms of a contract solicitation or award, sometimes referred to as a bid protest. Bid protests can result in award decisions being reversed and loss of the contract award. Even where a bid protest does not result in such a loss, it can result in significant expenses and delay the start of contract activities and revenue or result in contract modifications.</w:t>
      </w:r>
    </w:p>
    <w:p>
      <w:pPr>
        <w:spacing w:after="0" w:line="166" w:lineRule="exact"/>
        <w:rPr>
          <w:sz w:val="20"/>
          <w:szCs w:val="20"/>
          <w:color w:val="auto"/>
        </w:rPr>
      </w:pPr>
    </w:p>
    <w:p>
      <w:pPr>
        <w:ind w:right="340" w:firstLine="611"/>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The U.S. Government provides a significant portion of our revenue, and our business could be adversely affected by changes in the fiscal and other policies of the U.S. Government and other governmental entities.</w:t>
      </w:r>
    </w:p>
    <w:p>
      <w:pPr>
        <w:spacing w:after="0" w:line="166" w:lineRule="exact"/>
        <w:rPr>
          <w:sz w:val="20"/>
          <w:szCs w:val="20"/>
          <w:color w:val="auto"/>
        </w:rPr>
      </w:pPr>
    </w:p>
    <w:p>
      <w:pPr>
        <w:ind w:right="120" w:firstLine="170"/>
        <w:spacing w:after="0" w:line="254" w:lineRule="auto"/>
        <w:rPr>
          <w:sz w:val="20"/>
          <w:szCs w:val="20"/>
          <w:color w:val="auto"/>
        </w:rPr>
      </w:pPr>
      <w:r>
        <w:rPr>
          <w:rFonts w:ascii="Times New Roman" w:cs="Times New Roman" w:eastAsia="Times New Roman" w:hAnsi="Times New Roman"/>
          <w:sz w:val="17"/>
          <w:szCs w:val="17"/>
          <w:color w:val="auto"/>
        </w:rPr>
        <w:t>In fiscal 2025, 2024 and 2023, we generated 68%, 67% and 69%, respectively, of our total revenues from contracts with the U.S. Government (including all branches of the U.S. military and FMS), either as a prime contractor or a subcontractor. We expect to continue to derive most of our revenues from work performed under U.S. Government contracts. See the Industry Update section in Item 1 “Business” contained within this Annual Report for a discussion of the current budgetary and funding constraints on U.S. Government spending. As a result, we have experienced and expect to continue to experience reduced or delayed awards on some of our programs, with a related negative impact to our revenues, earnings and cash flows. Competitor bid protests also have become more prevalent in the current competitive environment, which has led to further contract award delays. In addition, any future changes to the fiscal policies of the U.S. Government and foreign governmental entities may decrease overall government funding for defense and homeland security, result in delays in the procurement of our products and services due to lack of funding, cause the U.S. Government and government agencies to</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1" w:name="page22"/>
    <w:bookmarkEnd w:id="21"/>
    <w:p>
      <w:pPr>
        <w:ind w:right="20"/>
        <w:spacing w:after="0" w:line="255" w:lineRule="auto"/>
        <w:rPr>
          <w:sz w:val="20"/>
          <w:szCs w:val="20"/>
          <w:color w:val="auto"/>
        </w:rPr>
      </w:pPr>
      <w:r>
        <w:rPr>
          <w:rFonts w:ascii="Times New Roman" w:cs="Times New Roman" w:eastAsia="Times New Roman" w:hAnsi="Times New Roman"/>
          <w:sz w:val="17"/>
          <w:szCs w:val="17"/>
          <w:color w:val="auto"/>
        </w:rPr>
        <w:t>reduce their purchases under existing contracts, or cause them to exercise their rights to terminate contracts at-will or to abstain from exercising options to renew contracts, any of which would have an adverse effect on our business, financial condition, results of operations and/or cash flows. Furthermore, on January 20, 2025, President Trump announced an executive order establishing the “Department of Government Efficiency” to maximize government efficiency and productivity. In February 2025, President Trump stated that he has directed DOGE to review Pentagon spending for potential waste and fraud. Pressures on and uncertainty surrounding the U.S. federal government’s budget and potential changes in budgetary priorities, could adversely affect our revenue, financial condition, and results of operations.</w:t>
      </w:r>
    </w:p>
    <w:p>
      <w:pPr>
        <w:spacing w:after="0" w:line="180"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In addition, President Trump has issued multiple executive orders, including one intended to reform the DoW’s defense acquisition processes and promote expedited and streamlined acquisitions. Following issuance of those executive orders, the Secretary of War issued a memorandum and released the DoW’s Acquisition Transformation Strategy, which is aligned with the executive orders and seeks to overhaul the existing defense acquisition system through process changes that prioritize speed, flexibility, and rigorous execution. A subsequent executive order was issued that may limit corporate distributions, share repurchases, and executive compensation incentives during periods of defense contractor underperformance, insufficient prioritization, investment or production speed under their U.S. Government contracts. Depending on the implementation thereof, our financial results and the market price of our common stock may be impacted by these executive orders and related actions.</w:t>
      </w:r>
    </w:p>
    <w:p>
      <w:pPr>
        <w:spacing w:after="0" w:line="172"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53" w:lineRule="exact"/>
        <w:rPr>
          <w:sz w:val="20"/>
          <w:szCs w:val="20"/>
          <w:color w:val="auto"/>
        </w:rPr>
      </w:pPr>
    </w:p>
    <w:p>
      <w:pPr>
        <w:ind w:right="20" w:firstLine="170"/>
        <w:spacing w:after="0" w:line="253" w:lineRule="auto"/>
        <w:rPr>
          <w:sz w:val="20"/>
          <w:szCs w:val="20"/>
          <w:color w:val="auto"/>
        </w:rPr>
      </w:pPr>
      <w:r>
        <w:rPr>
          <w:rFonts w:ascii="Times New Roman" w:cs="Times New Roman" w:eastAsia="Times New Roman" w:hAnsi="Times New Roman"/>
          <w:sz w:val="17"/>
          <w:szCs w:val="17"/>
          <w:color w:val="auto"/>
        </w:rPr>
        <w:t>U.S. Government programs are subject to annual congressional budget authorization and appropriation processes. For many programs, Congress appropriates funds on a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 We cannot predict the extent to which total funding and/or funding for individual programs will be included, increased or reduced as part of the annual budget process ultimately approved by Congress and the President or in separate supplemental appropriations or continuing resolutions, as applicable. Laws and plans adopted by the U.S. Government relating to, along with pressures on and uncertainty surrounding the federal budget, potential changes in priorities and defense spending levels, sequestration, the appropriations process, use of continuing resolutions (with restrictions, e.g., on new starts) and the permissible federal debt limit,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under such programs may be terminated or adjusted by the U.S. Government or the prime contractor.</w:t>
      </w:r>
    </w:p>
    <w:p>
      <w:pPr>
        <w:spacing w:after="0" w:line="180" w:lineRule="exact"/>
        <w:rPr>
          <w:sz w:val="20"/>
          <w:szCs w:val="20"/>
          <w:color w:val="auto"/>
        </w:rPr>
      </w:pPr>
    </w:p>
    <w:p>
      <w:pPr>
        <w:ind w:right="140" w:firstLine="167"/>
        <w:spacing w:after="0" w:line="279" w:lineRule="auto"/>
        <w:rPr>
          <w:sz w:val="20"/>
          <w:szCs w:val="20"/>
          <w:color w:val="auto"/>
        </w:rPr>
      </w:pPr>
      <w:r>
        <w:rPr>
          <w:rFonts w:ascii="Times New Roman" w:cs="Times New Roman" w:eastAsia="Times New Roman" w:hAnsi="Times New Roman"/>
          <w:sz w:val="17"/>
          <w:szCs w:val="17"/>
          <w:color w:val="auto"/>
        </w:rPr>
        <w:t>The federal budget and debt ceiling are expected to continue to be the subject of considerable debate, which could have a significant impact on defense spending broadly and our programs in particular.</w:t>
      </w:r>
    </w:p>
    <w:p>
      <w:pPr>
        <w:spacing w:after="0" w:line="157" w:lineRule="exact"/>
        <w:rPr>
          <w:sz w:val="20"/>
          <w:szCs w:val="20"/>
          <w:color w:val="auto"/>
        </w:rPr>
      </w:pPr>
    </w:p>
    <w:p>
      <w:pPr>
        <w:ind w:firstLine="167"/>
        <w:spacing w:after="0" w:line="253" w:lineRule="auto"/>
        <w:rPr>
          <w:sz w:val="20"/>
          <w:szCs w:val="20"/>
          <w:color w:val="auto"/>
        </w:rPr>
      </w:pPr>
      <w:r>
        <w:rPr>
          <w:rFonts w:ascii="Times New Roman" w:cs="Times New Roman" w:eastAsia="Times New Roman" w:hAnsi="Times New Roman"/>
          <w:sz w:val="17"/>
          <w:szCs w:val="17"/>
          <w:color w:val="auto"/>
        </w:rPr>
        <w:t>The budget environment, including budget caps mandated by the Budget Control Act of 2011 (the “BCA”) for fiscal years 2022 and 2023, which was reinstituted with established budget caps for 2024 and 2025 under The Fiscal Responsibility Act of 2023, and uncertainty surrounding the debt ceiling and the appropriations process, remain significant short and long-term risks for the Company. Considerable uncertainty exists regarding how future budget and program decisions will unfold, including the defense spending priorities of the current administration and Congress, what challenges budget reductions (required by the BCA and otherwise) will present for the defense industry and whether annual appropriations bills for all agencies will be enacted in a timely manner. If annual appropriations bills are not timely enacted, the U.S. Government may again operate under a continuing resolution, restricting new contract or program starts, presenting resource allocation challenges and placing limitations on some planned program budgets, and we may face additional government shutdowns of unknown duration. If a prolonged government shutdown of the DoW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80" w:lineRule="exact"/>
        <w:rPr>
          <w:sz w:val="20"/>
          <w:szCs w:val="20"/>
          <w:color w:val="auto"/>
        </w:rPr>
      </w:pPr>
    </w:p>
    <w:p>
      <w:pPr>
        <w:jc w:val="both"/>
        <w:ind w:right="20" w:firstLine="611"/>
        <w:spacing w:after="0" w:line="264" w:lineRule="auto"/>
        <w:rPr>
          <w:sz w:val="20"/>
          <w:szCs w:val="20"/>
          <w:color w:val="auto"/>
        </w:rPr>
      </w:pPr>
      <w:r>
        <w:rPr>
          <w:rFonts w:ascii="Times New Roman" w:cs="Times New Roman" w:eastAsia="Times New Roman" w:hAnsi="Times New Roman"/>
          <w:sz w:val="17"/>
          <w:szCs w:val="17"/>
          <w:color w:val="auto"/>
        </w:rPr>
        <w:t>We believe continued budget pressures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this environment will have long-term implications for us and the entire defense industry.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22" w:name="page23"/>
    <w:bookmarkEnd w:id="22"/>
    <w:p>
      <w:pPr>
        <w:ind w:right="400" w:firstLine="160"/>
        <w:spacing w:after="0" w:line="259" w:lineRule="auto"/>
        <w:rPr>
          <w:sz w:val="20"/>
          <w:szCs w:val="20"/>
          <w:color w:val="auto"/>
        </w:rPr>
      </w:pPr>
      <w:r>
        <w:rPr>
          <w:rFonts w:ascii="Times New Roman" w:cs="Times New Roman" w:eastAsia="Times New Roman" w:hAnsi="Times New Roman"/>
          <w:sz w:val="17"/>
          <w:szCs w:val="17"/>
          <w:color w:val="auto"/>
        </w:rPr>
        <w:t>Additionally, funding for certain programs in which we participate may be reduced, delayed or cancelled, and budget cuts globally could adversely affect the viability of our subcontractors and suppliers, and our employee base. While we believe that our business is well-positioned in areas that the DoW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175" w:lineRule="exact"/>
        <w:rPr>
          <w:sz w:val="20"/>
          <w:szCs w:val="20"/>
          <w:color w:val="auto"/>
        </w:rPr>
      </w:pPr>
    </w:p>
    <w:p>
      <w:pPr>
        <w:ind w:right="160" w:firstLine="170"/>
        <w:spacing w:after="0" w:line="264" w:lineRule="auto"/>
        <w:rPr>
          <w:sz w:val="20"/>
          <w:szCs w:val="20"/>
          <w:color w:val="auto"/>
        </w:rPr>
      </w:pPr>
      <w:r>
        <w:rPr>
          <w:rFonts w:ascii="Times New Roman" w:cs="Times New Roman" w:eastAsia="Times New Roman" w:hAnsi="Times New Roman"/>
          <w:sz w:val="17"/>
          <w:szCs w:val="17"/>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166"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153" w:lineRule="exact"/>
        <w:rPr>
          <w:sz w:val="20"/>
          <w:szCs w:val="20"/>
          <w:color w:val="auto"/>
        </w:rPr>
      </w:pPr>
    </w:p>
    <w:p>
      <w:pPr>
        <w:ind w:firstLine="611"/>
        <w:spacing w:after="0" w:line="254" w:lineRule="auto"/>
        <w:rPr>
          <w:sz w:val="20"/>
          <w:szCs w:val="20"/>
          <w:color w:val="auto"/>
        </w:rPr>
      </w:pPr>
      <w:r>
        <w:rPr>
          <w:rFonts w:ascii="Times New Roman" w:cs="Times New Roman" w:eastAsia="Times New Roman" w:hAnsi="Times New Roman"/>
          <w:sz w:val="17"/>
          <w:szCs w:val="17"/>
          <w:color w:val="auto"/>
        </w:rPr>
        <w:t>Our reputation and relationship with the U.S. Government, and in particular with the agencies of the DoW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adversely affect our ability to maintain our existing business and compete successfully for new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loss or delay of one or more of our largest customers, programs, or applications could adversely affect our results of operations.</w:t>
      </w:r>
    </w:p>
    <w:p>
      <w:pPr>
        <w:spacing w:after="0" w:line="216" w:lineRule="exact"/>
        <w:rPr>
          <w:sz w:val="20"/>
          <w:szCs w:val="20"/>
          <w:color w:val="auto"/>
        </w:rPr>
      </w:pPr>
    </w:p>
    <w:p>
      <w:pPr>
        <w:ind w:right="80" w:firstLine="611"/>
        <w:spacing w:after="0" w:line="255" w:lineRule="auto"/>
        <w:rPr>
          <w:sz w:val="20"/>
          <w:szCs w:val="20"/>
          <w:color w:val="auto"/>
        </w:rPr>
      </w:pPr>
      <w:r>
        <w:rPr>
          <w:rFonts w:ascii="Times New Roman" w:cs="Times New Roman" w:eastAsia="Times New Roman" w:hAnsi="Times New Roman"/>
          <w:sz w:val="17"/>
          <w:szCs w:val="17"/>
          <w:color w:val="auto"/>
        </w:rPr>
        <w:t>We are dependent on a small number of customers for certain large programs that represent a large portion of our revenues. A significant decrease in the sales to or loss of any of these programs or our major customers would have a material adverse effect on our business and results of operations. In fiscal 2025 and 2024, the U.S. Air Force accounted for 12.6% and 15.2% respectively, of our total revenues and the U.S. Navy accounted for 17.7% and 14.7%, respectively, of our total revenues. No assurance can be given that our customers will not experience financial, technical or other difficulties that could adversely affect their operations and, in turn, our results of operations. We believe that the USAF BQM-167, USN BQM-177, GBSD (also known as Sentinel) and the MACH-TB 2.0 programs could represent a large portion of our future revenues in the coming years, and the loss, cancellation, or delay of any of these programs could adversely affect our future results. Further, new programs may yield lower margins than legacy programs, which could result in an overall reduction in gross margins.</w:t>
      </w:r>
    </w:p>
    <w:p>
      <w:pPr>
        <w:spacing w:after="0" w:line="9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pauses or stop work orders by our customers, or contract penalties could adversely affect our results of operations.</w:t>
      </w:r>
    </w:p>
    <w:p>
      <w:pPr>
        <w:spacing w:after="0" w:line="172" w:lineRule="exact"/>
        <w:rPr>
          <w:sz w:val="20"/>
          <w:szCs w:val="20"/>
          <w:color w:val="auto"/>
        </w:rPr>
      </w:pPr>
    </w:p>
    <w:p>
      <w:pPr>
        <w:ind w:right="80" w:firstLine="611"/>
        <w:spacing w:after="0" w:line="253" w:lineRule="auto"/>
        <w:rPr>
          <w:sz w:val="20"/>
          <w:szCs w:val="20"/>
          <w:color w:val="auto"/>
        </w:rPr>
      </w:pPr>
      <w:r>
        <w:rPr>
          <w:rFonts w:ascii="Times New Roman" w:cs="Times New Roman" w:eastAsia="Times New Roman" w:hAnsi="Times New Roman"/>
          <w:sz w:val="17"/>
          <w:szCs w:val="17"/>
          <w:color w:val="auto"/>
        </w:rPr>
        <w:t>We design, develop, and manufacture technologically advanced and innovative products and services, which are applied by our customers in a variety of environments. Problems and delays in development or delivery as a result of issues with respect to design, technology, licensing and intellectual property rights, labor, inability to achieve learning curve assumptions, manufacturing materials or components could prevent us from meeting requirements. Either we or the customer may generally terminate a contract as a result of a material uncured breach by the other. If we breach a contract or fail to perform in accordance with contractual service levels, delivery schedules, performance specifications, or other contractual requirements set forth therein, the other party thereto may terminate such contract for default, and we may be required to refund money previously paid to us by the customer or to pay penalties or other damages. Even if we have not breached, we may deal with various situations from time to time that may result in the amendment or termination of a contract, or a pause or stop work order. These steps can result in significant current period charges and/or reductions in current or future revenue, and/or delays in collection of outstanding receivables and costs incurred on the contract, and impacts to our profitability. Other factors that may affect revenue and profitability include inaccurate cost estimates, design issues, unforeseen costs and expenses not covered by insurance or indemnification from the customer, diversion of management focus in responding to unforeseen problems, and loss of follow-on work.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23" w:name="page24"/>
    <w:bookmarkEnd w:id="23"/>
    <w:p>
      <w:pPr>
        <w:ind w:right="1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53" w:lineRule="exact"/>
        <w:rPr>
          <w:sz w:val="20"/>
          <w:szCs w:val="20"/>
          <w:color w:val="auto"/>
        </w:rPr>
      </w:pPr>
    </w:p>
    <w:p>
      <w:pPr>
        <w:ind w:right="20" w:firstLine="611"/>
        <w:spacing w:after="0" w:line="273" w:lineRule="auto"/>
        <w:rPr>
          <w:sz w:val="20"/>
          <w:szCs w:val="20"/>
          <w:color w:val="auto"/>
        </w:rPr>
      </w:pPr>
      <w:r>
        <w:rPr>
          <w:rFonts w:ascii="Times New Roman" w:cs="Times New Roman" w:eastAsia="Times New Roman" w:hAnsi="Times New Roman"/>
          <w:sz w:val="16"/>
          <w:szCs w:val="16"/>
          <w:color w:val="auto"/>
        </w:rPr>
        <w:t>As a prime contractor, we often rely upon other companies as subcontractors to perform work we are obligated to perform for our customers. As we secure more work under certain of our contracts, we expect to require an increasing level of support from subcontractors that provide complementary and supplementary services to our offerings. We are responsible for the work performed by our subcontractors, even though in some cases we have limited involvement in that work. If one or more of our subcontractors fails to satisfactorily perform the agreed-upon services on a timely basis or violates U.S. Government contracting policies, laws or regulations, our ability to perform our obligations as a prime contractor or meet our customers’ expectations may be compromised. In extreme cases, performance or other deficiencies on the part of our subcontractors could result in a customer terminating our contract for default. A termination for default could expose us to liability, including liability for the agency’s costs of re-procurement, could damage our reputation and could hurt our ability to compete for future contracts.</w:t>
      </w:r>
    </w:p>
    <w:p>
      <w:pPr>
        <w:spacing w:after="0" w:line="165" w:lineRule="exact"/>
        <w:rPr>
          <w:sz w:val="20"/>
          <w:szCs w:val="20"/>
          <w:color w:val="auto"/>
        </w:rPr>
      </w:pPr>
    </w:p>
    <w:p>
      <w:pPr>
        <w:jc w:val="both"/>
        <w:ind w:right="120" w:firstLine="611"/>
        <w:spacing w:after="0" w:line="264" w:lineRule="auto"/>
        <w:rPr>
          <w:sz w:val="20"/>
          <w:szCs w:val="20"/>
          <w:color w:val="auto"/>
        </w:rPr>
      </w:pPr>
      <w:r>
        <w:rPr>
          <w:rFonts w:ascii="Times New Roman" w:cs="Times New Roman" w:eastAsia="Times New Roman" w:hAnsi="Times New Roman"/>
          <w:sz w:val="17"/>
          <w:szCs w:val="17"/>
          <w:color w:val="auto"/>
        </w:rPr>
        <w:t>We are also required to procure certain materials and parts from supply sources approved by the U.S. Government. The inability of a supplier to meet our needs or U.S. Government requirements or the appearance of counterfeit parts in our products could have a material adverse effect on our financial position, results of operations or 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earnings and profitability depend, in part, on subcontractor and supplier performance and product availability.</w:t>
      </w:r>
    </w:p>
    <w:p>
      <w:pPr>
        <w:spacing w:after="0" w:line="216" w:lineRule="exact"/>
        <w:rPr>
          <w:sz w:val="20"/>
          <w:szCs w:val="20"/>
          <w:color w:val="auto"/>
        </w:rPr>
      </w:pPr>
    </w:p>
    <w:p>
      <w:pPr>
        <w:ind w:right="60" w:firstLine="611"/>
        <w:spacing w:after="0" w:line="255" w:lineRule="auto"/>
        <w:rPr>
          <w:sz w:val="20"/>
          <w:szCs w:val="20"/>
          <w:color w:val="auto"/>
        </w:rPr>
      </w:pPr>
      <w:r>
        <w:rPr>
          <w:rFonts w:ascii="Times New Roman" w:cs="Times New Roman" w:eastAsia="Times New Roman" w:hAnsi="Times New Roman"/>
          <w:sz w:val="17"/>
          <w:szCs w:val="17"/>
          <w:color w:val="auto"/>
        </w:rPr>
        <w:t>We rely on other companies to provide major components for our products. For instance, we build the airframe, electronics and flight control systems for our unmanned aerial systems. We primarily rely on our suppliers to provide the engines and parachutes for landing the unmanned aerial systems. Disruptions or performance problems caused by our subcontractors and suppliers, or a misalignment between our contractual obligations to our customers and our agreements with our subcontractors and suppliers, could have an adverse effect on our ability to meet our commitments to customers. In addition, due to the shortage of qualified subcontractors and suppliers, increases in the cost of certain materials could impact our profitability under firm fixed priced contracts that we have with our customers.</w:t>
      </w:r>
    </w:p>
    <w:p>
      <w:pPr>
        <w:spacing w:after="0" w:line="180"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Our ability to perform our obligations on time could be adversely affected if one or more of our subcontractors or suppliers were unable to provide the agreed-upon products or materials or perform the agreed-upon services in a timely, compliant and cost-effective manner or otherwise to meet the requirements of the contract. Changes in economic conditions, including changes in defense budgets or credit availability, or other changes impacting a subcontractor or supplier (including changes in ownership or operations) could adversely affect the financial stability of our subcontractors and suppliers and/or their ability to perform.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w:t>
      </w:r>
    </w:p>
    <w:p>
      <w:pPr>
        <w:spacing w:after="0" w:line="180" w:lineRule="exact"/>
        <w:rPr>
          <w:sz w:val="20"/>
          <w:szCs w:val="20"/>
          <w:color w:val="auto"/>
        </w:rPr>
      </w:pPr>
    </w:p>
    <w:p>
      <w:pPr>
        <w:jc w:val="both"/>
        <w:ind w:firstLine="611"/>
        <w:spacing w:after="0" w:line="288" w:lineRule="auto"/>
        <w:rPr>
          <w:sz w:val="20"/>
          <w:szCs w:val="20"/>
          <w:color w:val="auto"/>
        </w:rPr>
      </w:pPr>
      <w:r>
        <w:rPr>
          <w:rFonts w:ascii="Times New Roman" w:cs="Times New Roman" w:eastAsia="Times New Roman" w:hAnsi="Times New Roman"/>
          <w:sz w:val="16"/>
          <w:szCs w:val="16"/>
          <w:color w:val="auto"/>
        </w:rPr>
        <w:t>In connection with our U.S. Government contracts, we are required to procure certain materials, components and parts from supply sources approved by the customer. We are also facing increased and changing regulatory requirements, many of which apply to our subcontractors and suppliers. In some cases, there may be only one supplier for certain components. If a sole source supplier cannot meet our needs or is otherwise unavailable, we may be unable to find a suitable alternative.</w:t>
      </w:r>
    </w:p>
    <w:p>
      <w:pPr>
        <w:spacing w:after="0" w:line="153" w:lineRule="exact"/>
        <w:rPr>
          <w:sz w:val="20"/>
          <w:szCs w:val="20"/>
          <w:color w:val="auto"/>
        </w:rPr>
      </w:pPr>
    </w:p>
    <w:p>
      <w:pPr>
        <w:ind w:right="80" w:firstLine="611"/>
        <w:spacing w:after="0" w:line="257" w:lineRule="auto"/>
        <w:rPr>
          <w:sz w:val="20"/>
          <w:szCs w:val="20"/>
          <w:color w:val="auto"/>
        </w:rPr>
      </w:pPr>
      <w:r>
        <w:rPr>
          <w:rFonts w:ascii="Times New Roman" w:cs="Times New Roman" w:eastAsia="Times New Roman" w:hAnsi="Times New Roman"/>
          <w:sz w:val="17"/>
          <w:szCs w:val="17"/>
          <w:color w:val="auto"/>
        </w:rPr>
        <w:t>Our procurement practices are intended to reduce the likelihood of our procurement of counterfeit, unauthorized or otherwise non-compliant parts or materials. We rely on our subcontractors and suppliers to comply with applicable laws and regulations, including regarding the parts or materials we procure from them; in some circumstances, we rely on certifications provided by our subcontractors and suppliers regarding their compliance. We also rely on our subcontractors and suppliers to effectively mitigate the risk of cyber and security threats or other disruptions with respect to the products and components they deliver to us and the information entrusted to them by us or our customers.</w:t>
      </w:r>
    </w:p>
    <w:p>
      <w:pPr>
        <w:spacing w:after="0" w:line="176" w:lineRule="exact"/>
        <w:rPr>
          <w:sz w:val="20"/>
          <w:szCs w:val="20"/>
          <w:color w:val="auto"/>
        </w:rPr>
      </w:pPr>
    </w:p>
    <w:p>
      <w:pPr>
        <w:ind w:right="20" w:firstLine="611"/>
        <w:spacing w:after="0" w:line="254" w:lineRule="auto"/>
        <w:rPr>
          <w:sz w:val="20"/>
          <w:szCs w:val="20"/>
          <w:color w:val="auto"/>
        </w:rPr>
      </w:pPr>
      <w:r>
        <w:rPr>
          <w:rFonts w:ascii="Times New Roman" w:cs="Times New Roman" w:eastAsia="Times New Roman" w:hAnsi="Times New Roman"/>
          <w:sz w:val="17"/>
          <w:szCs w:val="17"/>
          <w:color w:val="auto"/>
        </w:rPr>
        <w:t>In addition, 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is experiencing increased demand and a global shortage of semiconductors, creating substantial uncertainty regarding our suppliers’ continued production of key components for our products, and the supply for certain raw materials such as aluminum and resins, and the availability of certain parts and extrusions, and the availability for milling activities has, in each case, continued to experience shortages and delays which is impacting our C5ISR business. If we are unable to procure, or experience significant delays in subcontractor or supplier deliveries of, needed materials, components, intellectual property or parts; if our subcontractors or suppliers do not comply with all applicable laws and regulations; if the certifications we receive from them are inaccurate; or if what we receive is counterfeit or otherwise improper, it could have a material adverse effect on our financial position, results of operations and/or cash flows.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24" w:name="page25"/>
    <w:bookmarkEnd w:id="24"/>
    <w:p>
      <w:pPr>
        <w:ind w:right="14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face intense competition from many competitors that have greater resources than we do, which could result in price reductions, reduced profitability or loss of market share.</w:t>
      </w:r>
    </w:p>
    <w:p>
      <w:pPr>
        <w:spacing w:after="0" w:line="153" w:lineRule="exact"/>
        <w:rPr>
          <w:sz w:val="20"/>
          <w:szCs w:val="20"/>
          <w:color w:val="auto"/>
        </w:rPr>
      </w:pPr>
    </w:p>
    <w:p>
      <w:pPr>
        <w:ind w:right="80" w:firstLine="611"/>
        <w:spacing w:after="0" w:line="255" w:lineRule="auto"/>
        <w:rPr>
          <w:sz w:val="20"/>
          <w:szCs w:val="20"/>
          <w:color w:val="auto"/>
        </w:rPr>
      </w:pPr>
      <w:r>
        <w:rPr>
          <w:rFonts w:ascii="Times New Roman" w:cs="Times New Roman" w:eastAsia="Times New Roman" w:hAnsi="Times New Roman"/>
          <w:sz w:val="17"/>
          <w:szCs w:val="17"/>
          <w:color w:val="auto"/>
        </w:rPr>
        <w:t>We operate in highly competitive markets and generally encounter intense competition to win contracts from many other firms, including mid-tier federal contractors with specialized capabilities, large defense contractors and IT service providers. Competition in our markets may increase as a result of a number of factors, such as the entrance of new or larger competitors, including those formed through alliances or consolidation, or the reduction in the overall number of government contracts. We may also face competition from prime contractors for whom we currently serve as subcontractors or teammates if those prime contractors choose to offer customer services of the type that we are currently providing. In addition, we may face competition from our subcontractors who, from time-to-time, seek to obtain prime contractor status on contracts for which they currently serve as a subcontractor to us.</w:t>
      </w:r>
    </w:p>
    <w:p>
      <w:pPr>
        <w:spacing w:after="0" w:line="205" w:lineRule="exact"/>
        <w:rPr>
          <w:sz w:val="20"/>
          <w:szCs w:val="20"/>
          <w:color w:val="auto"/>
        </w:rPr>
      </w:pPr>
    </w:p>
    <w:p>
      <w:pPr>
        <w:ind w:right="520" w:firstLine="611"/>
        <w:spacing w:after="0" w:line="279" w:lineRule="auto"/>
        <w:rPr>
          <w:sz w:val="20"/>
          <w:szCs w:val="20"/>
          <w:color w:val="auto"/>
        </w:rPr>
      </w:pPr>
      <w:r>
        <w:rPr>
          <w:rFonts w:ascii="Times New Roman" w:cs="Times New Roman" w:eastAsia="Times New Roman" w:hAnsi="Times New Roman"/>
          <w:sz w:val="17"/>
          <w:szCs w:val="17"/>
          <w:color w:val="auto"/>
        </w:rPr>
        <w:t>Many of our competitors have greater financial, technical, marketing and public relations resources, larger customer bases and greater brand or name recognition than we do. Such competitors may be able to utilize their substantially greater resources and economies of scale to, among other things:</w:t>
      </w:r>
    </w:p>
    <w:p>
      <w:pPr>
        <w:spacing w:after="0" w:line="182" w:lineRule="exact"/>
        <w:rPr>
          <w:sz w:val="20"/>
          <w:szCs w:val="20"/>
          <w:color w:val="auto"/>
        </w:rPr>
      </w:pPr>
    </w:p>
    <w:p>
      <w:pPr>
        <w:ind w:left="1220" w:right="440" w:hanging="301"/>
        <w:spacing w:after="0" w:line="259" w:lineRule="auto"/>
        <w:tabs>
          <w:tab w:leader="none" w:pos="12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sales from us by winning very large scale government contracts, a risk that is enhanced by the recent trend in government procurement practices to bundle services into larger contracts and the recent trend of making award determinations on a LPTA basis;</w:t>
      </w:r>
    </w:p>
    <w:p>
      <w:pPr>
        <w:spacing w:after="0" w:line="1"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sales from us by the award of government contracts to our competitors who may be willing to bid at substantially lower prices;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force us to charge lower prices; or</w:t>
      </w:r>
    </w:p>
    <w:p>
      <w:pPr>
        <w:spacing w:after="0" w:line="8" w:lineRule="exact"/>
        <w:rPr>
          <w:rFonts w:ascii="Times New Roman" w:cs="Times New Roman" w:eastAsia="Times New Roman" w:hAnsi="Times New Roman"/>
          <w:sz w:val="17"/>
          <w:szCs w:val="17"/>
          <w:color w:val="auto"/>
        </w:rPr>
      </w:pPr>
    </w:p>
    <w:p>
      <w:pPr>
        <w:ind w:left="1220" w:right="40" w:hanging="301"/>
        <w:spacing w:after="0" w:line="260" w:lineRule="auto"/>
        <w:tabs>
          <w:tab w:leader="none" w:pos="12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our relationships with current customers, including our ability to continue to win competitively awarded engagements in which we are the incumbent.</w:t>
      </w:r>
    </w:p>
    <w:p>
      <w:pPr>
        <w:spacing w:after="0" w:line="198" w:lineRule="exact"/>
        <w:rPr>
          <w:sz w:val="20"/>
          <w:szCs w:val="20"/>
          <w:color w:val="auto"/>
        </w:rPr>
      </w:pPr>
    </w:p>
    <w:p>
      <w:pPr>
        <w:ind w:right="140" w:firstLine="611"/>
        <w:spacing w:after="0" w:line="255" w:lineRule="auto"/>
        <w:rPr>
          <w:sz w:val="20"/>
          <w:szCs w:val="20"/>
          <w:color w:val="auto"/>
        </w:rPr>
      </w:pPr>
      <w:r>
        <w:rPr>
          <w:rFonts w:ascii="Times New Roman" w:cs="Times New Roman" w:eastAsia="Times New Roman" w:hAnsi="Times New Roman"/>
          <w:sz w:val="17"/>
          <w:szCs w:val="17"/>
          <w:color w:val="auto"/>
        </w:rPr>
        <w:t>In the event that the market for products in our US segment expands, we expect that competition will intensify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If we lose business to our competitors or are forced to lower our prices, our revenue and operating profits could decline.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dependent upon our ability to keep pace with the latest technological changes.</w:t>
      </w:r>
    </w:p>
    <w:p>
      <w:pPr>
        <w:spacing w:after="0" w:line="216" w:lineRule="exact"/>
        <w:rPr>
          <w:sz w:val="20"/>
          <w:szCs w:val="20"/>
          <w:color w:val="auto"/>
        </w:rPr>
      </w:pPr>
    </w:p>
    <w:p>
      <w:pPr>
        <w:ind w:right="40" w:firstLine="611"/>
        <w:spacing w:after="0" w:line="257" w:lineRule="auto"/>
        <w:rPr>
          <w:sz w:val="20"/>
          <w:szCs w:val="20"/>
          <w:color w:val="auto"/>
        </w:rPr>
      </w:pPr>
      <w:r>
        <w:rPr>
          <w:rFonts w:ascii="Times New Roman" w:cs="Times New Roman" w:eastAsia="Times New Roman" w:hAnsi="Times New Roman"/>
          <w:sz w:val="17"/>
          <w:szCs w:val="17"/>
          <w:color w:val="auto"/>
        </w:rPr>
        <w:t>The market for our services is characterized by rapid change and technological improvements. Failure to respond in a timely and cost-effective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customer preferences.</w:t>
      </w:r>
    </w:p>
    <w:p>
      <w:pPr>
        <w:spacing w:after="0" w:line="176" w:lineRule="exact"/>
        <w:rPr>
          <w:sz w:val="20"/>
          <w:szCs w:val="20"/>
          <w:color w:val="auto"/>
        </w:rPr>
      </w:pPr>
    </w:p>
    <w:p>
      <w:pPr>
        <w:ind w:right="40" w:firstLine="611"/>
        <w:spacing w:after="0" w:line="272" w:lineRule="auto"/>
        <w:rPr>
          <w:sz w:val="20"/>
          <w:szCs w:val="20"/>
          <w:color w:val="auto"/>
        </w:rPr>
      </w:pPr>
      <w:r>
        <w:rPr>
          <w:rFonts w:ascii="Times New Roman" w:cs="Times New Roman" w:eastAsia="Times New Roman" w:hAnsi="Times New Roman"/>
          <w:sz w:val="16"/>
          <w:szCs w:val="16"/>
          <w:color w:val="auto"/>
        </w:rPr>
        <w:t>We believe that, in order to remain competitive in the future, we will need to continue to invest significant financial resources to develop new offerings and technologies or to adapt or modify our existing offerings and technologies, including through IR&amp;D, acquisitions and joint ventures or other teaming arrangements. These expenditures could divert our attention and resources from other projects, and we cannot be sure that these expenditures will ultimately lead to the timely development of new offerings and technologies or identification of and expansion into new markets. Due to the design complexity of our products, we may, in the future, experience delays in completing the development and introduction of new products. Any delays could result in increased costs of development or deflect resources from other projects. In addition, there can be no assurance that the market for our products will develop or continue to expand or that we will be successful in newly identified markets as we currently anticipate. The failure of our technology to gain market acceptance could significantly reduce our revenues and harm our business. Furthermore, we cannot be sure that our competitors will not develop competing technologies that gain market acceptance in advance of our products.</w:t>
      </w:r>
    </w:p>
    <w:p>
      <w:pPr>
        <w:spacing w:after="0" w:line="191" w:lineRule="exact"/>
        <w:rPr>
          <w:sz w:val="20"/>
          <w:szCs w:val="20"/>
          <w:color w:val="auto"/>
        </w:rPr>
      </w:pPr>
    </w:p>
    <w:p>
      <w:pPr>
        <w:ind w:firstLine="611"/>
        <w:spacing w:after="0" w:line="279" w:lineRule="auto"/>
        <w:rPr>
          <w:sz w:val="20"/>
          <w:szCs w:val="20"/>
          <w:color w:val="auto"/>
        </w:rPr>
      </w:pPr>
      <w:r>
        <w:rPr>
          <w:rFonts w:ascii="Times New Roman" w:cs="Times New Roman" w:eastAsia="Times New Roman" w:hAnsi="Times New Roman"/>
          <w:sz w:val="17"/>
          <w:szCs w:val="17"/>
          <w:color w:val="auto"/>
        </w:rPr>
        <w:t>Additionally, the possibility exists that our competitors might develop new technology or offerings that might cause our existing technology and offerings to become obsolete. If we fail in our new product development efforts or if our products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25" w:name="page26"/>
    <w:bookmarkEnd w:id="25"/>
    <w:p>
      <w:pPr>
        <w:ind w:right="60"/>
        <w:spacing w:after="0" w:line="279" w:lineRule="auto"/>
        <w:rPr>
          <w:sz w:val="20"/>
          <w:szCs w:val="20"/>
          <w:color w:val="auto"/>
        </w:rPr>
      </w:pPr>
      <w:r>
        <w:rPr>
          <w:rFonts w:ascii="Times New Roman" w:cs="Times New Roman" w:eastAsia="Times New Roman" w:hAnsi="Times New Roman"/>
          <w:sz w:val="17"/>
          <w:szCs w:val="17"/>
          <w:color w:val="auto"/>
        </w:rPr>
        <w:t>or services fail to achieve market acceptance more rapidly as compared to our competitors, our ability to procure new contracts could be negatively impacted, which could negatively impact our results of operations and financial condition.</w:t>
      </w:r>
    </w:p>
    <w:p>
      <w:pPr>
        <w:spacing w:after="0" w:line="178"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If the UAS and UGS markets do not experience significant growth, if we cannot expand our customer base or if our products do not achieve broad acceptance, or if the products we have developed or will develop do not become programs of record, then we may not be able to achieve our anticipated level of growth.</w:t>
      </w:r>
    </w:p>
    <w:p>
      <w:pPr>
        <w:spacing w:after="0" w:line="168"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For the fiscal year ended December 28, 2025, our US segment accounted for 21.7% of our total revenue. We cannot accurately predict the future growth rate or size of this market. Demand for our products may not increase, or may decrease, either generally or in specific markets, for particular types of products or during particular time periods. There are only a limited number of programs under which the U.S. military, our primary customer, is currently funding the development or purchase of our UAS and UGS products. Although we are seeking to expand our US customer base to include foreign governments, domestic non-military agencies and commercial customers, we cannot assure that our efforts will be successful. The expansion of the UAS and UGS markets in general, and the market for our products in particular, depends on a number of factors, including the following:</w:t>
      </w:r>
    </w:p>
    <w:p>
      <w:pPr>
        <w:spacing w:after="0" w:line="205" w:lineRule="exact"/>
        <w:rPr>
          <w:sz w:val="20"/>
          <w:szCs w:val="20"/>
          <w:color w:val="auto"/>
        </w:rPr>
      </w:pPr>
    </w:p>
    <w:p>
      <w:pPr>
        <w:ind w:left="600" w:hanging="293"/>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satisfaction with these types of systems as solutions;</w:t>
      </w:r>
    </w:p>
    <w:p>
      <w:pPr>
        <w:spacing w:after="0" w:line="23"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performance and reliability of our products and products offered by our competitors;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perceptions regarding the effectiveness and value of these types of systems;</w:t>
      </w:r>
    </w:p>
    <w:p>
      <w:pPr>
        <w:spacing w:after="0" w:line="8" w:lineRule="exact"/>
        <w:rPr>
          <w:rFonts w:ascii="Times New Roman" w:cs="Times New Roman" w:eastAsia="Times New Roman" w:hAnsi="Times New Roman"/>
          <w:sz w:val="17"/>
          <w:szCs w:val="17"/>
          <w:color w:val="auto"/>
        </w:rPr>
      </w:pPr>
    </w:p>
    <w:p>
      <w:pPr>
        <w:ind w:left="180" w:right="4300" w:firstLine="127"/>
        <w:spacing w:after="0" w:line="242" w:lineRule="auto"/>
        <w:tabs>
          <w:tab w:leader="none" w:pos="61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market our US products and services outside the U.S. due to U.S. Government regulations or other restrictions; and</w:t>
      </w:r>
    </w:p>
    <w:p>
      <w:pPr>
        <w:ind w:left="600" w:hanging="293"/>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efforts and publicity regarding these types of systems.</w:t>
      </w:r>
    </w:p>
    <w:p>
      <w:pPr>
        <w:spacing w:after="0" w:line="209" w:lineRule="exact"/>
        <w:rPr>
          <w:sz w:val="20"/>
          <w:szCs w:val="20"/>
          <w:color w:val="auto"/>
        </w:rPr>
      </w:pPr>
    </w:p>
    <w:p>
      <w:pPr>
        <w:ind w:right="20" w:firstLine="611"/>
        <w:spacing w:after="0" w:line="263" w:lineRule="auto"/>
        <w:rPr>
          <w:sz w:val="20"/>
          <w:szCs w:val="20"/>
          <w:color w:val="auto"/>
        </w:rPr>
      </w:pPr>
      <w:r>
        <w:rPr>
          <w:rFonts w:ascii="Times New Roman" w:cs="Times New Roman" w:eastAsia="Times New Roman" w:hAnsi="Times New Roman"/>
          <w:sz w:val="16"/>
          <w:szCs w:val="16"/>
          <w:color w:val="auto"/>
        </w:rPr>
        <w:t>Even if UAS and UGS gain wide market acceptance in general, our specific products may not adequately address market requirements or may not gain market acceptance. If these types of systems generally, or our products specifically, do not gain wide market acceptance, or if the products we have developed or will develop do not become programs of record, then we may not be able to achieve our anticipated level of growth and our revenue and results of operations may suffer.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of our GSA contracts or GWACs could impair our ability to attract new business.</w:t>
      </w:r>
    </w:p>
    <w:p>
      <w:pPr>
        <w:spacing w:after="0" w:line="140"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We are a prime contractor under several GSA contracts and government-wide acquisition contracts (GWACs).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customer’s discretion to extend the contract for one or more years. We cannot be assured that our government customers will continue to exercise the options remaining on our current contracts, nor can we be assured that our future customers will exercise options on any contracts we may receive in the future.</w:t>
      </w:r>
    </w:p>
    <w:p>
      <w:pPr>
        <w:spacing w:after="0" w:line="8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Government contracts differ materially from standard commercial contracts, involve competitive bidding and may be subject to cancellation or delay without penalty.</w:t>
      </w:r>
    </w:p>
    <w:p>
      <w:pPr>
        <w:spacing w:after="0" w:line="89" w:lineRule="exact"/>
        <w:rPr>
          <w:sz w:val="20"/>
          <w:szCs w:val="20"/>
          <w:color w:val="auto"/>
        </w:rPr>
      </w:pPr>
    </w:p>
    <w:p>
      <w:pPr>
        <w:ind w:right="320" w:firstLine="611"/>
        <w:spacing w:after="0" w:line="279" w:lineRule="auto"/>
        <w:rPr>
          <w:sz w:val="20"/>
          <w:szCs w:val="20"/>
          <w:color w:val="auto"/>
        </w:rPr>
      </w:pPr>
      <w:r>
        <w:rPr>
          <w:rFonts w:ascii="Times New Roman" w:cs="Times New Roman" w:eastAsia="Times New Roman" w:hAnsi="Times New Roman"/>
          <w:sz w:val="17"/>
          <w:szCs w:val="17"/>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68" w:lineRule="exact"/>
        <w:rPr>
          <w:sz w:val="20"/>
          <w:szCs w:val="20"/>
          <w:color w:val="auto"/>
        </w:rPr>
      </w:pPr>
    </w:p>
    <w:p>
      <w:pPr>
        <w:ind w:left="1220" w:hanging="30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existing contracts;</w:t>
      </w:r>
    </w:p>
    <w:p>
      <w:pPr>
        <w:spacing w:after="0" w:line="23"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or pause our work which can impact our workforce and costs;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potential future income from our existing contracts;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some of the terms and conditions in our existing contracts;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or permanently prohibit us from doing business with the U.S. Government or with any specific government agency;</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fines and penalties;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us to criminal prosecution;</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work under existing multiple year contracts and related task orders if the necessary funds are not appropriated by Congress;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to exercise an option to extend an existing multiple year contract; and</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 rights in technologies and systems invented, developed or produced by us.</w:t>
      </w:r>
    </w:p>
    <w:p>
      <w:pPr>
        <w:spacing w:after="0" w:line="222" w:lineRule="exact"/>
        <w:rPr>
          <w:sz w:val="20"/>
          <w:szCs w:val="20"/>
          <w:color w:val="auto"/>
        </w:rPr>
      </w:pPr>
    </w:p>
    <w:p>
      <w:pPr>
        <w:ind w:right="580" w:firstLine="611"/>
        <w:spacing w:after="0" w:line="279" w:lineRule="auto"/>
        <w:rPr>
          <w:sz w:val="20"/>
          <w:szCs w:val="20"/>
          <w:color w:val="auto"/>
        </w:rPr>
      </w:pPr>
      <w:r>
        <w:rPr>
          <w:rFonts w:ascii="Times New Roman" w:cs="Times New Roman" w:eastAsia="Times New Roman" w:hAnsi="Times New Roman"/>
          <w:sz w:val="17"/>
          <w:szCs w:val="17"/>
          <w:color w:val="auto"/>
        </w:rPr>
        <w:t>In addition, government contracts are frequently awarded only after formal competitive bidding processes, which have been and may continue to be protracted and typically impose provisions that permit cancellation in the event that necessary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26" w:name="page27"/>
    <w:bookmarkEnd w:id="26"/>
    <w:p>
      <w:pPr>
        <w:spacing w:after="0" w:line="254" w:lineRule="auto"/>
        <w:rPr>
          <w:sz w:val="20"/>
          <w:szCs w:val="20"/>
          <w:color w:val="auto"/>
        </w:rPr>
      </w:pPr>
      <w:r>
        <w:rPr>
          <w:rFonts w:ascii="Times New Roman" w:cs="Times New Roman" w:eastAsia="Times New Roman" w:hAnsi="Times New Roman"/>
          <w:sz w:val="17"/>
          <w:szCs w:val="17"/>
          <w:color w:val="auto"/>
        </w:rPr>
        <w:t>funds are unavailable to the government agency. Competitive procurements impose substantial costs and managerial time and effort in order to prepare bids and proposals for contracts that may not be awarded to us. In many cases, unsuccessful bidders for government contracts are provided the opportunity to formally protest certain contract awards through various agencies, administrative and judicial channels. We have experienced an increase in competitor bid protests on contracts on which we were the successful bidder due to the competitive environment resulting from decreased government spending. In addition, we have formally protested procurement awards in which we were not the initial successful bidder, but believed that the source selection process was flawed.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 We believe that this environment of protracted competitive bidding processes and competitor bid protests will continue.</w:t>
      </w:r>
    </w:p>
    <w:p>
      <w:pPr>
        <w:spacing w:after="0" w:line="179" w:lineRule="exact"/>
        <w:rPr>
          <w:sz w:val="20"/>
          <w:szCs w:val="20"/>
          <w:color w:val="auto"/>
        </w:rPr>
      </w:pPr>
    </w:p>
    <w:p>
      <w:pPr>
        <w:ind w:right="40" w:firstLine="611"/>
        <w:spacing w:after="0" w:line="288" w:lineRule="auto"/>
        <w:rPr>
          <w:sz w:val="20"/>
          <w:szCs w:val="20"/>
          <w:color w:val="auto"/>
        </w:rPr>
      </w:pPr>
      <w:r>
        <w:rPr>
          <w:rFonts w:ascii="Times New Roman" w:cs="Times New Roman" w:eastAsia="Times New Roman" w:hAnsi="Times New Roman"/>
          <w:sz w:val="16"/>
          <w:szCs w:val="16"/>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49"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may not receive the full amounts estimated under the contracts in our backlog, which could reduce our revenue in future periods below the levels anticipated. This makes backlog an uncertain indicator of future operating results.</w:t>
      </w:r>
    </w:p>
    <w:p>
      <w:pPr>
        <w:spacing w:after="0" w:line="153" w:lineRule="exact"/>
        <w:rPr>
          <w:sz w:val="20"/>
          <w:szCs w:val="20"/>
          <w:color w:val="auto"/>
        </w:rPr>
      </w:pPr>
    </w:p>
    <w:p>
      <w:pPr>
        <w:ind w:right="120" w:firstLine="611"/>
        <w:spacing w:after="0" w:line="255" w:lineRule="auto"/>
        <w:rPr>
          <w:sz w:val="20"/>
          <w:szCs w:val="20"/>
          <w:color w:val="auto"/>
        </w:rPr>
      </w:pPr>
      <w:r>
        <w:rPr>
          <w:rFonts w:ascii="Times New Roman" w:cs="Times New Roman" w:eastAsia="Times New Roman" w:hAnsi="Times New Roman"/>
          <w:sz w:val="17"/>
          <w:szCs w:val="17"/>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or work can be suspended or paused by our customers. The failure to realize all amounts in our backlog could adversely affect our revenues and gross margins. As a result, our funded, unfunded and total backlog as of any particular date may not be an accurate indicator of our future earnings.</w:t>
      </w:r>
    </w:p>
    <w:p>
      <w:pPr>
        <w:spacing w:after="0" w:line="17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A preference for minority-owned, small and small disadvantaged businesses could impact our ability to be a prime contractor and limit our opportunity to work as a subcontractor on certain governmental procurements.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result of the Small Business Administration (“SBA”) set-aside program, the federal government may decide to restrict certain procurements only to</w:t>
      </w:r>
    </w:p>
    <w:p>
      <w:pPr>
        <w:spacing w:after="0" w:line="4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bidders that qualify as minority-owned, small, or small disadvantaged businesses. We do not qualify as a minority-owned, small or small disadvantaged business. As a result, we would not be eligible to perform as a prime contractor on those programs and in general would be restricted to no more than 49% of the work as a subcontractor on those programs. An increase in the amount of procurements under the SBA set-aside program, or other similar governmental programs, may impact our ability to bid on new procurements as a prime contractor, limit our opportunity to work as a subcontractor or restrict our ability to compete on incumbent work that is placed in the set-aside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Government in-sourcing could result in loss of business opportunities and personnel.</w:t>
      </w:r>
    </w:p>
    <w:p>
      <w:pPr>
        <w:spacing w:after="0" w:line="216" w:lineRule="exact"/>
        <w:rPr>
          <w:sz w:val="20"/>
          <w:szCs w:val="20"/>
          <w:color w:val="auto"/>
        </w:rPr>
      </w:pPr>
    </w:p>
    <w:p>
      <w:pPr>
        <w:ind w:right="100" w:firstLine="611"/>
        <w:spacing w:after="0" w:line="255" w:lineRule="auto"/>
        <w:rPr>
          <w:sz w:val="20"/>
          <w:szCs w:val="20"/>
          <w:color w:val="auto"/>
        </w:rPr>
      </w:pPr>
      <w:r>
        <w:rPr>
          <w:rFonts w:ascii="Times New Roman" w:cs="Times New Roman" w:eastAsia="Times New Roman" w:hAnsi="Times New Roman"/>
          <w:sz w:val="17"/>
          <w:szCs w:val="17"/>
          <w:color w:val="auto"/>
        </w:rPr>
        <w:t>The U.S. Government has continued to reduce the percentage of contracted services in favor of more federal employees through an initiative called “in-sourcing.” Over time, in-sourcing could have an adverse effect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could also be hired by the government. This loss of our employees would necessitate the need to retain and train new employees. Accordingly, the effect of in-sourcing or the continuation of in-sourcing at a faster-than-expected rate could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negatively impacted by cyber and other security threats or disruptions.</w:t>
      </w:r>
    </w:p>
    <w:p>
      <w:pPr>
        <w:spacing w:after="0" w:line="241" w:lineRule="exact"/>
        <w:rPr>
          <w:sz w:val="20"/>
          <w:szCs w:val="20"/>
          <w:color w:val="auto"/>
        </w:rPr>
      </w:pPr>
    </w:p>
    <w:p>
      <w:pPr>
        <w:ind w:right="80" w:firstLine="611"/>
        <w:spacing w:after="0" w:line="259" w:lineRule="auto"/>
        <w:rPr>
          <w:sz w:val="20"/>
          <w:szCs w:val="20"/>
          <w:color w:val="auto"/>
        </w:rPr>
      </w:pPr>
      <w:r>
        <w:rPr>
          <w:rFonts w:ascii="Times New Roman" w:cs="Times New Roman" w:eastAsia="Times New Roman" w:hAnsi="Times New Roman"/>
          <w:sz w:val="17"/>
          <w:szCs w:val="17"/>
          <w:color w:val="auto"/>
        </w:rPr>
        <w:t>As a defense contractor, we face various cyber and other security threats, including attempts to gain unauthorized access to sensitive information and networks; insider threats; threats to the safety of our directors, officers and employees; threats to the security and viability of our facilities, infrastructure and supply chain; and threats from terrorist acts or other acts of aggression. Our customers and partners (including our supply chain and joint ventures) face similar threats and growing requirements. Although we utilize various procedures and controls to monitor and mitigate the risk of these threats, there can be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no assurance that these procedures and controls will be sufficient. The occurrence of some of these risks may be increased to the extent remote working by our</w:t>
      </w:r>
    </w:p>
    <w:p>
      <w:pPr>
        <w:spacing w:after="0" w:line="46"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6"/>
          <w:szCs w:val="16"/>
          <w:color w:val="auto"/>
        </w:rPr>
        <w:t>employees, suppliers, contractors and other third parties which accelerated during the COVID-19 pandemic, continues. Such an incident could lead to losses or unauthorized disclosure of sensitive information or capabilities; theft or exposure of data; harm to personnel, infrastructure or products; regulatory actions; and/or financial liabilities, as well as potential damage to our reputation as a government contractor and provider of cyber-related or cyber-protected goods and services.</w:t>
      </w:r>
    </w:p>
    <w:p>
      <w:pPr>
        <w:spacing w:after="0" w:line="153"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Cyber threats are continuously evolving and include, but are not limited to: malicious software, destructive malware, attempts to gain unauthorized access to data, disruption or denial of service attacks, and other electronic security breaches that could lead to disruptions in mission critical systems; unauthorized release of confidential, personal or otherwise protected information (our Company's information or that of our employees, customers, partners, or other third parties); corruption of data, networks or systems; harm to individuals; and loss of assets. In addition, we could be impacted by cyber threats or other disruptions or vulnerabilities found in products we use or in our partners’ or customers’ systems that are used in connection with or otherwise incorporated into our business. These events, if not prevented or effectively mitigated, could damage our reputation, require remedial actions and lead to loss of business, regulatory actions, potential liability and other losses.</w:t>
      </w:r>
    </w:p>
    <w:p>
      <w:pPr>
        <w:spacing w:after="0" w:line="202" w:lineRule="exact"/>
        <w:rPr>
          <w:sz w:val="20"/>
          <w:szCs w:val="20"/>
          <w:color w:val="auto"/>
        </w:rPr>
      </w:pPr>
    </w:p>
    <w:p>
      <w:pPr>
        <w:ind w:right="60" w:firstLine="611"/>
        <w:spacing w:after="0" w:line="264" w:lineRule="auto"/>
        <w:rPr>
          <w:sz w:val="20"/>
          <w:szCs w:val="20"/>
          <w:color w:val="auto"/>
        </w:rPr>
      </w:pPr>
      <w:r>
        <w:rPr>
          <w:rFonts w:ascii="Times New Roman" w:cs="Times New Roman" w:eastAsia="Times New Roman" w:hAnsi="Times New Roman"/>
          <w:sz w:val="17"/>
          <w:szCs w:val="17"/>
          <w:color w:val="auto"/>
        </w:rPr>
        <w:t>We provide systems, products and services to various customers (both government and commercial) who also face cyber threats. Our systems, products and services may themselves be subject to cyber threats and/or they may not be able to detect or properly deter threats, or effectively to mitigate resulting losses. These losses could adversely affect our customers and our Company.</w:t>
      </w:r>
    </w:p>
    <w:p>
      <w:pPr>
        <w:spacing w:after="0" w:line="195" w:lineRule="exact"/>
        <w:rPr>
          <w:sz w:val="20"/>
          <w:szCs w:val="20"/>
          <w:color w:val="auto"/>
        </w:rPr>
      </w:pPr>
    </w:p>
    <w:p>
      <w:pPr>
        <w:ind w:right="80" w:firstLine="611"/>
        <w:spacing w:after="0" w:line="264" w:lineRule="auto"/>
        <w:rPr>
          <w:sz w:val="20"/>
          <w:szCs w:val="20"/>
          <w:color w:val="auto"/>
        </w:rPr>
      </w:pPr>
      <w:r>
        <w:rPr>
          <w:rFonts w:ascii="Times New Roman" w:cs="Times New Roman" w:eastAsia="Times New Roman" w:hAnsi="Times New Roman"/>
          <w:sz w:val="17"/>
          <w:szCs w:val="17"/>
          <w:color w:val="auto"/>
        </w:rPr>
        <w:t>The impact of these various factors is difficult to predict, but one or more of them could result in the loss of information or capabilities, harm to individuals or property, damage to our reputation, loss of business, contractual or regulatory actions and potential liabilities, any one of which could have a material adverse effect on our financial position, results of operations and/or cash flows.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systems or service failure, our reputation could be harmed and our customers could assert claims against us for damages or refunds.</w:t>
      </w:r>
    </w:p>
    <w:p>
      <w:pPr>
        <w:spacing w:after="0" w:line="216" w:lineRule="exact"/>
        <w:rPr>
          <w:sz w:val="20"/>
          <w:szCs w:val="20"/>
          <w:color w:val="auto"/>
        </w:rPr>
      </w:pPr>
    </w:p>
    <w:p>
      <w:pPr>
        <w:ind w:right="40" w:firstLine="611"/>
        <w:spacing w:after="0" w:line="311" w:lineRule="auto"/>
        <w:rPr>
          <w:sz w:val="20"/>
          <w:szCs w:val="20"/>
          <w:color w:val="auto"/>
        </w:rPr>
      </w:pPr>
      <w:r>
        <w:rPr>
          <w:rFonts w:ascii="Times New Roman" w:cs="Times New Roman" w:eastAsia="Times New Roman" w:hAnsi="Times New Roman"/>
          <w:sz w:val="16"/>
          <w:szCs w:val="16"/>
          <w:color w:val="auto"/>
        </w:rPr>
        <w:t>We create, implement and maintain IT solutions that are often critical to our customers’ operations. We have experienced, and may in the future experience, some systems and service failures, schedule or delivery delays and other problems in connection with our work. If we experience these problems, we may:</w:t>
      </w:r>
    </w:p>
    <w:p>
      <w:pPr>
        <w:spacing w:after="0" w:line="134" w:lineRule="exact"/>
        <w:rPr>
          <w:sz w:val="20"/>
          <w:szCs w:val="20"/>
          <w:color w:val="auto"/>
        </w:rPr>
      </w:pPr>
    </w:p>
    <w:p>
      <w:pPr>
        <w:ind w:left="1220" w:hanging="30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lose revenue due to adverse customer reaction;</w:t>
      </w:r>
    </w:p>
    <w:p>
      <w:pPr>
        <w:spacing w:after="0" w:line="23"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required to provide additional services to a customer at no charge;</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customers to postpone, cancel or fail to renew contracts;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negative publicity, which could damage our reputation and adversely affect our ability to attract or retain customers; and</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suffer claims for substantial damages.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cannot ensure that provisions in our customer contracts will be legally sufficient to protect us if we are sued.</w:t>
      </w:r>
    </w:p>
    <w:p>
      <w:pPr>
        <w:spacing w:after="0" w:line="237" w:lineRule="exact"/>
        <w:rPr>
          <w:sz w:val="20"/>
          <w:szCs w:val="20"/>
          <w:color w:val="auto"/>
        </w:rPr>
      </w:pPr>
    </w:p>
    <w:p>
      <w:pPr>
        <w:ind w:right="40" w:firstLine="611"/>
        <w:spacing w:after="0" w:line="259" w:lineRule="auto"/>
        <w:rPr>
          <w:sz w:val="20"/>
          <w:szCs w:val="20"/>
          <w:color w:val="auto"/>
        </w:rPr>
      </w:pPr>
      <w:r>
        <w:rPr>
          <w:rFonts w:ascii="Times New Roman" w:cs="Times New Roman" w:eastAsia="Times New Roman" w:hAnsi="Times New Roman"/>
          <w:sz w:val="17"/>
          <w:szCs w:val="17"/>
          <w:color w:val="auto"/>
        </w:rPr>
        <w:t>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may result in significant legal and other costs, be a distraction to our management and harm our reputation.</w:t>
      </w:r>
    </w:p>
    <w:p>
      <w:pPr>
        <w:spacing w:after="0" w:line="171"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products are complex and could have unknown defects or errors, which may increase our costs, harm our reputation with customers, give rise to costly litigation, or divert our resources from other purposes</w:t>
      </w:r>
      <w:r>
        <w:rPr>
          <w:rFonts w:ascii="Times New Roman" w:cs="Times New Roman" w:eastAsia="Times New Roman" w:hAnsi="Times New Roman"/>
          <w:sz w:val="17"/>
          <w:szCs w:val="17"/>
          <w:b w:val="1"/>
          <w:bCs w:val="1"/>
          <w:color w:val="auto"/>
        </w:rPr>
        <w:t>.</w:t>
      </w:r>
    </w:p>
    <w:p>
      <w:pPr>
        <w:spacing w:after="0" w:line="153" w:lineRule="exact"/>
        <w:rPr>
          <w:sz w:val="20"/>
          <w:szCs w:val="20"/>
          <w:color w:val="auto"/>
        </w:rPr>
      </w:pPr>
    </w:p>
    <w:p>
      <w:pPr>
        <w:ind w:right="240" w:firstLine="611"/>
        <w:spacing w:after="0" w:line="255" w:lineRule="auto"/>
        <w:rPr>
          <w:sz w:val="20"/>
          <w:szCs w:val="20"/>
          <w:color w:val="auto"/>
        </w:rPr>
      </w:pPr>
      <w:r>
        <w:rPr>
          <w:rFonts w:ascii="Times New Roman" w:cs="Times New Roman" w:eastAsia="Times New Roman" w:hAnsi="Times New Roman"/>
          <w:sz w:val="17"/>
          <w:szCs w:val="17"/>
          <w:color w:val="auto"/>
        </w:rPr>
        <w:t>Our products, including but not limited to unmanned vehicles, aerial targets, UAS and ballistic missile targets, and hypersonic systems, are extremely complex and must operate successfully with complex products from other vendors. Despite testing, our products have contained defects and errors and may in the future contain defects or errors, or experience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diversion of our personnel’s attention from our product development efforts, exposure to</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28" w:name="page29"/>
    <w:bookmarkEnd w:id="28"/>
    <w:p>
      <w:pPr>
        <w:ind w:right="600"/>
        <w:spacing w:after="0" w:line="279" w:lineRule="auto"/>
        <w:rPr>
          <w:sz w:val="20"/>
          <w:szCs w:val="20"/>
          <w:color w:val="auto"/>
        </w:rPr>
      </w:pPr>
      <w:r>
        <w:rPr>
          <w:rFonts w:ascii="Times New Roman" w:cs="Times New Roman" w:eastAsia="Times New Roman" w:hAnsi="Times New Roman"/>
          <w:sz w:val="17"/>
          <w:szCs w:val="17"/>
          <w:color w:val="auto"/>
        </w:rPr>
        <w:t>liability for damages, damaged customer relationships, and harm to our reputation, any of which could materially harm our results of operations. In addition, increased development and warranty costs could be substantial and could reduce our operating margins.</w:t>
      </w:r>
    </w:p>
    <w:p>
      <w:pPr>
        <w:spacing w:after="0" w:line="182" w:lineRule="exact"/>
        <w:rPr>
          <w:sz w:val="20"/>
          <w:szCs w:val="20"/>
          <w:color w:val="auto"/>
        </w:rPr>
      </w:pPr>
    </w:p>
    <w:p>
      <w:pPr>
        <w:ind w:right="40" w:firstLine="611"/>
        <w:spacing w:after="0" w:line="279" w:lineRule="auto"/>
        <w:rPr>
          <w:sz w:val="20"/>
          <w:szCs w:val="20"/>
          <w:color w:val="auto"/>
        </w:rPr>
      </w:pPr>
      <w:r>
        <w:rPr>
          <w:rFonts w:ascii="Times New Roman" w:cs="Times New Roman" w:eastAsia="Times New Roman" w:hAnsi="Times New Roman"/>
          <w:sz w:val="17"/>
          <w:szCs w:val="17"/>
          <w:color w:val="auto"/>
        </w:rPr>
        <w:t>The existence of any defects, errors, or failures in our products or the misuse of our products could also lead to lawsuits against us, result in injury, death, or property damage, and significantly damage our reputation and support for our products in general.</w:t>
      </w:r>
    </w:p>
    <w:p>
      <w:pPr>
        <w:spacing w:after="0" w:line="182" w:lineRule="exact"/>
        <w:rPr>
          <w:sz w:val="20"/>
          <w:szCs w:val="20"/>
          <w:color w:val="auto"/>
        </w:rPr>
      </w:pPr>
    </w:p>
    <w:p>
      <w:pPr>
        <w:jc w:val="both"/>
        <w:ind w:right="220" w:firstLine="611"/>
        <w:spacing w:after="0" w:line="259" w:lineRule="auto"/>
        <w:rPr>
          <w:sz w:val="20"/>
          <w:szCs w:val="20"/>
          <w:color w:val="auto"/>
        </w:rPr>
      </w:pPr>
      <w:r>
        <w:rPr>
          <w:rFonts w:ascii="Times New Roman" w:cs="Times New Roman" w:eastAsia="Times New Roman" w:hAnsi="Times New Roman"/>
          <w:sz w:val="17"/>
          <w:szCs w:val="17"/>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96" w:lineRule="exact"/>
        <w:rPr>
          <w:sz w:val="20"/>
          <w:szCs w:val="20"/>
          <w:color w:val="auto"/>
        </w:rPr>
      </w:pPr>
    </w:p>
    <w:p>
      <w:pPr>
        <w:ind w:right="286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53" w:lineRule="exact"/>
        <w:rPr>
          <w:sz w:val="20"/>
          <w:szCs w:val="20"/>
          <w:color w:val="auto"/>
        </w:rPr>
      </w:pPr>
    </w:p>
    <w:p>
      <w:pPr>
        <w:ind w:right="20" w:firstLine="611"/>
        <w:spacing w:after="0" w:line="255" w:lineRule="auto"/>
        <w:rPr>
          <w:sz w:val="20"/>
          <w:szCs w:val="20"/>
          <w:color w:val="auto"/>
        </w:rPr>
      </w:pPr>
      <w:r>
        <w:rPr>
          <w:rFonts w:ascii="Times New Roman" w:cs="Times New Roman" w:eastAsia="Times New Roman" w:hAnsi="Times New Roman"/>
          <w:sz w:val="17"/>
          <w:szCs w:val="17"/>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we cannot ensure that we will not experience such incidents in the future or that any such incidents will not result in production delays or otherwise have a material adverse effect on our business or financial condition. In addition, our microwave electronics business, which is based in Israel, may suffer disruption or damage from acts of terrorism, or other conflicts in that geographic region.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financial results may vary significantly from quarter to quarter.</w:t>
      </w:r>
    </w:p>
    <w:p>
      <w:pPr>
        <w:spacing w:after="0" w:line="241" w:lineRule="exact"/>
        <w:rPr>
          <w:sz w:val="20"/>
          <w:szCs w:val="20"/>
          <w:color w:val="auto"/>
        </w:rPr>
      </w:pPr>
    </w:p>
    <w:p>
      <w:pPr>
        <w:ind w:right="20" w:firstLine="611"/>
        <w:spacing w:after="0" w:line="259" w:lineRule="auto"/>
        <w:rPr>
          <w:sz w:val="20"/>
          <w:szCs w:val="20"/>
          <w:color w:val="auto"/>
        </w:rPr>
      </w:pPr>
      <w:r>
        <w:rPr>
          <w:rFonts w:ascii="Times New Roman" w:cs="Times New Roman" w:eastAsia="Times New Roman" w:hAnsi="Times New Roman"/>
          <w:sz w:val="17"/>
          <w:szCs w:val="17"/>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or are not renewed.</w:t>
      </w:r>
    </w:p>
    <w:p>
      <w:pPr>
        <w:spacing w:after="0" w:line="200"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federal fiscal year. The U.S. Government’s fiscal year end can also trigger increased purchase requests from customers for equipment and materials. 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76" w:lineRule="exact"/>
        <w:rPr>
          <w:sz w:val="20"/>
          <w:szCs w:val="20"/>
          <w:color w:val="auto"/>
        </w:rPr>
      </w:pPr>
    </w:p>
    <w:p>
      <w:pPr>
        <w:ind w:right="60" w:firstLine="611"/>
        <w:spacing w:after="0" w:line="279" w:lineRule="auto"/>
        <w:rPr>
          <w:sz w:val="20"/>
          <w:szCs w:val="20"/>
          <w:color w:val="auto"/>
        </w:rPr>
      </w:pPr>
      <w:r>
        <w:rPr>
          <w:rFonts w:ascii="Times New Roman" w:cs="Times New Roman" w:eastAsia="Times New Roman" w:hAnsi="Times New Roman"/>
          <w:sz w:val="17"/>
          <w:szCs w:val="17"/>
          <w:color w:val="auto"/>
        </w:rPr>
        <w:t>Additional factors that may cause our financial results to fluctuate from quarter to quarter include those addressed elsewhere in this Item 1A “Risk Factors” and the following factors, among others:</w:t>
      </w:r>
    </w:p>
    <w:p>
      <w:pPr>
        <w:spacing w:after="0" w:line="157" w:lineRule="exact"/>
        <w:rPr>
          <w:sz w:val="20"/>
          <w:szCs w:val="20"/>
          <w:color w:val="auto"/>
        </w:rPr>
      </w:pPr>
    </w:p>
    <w:p>
      <w:pPr>
        <w:ind w:left="1220" w:hanging="301"/>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customer contracts that affect the timing of revenue recognition;</w:t>
      </w:r>
    </w:p>
    <w:p>
      <w:pPr>
        <w:spacing w:after="0" w:line="23"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variability in demand for our services and solutions;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completion or termination of contracts during any particular quarter;</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shipments and product deliveries;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contract funding or work paused by the customer.</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award or performance incentive fee notices;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significant bid and proposal costs;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remediating unknown defects, errors or performance problems of our product offerings;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purchasing patterns under GSA contracts, GWACs, blanket purchase agreements and other IDIQ contracts;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and delays related to the export of defense articles and services;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29" w:name="page30"/>
    <w:bookmarkEnd w:id="29"/>
    <w:p>
      <w:pPr>
        <w:ind w:left="1220" w:hanging="301"/>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government inquiries;</w:t>
      </w:r>
    </w:p>
    <w:p>
      <w:pPr>
        <w:spacing w:after="0" w:line="23"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decisions by us or our competitors, such as acquisitions, divestitures, spin-offs and joint ventures;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investments or changes in business strategy;</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certain of our commercial based customers to raise adequate capital to fund early stage commercial initiatives;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extent to which we use subcontractors;</w:t>
      </w:r>
    </w:p>
    <w:p>
      <w:pPr>
        <w:spacing w:after="0" w:line="8"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fluctuations in our staff utilization rates;</w:t>
      </w:r>
    </w:p>
    <w:p>
      <w:pPr>
        <w:spacing w:after="0" w:line="8" w:lineRule="exact"/>
        <w:rPr>
          <w:rFonts w:ascii="Times New Roman" w:cs="Times New Roman" w:eastAsia="Times New Roman" w:hAnsi="Times New Roman"/>
          <w:sz w:val="17"/>
          <w:szCs w:val="17"/>
          <w:color w:val="auto"/>
        </w:rPr>
      </w:pPr>
    </w:p>
    <w:p>
      <w:pPr>
        <w:ind w:left="1220" w:right="20" w:hanging="301"/>
        <w:spacing w:after="0" w:line="250" w:lineRule="auto"/>
        <w:tabs>
          <w:tab w:leader="none" w:pos="12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effective tax rate, including changes in our judgment as to the necessity of the valuation allowance recorded against our deferred tax assets; and</w:t>
      </w:r>
    </w:p>
    <w:p>
      <w:pPr>
        <w:ind w:left="1220" w:hanging="301"/>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sales cycles.</w:t>
      </w:r>
    </w:p>
    <w:p>
      <w:pPr>
        <w:spacing w:after="0" w:line="222" w:lineRule="exact"/>
        <w:rPr>
          <w:sz w:val="20"/>
          <w:szCs w:val="20"/>
          <w:color w:val="auto"/>
        </w:rPr>
      </w:pPr>
    </w:p>
    <w:p>
      <w:pPr>
        <w:ind w:firstLine="611"/>
        <w:spacing w:after="0" w:line="257" w:lineRule="auto"/>
        <w:rPr>
          <w:sz w:val="20"/>
          <w:szCs w:val="20"/>
          <w:color w:val="auto"/>
        </w:rPr>
      </w:pPr>
      <w:r>
        <w:rPr>
          <w:rFonts w:ascii="Times New Roman" w:cs="Times New Roman" w:eastAsia="Times New Roman" w:hAnsi="Times New Roman"/>
          <w:sz w:val="17"/>
          <w:szCs w:val="17"/>
          <w:color w:val="auto"/>
        </w:rPr>
        <w:t xml:space="preserve">Significant fluctuations in our operating results for a particular quarter could cause us to fall out of compliance with the financial covenants related to our debt which, if not waived, could restrict our access to capital and cause us to take extreme measures to pay down outstanding indebtedness, if any, under our five-year $200 million Revolving Credit Facility or any future indebtedness. In addition, fluctuations in our financial results could cause our stock price to decline. See the risks and uncertainties related to our ability to raise additional capital below in </w:t>
      </w:r>
      <w:r>
        <w:rPr>
          <w:rFonts w:ascii="Times New Roman" w:cs="Times New Roman" w:eastAsia="Times New Roman" w:hAnsi="Times New Roman"/>
          <w:sz w:val="17"/>
          <w:szCs w:val="17"/>
          <w:i w:val="1"/>
          <w:iCs w:val="1"/>
          <w:color w:val="auto"/>
        </w:rPr>
        <w:t>“We may need additional capital to fund the growth of our business, and financing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may not be available on favorable terms or at all.”</w:t>
      </w:r>
    </w:p>
    <w:p>
      <w:pPr>
        <w:spacing w:after="0" w:line="163" w:lineRule="exact"/>
        <w:rPr>
          <w:sz w:val="20"/>
          <w:szCs w:val="20"/>
          <w:color w:val="auto"/>
        </w:rPr>
      </w:pPr>
    </w:p>
    <w:p>
      <w:pPr>
        <w:ind w:right="500"/>
        <w:spacing w:after="0" w:line="231" w:lineRule="exact"/>
        <w:rPr>
          <w:sz w:val="20"/>
          <w:szCs w:val="20"/>
          <w:color w:val="auto"/>
        </w:rPr>
      </w:pPr>
      <w:r>
        <w:rPr>
          <w:rFonts w:ascii="Times New Roman" w:cs="Times New Roman" w:eastAsia="Times New Roman" w:hAnsi="Times New Roman"/>
          <w:sz w:val="17"/>
          <w:szCs w:val="17"/>
          <w:b w:val="1"/>
          <w:bCs w:val="1"/>
          <w:i w:val="1"/>
          <w:iCs w:val="1"/>
          <w:color w:val="auto"/>
        </w:rPr>
        <w:t>Our margins and operating results may suffer if we experience unfavorable changes in the proportion of cost-plus-fee or fixed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price contracts in our total contract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-211455</wp:posOffset>
            </wp:positionV>
            <wp:extent cx="6159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595" cy="38735"/>
                    </a:xfrm>
                    <a:prstGeom prst="rect">
                      <a:avLst/>
                    </a:prstGeom>
                    <a:noFill/>
                  </pic:spPr>
                </pic:pic>
              </a:graphicData>
            </a:graphic>
          </wp:anchor>
        </w:drawing>
      </w:r>
    </w:p>
    <w:p>
      <w:pPr>
        <w:spacing w:after="0" w:line="194" w:lineRule="exact"/>
        <w:rPr>
          <w:sz w:val="20"/>
          <w:szCs w:val="20"/>
          <w:color w:val="auto"/>
        </w:rPr>
      </w:pPr>
    </w:p>
    <w:p>
      <w:pPr>
        <w:ind w:right="80" w:firstLine="611"/>
        <w:spacing w:after="0" w:line="255" w:lineRule="auto"/>
        <w:rPr>
          <w:sz w:val="20"/>
          <w:szCs w:val="20"/>
          <w:color w:val="auto"/>
        </w:rPr>
      </w:pPr>
      <w:r>
        <w:rPr>
          <w:rFonts w:ascii="Times New Roman" w:cs="Times New Roman" w:eastAsia="Times New Roman" w:hAnsi="Times New Roman"/>
          <w:sz w:val="17"/>
          <w:szCs w:val="17"/>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and operating efficiencies. In contrast, cost-plus-fee contracts are subject to statutory limits on profit margins and generally are the least profitable of our contract types. Our U.S. Government customers typically determine what type of contract we enter into. Cost-plus-fee and fixed-price contracts in our federal business accounted for approximately 39% and 59%, respectively, of our federal business revenues for the year ended December 28, 2025. To the extent that we enter into more cost-plus-fee or less fixed-price contracts in proportion to our total contract mix in the future, our margins and operating results may suffer. Our operating results may also suffer to the extent we have a contract mix that is focused on developmental projects, which are typically at lower profit margins as compared to margins on production projects.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overruns on our contracts could subject us to losses, decrease our operating margins and adversely affect our future business.</w:t>
      </w:r>
    </w:p>
    <w:p>
      <w:pPr>
        <w:spacing w:after="0" w:line="241" w:lineRule="exact"/>
        <w:rPr>
          <w:sz w:val="20"/>
          <w:szCs w:val="20"/>
          <w:color w:val="auto"/>
        </w:rPr>
      </w:pPr>
    </w:p>
    <w:p>
      <w:pPr>
        <w:ind w:firstLine="611"/>
        <w:spacing w:after="0" w:line="253" w:lineRule="auto"/>
        <w:rPr>
          <w:sz w:val="20"/>
          <w:szCs w:val="20"/>
          <w:color w:val="auto"/>
        </w:rPr>
      </w:pPr>
      <w:r>
        <w:rPr>
          <w:rFonts w:ascii="Times New Roman" w:cs="Times New Roman" w:eastAsia="Times New Roman" w:hAnsi="Times New Roman"/>
          <w:sz w:val="17"/>
          <w:szCs w:val="17"/>
          <w:color w:val="auto"/>
        </w:rPr>
        <w:t>Fixed-price contracts (including both government and commercial contracts) represented approximately 69% of our revenue for the fiscal year ended December 28, 2025. If we fail to anticipate technical problems, estimate costs accurately or control costs during our performance of fixed-price contracts, then we may incur losses on these contracts because we absorb any costs in excess of the fixed price. In addition, under fixed-price contracts, we are required to absorb any unanticipated costs resulting from inflation, including increases in costs of materials and labor. Under cost-plus-fee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cash flow and profitability could be reduced if expenditures are incurred prior to the final receipt of a contract.</w:t>
      </w:r>
    </w:p>
    <w:p>
      <w:pPr>
        <w:spacing w:after="0" w:line="203" w:lineRule="exact"/>
        <w:rPr>
          <w:sz w:val="20"/>
          <w:szCs w:val="20"/>
          <w:color w:val="auto"/>
        </w:rPr>
      </w:pPr>
    </w:p>
    <w:p>
      <w:pPr>
        <w:ind w:right="160" w:firstLine="611"/>
        <w:spacing w:after="0" w:line="236" w:lineRule="auto"/>
        <w:rPr>
          <w:sz w:val="20"/>
          <w:szCs w:val="20"/>
          <w:color w:val="auto"/>
        </w:rPr>
      </w:pPr>
      <w:r>
        <w:rPr>
          <w:rFonts w:ascii="Times New Roman" w:cs="Times New Roman" w:eastAsia="Times New Roman" w:hAnsi="Times New Roman"/>
          <w:sz w:val="17"/>
          <w:szCs w:val="17"/>
          <w:color w:val="auto"/>
        </w:rPr>
        <w:t>We provide various professional services, specialized products, and sometimes procure equipment and materials on behalf of our customers under various contractual arrangements. From time to time, in order to ensure that we satisfy our customers’ delivery requirements and schedules, we may elect to initiate procurement and production in advance of receiving a contract award, or final authorization from the government customer or a prime contractor. In addition, from time to time, we may build production units such as unmanned aerial vehicles in advance of receiving an anticipated contract award. In addition, to mitigate the impact of increasing material costs, we may procure larger lots of materials in advance to obtain larger quantity purchase discounted pricing. These actions that we may take to procure materials and/or commence production in advance of contract award require use of our working capital resources which impact our near-term operating cash flows. If our government or prime contractor customer’s requirements should change or if the government or the prime contractor should direct the anticipated procurement to another contractor, or if the anticipated contract award does not materialize, or if the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30" w:name="page31"/>
    <w:bookmarkEnd w:id="30"/>
    <w:p>
      <w:pPr>
        <w:ind w:right="280"/>
        <w:spacing w:after="0" w:line="295" w:lineRule="auto"/>
        <w:rPr>
          <w:sz w:val="20"/>
          <w:szCs w:val="20"/>
          <w:color w:val="auto"/>
        </w:rPr>
      </w:pPr>
      <w:r>
        <w:rPr>
          <w:rFonts w:ascii="Times New Roman" w:cs="Times New Roman" w:eastAsia="Times New Roman" w:hAnsi="Times New Roman"/>
          <w:sz w:val="16"/>
          <w:szCs w:val="16"/>
          <w:color w:val="auto"/>
        </w:rPr>
        <w:t>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79"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we fail to respond to commercial industry cycles in terms of our cost structure, manufacturing capacity, and/or personnel needs, our business could be seriously harmed.</w:t>
      </w:r>
    </w:p>
    <w:p>
      <w:pPr>
        <w:spacing w:after="0" w:line="178" w:lineRule="exact"/>
        <w:rPr>
          <w:sz w:val="20"/>
          <w:szCs w:val="20"/>
          <w:color w:val="auto"/>
        </w:rPr>
      </w:pPr>
    </w:p>
    <w:p>
      <w:pPr>
        <w:ind w:firstLine="611"/>
        <w:spacing w:after="0" w:line="253" w:lineRule="auto"/>
        <w:rPr>
          <w:sz w:val="20"/>
          <w:szCs w:val="20"/>
          <w:color w:val="auto"/>
        </w:rPr>
      </w:pPr>
      <w:r>
        <w:rPr>
          <w:rFonts w:ascii="Times New Roman" w:cs="Times New Roman" w:eastAsia="Times New Roman" w:hAnsi="Times New Roman"/>
          <w:sz w:val="17"/>
          <w:szCs w:val="17"/>
          <w:color w:val="auto"/>
        </w:rPr>
        <w:t>The timing, length, and severity of the up-and-down cycles in the commercial and defense industries are difficult to predict. This cyclical nature of the industries in which we operate affects our ability to accurately predict future revenue, and in some cases, future expense levels. During down cycles in our industry, the financial results of our customers may be negatively impacted, which could result not only in a decrease in orders but also a weakening of their financial condition that could impair our ability to recognize revenue or to collect on outstanding receivables. When cyclical fluctuations result in lower than expected revenue levels, operating results may be adversely affected and cost reduction measures may be necessary in order for us to remain competitive and financially sound. We must be in a position to adjust our cost and expense structure to reflect prevailing market conditions and to continue to motivate and retain our key employees. If we fail to respond to fluctuating market conditions our business could be seriously harmed. In addition, during periods of rapid growth, we must be able to increase engineering and manufacturing capacity and personnel to meet customer demand. We can provide no assurance that these objectives can be met in a timely manner in response to industry cycles. Each of these factors could adversely impact our operating results and financial condition.</w:t>
      </w:r>
    </w:p>
    <w:p>
      <w:pPr>
        <w:spacing w:after="0" w:line="179"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risks in the management of our inventory, and failure to effectively manage our inventory levels may result in product recalls or supply imbalances that could harm our business.</w:t>
      </w:r>
    </w:p>
    <w:p>
      <w:pPr>
        <w:spacing w:after="0" w:line="165" w:lineRule="exact"/>
        <w:rPr>
          <w:sz w:val="20"/>
          <w:szCs w:val="20"/>
          <w:color w:val="auto"/>
        </w:rPr>
      </w:pPr>
    </w:p>
    <w:p>
      <w:pPr>
        <w:ind w:right="20" w:firstLine="611"/>
        <w:spacing w:after="0" w:line="238" w:lineRule="auto"/>
        <w:rPr>
          <w:sz w:val="20"/>
          <w:szCs w:val="20"/>
          <w:color w:val="auto"/>
        </w:rPr>
      </w:pPr>
      <w:r>
        <w:rPr>
          <w:rFonts w:ascii="Times New Roman" w:cs="Times New Roman" w:eastAsia="Times New Roman" w:hAnsi="Times New Roman"/>
          <w:sz w:val="17"/>
          <w:szCs w:val="17"/>
          <w:color w:val="auto"/>
        </w:rPr>
        <w:t>We maintain a variety of parts and components in inventory to allow us to customize our products for specific customer requirements, which parts are subject to obsolescence and expiration. Due to the long-lead time for obtaining certain product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In addition, as a result of recent disruptions in supply chain for certain materials and parts, we have been making advanced inventory purchases in an attempt to mitigate the impact of these disruptions, which has resulted in an increase</w:t>
      </w:r>
    </w:p>
    <w:p>
      <w:pPr>
        <w:spacing w:after="0" w:line="11"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7"/>
          <w:szCs w:val="17"/>
          <w:color w:val="auto"/>
        </w:rPr>
        <w:t>in inventory levels and has required use of our working capital. Should orders and market conditions differ significantly from our estimates, our future results of operations could be materially adversely affected. In the future, we may be required to record write-downs of finished products and materials on-hand and/or additional charges for excess purchase commitments as a result of future changes in our sales forecasts or customer orders, which could have a negative impact on our business, financial condition, and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and may continue to incur goodwill impairment charges in our reporting entities, which could harm our profitability.</w:t>
      </w:r>
    </w:p>
    <w:p>
      <w:pPr>
        <w:spacing w:after="0" w:line="216" w:lineRule="exact"/>
        <w:rPr>
          <w:sz w:val="20"/>
          <w:szCs w:val="20"/>
          <w:color w:val="auto"/>
        </w:rPr>
      </w:pPr>
    </w:p>
    <w:p>
      <w:pPr>
        <w:ind w:right="20" w:firstLine="611"/>
        <w:spacing w:after="0" w:line="264" w:lineRule="auto"/>
        <w:rPr>
          <w:sz w:val="20"/>
          <w:szCs w:val="20"/>
          <w:color w:val="auto"/>
        </w:rPr>
      </w:pPr>
      <w:r>
        <w:rPr>
          <w:rFonts w:ascii="Times New Roman" w:cs="Times New Roman" w:eastAsia="Times New Roman" w:hAnsi="Times New Roman"/>
          <w:sz w:val="17"/>
          <w:szCs w:val="17"/>
          <w:color w:val="auto"/>
        </w:rPr>
        <w:t>As of December 28, 2025, goodwill represented approximately 24% of our total assets. We test for impairment annually.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70" w:lineRule="exact"/>
        <w:rPr>
          <w:sz w:val="20"/>
          <w:szCs w:val="20"/>
          <w:color w:val="auto"/>
        </w:rPr>
      </w:pPr>
    </w:p>
    <w:p>
      <w:pPr>
        <w:ind w:right="20" w:firstLine="611"/>
        <w:spacing w:after="0" w:line="255" w:lineRule="auto"/>
        <w:rPr>
          <w:sz w:val="20"/>
          <w:szCs w:val="20"/>
          <w:color w:val="auto"/>
        </w:rPr>
      </w:pPr>
      <w:r>
        <w:rPr>
          <w:rFonts w:ascii="Times New Roman" w:cs="Times New Roman" w:eastAsia="Times New Roman" w:hAnsi="Times New Roman"/>
          <w:sz w:val="17"/>
          <w:szCs w:val="17"/>
          <w:color w:val="auto"/>
        </w:rPr>
        <w:t>We test goodwill for impairment by performing a qualitative assessment or using a two-step impairment process. If we choose to perform a qualitative assessment and determine it is more likely than not that an impairment may exist, the two-step impairment process is then performed. For operations where the two-step process is used, the identification and measurement of impairment involves the estimation of the fair value of reporting units. If the fair value is determined to be less than the carrying value, a second step is performed to determine the amount of the impairment. Accounting for impairment contains uncertainty because management must make judgments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w:t>
      </w:r>
    </w:p>
    <w:p>
      <w:pPr>
        <w:spacing w:after="0" w:line="202"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Given the current market conditions and continued budget and deficit funding pressures, including sequestration and issues surrounding the national debt ceiling and inflationary impacts and cost input increases to certain of our businesses, our future revenues, profits and cash flows could be substantially lower than our current projections. Market conditions, including increased price competitiveness specifically in the government services space, and procurements awarded on an LPTA rather than a best value basis, and the impact of increased cost inputs can significantly impact our projections. In addition, our ability to penetrate new international markets could also impact our current projections. Additional market factors could impact our projections and our ability to successfully develop new products and platforms. For example, our US reporting unit forecasts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31" w:name="page32"/>
    <w:bookmarkEnd w:id="31"/>
    <w:p>
      <w:pPr>
        <w:ind w:right="140"/>
        <w:spacing w:after="0" w:line="255" w:lineRule="auto"/>
        <w:rPr>
          <w:sz w:val="20"/>
          <w:szCs w:val="20"/>
          <w:color w:val="auto"/>
        </w:rPr>
      </w:pPr>
      <w:r>
        <w:rPr>
          <w:rFonts w:ascii="Times New Roman" w:cs="Times New Roman" w:eastAsia="Times New Roman" w:hAnsi="Times New Roman"/>
          <w:sz w:val="17"/>
          <w:szCs w:val="17"/>
          <w:color w:val="auto"/>
        </w:rPr>
        <w:t>include the successful completion of certain performance criteria on new unmanned systems platforms, and acceptance of new unmanned systems platforms on a technical basis as well as from a political and government budgetary standpoint, including the assumption that products we have developed or will develop will become programs of record. In addition, market-based inputs to the calculations in the impairment test, such as weighted average cost of capital, and market multiples, could also be negatively impacted. Such circumstances may result in the future deterioration of the fair value of our reporting units and an impairment of our goodwill.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properly manage projects may result in additional costs or claims.</w:t>
      </w:r>
    </w:p>
    <w:p>
      <w:pPr>
        <w:spacing w:after="0" w:line="216" w:lineRule="exact"/>
        <w:rPr>
          <w:sz w:val="20"/>
          <w:szCs w:val="20"/>
          <w:color w:val="auto"/>
        </w:rPr>
      </w:pPr>
    </w:p>
    <w:p>
      <w:pPr>
        <w:ind w:right="60" w:firstLine="611"/>
        <w:spacing w:after="0" w:line="254" w:lineRule="auto"/>
        <w:rPr>
          <w:sz w:val="20"/>
          <w:szCs w:val="20"/>
          <w:color w:val="auto"/>
        </w:rPr>
      </w:pPr>
      <w:r>
        <w:rPr>
          <w:rFonts w:ascii="Times New Roman" w:cs="Times New Roman" w:eastAsia="Times New Roman" w:hAnsi="Times New Roman"/>
          <w:sz w:val="17"/>
          <w:szCs w:val="17"/>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customers’ expectations could result in claims for substantial damages against us. Our contracts generally limit our liability for damages that arise from negligent acts, errors, mistakes or omissions in rendering services to our customers.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adversely affected.</w:t>
      </w:r>
    </w:p>
    <w:p>
      <w:pPr>
        <w:spacing w:after="0" w:line="17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use estimates when accounting for contracts, and any changes in such estimates could have an adverse effect on our profitability and our overall financial performance.</w:t>
      </w:r>
    </w:p>
    <w:p>
      <w:pPr>
        <w:spacing w:after="0" w:line="153" w:lineRule="exact"/>
        <w:rPr>
          <w:sz w:val="20"/>
          <w:szCs w:val="20"/>
          <w:color w:val="auto"/>
        </w:rPr>
      </w:pPr>
    </w:p>
    <w:p>
      <w:pPr>
        <w:ind w:firstLine="611"/>
        <w:spacing w:after="0" w:line="254" w:lineRule="auto"/>
        <w:rPr>
          <w:sz w:val="20"/>
          <w:szCs w:val="20"/>
          <w:color w:val="auto"/>
        </w:rPr>
      </w:pPr>
      <w:r>
        <w:rPr>
          <w:rFonts w:ascii="Times New Roman" w:cs="Times New Roman" w:eastAsia="Times New Roman" w:hAnsi="Times New Roman"/>
          <w:sz w:val="17"/>
          <w:szCs w:val="17"/>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79" w:lineRule="exact"/>
        <w:rPr>
          <w:sz w:val="20"/>
          <w:szCs w:val="20"/>
          <w:color w:val="auto"/>
        </w:rPr>
      </w:pPr>
    </w:p>
    <w:p>
      <w:pPr>
        <w:ind w:right="180" w:firstLine="611"/>
        <w:spacing w:after="0" w:line="264" w:lineRule="auto"/>
        <w:rPr>
          <w:sz w:val="20"/>
          <w:szCs w:val="20"/>
          <w:color w:val="auto"/>
        </w:rPr>
      </w:pPr>
      <w:r>
        <w:rPr>
          <w:rFonts w:ascii="Times New Roman" w:cs="Times New Roman" w:eastAsia="Times New Roman" w:hAnsi="Times New Roman"/>
          <w:sz w:val="17"/>
          <w:szCs w:val="17"/>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 or more of the affected contracts, future period financial reporting and performance.</w:t>
      </w:r>
    </w:p>
    <w:p>
      <w:pPr>
        <w:spacing w:after="0" w:line="166"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ability to utilize our net operating loss carryforwards and certain other tax attributes may be limited. We may be required to record valuation allowances on our net operating loss carryforwards in future periods which could adversely impact our profitability and financial condition.</w:t>
      </w:r>
    </w:p>
    <w:p>
      <w:pPr>
        <w:spacing w:after="0" w:line="178" w:lineRule="exact"/>
        <w:rPr>
          <w:sz w:val="20"/>
          <w:szCs w:val="20"/>
          <w:color w:val="auto"/>
        </w:rPr>
      </w:pPr>
    </w:p>
    <w:p>
      <w:pPr>
        <w:ind w:right="20" w:firstLine="611"/>
        <w:spacing w:after="0" w:line="255" w:lineRule="auto"/>
        <w:rPr>
          <w:sz w:val="20"/>
          <w:szCs w:val="20"/>
          <w:color w:val="auto"/>
        </w:rPr>
      </w:pPr>
      <w:r>
        <w:rPr>
          <w:rFonts w:ascii="Times New Roman" w:cs="Times New Roman" w:eastAsia="Times New Roman" w:hAnsi="Times New Roman"/>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We believe we underwent an ownership change in March 2010 that limited the Company’s federal annual utilization of NOL carryforwards. If the entire limitation amount is not utilized in a year, the excess can be carried forward and utilized in future years. For the year ended December 28, 2025, there was no impact of such limitations on the income tax provision since the amount of taxable income did not exceed the cumulative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202" w:lineRule="exact"/>
        <w:rPr>
          <w:sz w:val="20"/>
          <w:szCs w:val="20"/>
          <w:color w:val="auto"/>
        </w:rPr>
      </w:pPr>
    </w:p>
    <w:p>
      <w:pPr>
        <w:jc w:val="both"/>
        <w:ind w:right="380" w:firstLine="611"/>
        <w:spacing w:after="0" w:line="264" w:lineRule="auto"/>
        <w:rPr>
          <w:sz w:val="20"/>
          <w:szCs w:val="20"/>
          <w:color w:val="auto"/>
        </w:rPr>
      </w:pPr>
      <w:r>
        <w:rPr>
          <w:rFonts w:ascii="Times New Roman" w:cs="Times New Roman" w:eastAsia="Times New Roman" w:hAnsi="Times New Roman"/>
          <w:sz w:val="17"/>
          <w:szCs w:val="17"/>
          <w:color w:val="auto"/>
        </w:rPr>
        <w:t>Given the current market conditions and continued economic uncertainty in the U.S. defense industry and issues surrounding the national debt ceiling impacts to certain of our businesses, including disruptions in supply chain and inflationary impacts, our future revenues, profits, cash flows, and taxable income could be substantially lower than our then-current</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32" w:name="page33"/>
    <w:bookmarkEnd w:id="32"/>
    <w:p>
      <w:pPr>
        <w:ind w:right="120"/>
        <w:spacing w:after="0" w:line="254" w:lineRule="auto"/>
        <w:rPr>
          <w:sz w:val="20"/>
          <w:szCs w:val="20"/>
          <w:color w:val="auto"/>
        </w:rPr>
      </w:pPr>
      <w:r>
        <w:rPr>
          <w:rFonts w:ascii="Times New Roman" w:cs="Times New Roman" w:eastAsia="Times New Roman" w:hAnsi="Times New Roman"/>
          <w:sz w:val="17"/>
          <w:szCs w:val="17"/>
          <w:color w:val="auto"/>
        </w:rPr>
        <w:t>projections. Market conditions, including increased price competitiveness specifically in the government services space, and procurements awarded on an LPTA rather than a best value basis, and the impact of increased cost inputs can significantly impact our projections. In addition, our ability to penetrate new international markets could also impact our current projections. Additional market factors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on a technical basis as well as from a political and government budgetary standpoint. In addition, reforms or changes to current tax regulations could impact the future utilization of our NOLs. Such circumstances may result in the expiration of our NOLs before we are able to utilize them, which could result in a requirement to record valuation allowances. Due to continual changes in market and general business conditions, we cannot predict whether, and to what extent, a valuation allowance may be required in future periods.</w:t>
      </w:r>
    </w:p>
    <w:p>
      <w:pPr>
        <w:spacing w:after="0" w:line="20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expect to incur substantial research and development costs and devote significant resources to identifying and developing new products and services, which could significantly reduce our profitability and may never result in revenue to us.</w:t>
      </w:r>
    </w:p>
    <w:p>
      <w:pPr>
        <w:spacing w:after="0" w:line="153" w:lineRule="exact"/>
        <w:rPr>
          <w:sz w:val="20"/>
          <w:szCs w:val="20"/>
          <w:color w:val="auto"/>
        </w:rPr>
      </w:pPr>
    </w:p>
    <w:p>
      <w:pPr>
        <w:ind w:right="180" w:firstLine="611"/>
        <w:spacing w:after="0" w:line="255" w:lineRule="auto"/>
        <w:rPr>
          <w:sz w:val="20"/>
          <w:szCs w:val="20"/>
          <w:color w:val="auto"/>
        </w:rPr>
      </w:pPr>
      <w:r>
        <w:rPr>
          <w:rFonts w:ascii="Times New Roman" w:cs="Times New Roman" w:eastAsia="Times New Roman" w:hAnsi="Times New Roman"/>
          <w:sz w:val="17"/>
          <w:szCs w:val="17"/>
          <w:color w:val="auto"/>
        </w:rPr>
        <w:t>Our future growth depends on penetrating new markets, adapting existing products to new applications, and introducing new products and services that achieve market acceptance. We plan to incur substantial research and development costs as part of our efforts to design, develop and commercialize new products and services and enhance existing products. We spent $40.0 million, or 3.0% of our total revenue, in our fiscal year ended December 28, 2025 on internally funded research and development activities. We believe that there are significant investment opportunities in a number of business areas. Because we account for research and development as an operating expense, these expenditures will adversely affect our earnings.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operations expose us to risks associated with pandemics, epidemics or other public health emergencies.</w:t>
      </w:r>
    </w:p>
    <w:p>
      <w:pPr>
        <w:spacing w:after="0" w:line="241"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A pandemic or other epidemic or public health emergency, poses the risk that we or our employees, suppliers and other partners may be prevented from conducting business activities for an indefinite period of time, including due to spread of the disease within these groups or due to shutdowns that may be requested or mandated by governmental authorities. For example, the COVID-19 pandemic and subsequent mitigation measures had an adverse impact on global economic conditions which had, and could continue to have an adverse effect on our business and financial condition. The extent to which the lingering impacts of the COVID-19 pandemic, or any other outbreak of an epidemic disease, impacts our results will depend on future developments that are highly uncertain and cannot be predicted, including new information that may emerge concerning the severity of the virus and the actions to contain its impact.</w:t>
      </w:r>
    </w:p>
    <w:p>
      <w:pPr>
        <w:spacing w:after="0" w:line="205" w:lineRule="exact"/>
        <w:rPr>
          <w:sz w:val="20"/>
          <w:szCs w:val="20"/>
          <w:color w:val="auto"/>
        </w:rPr>
      </w:pPr>
    </w:p>
    <w:p>
      <w:pPr>
        <w:ind w:right="220" w:firstLine="611"/>
        <w:spacing w:after="0" w:line="264" w:lineRule="auto"/>
        <w:rPr>
          <w:sz w:val="20"/>
          <w:szCs w:val="20"/>
          <w:color w:val="auto"/>
        </w:rPr>
      </w:pPr>
      <w:r>
        <w:rPr>
          <w:rFonts w:ascii="Times New Roman" w:cs="Times New Roman" w:eastAsia="Times New Roman" w:hAnsi="Times New Roman"/>
          <w:sz w:val="17"/>
          <w:szCs w:val="17"/>
          <w:color w:val="auto"/>
        </w:rPr>
        <w:t>Pandemics, epidemics and other public health emergencies may have negative impacts on certain of our operations, including employee absenteeism, our supply chain, vendors, transportation networks and customers, which may reduce certain of our sales and our margins, including as a result of preventative and precautionary measures that we, our suppliers, other businesses and governments have taken or may take.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to fund the growth of our business, and financing may not be available on favorable terms or at all.</w:t>
      </w:r>
    </w:p>
    <w:p>
      <w:pPr>
        <w:spacing w:after="0" w:line="241" w:lineRule="exact"/>
        <w:rPr>
          <w:sz w:val="20"/>
          <w:szCs w:val="20"/>
          <w:color w:val="auto"/>
        </w:rPr>
      </w:pPr>
    </w:p>
    <w:p>
      <w:pPr>
        <w:ind w:right="80" w:firstLine="611"/>
        <w:spacing w:after="0" w:line="253" w:lineRule="auto"/>
        <w:rPr>
          <w:sz w:val="20"/>
          <w:szCs w:val="20"/>
          <w:color w:val="auto"/>
        </w:rPr>
      </w:pPr>
      <w:r>
        <w:rPr>
          <w:rFonts w:ascii="Times New Roman" w:cs="Times New Roman" w:eastAsia="Times New Roman" w:hAnsi="Times New Roman"/>
          <w:sz w:val="17"/>
          <w:szCs w:val="17"/>
          <w:color w:val="auto"/>
        </w:rPr>
        <w:t>We currently anticipate that our available capital resources, amounts available under our Credit Agreement (as defined below in Item 7 “Management’s Discussion and Analysis of Financial Condition and Results of Operations” under the heading “2022 Credit Facility”) and operating cash flow will be sufficient to meet our expected working capital, internal investments and capital expenditure requirements for at least the next 12 months. However, these resources may not be sufficient to fund the long-term growth of our business, especially in the event that we are awarded future multiple sizable production awards related to our tactical drone programs or in the event we are awarded future multiple sizable production awards related to our turbine technologies and rocket motor businesses, each of which will require significant amounts of working capital to fund such growth. If we determine that it is necessary to raise additional funds, either through an expansion or refinancing of our Credit Agreement or through public or private debt offerings or additional public or private equity financings, additional financing may not be available on terms favorable to us, or at all. Disruptions in the capital and credit markets could adversely affect our ability to access these markets. Limitations on our ability to borrow contained in our Credit Agreement may limit our access to capital, and we could fall out of compliance with financial and other covenants contained in our Credit Agreement which, if not waived, would restrict our access to capital and could require us to pay down any then-existing debt under the Credit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33" w:name="page34"/>
    <w:bookmarkEnd w:id="33"/>
    <w:p>
      <w:pPr>
        <w:ind w:right="140"/>
        <w:spacing w:after="0" w:line="264" w:lineRule="auto"/>
        <w:rPr>
          <w:sz w:val="20"/>
          <w:szCs w:val="20"/>
          <w:color w:val="auto"/>
        </w:rPr>
      </w:pPr>
      <w:r>
        <w:rPr>
          <w:rFonts w:ascii="Times New Roman" w:cs="Times New Roman" w:eastAsia="Times New Roman" w:hAnsi="Times New Roman"/>
          <w:sz w:val="17"/>
          <w:szCs w:val="17"/>
          <w:color w:val="auto"/>
        </w:rPr>
        <w:t>Agreement. Our lenders may not agree to extend additional or continuing credit under our Credit Agreement or waive restrictions on our access to capital.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91" w:lineRule="exact"/>
        <w:rPr>
          <w:sz w:val="20"/>
          <w:szCs w:val="20"/>
          <w:color w:val="auto"/>
        </w:rPr>
      </w:pPr>
    </w:p>
    <w:p>
      <w:pPr>
        <w:ind w:right="31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cash may be subject to a risk of loss and we may be exposed to fluctuations in the market values of our portfolio investments and in interest rates.</w:t>
      </w:r>
    </w:p>
    <w:p>
      <w:pPr>
        <w:spacing w:after="0" w:line="178" w:lineRule="exact"/>
        <w:rPr>
          <w:sz w:val="20"/>
          <w:szCs w:val="20"/>
          <w:color w:val="auto"/>
        </w:rPr>
      </w:pPr>
    </w:p>
    <w:p>
      <w:pPr>
        <w:ind w:right="20" w:firstLine="611"/>
        <w:spacing w:after="0" w:line="253" w:lineRule="auto"/>
        <w:rPr>
          <w:sz w:val="20"/>
          <w:szCs w:val="20"/>
          <w:color w:val="auto"/>
        </w:rPr>
      </w:pPr>
      <w:r>
        <w:rPr>
          <w:rFonts w:ascii="Times New Roman" w:cs="Times New Roman" w:eastAsia="Times New Roman" w:hAnsi="Times New Roman"/>
          <w:sz w:val="17"/>
          <w:szCs w:val="17"/>
          <w:color w:val="auto"/>
        </w:rPr>
        <w:t>Our assets include a significant amount of cash and investments. We adhere to an investment policy set by our board of directors which aims to preserve our financial assets, maintain adequate liquidity and maximize returns. We believe that our cash is held in institutions whose credit risk is minimal and that the value and liquidity of our deposits are accurately reflected in our Consolidated Financial Statements as of December 28, 2025. We currently invest the majority of our cash in institutional U.S. money market funds, institutional U.S. treasury money market funds, U.S. treasuries, and U.S. government agency securities, in depository accounts with large financial institutions, and in depository accounts with large global financial institutions for those cash balances that are held by our foreign subsidiaries, the performance of which are subject to additional market risks related to their respective issuers and those global financial institutions. Nearly all of our cash and bank deposits are not insured by the Federal Deposit Insurance Corporation. Therefore, our cash and any bank deposits that we now hold or may acquire in the future may be subject to risks, including the risk of loss or of reduced value or liquidity. In the future, should we determine that there is a decline in value of any of our portfolio securities which is not temporary in nature, this would result in a loss being recognized in our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Past acquisitions and future acquisitions could prove difficult to integrate, disrupt our business, dilute stockholder value and strain our resources.</w:t>
      </w:r>
    </w:p>
    <w:p>
      <w:pPr>
        <w:spacing w:after="0" w:line="241" w:lineRule="exact"/>
        <w:rPr>
          <w:sz w:val="20"/>
          <w:szCs w:val="20"/>
          <w:color w:val="auto"/>
        </w:rPr>
      </w:pPr>
    </w:p>
    <w:p>
      <w:pPr>
        <w:ind w:right="20" w:firstLine="611"/>
        <w:spacing w:after="0" w:line="255" w:lineRule="auto"/>
        <w:rPr>
          <w:sz w:val="20"/>
          <w:szCs w:val="20"/>
          <w:color w:val="auto"/>
        </w:rPr>
      </w:pPr>
      <w:r>
        <w:rPr>
          <w:rFonts w:ascii="Times New Roman" w:cs="Times New Roman" w:eastAsia="Times New Roman" w:hAnsi="Times New Roman"/>
          <w:sz w:val="17"/>
          <w:szCs w:val="17"/>
          <w:color w:val="auto"/>
        </w:rPr>
        <w:t>We have in the past and may, in the future, acquire additional businesses that we believe could complement or expand our business or increase our customer base. Whether we realize the anticipated benefits from these acquisitions and related activities depends, in part, upon our ability to integrate the operations of the acquired business, the performance of the underlying product and service portfolio, and the performance of the management team and other personnel of the acquired operations.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202" w:lineRule="exact"/>
        <w:rPr>
          <w:sz w:val="20"/>
          <w:szCs w:val="20"/>
          <w:color w:val="auto"/>
        </w:rPr>
      </w:pPr>
    </w:p>
    <w:p>
      <w:pPr>
        <w:ind w:left="600" w:hanging="293"/>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achieve the operating synergies anticipated in the acquisitions;</w:t>
      </w:r>
    </w:p>
    <w:p>
      <w:pPr>
        <w:spacing w:after="0" w:line="23"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attention from ongoing business concerns to integration matters;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consolidating and rationalizing IT platforms and administrative infrastructures;</w:t>
      </w:r>
    </w:p>
    <w:p>
      <w:pPr>
        <w:spacing w:after="0" w:line="8" w:lineRule="exact"/>
        <w:rPr>
          <w:rFonts w:ascii="Times New Roman" w:cs="Times New Roman" w:eastAsia="Times New Roman" w:hAnsi="Times New Roman"/>
          <w:sz w:val="17"/>
          <w:szCs w:val="17"/>
          <w:color w:val="auto"/>
        </w:rPr>
      </w:pPr>
    </w:p>
    <w:p>
      <w:pPr>
        <w:ind w:left="620" w:right="700" w:hanging="313"/>
        <w:spacing w:after="0" w:line="250"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the geographic separation of the combined businesses and consolidating multiple physical locations where management may determine consolidation is desirable;</w:t>
      </w:r>
    </w:p>
    <w:p>
      <w:pPr>
        <w:ind w:left="600" w:hanging="293"/>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integrating personnel from different corporate cultures while maintaining focus on providing consistent, high quality customer service;</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or delays in transitioning U.S. Government contracts pursuant to federal acquisition regulations;</w:t>
      </w:r>
    </w:p>
    <w:p>
      <w:pPr>
        <w:spacing w:after="0" w:line="8" w:lineRule="exact"/>
        <w:rPr>
          <w:rFonts w:ascii="Times New Roman" w:cs="Times New Roman" w:eastAsia="Times New Roman" w:hAnsi="Times New Roman"/>
          <w:sz w:val="17"/>
          <w:szCs w:val="17"/>
          <w:color w:val="auto"/>
        </w:rPr>
      </w:pPr>
    </w:p>
    <w:p>
      <w:pPr>
        <w:ind w:left="620" w:right="560" w:hanging="313"/>
        <w:spacing w:after="0" w:line="250"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demonstrating to customers of Kratos and to customers of acquired businesses that the acquisition will not result in adverse changes in customer service standards or business focus;</w:t>
      </w:r>
    </w:p>
    <w:p>
      <w:pPr>
        <w:ind w:left="600" w:hanging="293"/>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cash flow interruption or loss of revenue as a result of change of ownership transitional matters; and</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generate sufficient revenue to offset acquisition costs.</w:t>
      </w:r>
    </w:p>
    <w:p>
      <w:pPr>
        <w:spacing w:after="0" w:line="222" w:lineRule="exact"/>
        <w:rPr>
          <w:sz w:val="20"/>
          <w:szCs w:val="20"/>
          <w:color w:val="auto"/>
        </w:rPr>
      </w:pPr>
    </w:p>
    <w:p>
      <w:pPr>
        <w:ind w:firstLine="611"/>
        <w:spacing w:after="0" w:line="253" w:lineRule="auto"/>
        <w:rPr>
          <w:sz w:val="20"/>
          <w:szCs w:val="20"/>
          <w:color w:val="auto"/>
        </w:rPr>
      </w:pPr>
      <w:r>
        <w:rPr>
          <w:rFonts w:ascii="Times New Roman" w:cs="Times New Roman" w:eastAsia="Times New Roman" w:hAnsi="Times New Roman"/>
          <w:sz w:val="17"/>
          <w:szCs w:val="17"/>
          <w:color w:val="auto"/>
        </w:rPr>
        <w:t>Acquired businesses may have liabilities or adverse operating issues that we fail to discover through due diligence prior to the acquisition, including cyber and other security vulnerabilities. In particular, to the extent that prior owners of any acquired businesses or properties failed to comply with or otherwise violated applicable laws or regulations, or failed to fulfill their contractual obligations to the U.S. Government or other customers, we, as the successor owner, may be financially responsible for these violations and failures and may suffer reputational harm or otherwise be adversely affected. Acquisitions also frequently result in the recording of goodwill and other intangible assets that are subject to potential impairment in the future that could harm our financial results. In addition, if we finance acquisitions by issuing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34" w:name="page35"/>
    <w:bookmarkEnd w:id="34"/>
    <w:p>
      <w:pPr>
        <w:jc w:val="both"/>
        <w:ind w:right="80"/>
        <w:spacing w:after="0" w:line="264" w:lineRule="auto"/>
        <w:rPr>
          <w:sz w:val="20"/>
          <w:szCs w:val="20"/>
          <w:color w:val="auto"/>
        </w:rPr>
      </w:pPr>
      <w:r>
        <w:rPr>
          <w:rFonts w:ascii="Times New Roman" w:cs="Times New Roman" w:eastAsia="Times New Roman" w:hAnsi="Times New Roman"/>
          <w:sz w:val="17"/>
          <w:szCs w:val="17"/>
          <w:color w:val="auto"/>
        </w:rPr>
        <w:t>successfully integrate the operations or to otherwise realize any of the anticipated benefits of the acquisition could seriously harm our financial condition and results of operations. While we believe that we have established appropriate and adequate procedures and processes to mitigate these risks, there is no assurance that these transactions will be successful.</w:t>
      </w:r>
    </w:p>
    <w:p>
      <w:pPr>
        <w:spacing w:after="0" w:line="170" w:lineRule="exact"/>
        <w:rPr>
          <w:sz w:val="20"/>
          <w:szCs w:val="20"/>
          <w:color w:val="auto"/>
        </w:rPr>
      </w:pPr>
    </w:p>
    <w:p>
      <w:pPr>
        <w:ind w:right="40" w:firstLine="611"/>
        <w:spacing w:after="0" w:line="255" w:lineRule="auto"/>
        <w:rPr>
          <w:sz w:val="20"/>
          <w:szCs w:val="20"/>
          <w:color w:val="auto"/>
        </w:rPr>
      </w:pPr>
      <w:r>
        <w:rPr>
          <w:rFonts w:ascii="Times New Roman" w:cs="Times New Roman" w:eastAsia="Times New Roman" w:hAnsi="Times New Roman"/>
          <w:sz w:val="17"/>
          <w:szCs w:val="17"/>
          <w:color w:val="auto"/>
        </w:rPr>
        <w:t>We also evaluate from time to time the potential disposition of assets or business that may no longer meet our growth, return and/or strategic objectives. Divestitures have inherent risks, including the possibility that any anticipated sale will be delayed or will not occur, the potential failure to realize the perceived strategic or financial merits of the divestment, difficulties in the separation of operations, services, information technology, products and personnel, unexpected costs associated with such separation, diversion of management’s attention from other business concerns and potential post-closing claims for alleged breaches of related agreements, indemnification or other disputes. A failure to successfully complete a disposition or to otherwise realize any of the anticipated benefits of a disposition could seriously harm our financial condition and results of operations.</w:t>
      </w:r>
    </w:p>
    <w:p>
      <w:pPr>
        <w:spacing w:after="0" w:line="1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Other strategic transactions, including spin-offs, divestitures, and investments involve significant risks and uncertainties that could adversely affect our business, financial condition, results of operations, cash flows and equity</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to acquisitions, we may engage in other strategic transactions in the future, including spin-offs, divestitures, and investments, any of which</w:t>
      </w:r>
    </w:p>
    <w:p>
      <w:pPr>
        <w:spacing w:after="0" w:line="34"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6"/>
          <w:szCs w:val="16"/>
          <w:color w:val="auto"/>
        </w:rPr>
        <w:t>would present significant risks and uncertainties that could adversely affect our business, financial condition, results of operations, cash flows and equity. For example, while the Company has no current plans or arrangements to accept direct investment from the U.S. government or any governmental agency, the</w:t>
      </w:r>
    </w:p>
    <w:p>
      <w:pPr>
        <w:ind w:right="100"/>
        <w:spacing w:after="0" w:line="260" w:lineRule="auto"/>
        <w:rPr>
          <w:sz w:val="20"/>
          <w:szCs w:val="20"/>
          <w:color w:val="auto"/>
        </w:rPr>
      </w:pPr>
      <w:r>
        <w:rPr>
          <w:rFonts w:ascii="Times New Roman" w:cs="Times New Roman" w:eastAsia="Times New Roman" w:hAnsi="Times New Roman"/>
          <w:sz w:val="16"/>
          <w:szCs w:val="16"/>
          <w:color w:val="auto"/>
        </w:rPr>
        <w:t>Department of War recently announced an Acquisition Transformation Strategy and "Go Direct-to-Supplier" initiative. According to its public statements, the DoW strategy calls for the DoW to negotiate and invest directly with critical suppliers to save money and time, while proactively managing the single points of failure. The DoW has announced significant investment transactions with other companies in our industry and we may have an opportunity to participate in the DoW “Go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Direct-to-Supplier” initiative in the future. In the event we participate in any such strategic transaction, we will face numerous risk including, among others:</w:t>
      </w:r>
    </w:p>
    <w:p>
      <w:pPr>
        <w:spacing w:after="0" w:line="237" w:lineRule="exact"/>
        <w:rPr>
          <w:sz w:val="20"/>
          <w:szCs w:val="20"/>
          <w:color w:val="auto"/>
        </w:rPr>
      </w:pPr>
    </w:p>
    <w:p>
      <w:pPr>
        <w:ind w:left="760" w:hanging="300"/>
        <w:spacing w:after="0"/>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achieving strategic objectives, cost savings and other expected benefits;</w:t>
      </w:r>
    </w:p>
    <w:p>
      <w:pPr>
        <w:spacing w:after="0" w:line="23" w:lineRule="exact"/>
        <w:rPr>
          <w:rFonts w:ascii="Times New Roman" w:cs="Times New Roman" w:eastAsia="Times New Roman" w:hAnsi="Times New Roman"/>
          <w:sz w:val="17"/>
          <w:szCs w:val="17"/>
          <w:color w:val="auto"/>
        </w:rPr>
      </w:pPr>
    </w:p>
    <w:p>
      <w:pPr>
        <w:ind w:left="760" w:hanging="300"/>
        <w:spacing w:after="0"/>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our markets do not evolve as anticipated and that the strategic transaction does not prove to be those needed to be successful in those markets;</w:t>
      </w:r>
    </w:p>
    <w:p>
      <w:pPr>
        <w:spacing w:after="0" w:line="8" w:lineRule="exact"/>
        <w:rPr>
          <w:rFonts w:ascii="Times New Roman" w:cs="Times New Roman" w:eastAsia="Times New Roman" w:hAnsi="Times New Roman"/>
          <w:sz w:val="17"/>
          <w:szCs w:val="17"/>
          <w:color w:val="auto"/>
        </w:rPr>
      </w:pPr>
    </w:p>
    <w:p>
      <w:pPr>
        <w:ind w:left="760" w:right="640" w:hanging="300"/>
        <w:spacing w:after="0" w:line="250" w:lineRule="auto"/>
        <w:tabs>
          <w:tab w:leader="none" w:pos="75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we assume or retain, or otherwise become subject to, significant liabilities that exceed the limitations of any applicable indemnification provisions or the financial resources of any indemnifying parties;</w:t>
      </w:r>
    </w:p>
    <w:p>
      <w:pPr>
        <w:ind w:left="760" w:right="280" w:hanging="300"/>
        <w:spacing w:after="0" w:line="250" w:lineRule="auto"/>
        <w:tabs>
          <w:tab w:leader="none" w:pos="75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indemnification related to businesses divested or spun off that we may be required to provide or otherwise bear may be significant and could negatively impact our business;</w:t>
      </w:r>
    </w:p>
    <w:p>
      <w:pPr>
        <w:ind w:left="760" w:right="420" w:hanging="300"/>
        <w:spacing w:after="0" w:line="250" w:lineRule="auto"/>
        <w:tabs>
          <w:tab w:leader="none" w:pos="75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divestitures, spin offs, investment transactions and other strategic transactions fail to qualify for the intended tax treatment for U.S. federal income tax purposes and the possibility that the full tax benefits anticipated to result from such transactions may not be realized;</w:t>
      </w:r>
    </w:p>
    <w:p>
      <w:pPr>
        <w:ind w:left="760" w:right="260" w:hanging="300"/>
        <w:spacing w:after="0" w:line="250" w:lineRule="auto"/>
        <w:tabs>
          <w:tab w:leader="none" w:pos="75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we are not able to complete strategic divestitures on satisfactory terms and conditions, including non-competition arrangements applicable to certain of our business lines, or within expected timeframes;</w:t>
      </w:r>
    </w:p>
    <w:p>
      <w:pPr>
        <w:ind w:left="760" w:hanging="300"/>
        <w:spacing w:after="0"/>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loss of key employees or customers of the businesses divested; and</w:t>
      </w:r>
    </w:p>
    <w:p>
      <w:pPr>
        <w:spacing w:after="0" w:line="8" w:lineRule="exact"/>
        <w:rPr>
          <w:rFonts w:ascii="Times New Roman" w:cs="Times New Roman" w:eastAsia="Times New Roman" w:hAnsi="Times New Roman"/>
          <w:sz w:val="17"/>
          <w:szCs w:val="17"/>
          <w:color w:val="auto"/>
        </w:rPr>
      </w:pPr>
    </w:p>
    <w:p>
      <w:pPr>
        <w:ind w:left="760" w:hanging="300"/>
        <w:spacing w:after="0"/>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diverting the attention of senior management from our existing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manage our growth, our business and financial results could suffer.</w:t>
      </w:r>
    </w:p>
    <w:p>
      <w:pPr>
        <w:spacing w:after="0" w:line="216" w:lineRule="exact"/>
        <w:rPr>
          <w:sz w:val="20"/>
          <w:szCs w:val="20"/>
          <w:color w:val="auto"/>
        </w:rPr>
      </w:pPr>
    </w:p>
    <w:p>
      <w:pPr>
        <w:ind w:right="60" w:firstLine="611"/>
        <w:spacing w:after="0" w:line="255" w:lineRule="auto"/>
        <w:rPr>
          <w:sz w:val="20"/>
          <w:szCs w:val="20"/>
          <w:color w:val="auto"/>
        </w:rPr>
      </w:pPr>
      <w:r>
        <w:rPr>
          <w:rFonts w:ascii="Times New Roman" w:cs="Times New Roman" w:eastAsia="Times New Roman" w:hAnsi="Times New Roman"/>
          <w:sz w:val="17"/>
          <w:szCs w:val="17"/>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Additionally, our future financial results depend in part on our ability to profitably manage our growth on a combined basis with the businesses we have acquired and those we may acquire in the future.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to invest in new information technology systems and infrastructure to scale our operations.</w:t>
      </w:r>
    </w:p>
    <w:p>
      <w:pPr>
        <w:spacing w:after="0" w:line="216" w:lineRule="exact"/>
        <w:rPr>
          <w:sz w:val="20"/>
          <w:szCs w:val="20"/>
          <w:color w:val="auto"/>
        </w:rPr>
      </w:pPr>
    </w:p>
    <w:p>
      <w:pPr>
        <w:ind w:right="220" w:firstLine="611"/>
        <w:spacing w:after="0" w:line="259" w:lineRule="auto"/>
        <w:rPr>
          <w:sz w:val="20"/>
          <w:szCs w:val="20"/>
          <w:color w:val="auto"/>
        </w:rPr>
      </w:pPr>
      <w:r>
        <w:rPr>
          <w:rFonts w:ascii="Times New Roman" w:cs="Times New Roman" w:eastAsia="Times New Roman" w:hAnsi="Times New Roman"/>
          <w:sz w:val="17"/>
          <w:szCs w:val="17"/>
          <w:color w:val="auto"/>
        </w:rPr>
        <w:t>We may need to adopt new information technology systems and infrastructure to scale our business and obtain the synergies from prior and future acquisitions. Our information technology and business systems and infrastructure could create product development or production work stoppages, unnecessarily increase our inventory, negatively impact product delivery times and quality, and increase our compliance costs. Failure to invest in newer information technology and business systems and infrastructure may lead to operational inefficiencies and increased compliance costs and risks. In addition, an inability to</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35" w:name="page36"/>
    <w:bookmarkEnd w:id="35"/>
    <w:p>
      <w:pPr>
        <w:ind w:right="60"/>
        <w:spacing w:after="0" w:line="279" w:lineRule="auto"/>
        <w:rPr>
          <w:sz w:val="20"/>
          <w:szCs w:val="20"/>
          <w:color w:val="auto"/>
        </w:rPr>
      </w:pPr>
      <w:r>
        <w:rPr>
          <w:rFonts w:ascii="Times New Roman" w:cs="Times New Roman" w:eastAsia="Times New Roman" w:hAnsi="Times New Roman"/>
          <w:sz w:val="17"/>
          <w:szCs w:val="17"/>
          <w:color w:val="auto"/>
        </w:rPr>
        <w:t>maximize the utility and benefit of our current information technology and business tools could impact our ability to meet cost reduction and planned efficiency and operational improvement goals.</w:t>
      </w:r>
    </w:p>
    <w:p>
      <w:pPr>
        <w:spacing w:after="0" w:line="15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loss of any member of our senior management could impair our relationships with U.S. Government customers and disrupt the management of our business.</w:t>
      </w:r>
    </w:p>
    <w:p>
      <w:pPr>
        <w:spacing w:after="0" w:line="153" w:lineRule="exact"/>
        <w:rPr>
          <w:sz w:val="20"/>
          <w:szCs w:val="20"/>
          <w:color w:val="auto"/>
        </w:rPr>
      </w:pPr>
    </w:p>
    <w:p>
      <w:pPr>
        <w:ind w:right="320" w:firstLine="611"/>
        <w:spacing w:after="0" w:line="257" w:lineRule="auto"/>
        <w:rPr>
          <w:sz w:val="20"/>
          <w:szCs w:val="20"/>
          <w:color w:val="auto"/>
        </w:rPr>
      </w:pPr>
      <w:r>
        <w:rPr>
          <w:rFonts w:ascii="Times New Roman" w:cs="Times New Roman" w:eastAsia="Times New Roman" w:hAnsi="Times New Roman"/>
          <w:sz w:val="17"/>
          <w:szCs w:val="17"/>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U.S. Government personnel contribute to our ability to maintain strong customer relationships and to identify new business opportunities. The loss of any member of our senior management could impair our ability to identify and secure new contracts, to maintain good customer relations and to otherwise manage our business.</w:t>
      </w:r>
    </w:p>
    <w:p>
      <w:pPr>
        <w:spacing w:after="0" w:line="172"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53" w:lineRule="exact"/>
        <w:rPr>
          <w:sz w:val="20"/>
          <w:szCs w:val="20"/>
          <w:color w:val="auto"/>
        </w:rPr>
      </w:pPr>
    </w:p>
    <w:p>
      <w:pPr>
        <w:ind w:firstLine="611"/>
        <w:spacing w:after="0" w:line="254" w:lineRule="auto"/>
        <w:rPr>
          <w:sz w:val="20"/>
          <w:szCs w:val="20"/>
          <w:color w:val="auto"/>
        </w:rPr>
      </w:pPr>
      <w:r>
        <w:rPr>
          <w:rFonts w:ascii="Times New Roman" w:cs="Times New Roman" w:eastAsia="Times New Roman" w:hAnsi="Times New Roman"/>
          <w:sz w:val="17"/>
          <w:szCs w:val="17"/>
          <w:color w:val="auto"/>
        </w:rPr>
        <w:t>The growth of our business and revenue depends in large part upon our ability to attract and retain sufficient numbers of highly qualified individuals who have advanced technical and/or engineering skills. These employees are in great demand and are likely to remain a limited resource in the foreseeable future. In addition, certain U.S. Government contracts require us, and some of our employees, to maintain National Security clearances. Obtaining and maintaining National Security clearances for employees involves a lengthy process, and it is difficult to identify, recruit and retain employees who already hold National Security clearances. Further, some of our contracts contain provisions requiring us to staff an engagement with personnel that the customer considers key to our successful performance under the contract. In the event we are unable to provide these key personnel or acceptable substitutions, the customer may terminate the contract. As a result, if we are unable to recruit and retain a sufficient number of qualified employees, we may lose revenue and our ability to maintain and grow our business could be limited.</w:t>
      </w:r>
    </w:p>
    <w:p>
      <w:pPr>
        <w:spacing w:after="0" w:line="179" w:lineRule="exact"/>
        <w:rPr>
          <w:sz w:val="20"/>
          <w:szCs w:val="20"/>
          <w:color w:val="auto"/>
        </w:rPr>
      </w:pPr>
    </w:p>
    <w:p>
      <w:pPr>
        <w:ind w:right="220" w:firstLine="611"/>
        <w:spacing w:after="0" w:line="259" w:lineRule="auto"/>
        <w:rPr>
          <w:sz w:val="20"/>
          <w:szCs w:val="20"/>
          <w:color w:val="auto"/>
        </w:rPr>
      </w:pPr>
      <w:r>
        <w:rPr>
          <w:rFonts w:ascii="Times New Roman" w:cs="Times New Roman" w:eastAsia="Times New Roman" w:hAnsi="Times New Roman"/>
          <w:sz w:val="17"/>
          <w:szCs w:val="17"/>
          <w:color w:val="auto"/>
        </w:rPr>
        <w:t>Moreover,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7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the requirements of the National Industrial Security Program Operating Manual for our facility security clearance, which is a prerequisite to our ability to perform on classified contracts for the U.S. Government.</w:t>
      </w:r>
    </w:p>
    <w:p>
      <w:pPr>
        <w:spacing w:after="0" w:line="114" w:lineRule="exact"/>
        <w:rPr>
          <w:sz w:val="20"/>
          <w:szCs w:val="20"/>
          <w:color w:val="auto"/>
        </w:rPr>
      </w:pPr>
    </w:p>
    <w:p>
      <w:pPr>
        <w:jc w:val="both"/>
        <w:ind w:right="100" w:firstLine="611"/>
        <w:spacing w:after="0" w:line="264" w:lineRule="auto"/>
        <w:rPr>
          <w:sz w:val="20"/>
          <w:szCs w:val="20"/>
          <w:color w:val="auto"/>
        </w:rPr>
      </w:pPr>
      <w:r>
        <w:rPr>
          <w:rFonts w:ascii="Times New Roman" w:cs="Times New Roman" w:eastAsia="Times New Roman" w:hAnsi="Times New Roman"/>
          <w:sz w:val="17"/>
          <w:szCs w:val="17"/>
          <w:color w:val="auto"/>
        </w:rPr>
        <w:t>A facility security clearance is required for a company to perform on classified contracts for the DoW and certain other agencies of the U.S. Government. Security clearances are subject to regulations and requirements including the National Industrial Security Program Operating Manual (“NISPOM”), which specifies the requirements for the protection of classified information released or disclosed in connection with classified U.S. Government contracts.</w:t>
      </w:r>
    </w:p>
    <w:p>
      <w:pPr>
        <w:spacing w:after="0" w:line="144" w:lineRule="exact"/>
        <w:rPr>
          <w:sz w:val="20"/>
          <w:szCs w:val="20"/>
          <w:color w:val="auto"/>
        </w:rPr>
      </w:pPr>
    </w:p>
    <w:p>
      <w:pPr>
        <w:ind w:right="20" w:firstLine="611"/>
        <w:spacing w:after="0" w:line="254" w:lineRule="auto"/>
        <w:rPr>
          <w:sz w:val="20"/>
          <w:szCs w:val="20"/>
          <w:color w:val="auto"/>
        </w:rPr>
      </w:pPr>
      <w:r>
        <w:rPr>
          <w:rFonts w:ascii="Times New Roman" w:cs="Times New Roman" w:eastAsia="Times New Roman" w:hAnsi="Times New Roman"/>
          <w:sz w:val="17"/>
          <w:szCs w:val="17"/>
          <w:color w:val="auto"/>
        </w:rPr>
        <w:t>We require certain facility and personnel security clearances to perform our classified U.S. Government related business. As such, we must comply with the requirements of the NISPOM and any other applicable U.S. Government industrial security regulations. If we were to violate the terms and requirements of the NISPOM or any other applicable U.S. Government industrial security regulations (which apply to us under the terms of classified contracts), any of our cleared facilities could lose its facility security clearance. We cannot be certain that we will be able to maintain our facility security clearances. If for some reason one or more of our facility security clearances is invalidated or terminated, we would not be able to continue to perform on classified contracts at that facility and would not be able to enter into new classified contracts, which could adversely affect our revenues. Failure to comply with the NISPOM or other security requirements may subject us to civil or criminal penalties, loss of access to classified information, loss of a U.S. Government contract, or potentially debarment as a government contractor.</w:t>
      </w:r>
    </w:p>
    <w:p>
      <w:pPr>
        <w:spacing w:after="0" w:line="136"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the DoW CMMC requirement issued by the Pentagon which may limit our ability to bid and win projects. The cost for the DoW CMMC requirement may be significant.</w:t>
      </w:r>
    </w:p>
    <w:p>
      <w:pPr>
        <w:spacing w:after="0" w:line="114" w:lineRule="exact"/>
        <w:rPr>
          <w:sz w:val="20"/>
          <w:szCs w:val="20"/>
          <w:color w:val="auto"/>
        </w:rPr>
      </w:pPr>
    </w:p>
    <w:p>
      <w:pPr>
        <w:ind w:right="40" w:firstLine="611"/>
        <w:spacing w:after="0" w:line="288" w:lineRule="auto"/>
        <w:rPr>
          <w:sz w:val="20"/>
          <w:szCs w:val="20"/>
          <w:color w:val="auto"/>
        </w:rPr>
      </w:pPr>
      <w:r>
        <w:rPr>
          <w:rFonts w:ascii="Times New Roman" w:cs="Times New Roman" w:eastAsia="Times New Roman" w:hAnsi="Times New Roman"/>
          <w:sz w:val="16"/>
          <w:szCs w:val="16"/>
          <w:color w:val="auto"/>
        </w:rPr>
        <w:t>The Pentagon, on January 31, 2020, released the official version of its unified Cybersecurity standard that all contractors must meet by 2026. This standard, the CMMC, will apply to any company that does business with the DoW. CMMC will also apply to subcontractors as well as prime contractors. CMMC borrows heavily from the existing NIST Cybersecurity Framework, and intends to rely heavily on a CMMC accrediting body up and running, companies will be able to</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36" w:name="page37"/>
    <w:bookmarkEnd w:id="36"/>
    <w:p>
      <w:pPr>
        <w:ind w:right="40"/>
        <w:spacing w:after="0" w:line="255" w:lineRule="auto"/>
        <w:rPr>
          <w:sz w:val="20"/>
          <w:szCs w:val="20"/>
          <w:color w:val="auto"/>
        </w:rPr>
      </w:pPr>
      <w:r>
        <w:rPr>
          <w:rFonts w:ascii="Times New Roman" w:cs="Times New Roman" w:eastAsia="Times New Roman" w:hAnsi="Times New Roman"/>
          <w:sz w:val="17"/>
          <w:szCs w:val="17"/>
          <w:color w:val="auto"/>
        </w:rPr>
        <w:t>apply for certification through a portal run by the accrediting body. The CMMC certification will be good for three years; with it, companies will be able to bid on contracts across the DoW and military services. In December 2020, the DoW disclosed the first seven contracts that are likely to be the initial test cases for the first “pathfinder” solicitations mandating CMMC. It is expected to take until 2026 to bring all contractors into compliance, since five years is the typical duration of a government contract. Contractors are required to flow the CMMC requirements down to all subcontracts except those for Commercial Off the Shelf (COTS) items. Additionally, a contractor may not award a subcontract unless the subcontractor has a current assessment in the Supplier Performance Risk System (SPRS). Because contractors only have access to their own information, contractors may need to rely on certifications from subcontractors for this requirement.</w:t>
      </w:r>
    </w:p>
    <w:p>
      <w:pPr>
        <w:spacing w:after="0" w:line="142" w:lineRule="exact"/>
        <w:rPr>
          <w:sz w:val="20"/>
          <w:szCs w:val="20"/>
          <w:color w:val="auto"/>
        </w:rPr>
      </w:pPr>
    </w:p>
    <w:p>
      <w:pPr>
        <w:ind w:right="280" w:firstLine="611"/>
        <w:spacing w:after="0" w:line="264" w:lineRule="auto"/>
        <w:rPr>
          <w:sz w:val="20"/>
          <w:szCs w:val="20"/>
          <w:color w:val="auto"/>
        </w:rPr>
      </w:pPr>
      <w:r>
        <w:rPr>
          <w:rFonts w:ascii="Times New Roman" w:cs="Times New Roman" w:eastAsia="Times New Roman" w:hAnsi="Times New Roman"/>
          <w:sz w:val="17"/>
          <w:szCs w:val="17"/>
          <w:color w:val="auto"/>
        </w:rPr>
        <w:t>As initially envisioned under CMMC, there would be five levels of CMMC certification and contractors would no longer “self-attest” they meet a given standard. Instead, Pentagon approved third parties will assess each company, at the company’s expense. There will be no fines for non-compliance, however contractors will not be able to be awarded new contracts that require a particular level of certification without the required certification.</w:t>
      </w:r>
    </w:p>
    <w:p>
      <w:pPr>
        <w:spacing w:after="0" w:line="170" w:lineRule="exact"/>
        <w:rPr>
          <w:sz w:val="20"/>
          <w:szCs w:val="20"/>
          <w:color w:val="auto"/>
        </w:rPr>
      </w:pPr>
    </w:p>
    <w:p>
      <w:pPr>
        <w:jc w:val="both"/>
        <w:ind w:right="60" w:firstLine="611"/>
        <w:spacing w:after="0" w:line="254" w:lineRule="auto"/>
        <w:rPr>
          <w:sz w:val="20"/>
          <w:szCs w:val="20"/>
          <w:color w:val="auto"/>
        </w:rPr>
      </w:pPr>
      <w:r>
        <w:rPr>
          <w:rFonts w:ascii="Times New Roman" w:cs="Times New Roman" w:eastAsia="Times New Roman" w:hAnsi="Times New Roman"/>
          <w:sz w:val="17"/>
          <w:szCs w:val="17"/>
          <w:color w:val="auto"/>
        </w:rPr>
        <w:t>Under the CMMC 2.0 Model announced on July 17, 2021, there will be three levels of certification, Level 1 through Level 3, with contractors able to self-attest for Level 1. The new certification will not be required for existing contracts already signed, only on new contracts and potentially, to modification of existing contracts. CMMC 2.0 will allow for so-called plans of action and milestones, which will allow companies to document controls they are not fully implementing yet. The plans of action are required to state the means by which companies expect to reach full compliance, which are required to be completed within 180 days.</w:t>
      </w:r>
    </w:p>
    <w:p>
      <w:pPr>
        <w:spacing w:after="0" w:line="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Another change includes the requirement for senior company officials to self-certify and submit attestations of compliance. If there is a breach but a company certified its compliance with the security standards, a company could be open to False Claims Act lawsuits. The final change in the draft CMMC 2.0 requires cloud computing services used by the government contractor to be certified through the FedRAMP authorization process in accordance with DoW security requirements. Proposed final CMMC rules were issued by the DoW on December 26, 2023, with a public comment period that ended on February 26, 2024. The final rules were released October 15, 2024 and became effective on December 16, 2024, with audits expected to begin by January 2, 2025. The DoW published the final CMMC 48</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CFR rule on September 10, 2025, taking effect on November 10, 2025. It mandates, for the first time, that contractors and subcontractors, with few exceptions, must</w:t>
      </w:r>
    </w:p>
    <w:p>
      <w:pPr>
        <w:spacing w:after="0" w:line="59"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be certified to handle Federal Contract Information (FCI) or Controlled Unclassified Information (CUI) to win or retain DoW contracts. The rule introduces a three-year phased implementation for compliance.</w:t>
      </w:r>
    </w:p>
    <w:p>
      <w:pPr>
        <w:spacing w:after="0" w:line="157" w:lineRule="exact"/>
        <w:rPr>
          <w:sz w:val="20"/>
          <w:szCs w:val="20"/>
          <w:color w:val="auto"/>
        </w:rPr>
      </w:pPr>
    </w:p>
    <w:p>
      <w:pPr>
        <w:jc w:val="both"/>
        <w:ind w:right="620" w:firstLine="611"/>
        <w:spacing w:after="0" w:line="264" w:lineRule="auto"/>
        <w:rPr>
          <w:sz w:val="20"/>
          <w:szCs w:val="20"/>
          <w:color w:val="auto"/>
        </w:rPr>
      </w:pPr>
      <w:r>
        <w:rPr>
          <w:rFonts w:ascii="Times New Roman" w:cs="Times New Roman" w:eastAsia="Times New Roman" w:hAnsi="Times New Roman"/>
          <w:sz w:val="17"/>
          <w:szCs w:val="17"/>
          <w:color w:val="auto"/>
        </w:rPr>
        <w:t>We may be unable to bid on new contract awards or on follow-on awards for existing work, depending on the level of standard as required for each solicitation, which could adversely impact our revenues, operating margins and cash flows. The cost to comply with the new CMMC requirement has been significant and may increase. Further, we may be negatively impacted by our subcontractors if they are not compliant with these requirements.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breaches or disruptions of our information technology systems could negatively impact our operations.</w:t>
      </w:r>
    </w:p>
    <w:p>
      <w:pPr>
        <w:spacing w:after="0" w:line="216" w:lineRule="exact"/>
        <w:rPr>
          <w:sz w:val="20"/>
          <w:szCs w:val="20"/>
          <w:color w:val="auto"/>
        </w:rPr>
      </w:pPr>
    </w:p>
    <w:p>
      <w:pPr>
        <w:ind w:firstLine="611"/>
        <w:spacing w:after="0" w:line="254" w:lineRule="auto"/>
        <w:rPr>
          <w:sz w:val="20"/>
          <w:szCs w:val="20"/>
          <w:color w:val="auto"/>
        </w:rPr>
      </w:pPr>
      <w:r>
        <w:rPr>
          <w:rFonts w:ascii="Times New Roman" w:cs="Times New Roman" w:eastAsia="Times New Roman" w:hAnsi="Times New Roman"/>
          <w:sz w:val="17"/>
          <w:szCs w:val="17"/>
          <w:color w:val="auto"/>
        </w:rPr>
        <w:t>We utilize our information technology systems to process, transmit and store electronic information. Some of these systems are managed by outside vendors. We use these systems to manage and support critical business activities as well as collect and store sensitive data, including confidential business information and personal data. These systems may be susceptible to security breaches, damage, disruptions or shutdowns due to attacks from hackers, criminals, malicious insiders, computer viruses, employee error or malfeasance, power outages, hardware failures, telecommunication failures, catastrophes or other unforeseen events. In addition, security breaches of our systems could result in the misappropriation or unauthorized disclosure of confidential information or personal data belonging to us or to our employees, partners, customers, suppliers, or other third parties. Any such events could disrupt our operations, delay production and shipments, result in defective products or services, damage customer relationships and our reputation and result in legal claims or proceedings that could have a material adverse effect on our business, financial condition and results of operations.</w:t>
      </w:r>
    </w:p>
    <w:p>
      <w:pPr>
        <w:spacing w:after="0" w:line="140" w:lineRule="exact"/>
        <w:rPr>
          <w:sz w:val="20"/>
          <w:szCs w:val="20"/>
          <w:color w:val="auto"/>
        </w:rPr>
      </w:pPr>
    </w:p>
    <w:p>
      <w:pPr>
        <w:ind w:right="120" w:firstLine="611"/>
        <w:spacing w:after="0" w:line="253" w:lineRule="auto"/>
        <w:rPr>
          <w:sz w:val="20"/>
          <w:szCs w:val="20"/>
          <w:color w:val="auto"/>
        </w:rPr>
      </w:pPr>
      <w:r>
        <w:rPr>
          <w:rFonts w:ascii="Times New Roman" w:cs="Times New Roman" w:eastAsia="Times New Roman" w:hAnsi="Times New Roman"/>
          <w:sz w:val="17"/>
          <w:szCs w:val="17"/>
          <w:color w:val="auto"/>
        </w:rPr>
        <w:t>The threats we face are continuous and evolving, and vary in degree of severity and sophistication.Cybersecurity incidents can be caused by human error from our workforce or that of our third-party service providers, by malicious third parties, acting alone or in groups, or by more sophisticated organizations, including nation-states and state-sponsored organizations (some of which target the U.S. defense industrial base and other critical infrastructure sectors). Such risks may be elevated in connection with geopolitical tensions, including the Russia-Ukraine war and other geopolitical conflicts. Certain unauthorized parties may have in the past managed, and may in the future manage, to overcome our security measures and those of our third-party service providers to access and misuse systems and software by exploiting defects in design or manufacture, including bugs, vulnerabilities and other problems that unexpectedly compromise the security or operation of a product or system. Further, malicious third parties have in the past attempted, and may in the future attempt, to fraudulently induce our employees or users of our products, services or solutions to disclose sensitive, personal or confidential information via illegal electronic spamming, phishing or other tactics, and this risk is heightened for any employees who work remotely.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37" w:name="page38"/>
    <w:bookmarkEnd w:id="37"/>
    <w:p>
      <w:pPr>
        <w:ind w:right="20"/>
        <w:spacing w:after="0" w:line="255" w:lineRule="auto"/>
        <w:rPr>
          <w:sz w:val="20"/>
          <w:szCs w:val="20"/>
          <w:color w:val="auto"/>
        </w:rPr>
      </w:pPr>
      <w:r>
        <w:rPr>
          <w:rFonts w:ascii="Times New Roman" w:cs="Times New Roman" w:eastAsia="Times New Roman" w:hAnsi="Times New Roman"/>
          <w:sz w:val="17"/>
          <w:szCs w:val="17"/>
          <w:color w:val="auto"/>
        </w:rPr>
        <w:t>Malicious actors may engage in fraudulent or abusive activities through our products, services and solutions, including unauthorized use of accounts through stolen credentials, use of stolen credit cards or other payment vehicles, failure to pay for services accessed, or other activities that violate our terms of service. While we actively combat such fraudulent activities, we have experienced, and may in the future experience, impacts to our revenue from such activities. Further, unauthorized parties may also gain physical access to our facilities and infiltrate our information systems or attempt to gain logical access to our products, services or information systems to access content and data. The loss of or unauthorized access to data, such as resulting from computer viruses, worms, ransomware or other malware may harm our systems, expose us to litigation or regulatory investigation and subject us to costly and time-intensive notification requirements. National security considerations may preclude us from, or cause us to delay, publicly disclosing a cybersecurity incident.</w:t>
      </w:r>
    </w:p>
    <w:p>
      <w:pPr>
        <w:spacing w:after="0" w:line="138" w:lineRule="exact"/>
        <w:rPr>
          <w:sz w:val="20"/>
          <w:szCs w:val="20"/>
          <w:color w:val="auto"/>
        </w:rPr>
      </w:pPr>
    </w:p>
    <w:p>
      <w:pPr>
        <w:ind w:right="60" w:firstLine="611"/>
        <w:spacing w:after="0" w:line="255" w:lineRule="auto"/>
        <w:rPr>
          <w:sz w:val="20"/>
          <w:szCs w:val="20"/>
          <w:color w:val="auto"/>
        </w:rPr>
      </w:pPr>
      <w:r>
        <w:rPr>
          <w:rFonts w:ascii="Times New Roman" w:cs="Times New Roman" w:eastAsia="Times New Roman" w:hAnsi="Times New Roman"/>
          <w:sz w:val="17"/>
          <w:szCs w:val="17"/>
          <w:color w:val="auto"/>
        </w:rPr>
        <w:t>The sophistication, availability, and use of artificial intelligence and quantum computing by threat actors present an increased level of risk. Due to the evolving threat landscape, we have experienced and expect to continue to experience more frequent and increasingly advanced cyber-attacks. In addition, changes in domestic and international cybersecurity-related laws and regulations have expanded cybersecurity-related compliance requirements, and cybersecurity regulatory enforcement activity has grown. We expect the regulatory environment to continue to evolve, and these regulatory changes could increase our operational and compliance expenditures and those of our suppliers, and lead to new or additional IT and product development expenses. Due to the evolving nature of such risks, the impact of any potential incident cannot be predicted. In addition, our insurance coverage, which may exclude losses from war or cyber operations, may not be adequate to cover all related costs and we may not otherwise be fully indemnified for them.</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operations expose us to the risk of material environmental liabilities.</w:t>
      </w:r>
    </w:p>
    <w:p>
      <w:pPr>
        <w:spacing w:after="0" w:line="216" w:lineRule="exact"/>
        <w:rPr>
          <w:sz w:val="20"/>
          <w:szCs w:val="20"/>
          <w:color w:val="auto"/>
        </w:rPr>
      </w:pPr>
    </w:p>
    <w:p>
      <w:pPr>
        <w:ind w:firstLine="167"/>
        <w:spacing w:after="0" w:line="255" w:lineRule="auto"/>
        <w:rPr>
          <w:sz w:val="20"/>
          <w:szCs w:val="20"/>
          <w:color w:val="auto"/>
        </w:rPr>
      </w:pPr>
      <w:r>
        <w:rPr>
          <w:rFonts w:ascii="Times New Roman" w:cs="Times New Roman" w:eastAsia="Times New Roman" w:hAnsi="Times New Roman"/>
          <w:sz w:val="17"/>
          <w:szCs w:val="17"/>
          <w:color w:val="auto"/>
        </w:rPr>
        <w:t>We are subject to various U.S. federal, state, local and non-U.S. laws and regulations related to environmental protection, including the discharge, treatment, storage, disposal and remediation of hazardous substances and wastes. We could incur substantial costs, including cleanup costs, fines and civil or criminal sanctions, as well as third-party claims for property damage or personal injury, if we were to violate or become liable under environmental laws or regulations. In some cases, we may be subject to such costs due to environmental impacts attributable to our current or past manufacturing operations or the operations of companies we have acquired. In other cases, we may become subject to such costs due to an indemnification agreement between us and a third party relating to such environmental liabilities. In addition, new laws and regulations, more stringent enforcement of existing laws and regulations, the discovery of previously unknown contamination or the imposition of new remediation requirements could result in additional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International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 derived from our international business could be subject to global economic downturn and hardship.</w:t>
      </w:r>
    </w:p>
    <w:p>
      <w:pPr>
        <w:spacing w:after="0" w:line="241" w:lineRule="exact"/>
        <w:rPr>
          <w:sz w:val="20"/>
          <w:szCs w:val="20"/>
          <w:color w:val="auto"/>
        </w:rPr>
      </w:pPr>
    </w:p>
    <w:p>
      <w:pPr>
        <w:ind w:right="520" w:firstLine="611"/>
        <w:spacing w:after="0" w:line="264" w:lineRule="auto"/>
        <w:rPr>
          <w:sz w:val="20"/>
          <w:szCs w:val="20"/>
          <w:color w:val="auto"/>
        </w:rPr>
      </w:pPr>
      <w:r>
        <w:rPr>
          <w:rFonts w:ascii="Times New Roman" w:cs="Times New Roman" w:eastAsia="Times New Roman" w:hAnsi="Times New Roman"/>
          <w:sz w:val="17"/>
          <w:szCs w:val="17"/>
          <w:color w:val="auto"/>
        </w:rPr>
        <w:t>Our international business represents 20% of our total revenue for the year ended December 28, 2025, which may be impacted by changes in foreign national priorities and government budgets and may be further impacted by global economic conditions and fluctuations in foreign currency exchange rates. Continued international economic uncertainty and reductions in consumer spending may result in reductions in our revenue.</w:t>
      </w:r>
    </w:p>
    <w:p>
      <w:pPr>
        <w:spacing w:after="0" w:line="195" w:lineRule="exact"/>
        <w:rPr>
          <w:sz w:val="20"/>
          <w:szCs w:val="20"/>
          <w:color w:val="auto"/>
        </w:rPr>
      </w:pPr>
    </w:p>
    <w:p>
      <w:pPr>
        <w:ind w:firstLine="611"/>
        <w:spacing w:after="0" w:line="264" w:lineRule="auto"/>
        <w:rPr>
          <w:sz w:val="20"/>
          <w:szCs w:val="20"/>
          <w:color w:val="auto"/>
        </w:rPr>
      </w:pPr>
      <w:r>
        <w:rPr>
          <w:rFonts w:ascii="Times New Roman" w:cs="Times New Roman" w:eastAsia="Times New Roman" w:hAnsi="Times New Roman"/>
          <w:sz w:val="17"/>
          <w:szCs w:val="17"/>
          <w:color w:val="auto"/>
        </w:rPr>
        <w:t>Additionally, disruptions in international credit markets may materially limit consumer credit availability and restrict credit availability of our customers. Any reduction in international sales of our solutions resulting from reductions in consumer spending or continued disruption in the availability of credit to retailers or consumers, could materially and adversely affect our business, results of operations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foreign tax laws and regulations could expose us to additional tax liabilities and could adversely affect our financial results.</w:t>
      </w:r>
    </w:p>
    <w:p>
      <w:pPr>
        <w:spacing w:after="0" w:line="216" w:lineRule="exact"/>
        <w:rPr>
          <w:sz w:val="20"/>
          <w:szCs w:val="20"/>
          <w:color w:val="auto"/>
        </w:rPr>
      </w:pPr>
    </w:p>
    <w:p>
      <w:pPr>
        <w:ind w:right="160" w:firstLine="611"/>
        <w:spacing w:after="0" w:line="259" w:lineRule="auto"/>
        <w:rPr>
          <w:sz w:val="20"/>
          <w:szCs w:val="20"/>
          <w:color w:val="auto"/>
        </w:rPr>
      </w:pPr>
      <w:r>
        <w:rPr>
          <w:rFonts w:ascii="Times New Roman" w:cs="Times New Roman" w:eastAsia="Times New Roman" w:hAnsi="Times New Roman"/>
          <w:sz w:val="17"/>
          <w:szCs w:val="17"/>
          <w:color w:val="auto"/>
        </w:rPr>
        <w:t>Several countries around the world have enacted or proposed changes to their existing tax laws based on the Organization for Economic Co-operation and Development’s Base Erosion and Profit Shifting 2.0 project. As each country in which we operate evaluates their alignment with the recommendations and enacts their own tax rules, the ultimate impact of any such changes on our effective tax rate remains uncertain. However, any such changes to foreign tax laws could harm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business exposes us to additional risks.</w:t>
      </w:r>
    </w:p>
    <w:p>
      <w:pPr>
        <w:spacing w:after="0" w:line="216" w:lineRule="exact"/>
        <w:rPr>
          <w:sz w:val="20"/>
          <w:szCs w:val="20"/>
          <w:color w:val="auto"/>
        </w:rPr>
      </w:pPr>
    </w:p>
    <w:p>
      <w:pPr>
        <w:ind w:firstLine="230"/>
        <w:spacing w:after="0" w:line="279" w:lineRule="auto"/>
        <w:rPr>
          <w:sz w:val="20"/>
          <w:szCs w:val="20"/>
          <w:color w:val="auto"/>
        </w:rPr>
      </w:pPr>
      <w:r>
        <w:rPr>
          <w:rFonts w:ascii="Times New Roman" w:cs="Times New Roman" w:eastAsia="Times New Roman" w:hAnsi="Times New Roman"/>
          <w:sz w:val="17"/>
          <w:szCs w:val="17"/>
          <w:color w:val="auto"/>
        </w:rPr>
        <w:t>Our operations outside of the U.S. are subject to risks that are inherent in conducting business under non-U.S. laws, regulations and customs, including those related to:</w:t>
      </w:r>
    </w:p>
    <w:p>
      <w:pPr>
        <w:spacing w:after="0" w:line="259" w:lineRule="exact"/>
        <w:rPr>
          <w:sz w:val="20"/>
          <w:szCs w:val="20"/>
          <w:color w:val="auto"/>
        </w:rPr>
      </w:pPr>
    </w:p>
    <w:p>
      <w:pPr>
        <w:ind w:left="620" w:right="400" w:hanging="313"/>
        <w:spacing w:after="0" w:line="259"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fluctuations, potentially reducing the U.S. dollars we receive for sales denominated in foreign currency or reducing our profits when we pay for materials, subcontractors and payroll denominated in foreign currency;</w:t>
      </w:r>
    </w:p>
    <w:p>
      <w:pPr>
        <w:spacing w:after="0" w:line="1"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unfriendly nations or groups could boycott our products or solutions;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conditions in the markets in which we operate;</w:t>
      </w:r>
    </w:p>
    <w:p>
      <w:pPr>
        <w:spacing w:after="0" w:line="8" w:lineRule="exact"/>
        <w:rPr>
          <w:rFonts w:ascii="Times New Roman" w:cs="Times New Roman" w:eastAsia="Times New Roman" w:hAnsi="Times New Roman"/>
          <w:sz w:val="17"/>
          <w:szCs w:val="17"/>
          <w:color w:val="auto"/>
        </w:rPr>
      </w:pPr>
    </w:p>
    <w:p>
      <w:pPr>
        <w:ind w:left="620" w:right="340" w:hanging="313"/>
        <w:spacing w:after="0" w:line="25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escalation or continuation of armed conflict, hostilities or economic sanctions between countries or regions, including the current armed conflicts in Ukraine and in the Middle East;</w:t>
      </w:r>
    </w:p>
    <w:p>
      <w:pPr>
        <w:ind w:left="600" w:hanging="29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increased costs associated with overlapping tax structures;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import-export control, including the imposition of tariffs, embargoes, export controls and other trade restrictions;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required U.S. Government agency issued export licenses to ship our product overseas;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limited protection for intellectual property rights in some countries;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and costs associated with staffing and managing foreign operations;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regulatory requirements;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difficulties of compliance with a wide variety of foreign laws and regulations;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accounts receivable cycles in certain foreign countries, whether due to cultural differences, exchange rate fluctuation or other factors;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and data transfer restrictions;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our distribution networks;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employees; and</w:t>
      </w:r>
    </w:p>
    <w:p>
      <w:pPr>
        <w:spacing w:after="0" w:line="8" w:lineRule="exact"/>
        <w:rPr>
          <w:rFonts w:ascii="Times New Roman" w:cs="Times New Roman" w:eastAsia="Times New Roman" w:hAnsi="Times New Roman"/>
          <w:sz w:val="17"/>
          <w:szCs w:val="17"/>
          <w:color w:val="auto"/>
        </w:rPr>
      </w:pPr>
    </w:p>
    <w:p>
      <w:pPr>
        <w:ind w:left="620" w:right="160" w:hanging="313"/>
        <w:spacing w:after="0" w:line="26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and terrorist events, including impacts to our international operations such as our microwave electronics business which has primary operations based in Israel.</w:t>
      </w:r>
    </w:p>
    <w:p>
      <w:pPr>
        <w:spacing w:after="0" w:line="198" w:lineRule="exact"/>
        <w:rPr>
          <w:sz w:val="20"/>
          <w:szCs w:val="20"/>
          <w:color w:val="auto"/>
        </w:rPr>
      </w:pPr>
    </w:p>
    <w:p>
      <w:pPr>
        <w:ind w:left="80" w:right="20" w:firstLine="611"/>
        <w:spacing w:after="0" w:line="253" w:lineRule="auto"/>
        <w:rPr>
          <w:sz w:val="20"/>
          <w:szCs w:val="20"/>
          <w:color w:val="auto"/>
        </w:rPr>
      </w:pPr>
      <w:r>
        <w:rPr>
          <w:rFonts w:ascii="Times New Roman" w:cs="Times New Roman" w:eastAsia="Times New Roman" w:hAnsi="Times New Roman"/>
          <w:sz w:val="17"/>
          <w:szCs w:val="17"/>
          <w:color w:val="auto"/>
        </w:rPr>
        <w:t>These risks, individually or in the aggregate, could have an adverse effect on our results of operations and financial condition. For example, we are subject to compliance with the Foreign Corrupt Practices Act and other similar anti-bribery laws, which generally prohibit companies and their intermediaries from making improper payments to foreign government officials for the purpose of obtaining or retaining business. While our employees and agents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 In addition, our international contracts may include industrial cooperation agreements requiring specific in-country purchases, investments, manufacturing agreements or other financial obligations, known as offset obligations, and provide for penalties if we fail to meet such requirements. In addition, due to the nature of our products, we must obtain licenses and authorizations from various U.S. Government agencies before selling our products outside of the U.S. Our ability to obtain these licenses and authorizations timely or at all is subject to risks and uncertainties, including changing U.S. Government policies or laws or delays in Congressional action due to geopolitical and other factors. The impact of these factors is difficult to predict, but one or more of them could adversely affect our financial position, results of operations, or cash flows.</w:t>
      </w:r>
    </w:p>
    <w:p>
      <w:pPr>
        <w:spacing w:after="0" w:line="204" w:lineRule="exact"/>
        <w:rPr>
          <w:sz w:val="20"/>
          <w:szCs w:val="20"/>
          <w:color w:val="auto"/>
        </w:rPr>
      </w:pPr>
    </w:p>
    <w:p>
      <w:pPr>
        <w:ind w:right="80" w:firstLine="611"/>
        <w:spacing w:after="0" w:line="259" w:lineRule="auto"/>
        <w:rPr>
          <w:sz w:val="20"/>
          <w:szCs w:val="20"/>
          <w:color w:val="auto"/>
        </w:rPr>
      </w:pPr>
      <w:r>
        <w:rPr>
          <w:rFonts w:ascii="Times New Roman" w:cs="Times New Roman" w:eastAsia="Times New Roman" w:hAnsi="Times New Roman"/>
          <w:sz w:val="17"/>
          <w:szCs w:val="17"/>
          <w:color w:val="auto"/>
        </w:rPr>
        <w:t>Violations of the International Traffic in Arms Regulations (“ITAR”) or other applicable trade compliance regulations could result in significant sanctions including fines, more onerous compliance requirements and debarments from export privileges or loss of authorizations needed to conduct aspects of our international business. A violation of ITAR or other applicable trade regulations could have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Indebtedness</w:t>
      </w:r>
    </w:p>
    <w:p>
      <w:pPr>
        <w:spacing w:after="0" w:line="212"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and our subsidiaries may incur long-term indebtedness, which may introduce risks associated with our leverage, including our ability to service our indebtedness.</w:t>
      </w:r>
    </w:p>
    <w:p>
      <w:pPr>
        <w:spacing w:after="0" w:line="127" w:lineRule="exact"/>
        <w:rPr>
          <w:sz w:val="20"/>
          <w:szCs w:val="20"/>
          <w:color w:val="auto"/>
        </w:rPr>
      </w:pPr>
    </w:p>
    <w:p>
      <w:pPr>
        <w:ind w:right="60" w:firstLine="611"/>
        <w:spacing w:after="0"/>
        <w:rPr>
          <w:sz w:val="20"/>
          <w:szCs w:val="20"/>
          <w:color w:val="auto"/>
        </w:rPr>
      </w:pPr>
      <w:r>
        <w:rPr>
          <w:rFonts w:ascii="Times New Roman" w:cs="Times New Roman" w:eastAsia="Times New Roman" w:hAnsi="Times New Roman"/>
          <w:sz w:val="17"/>
          <w:szCs w:val="17"/>
          <w:color w:val="auto"/>
        </w:rPr>
        <w:t>We are party to the Credit Agreement described elsewhere in this Annual Report on Form 10-K, which consists of a $200 million Revolving Credit Facility (and includes sub-facilities for the incurrence of up to $10.0 million of swingline loans and the issuance of up to $50.0 million of Letters of Credit). As of December 28, 2025, nothing was outstanding under our Credit Agreement and we currently have no long-term indebtedness. In the event we draw on our Credit Agreement or incur long-term loan indebtedness in the future, there is a risk that we may default on such debt obligations. For example, we may be unable to generate sufficient cash flow to pay the interest on our debt and to make any scheduled mandatory payments. If we are unable to service our indebtedness, we would be forced to adopt an alternative strategy that may include actions such as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9" w:name="page40"/>
    <w:bookmarkEnd w:id="39"/>
    <w:p>
      <w:pPr>
        <w:ind w:right="180"/>
        <w:spacing w:after="0" w:line="249" w:lineRule="auto"/>
        <w:rPr>
          <w:sz w:val="20"/>
          <w:szCs w:val="20"/>
          <w:color w:val="auto"/>
        </w:rPr>
      </w:pPr>
      <w:r>
        <w:rPr>
          <w:rFonts w:ascii="Times New Roman" w:cs="Times New Roman" w:eastAsia="Times New Roman" w:hAnsi="Times New Roman"/>
          <w:sz w:val="17"/>
          <w:szCs w:val="17"/>
          <w:color w:val="auto"/>
        </w:rPr>
        <w:t>reducing capital expenditures, reducing internal investments in research and development efforts, selling assets, restructuring or refinancing our indebtedness or seeking additional equity capital. If the amounts outstanding under any of our indebtedness were to be accelerated, our assets may not be sufficient to repay in full the money owed to the lenders or to our other debt holders.</w:t>
      </w:r>
    </w:p>
    <w:p>
      <w:pPr>
        <w:spacing w:after="0" w:line="181" w:lineRule="exact"/>
        <w:rPr>
          <w:sz w:val="20"/>
          <w:szCs w:val="20"/>
          <w:color w:val="auto"/>
        </w:rPr>
      </w:pPr>
    </w:p>
    <w:p>
      <w:pPr>
        <w:ind w:right="280" w:firstLine="611"/>
        <w:spacing w:after="0" w:line="264" w:lineRule="auto"/>
        <w:rPr>
          <w:sz w:val="20"/>
          <w:szCs w:val="20"/>
          <w:color w:val="auto"/>
        </w:rPr>
      </w:pPr>
      <w:r>
        <w:rPr>
          <w:rFonts w:ascii="Times New Roman" w:cs="Times New Roman" w:eastAsia="Times New Roman" w:hAnsi="Times New Roman"/>
          <w:sz w:val="17"/>
          <w:szCs w:val="17"/>
          <w:color w:val="auto"/>
        </w:rPr>
        <w:t>In addition, the agreements governing our debt (including our Credit Agreement) permit us, under some circumstances, to incur certain additional indebtedness or obligations. To the extent that we incur additional indebtedness or such other obligations, the risks associated with our leverage described above, including our possible inability to service our debt, would increase.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credit metrics or macroeconomic conditions may affect our liquidity, increasing borrowing costs and limiting our financing options.</w:t>
      </w:r>
    </w:p>
    <w:p>
      <w:pPr>
        <w:spacing w:after="0" w:line="216" w:lineRule="exact"/>
        <w:rPr>
          <w:sz w:val="20"/>
          <w:szCs w:val="20"/>
          <w:color w:val="auto"/>
        </w:rPr>
      </w:pPr>
    </w:p>
    <w:p>
      <w:pPr>
        <w:ind w:right="60" w:firstLine="611"/>
        <w:spacing w:after="0" w:line="257" w:lineRule="auto"/>
        <w:rPr>
          <w:sz w:val="20"/>
          <w:szCs w:val="20"/>
          <w:color w:val="auto"/>
        </w:rPr>
      </w:pPr>
      <w:r>
        <w:rPr>
          <w:rFonts w:ascii="Times New Roman" w:cs="Times New Roman" w:eastAsia="Times New Roman" w:hAnsi="Times New Roman"/>
          <w:sz w:val="17"/>
          <w:szCs w:val="17"/>
          <w:color w:val="auto"/>
        </w:rPr>
        <w:t>Macroeconomic conditions, such as increased volatility or disruption in the credit markets, and the levels of inflation and interest rates, could adversely affect our ability to refinance existing debt or obtain additional financing at terms satisfactory to us, if at all, thereby affecting our resources to support operations or to fund new initiatives. In addition, if our credit metrics decline, borrowing costs for future long-term debt or short-term credit facilities may increase and our financing options, including our access to the unsecured credit market, could be limited. We may also be subject to restrictive covenants that would reduce our flexibility.</w:t>
      </w:r>
    </w:p>
    <w:p>
      <w:pPr>
        <w:spacing w:after="0" w:line="197"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spacing w:after="0" w:line="153" w:lineRule="exact"/>
        <w:rPr>
          <w:sz w:val="20"/>
          <w:szCs w:val="20"/>
          <w:color w:val="auto"/>
        </w:rPr>
      </w:pPr>
    </w:p>
    <w:p>
      <w:pPr>
        <w:ind w:firstLine="611"/>
        <w:spacing w:after="0" w:line="254" w:lineRule="auto"/>
        <w:rPr>
          <w:sz w:val="20"/>
          <w:szCs w:val="20"/>
          <w:color w:val="auto"/>
        </w:rPr>
      </w:pPr>
      <w:r>
        <w:rPr>
          <w:rFonts w:ascii="Times New Roman" w:cs="Times New Roman" w:eastAsia="Times New Roman" w:hAnsi="Times New Roman"/>
          <w:sz w:val="17"/>
          <w:szCs w:val="17"/>
          <w:color w:val="auto"/>
        </w:rPr>
        <w:t>As of December 28, 2025, approximately 12% of our consolidated assets, based on book value, and 13% of our total revenues for the year ended December 28, 2025, were attributable to foreign subsidiaries, which do not guarantee our indebtedness. Our ability to meet our potential future debt service obligations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Therefore, to the extent that we must use cash generated in foreign jurisdictions to make principal or interest payments on our debt, there may be a cost associated with repatriating the cash to the U.S.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7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53" w:lineRule="exact"/>
        <w:rPr>
          <w:sz w:val="20"/>
          <w:szCs w:val="20"/>
          <w:color w:val="auto"/>
        </w:rPr>
      </w:pPr>
    </w:p>
    <w:p>
      <w:pPr>
        <w:ind w:right="120" w:firstLine="611"/>
        <w:spacing w:after="0" w:line="279" w:lineRule="auto"/>
        <w:rPr>
          <w:sz w:val="20"/>
          <w:szCs w:val="20"/>
          <w:color w:val="auto"/>
        </w:rPr>
      </w:pPr>
      <w:r>
        <w:rPr>
          <w:rFonts w:ascii="Times New Roman" w:cs="Times New Roman" w:eastAsia="Times New Roman" w:hAnsi="Times New Roman"/>
          <w:sz w:val="17"/>
          <w:szCs w:val="17"/>
          <w:color w:val="auto"/>
        </w:rPr>
        <w:t>Our Credit Agreement subjects us, and our subsidiaries, to several financial and other restrictive covenants, including limitations on liens or indebtedness, payment of dividends, transactions with affiliates, and mergers, sales or other dispositions of our assets.</w:t>
      </w:r>
    </w:p>
    <w:p>
      <w:pPr>
        <w:spacing w:after="0" w:line="157" w:lineRule="exact"/>
        <w:rPr>
          <w:sz w:val="20"/>
          <w:szCs w:val="20"/>
          <w:color w:val="auto"/>
        </w:rPr>
      </w:pPr>
    </w:p>
    <w:p>
      <w:pPr>
        <w:ind w:right="40" w:firstLine="611"/>
        <w:spacing w:after="0" w:line="255" w:lineRule="auto"/>
        <w:rPr>
          <w:sz w:val="20"/>
          <w:szCs w:val="20"/>
          <w:color w:val="auto"/>
        </w:rPr>
      </w:pPr>
      <w:r>
        <w:rPr>
          <w:rFonts w:ascii="Times New Roman" w:cs="Times New Roman" w:eastAsia="Times New Roman" w:hAnsi="Times New Roman"/>
          <w:sz w:val="17"/>
          <w:szCs w:val="17"/>
          <w:color w:val="auto"/>
        </w:rPr>
        <w:t>Our Credit Agreement also requires us to comply with specified financial ratios, including a Total Net Leverage Ratio (as defined in the Credit Agreement) and an Interest Coverage Ratio (as defined in the Credit Agreement) which are required to be maintained until all amounts outstanding have been paid in full and all letters of credit have expired or have been terminated under the Credit Agreement. Many factors, including events beyond our control, may affect our ability to comply with these covenants and financial ratios. We cannot be sure we will meet our debt-related obligations or that lenders will waive any failure to meet those obligations. Any failure to meet those debt-related obligations could result in an event of default under our indebtedness and the acceleration of such outstanding indebtedness.</w:t>
      </w:r>
    </w:p>
    <w:p>
      <w:pPr>
        <w:spacing w:after="0" w:line="180" w:lineRule="exact"/>
        <w:rPr>
          <w:sz w:val="20"/>
          <w:szCs w:val="20"/>
          <w:color w:val="auto"/>
        </w:rPr>
      </w:pPr>
    </w:p>
    <w:p>
      <w:pPr>
        <w:jc w:val="both"/>
        <w:ind w:right="300" w:firstLine="611"/>
        <w:spacing w:after="0" w:line="264" w:lineRule="auto"/>
        <w:rPr>
          <w:sz w:val="20"/>
          <w:szCs w:val="20"/>
          <w:color w:val="auto"/>
        </w:rPr>
      </w:pPr>
      <w:r>
        <w:rPr>
          <w:rFonts w:ascii="Times New Roman" w:cs="Times New Roman" w:eastAsia="Times New Roman" w:hAnsi="Times New Roman"/>
          <w:sz w:val="17"/>
          <w:szCs w:val="17"/>
          <w:color w:val="auto"/>
        </w:rPr>
        <w:t>The restrictions contained in our Credit Agreement could also limit our ability to plan for or react to market conditions, meet capital needs or otherwise restrict our activities or business plans and adversely affect our ability to finance operations, enter into acquisitions or to engage in other business activities that would be in the Company’s interest.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836"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protect our intellectual property rights.</w:t>
      </w:r>
    </w:p>
    <w:p>
      <w:pPr>
        <w:spacing w:after="0" w:line="216" w:lineRule="exact"/>
        <w:rPr>
          <w:sz w:val="20"/>
          <w:szCs w:val="20"/>
          <w:color w:val="auto"/>
        </w:rPr>
      </w:pPr>
    </w:p>
    <w:p>
      <w:pPr>
        <w:ind w:firstLine="611"/>
        <w:spacing w:after="0" w:line="253" w:lineRule="auto"/>
        <w:rPr>
          <w:sz w:val="20"/>
          <w:szCs w:val="20"/>
          <w:color w:val="auto"/>
        </w:rPr>
      </w:pPr>
      <w:r>
        <w:rPr>
          <w:rFonts w:ascii="Times New Roman" w:cs="Times New Roman" w:eastAsia="Times New Roman" w:hAnsi="Times New Roman"/>
          <w:sz w:val="17"/>
          <w:szCs w:val="17"/>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remain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Disclosure of trade secrets could cause harm to our business.</w:t>
      </w:r>
    </w:p>
    <w:p>
      <w:pPr>
        <w:spacing w:after="0" w:line="216" w:lineRule="exact"/>
        <w:rPr>
          <w:sz w:val="20"/>
          <w:szCs w:val="20"/>
          <w:color w:val="auto"/>
        </w:rPr>
      </w:pPr>
    </w:p>
    <w:p>
      <w:pPr>
        <w:ind w:right="260" w:firstLine="611"/>
        <w:spacing w:after="0" w:line="255" w:lineRule="auto"/>
        <w:rPr>
          <w:sz w:val="20"/>
          <w:szCs w:val="20"/>
          <w:color w:val="auto"/>
        </w:rPr>
      </w:pPr>
      <w:r>
        <w:rPr>
          <w:rFonts w:ascii="Times New Roman" w:cs="Times New Roman" w:eastAsia="Times New Roman" w:hAnsi="Times New Roman"/>
          <w:sz w:val="17"/>
          <w:szCs w:val="17"/>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harmed by intellectual property infringement claims.</w:t>
      </w:r>
    </w:p>
    <w:p>
      <w:pPr>
        <w:spacing w:after="0" w:line="216" w:lineRule="exact"/>
        <w:rPr>
          <w:sz w:val="20"/>
          <w:szCs w:val="20"/>
          <w:color w:val="auto"/>
        </w:rPr>
      </w:pPr>
    </w:p>
    <w:p>
      <w:pPr>
        <w:ind w:right="160" w:firstLine="611"/>
        <w:spacing w:after="0" w:line="255" w:lineRule="auto"/>
        <w:rPr>
          <w:sz w:val="20"/>
          <w:szCs w:val="20"/>
          <w:color w:val="auto"/>
        </w:rPr>
      </w:pPr>
      <w:r>
        <w:rPr>
          <w:rFonts w:ascii="Times New Roman" w:cs="Times New Roman" w:eastAsia="Times New Roman" w:hAnsi="Times New Roman"/>
          <w:sz w:val="17"/>
          <w:szCs w:val="17"/>
          <w:color w:val="auto"/>
        </w:rPr>
        <w:t>We may become subject to claims from our employees or third parties who assert that software and other forms of intellectual property that we use in delivering services and solutions to our customers infringe upon intellectual property rights of such employees or third parties. Our employees develop some of the software and other forms of intellectual property that we use to provide our services and solutions to our customers, but we also license technology from other vendors. If our employees, vendors, or other third parties assert claims that we or our customers are infringing on their intellectual property rights, we could incur substantial costs to defend those claims. If any such infringement claims were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Regulatory, Environmental and Legal Issues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comply with complex procurement laws and regulations could cause us to lose business and subject us to a variety of penalties.</w:t>
      </w:r>
    </w:p>
    <w:p>
      <w:pPr>
        <w:spacing w:after="0" w:line="216" w:lineRule="exact"/>
        <w:rPr>
          <w:sz w:val="20"/>
          <w:szCs w:val="20"/>
          <w:color w:val="auto"/>
        </w:rPr>
      </w:pPr>
    </w:p>
    <w:p>
      <w:pPr>
        <w:ind w:firstLine="611"/>
        <w:spacing w:after="0" w:line="253" w:lineRule="auto"/>
        <w:rPr>
          <w:sz w:val="20"/>
          <w:szCs w:val="20"/>
          <w:color w:val="auto"/>
        </w:rPr>
      </w:pPr>
      <w:r>
        <w:rPr>
          <w:rFonts w:ascii="Times New Roman" w:cs="Times New Roman" w:eastAsia="Times New Roman" w:hAnsi="Times New Roman"/>
          <w:sz w:val="17"/>
          <w:szCs w:val="17"/>
          <w:color w:val="auto"/>
        </w:rPr>
        <w:t>We must comply with laws and regulations relating to the formation, administration and performance of U.S. Government contracts, which affect how we do business with our customers, prime contractors, subcontractors and vendors and may impose added costs on us. New regulations or procurement requirements (including, for example, regulations regarding counterfeit and corrupt parts, supply chain diligence and cybersecurity)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procurement integrity, bid integrity and claim presentation, among others.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 agencies were impaired, or if the U.S. Government otherwise ceased doing business with us or significantly decreased the amount of business it does with us, our revenue and operating profit would decline.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1" w:name="page42"/>
    <w:bookmarkEnd w:id="41"/>
    <w:p>
      <w:pPr>
        <w:ind w:right="3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53" w:lineRule="exact"/>
        <w:rPr>
          <w:sz w:val="20"/>
          <w:szCs w:val="20"/>
          <w:color w:val="auto"/>
        </w:rPr>
      </w:pPr>
    </w:p>
    <w:p>
      <w:pPr>
        <w:ind w:right="20" w:firstLine="611"/>
        <w:spacing w:after="0" w:line="254" w:lineRule="auto"/>
        <w:rPr>
          <w:sz w:val="20"/>
          <w:szCs w:val="20"/>
          <w:color w:val="auto"/>
        </w:rPr>
      </w:pPr>
      <w:r>
        <w:rPr>
          <w:rFonts w:ascii="Times New Roman" w:cs="Times New Roman" w:eastAsia="Times New Roman" w:hAnsi="Times New Roman"/>
          <w:sz w:val="17"/>
          <w:szCs w:val="17"/>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may also review the adequacy of our compliance with government standards for our accounting and management of internal control systems, including our control environment and overall accounting system; general IT system; budget and planning system; purchasing system; material management and accounting system; compensation system; labor system; indirect and other direct costs system; billing system; and estimating system used for pricing on government contracts. Both contractors and the U.S. Government agencies conducting these audits and reviews have come under increased scrutiny. Recent audits and reviews have become more rigorous, and the standards to which contractors are being held are being more strictly interpreted, increasing the likelihood of an audit or review resulting in an adverse outcome.</w:t>
      </w:r>
    </w:p>
    <w:p>
      <w:pPr>
        <w:spacing w:after="0" w:line="179" w:lineRule="exact"/>
        <w:rPr>
          <w:sz w:val="20"/>
          <w:szCs w:val="20"/>
          <w:color w:val="auto"/>
        </w:rPr>
      </w:pPr>
    </w:p>
    <w:p>
      <w:pPr>
        <w:ind w:right="60" w:firstLine="611"/>
        <w:spacing w:after="0" w:line="253" w:lineRule="auto"/>
        <w:rPr>
          <w:sz w:val="20"/>
          <w:szCs w:val="20"/>
          <w:color w:val="auto"/>
        </w:rPr>
      </w:pPr>
      <w:r>
        <w:rPr>
          <w:rFonts w:ascii="Times New Roman" w:cs="Times New Roman" w:eastAsia="Times New Roman" w:hAnsi="Times New Roman"/>
          <w:sz w:val="17"/>
          <w:szCs w:val="17"/>
          <w:color w:val="auto"/>
        </w:rPr>
        <w:t>A finding of significant control deficiencies in our system audits or other reviews can result in decremented billing rates to our U.S. Government customers until the control deficiencies are corrected and our corrections are accepted by Defense Contract Management Agency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accounting and management internal control systems, including changes to our indirect cost and direct labor estimating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2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submitted incurred cost claims through fiscal year 2024. The Government has provided fiscal year 2023 and 2024 final rate agreement letters for</w:t>
      </w:r>
    </w:p>
    <w:p>
      <w:pPr>
        <w:spacing w:after="0" w:line="34"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7"/>
          <w:szCs w:val="17"/>
          <w:color w:val="auto"/>
        </w:rPr>
        <w:t>certain Kratos entities and is currently auditing a fiscal year 2024 incurred cost proposal of one Kratos entity. Although we have recorded contract revenues based upon costs that we believe will be approved upon final completion of the audits, we do not know what the results of any current or future government audits, for fiscal year 2023 and 2024 incurred costs, will be. If future adjustments were to exceed our estimates, our profitability could be adversely affected.</w:t>
      </w:r>
    </w:p>
    <w:p>
      <w:pPr>
        <w:spacing w:after="0" w:line="20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employees or others acting on our behalf may engage in misconduct or other improper activities, which could cause us to lose contracts or cause us to incur costs.</w:t>
      </w:r>
    </w:p>
    <w:p>
      <w:pPr>
        <w:spacing w:after="0" w:line="178" w:lineRule="exact"/>
        <w:rPr>
          <w:sz w:val="20"/>
          <w:szCs w:val="20"/>
          <w:color w:val="auto"/>
        </w:rPr>
      </w:pPr>
    </w:p>
    <w:p>
      <w:pPr>
        <w:ind w:firstLine="611"/>
        <w:spacing w:after="0" w:line="253" w:lineRule="auto"/>
        <w:rPr>
          <w:sz w:val="20"/>
          <w:szCs w:val="20"/>
          <w:color w:val="auto"/>
        </w:rPr>
      </w:pPr>
      <w:r>
        <w:rPr>
          <w:rFonts w:ascii="Times New Roman" w:cs="Times New Roman" w:eastAsia="Times New Roman" w:hAnsi="Times New Roman"/>
          <w:sz w:val="17"/>
          <w:szCs w:val="17"/>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insider threats to our cybersecurity, or falsifying time records. Misconduct by our employees or others acting on our behalf could also involve the improper use of our customers’ sensitive or classified information, which could result in regulatory sanctions against us, serious harm to our reputation, a loss of contracts and a reduction in revenues, or cause us to incur costs to respond to any related governmental inquiries.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83" w:lineRule="exact"/>
        <w:rPr>
          <w:sz w:val="20"/>
          <w:szCs w:val="20"/>
          <w:color w:val="auto"/>
        </w:rPr>
      </w:pPr>
    </w:p>
    <w:p>
      <w:pPr>
        <w:ind w:right="60" w:firstLine="167"/>
        <w:spacing w:after="0" w:line="257" w:lineRule="auto"/>
        <w:rPr>
          <w:sz w:val="20"/>
          <w:szCs w:val="20"/>
          <w:color w:val="auto"/>
        </w:rPr>
      </w:pPr>
      <w:r>
        <w:rPr>
          <w:rFonts w:ascii="Times New Roman" w:cs="Times New Roman" w:eastAsia="Times New Roman" w:hAnsi="Times New Roman"/>
          <w:sz w:val="17"/>
          <w:szCs w:val="17"/>
          <w:color w:val="auto"/>
        </w:rPr>
        <w:t>We have in the past experienced and may in the future experience such misconduct, despite our various compliance programs. Misconduct or improper actions by our employees, agents, subcontractors, suppliers, business partners and/or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2" w:name="page43"/>
    <w:bookmarkEnd w:id="42"/>
    <w:p>
      <w:pPr>
        <w:ind w:right="28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53" w:lineRule="exact"/>
        <w:rPr>
          <w:sz w:val="20"/>
          <w:szCs w:val="20"/>
          <w:color w:val="auto"/>
        </w:rPr>
      </w:pPr>
    </w:p>
    <w:p>
      <w:pPr>
        <w:ind w:firstLine="611"/>
        <w:spacing w:after="0" w:line="253" w:lineRule="auto"/>
        <w:rPr>
          <w:sz w:val="20"/>
          <w:szCs w:val="20"/>
          <w:color w:val="auto"/>
        </w:rPr>
      </w:pPr>
      <w:r>
        <w:rPr>
          <w:rFonts w:ascii="Times New Roman" w:cs="Times New Roman" w:eastAsia="Times New Roman" w:hAnsi="Times New Roman"/>
          <w:sz w:val="17"/>
          <w:szCs w:val="17"/>
          <w:color w:val="auto"/>
        </w:rPr>
        <w:t>We use hazardous materials common to the industries in which we operate.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80" w:lineRule="exact"/>
        <w:rPr>
          <w:sz w:val="20"/>
          <w:szCs w:val="20"/>
          <w:color w:val="auto"/>
        </w:rPr>
      </w:pPr>
    </w:p>
    <w:p>
      <w:pPr>
        <w:ind w:right="40" w:firstLine="611"/>
        <w:spacing w:after="0" w:line="254" w:lineRule="auto"/>
        <w:rPr>
          <w:sz w:val="20"/>
          <w:szCs w:val="20"/>
          <w:color w:val="auto"/>
        </w:rPr>
      </w:pPr>
      <w:r>
        <w:rPr>
          <w:rFonts w:ascii="Times New Roman" w:cs="Times New Roman" w:eastAsia="Times New Roman" w:hAnsi="Times New Roman"/>
          <w:sz w:val="17"/>
          <w:szCs w:val="17"/>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200"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increasing focus on environmental sustainability and social initiatives could increase our costs, harm our reputation and adversely impact our financial results.</w:t>
      </w:r>
    </w:p>
    <w:p>
      <w:pPr>
        <w:spacing w:after="0" w:line="178" w:lineRule="exact"/>
        <w:rPr>
          <w:sz w:val="20"/>
          <w:szCs w:val="20"/>
          <w:color w:val="auto"/>
        </w:rPr>
      </w:pPr>
    </w:p>
    <w:p>
      <w:pPr>
        <w:ind w:right="20" w:firstLine="611"/>
        <w:spacing w:after="0" w:line="255" w:lineRule="auto"/>
        <w:rPr>
          <w:sz w:val="20"/>
          <w:szCs w:val="20"/>
          <w:color w:val="auto"/>
        </w:rPr>
      </w:pPr>
      <w:r>
        <w:rPr>
          <w:rFonts w:ascii="Times New Roman" w:cs="Times New Roman" w:eastAsia="Times New Roman" w:hAnsi="Times New Roman"/>
          <w:sz w:val="17"/>
          <w:szCs w:val="17"/>
          <w:color w:val="auto"/>
        </w:rPr>
        <w:t>There has been increasing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205" w:lineRule="exact"/>
        <w:rPr>
          <w:sz w:val="20"/>
          <w:szCs w:val="20"/>
          <w:color w:val="auto"/>
        </w:rPr>
      </w:pPr>
    </w:p>
    <w:p>
      <w:pPr>
        <w:jc w:val="both"/>
        <w:ind w:right="20" w:firstLine="611"/>
        <w:spacing w:after="0" w:line="259" w:lineRule="auto"/>
        <w:rPr>
          <w:sz w:val="20"/>
          <w:szCs w:val="20"/>
          <w:color w:val="auto"/>
        </w:rPr>
      </w:pPr>
      <w:r>
        <w:rPr>
          <w:rFonts w:ascii="Times New Roman" w:cs="Times New Roman" w:eastAsia="Times New Roman" w:hAnsi="Times New Roman"/>
          <w:sz w:val="17"/>
          <w:szCs w:val="17"/>
          <w:color w:val="auto"/>
        </w:rPr>
        <w:t>In addition, this emphasis on environmental, social and other sustainability matters has resulted and may result in the adoption of new laws and regulations, including new reporting requirements. Recently, California legislation was enacted that will require climate-related risk disclosures for companies doing business in the state. These will be effective for Kratos beginning in 2026. If we fail to comply with new laws, regulations or reporting requirements, our reputation and business could be adversely impacted.</w:t>
      </w:r>
    </w:p>
    <w:p>
      <w:pPr>
        <w:spacing w:after="0" w:line="196"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8" w:lineRule="exact"/>
        <w:rPr>
          <w:sz w:val="20"/>
          <w:szCs w:val="20"/>
          <w:color w:val="auto"/>
        </w:rPr>
      </w:pPr>
    </w:p>
    <w:p>
      <w:pPr>
        <w:ind w:right="40" w:firstLine="611"/>
        <w:spacing w:after="0" w:line="255" w:lineRule="auto"/>
        <w:rPr>
          <w:sz w:val="20"/>
          <w:szCs w:val="20"/>
          <w:color w:val="auto"/>
        </w:rPr>
      </w:pPr>
      <w:r>
        <w:rPr>
          <w:rFonts w:ascii="Times New Roman" w:cs="Times New Roman" w:eastAsia="Times New Roman" w:hAnsi="Times New Roman"/>
          <w:sz w:val="17"/>
          <w:szCs w:val="17"/>
          <w:color w:val="auto"/>
        </w:rPr>
        <w:t>We are subject to regulations requiring disclosures of specified minerals, known as conflict minerals, that are necessary to the functionality or production of products manufactured or contracted to be manufactured by public companies. The rule requires companies to perform due diligence, disclose and report whether or not such minerals originate from the Democratic Republic of the Congo and other countries. The rule can affect sourcing at competitive prices and availability in sufficient quantities of certain minerals used in the manufacture of our products, including tantalum, tin, gold and tungsten. The number of suppliers who provide conflict-free minerals is limited. In addition, there are costs associated with complying with the disclosure requirements, such as costs related to determining the source of certain minerals used in our products, as well as costs of changes to products, processes, or sources of supply as a consequence of such verification activities. Since our supply chain is complex, we are not always able to sufficiently verify the origins of the relevant minerals used in our products through</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3" w:name="page44"/>
    <w:bookmarkEnd w:id="43"/>
    <w:p>
      <w:pPr>
        <w:ind w:right="20"/>
        <w:spacing w:after="0" w:line="279" w:lineRule="auto"/>
        <w:rPr>
          <w:sz w:val="20"/>
          <w:szCs w:val="20"/>
          <w:color w:val="auto"/>
        </w:rPr>
      </w:pPr>
      <w:r>
        <w:rPr>
          <w:rFonts w:ascii="Times New Roman" w:cs="Times New Roman" w:eastAsia="Times New Roman" w:hAnsi="Times New Roman"/>
          <w:sz w:val="17"/>
          <w:szCs w:val="17"/>
          <w:color w:val="auto"/>
        </w:rPr>
        <w:t>the due diligence procedures we implemented, which may harm our reputation. In addition, we may encounter challenges to satisfy those customers who require that all of the components of our products be certified as conflict-free, which could place us at a competitive disadvantage if we are unable to do so.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Natural disasters or severe weather conditions could disrupt our business and result in loss of revenue or higher expenses.</w:t>
      </w:r>
    </w:p>
    <w:p>
      <w:pPr>
        <w:spacing w:after="0" w:line="216" w:lineRule="exact"/>
        <w:rPr>
          <w:sz w:val="20"/>
          <w:szCs w:val="20"/>
          <w:color w:val="auto"/>
        </w:rPr>
      </w:pPr>
    </w:p>
    <w:p>
      <w:pPr>
        <w:ind w:right="300" w:firstLine="611"/>
        <w:spacing w:after="0" w:line="259" w:lineRule="auto"/>
        <w:rPr>
          <w:sz w:val="20"/>
          <w:szCs w:val="20"/>
          <w:color w:val="auto"/>
        </w:rPr>
      </w:pPr>
      <w:r>
        <w:rPr>
          <w:rFonts w:ascii="Times New Roman" w:cs="Times New Roman" w:eastAsia="Times New Roman" w:hAnsi="Times New Roman"/>
          <w:sz w:val="17"/>
          <w:szCs w:val="17"/>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 our business and financial results. While we insure against certain business interruption risks, such insurance may not adequately compensate us for any losses incurred as a result of natural or other disasters.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of our contracts with the U.S. Government are classified, which may limit investor insight into portions of our business.</w:t>
      </w:r>
    </w:p>
    <w:p>
      <w:pPr>
        <w:spacing w:after="0" w:line="216" w:lineRule="exact"/>
        <w:rPr>
          <w:sz w:val="20"/>
          <w:szCs w:val="20"/>
          <w:color w:val="auto"/>
        </w:rPr>
      </w:pPr>
    </w:p>
    <w:p>
      <w:pPr>
        <w:ind w:right="20" w:firstLine="611"/>
        <w:spacing w:after="0" w:line="259" w:lineRule="auto"/>
        <w:rPr>
          <w:sz w:val="20"/>
          <w:szCs w:val="20"/>
          <w:color w:val="auto"/>
        </w:rPr>
      </w:pPr>
      <w:r>
        <w:rPr>
          <w:rFonts w:ascii="Times New Roman" w:cs="Times New Roman" w:eastAsia="Times New Roman" w:hAnsi="Times New Roman"/>
          <w:sz w:val="17"/>
          <w:szCs w:val="17"/>
          <w:color w:val="auto"/>
        </w:rPr>
        <w:t>We derive a portion of our revenues from programs with the U.S. Government that are subject to security restrictions (classified programs) that preclude the dissemination of information that is classified for National Security purposes. We are limited in our ability to provide details about these classified programs, their risks or any disputes or claims relating to such programs. As a result, investors and others might have less insight into our classified programs than our other businesses and, therefore, less ability to fully evaluate the risks related to our classified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pay any cash dividends or buyback any Kratos stock for the foreseeable future</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We have not declared any cash dividends since becoming a public company. We currently intend to retain any future earnings to finance the growth and development of the business and, therefore, we do not anticipate that we will pay any cash dividends on shares of our common stock in the foreseeable future. We also do not expect to buy back any of our common stock for the foreseeable future. In addition, our ability to pay dividends and buyback Kratos stock is restricted by our Credit Agreement. Any determination to pay dividends or stock buybacks in the future will be at the discretion of our board of directors and will be dependent upon our future financial condition, results of operations, capital requirements, legal restrictions general business conditions and other relevant factors as determined by our board of directors. See “Dividend Policy.”</w:t>
      </w:r>
    </w:p>
    <w:p>
      <w:pPr>
        <w:spacing w:after="0" w:line="20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Certain provisions in our amended and restated certificate of incorporation and third amended and restated bylaws, and of Delaware law, may prevent or delay an acquisition of our Company, which could decrease the trading price of our common stock.</w:t>
      </w:r>
    </w:p>
    <w:p>
      <w:pPr>
        <w:spacing w:after="0" w:line="178" w:lineRule="exact"/>
        <w:rPr>
          <w:sz w:val="20"/>
          <w:szCs w:val="20"/>
          <w:color w:val="auto"/>
        </w:rPr>
      </w:pPr>
    </w:p>
    <w:p>
      <w:pPr>
        <w:ind w:right="160" w:firstLine="611"/>
        <w:spacing w:after="0" w:line="264" w:lineRule="auto"/>
        <w:rPr>
          <w:sz w:val="20"/>
          <w:szCs w:val="20"/>
          <w:color w:val="auto"/>
        </w:rPr>
      </w:pPr>
      <w:r>
        <w:rPr>
          <w:rFonts w:ascii="Times New Roman" w:cs="Times New Roman" w:eastAsia="Times New Roman" w:hAnsi="Times New Roman"/>
          <w:sz w:val="17"/>
          <w:szCs w:val="17"/>
          <w:color w:val="auto"/>
        </w:rPr>
        <w:t>Our amended and restated certificate of incorporation, our third amended and restated bylaws, and Delaware law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195" w:lineRule="exact"/>
        <w:rPr>
          <w:sz w:val="20"/>
          <w:szCs w:val="20"/>
          <w:color w:val="auto"/>
        </w:rPr>
      </w:pPr>
    </w:p>
    <w:p>
      <w:pPr>
        <w:ind w:left="600" w:hanging="29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our stockholders to call a special meeting;</w:t>
      </w:r>
    </w:p>
    <w:p>
      <w:pPr>
        <w:spacing w:after="0" w:line="23"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rules regarding how stockholders may present proposals or nominate directors for election at stockholder meetings;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our board of directors to issue preferred stock without stockholder approval;</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super-majority requirement to amend our certificate of incorporation or bylaws; and</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directors, and not stockholders, to fill vacancies on our board of directors.</w:t>
      </w:r>
    </w:p>
    <w:p>
      <w:pPr>
        <w:spacing w:after="0" w:line="222" w:lineRule="exact"/>
        <w:rPr>
          <w:sz w:val="20"/>
          <w:szCs w:val="20"/>
          <w:color w:val="auto"/>
        </w:rPr>
      </w:pPr>
    </w:p>
    <w:p>
      <w:pPr>
        <w:ind w:right="260" w:firstLine="611"/>
        <w:spacing w:after="0" w:line="279" w:lineRule="auto"/>
        <w:rPr>
          <w:sz w:val="20"/>
          <w:szCs w:val="20"/>
          <w:color w:val="auto"/>
        </w:rPr>
      </w:pPr>
      <w:r>
        <w:rPr>
          <w:rFonts w:ascii="Times New Roman" w:cs="Times New Roman" w:eastAsia="Times New Roman" w:hAnsi="Times New Roman"/>
          <w:sz w:val="17"/>
          <w:szCs w:val="17"/>
          <w:color w:val="auto"/>
        </w:rPr>
        <w:t>Delaware law also imposes some restrictions on mergers and other business combinations between us and any holder of 15% or more of our outstanding common stock.</w:t>
      </w:r>
    </w:p>
    <w:p>
      <w:pPr>
        <w:spacing w:after="0" w:line="182" w:lineRule="exact"/>
        <w:rPr>
          <w:sz w:val="20"/>
          <w:szCs w:val="20"/>
          <w:color w:val="auto"/>
        </w:rPr>
      </w:pPr>
    </w:p>
    <w:p>
      <w:pPr>
        <w:ind w:right="60" w:firstLine="611"/>
        <w:spacing w:after="0" w:line="255" w:lineRule="auto"/>
        <w:rPr>
          <w:sz w:val="20"/>
          <w:szCs w:val="20"/>
          <w:color w:val="auto"/>
        </w:rPr>
      </w:pPr>
      <w:r>
        <w:rPr>
          <w:rFonts w:ascii="Times New Roman" w:cs="Times New Roman" w:eastAsia="Times New Roman" w:hAnsi="Times New Roman"/>
          <w:sz w:val="17"/>
          <w:szCs w:val="17"/>
          <w:color w:val="auto"/>
        </w:rPr>
        <w:t>We believe these provisions may help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our Company immune from takeovers. In addition, although we believe these provisions collectively provide for an opportunity to receive higher bids by requiring potential acquirers to negotiate with our board, they would apply even if the offer may be considered beneficial by some stockholders. These provisions may also frustrate or prevent any attempts by our stockholders to replace or remove our current management team by making it more difficult for stockholders to replace members of our board, which is responsible for appointing the members of our management.</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is volatile.</w:t>
      </w:r>
    </w:p>
    <w:p>
      <w:pPr>
        <w:spacing w:after="0" w:line="241" w:lineRule="exact"/>
        <w:rPr>
          <w:sz w:val="20"/>
          <w:szCs w:val="20"/>
          <w:color w:val="auto"/>
        </w:rPr>
      </w:pPr>
    </w:p>
    <w:p>
      <w:pPr>
        <w:ind w:firstLine="611"/>
        <w:spacing w:after="0" w:line="253" w:lineRule="auto"/>
        <w:rPr>
          <w:sz w:val="20"/>
          <w:szCs w:val="20"/>
          <w:color w:val="auto"/>
        </w:rPr>
      </w:pPr>
      <w:r>
        <w:rPr>
          <w:rFonts w:ascii="Times New Roman" w:cs="Times New Roman" w:eastAsia="Times New Roman" w:hAnsi="Times New Roman"/>
          <w:sz w:val="17"/>
          <w:szCs w:val="17"/>
          <w:color w:val="auto"/>
        </w:rPr>
        <w:t>The market price of our common stock has been in the past, and will continue to be, subject to significant fluctuations as a result of a number of factors, most of which we cannot control, including: failure of our operating results to meet market or analysts’ expectations; general fluctuations in the stock market; actual or anticipated fluctuations in our operating results based on reduced and/or delayed government spending or the threat thereof; expectation regarding increased U.S. and allied country government defense spending; fluctuations in the stock prices of companies in our industry; changes in earnings estimated by securities analysts or our ability to meet those estimates; rumors or dissemination of false information; short selling of our common stock; litigation and government inquiries; political and/or military events associated with current worldwide conflicts; and domestic and foreign economic conditions. Such volatility has had a significant effect on the market prices of many companies’ securities for reasons unrelated to their operating performance and, in the past, has led to securities class action litigation. Securities litigation against us could result in substantial costs and a diversion of our management’s attention and resources, which could have an adverse effect on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Your percentage of ownership in us may be diluted in the future.</w:t>
      </w:r>
    </w:p>
    <w:p>
      <w:pPr>
        <w:spacing w:after="0" w:line="241" w:lineRule="exact"/>
        <w:rPr>
          <w:sz w:val="20"/>
          <w:szCs w:val="20"/>
          <w:color w:val="auto"/>
        </w:rPr>
      </w:pPr>
    </w:p>
    <w:p>
      <w:pPr>
        <w:ind w:right="340" w:firstLine="611"/>
        <w:spacing w:after="0" w:line="279" w:lineRule="auto"/>
        <w:rPr>
          <w:sz w:val="20"/>
          <w:szCs w:val="20"/>
          <w:color w:val="auto"/>
        </w:rPr>
      </w:pPr>
      <w:r>
        <w:rPr>
          <w:rFonts w:ascii="Times New Roman" w:cs="Times New Roman" w:eastAsia="Times New Roman" w:hAnsi="Times New Roman"/>
          <w:sz w:val="17"/>
          <w:szCs w:val="17"/>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our common stock could cause the market price for our common stock to decline.</w:t>
      </w:r>
    </w:p>
    <w:p>
      <w:pPr>
        <w:spacing w:after="0" w:line="241" w:lineRule="exact"/>
        <w:rPr>
          <w:sz w:val="20"/>
          <w:szCs w:val="20"/>
          <w:color w:val="auto"/>
        </w:rPr>
      </w:pPr>
    </w:p>
    <w:p>
      <w:pPr>
        <w:ind w:right="80" w:firstLine="611"/>
        <w:spacing w:after="0" w:line="264" w:lineRule="auto"/>
        <w:rPr>
          <w:sz w:val="20"/>
          <w:szCs w:val="20"/>
          <w:color w:val="auto"/>
        </w:rPr>
      </w:pPr>
      <w:r>
        <w:rPr>
          <w:rFonts w:ascii="Times New Roman" w:cs="Times New Roman" w:eastAsia="Times New Roman" w:hAnsi="Times New Roman"/>
          <w:sz w:val="17"/>
          <w:szCs w:val="17"/>
          <w:color w:val="auto"/>
        </w:rPr>
        <w:t>We cannot predict the effect, if any, that market sales of shares of our common stock or the availability of shares of our common stock for sale will have on the market price of our common stock prevailing from time to time. Sales of substantial amounts of shares of our common stock in the public market, or the perception that those sales will occur, could cause the market price of our common stock to decline or be depressed.</w:t>
      </w:r>
    </w:p>
    <w:p>
      <w:pPr>
        <w:spacing w:after="0" w:line="195" w:lineRule="exact"/>
        <w:rPr>
          <w:sz w:val="20"/>
          <w:szCs w:val="20"/>
          <w:color w:val="auto"/>
        </w:rPr>
      </w:pPr>
    </w:p>
    <w:p>
      <w:pPr>
        <w:ind w:firstLine="611"/>
        <w:spacing w:after="0" w:line="259" w:lineRule="auto"/>
        <w:rPr>
          <w:sz w:val="20"/>
          <w:szCs w:val="20"/>
          <w:color w:val="auto"/>
        </w:rPr>
      </w:pPr>
      <w:r>
        <w:rPr>
          <w:rFonts w:ascii="Times New Roman" w:cs="Times New Roman" w:eastAsia="Times New Roman" w:hAnsi="Times New Roman"/>
          <w:sz w:val="17"/>
          <w:szCs w:val="17"/>
          <w:color w:val="auto"/>
        </w:rPr>
        <w:t>In the future, we may issue our securities if we need to raise capital in connection with a capital expenditure, working capital requirement, acquisition or investment. The amount of shares of our common stock issued in connection with a capital expenditure, working capital requirement, acquisition or investment could constitute a material portion of our then-outstanding shares of common stock. Any perceived excess in the supply of our shares in the market could negatively impact our share price and any issuance of additional securities in connection with investments or acquisitions may result in additional dilution to you.</w:t>
      </w:r>
    </w:p>
    <w:p>
      <w:pPr>
        <w:spacing w:after="0" w:line="196" w:lineRule="exact"/>
        <w:rPr>
          <w:sz w:val="20"/>
          <w:szCs w:val="20"/>
          <w:color w:val="auto"/>
        </w:rPr>
      </w:pPr>
    </w:p>
    <w:p>
      <w:pPr>
        <w:ind w:right="272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controls, we may not be able to accurately report our financial results or prevent fraud.</w:t>
      </w:r>
    </w:p>
    <w:p>
      <w:pPr>
        <w:spacing w:after="0" w:line="178" w:lineRule="exact"/>
        <w:rPr>
          <w:sz w:val="20"/>
          <w:szCs w:val="20"/>
          <w:color w:val="auto"/>
        </w:rPr>
      </w:pPr>
    </w:p>
    <w:p>
      <w:pPr>
        <w:ind w:right="20" w:firstLine="611"/>
        <w:spacing w:after="0" w:line="272" w:lineRule="auto"/>
        <w:rPr>
          <w:sz w:val="20"/>
          <w:szCs w:val="20"/>
          <w:color w:val="auto"/>
        </w:rPr>
      </w:pPr>
      <w:r>
        <w:rPr>
          <w:rFonts w:ascii="Times New Roman" w:cs="Times New Roman" w:eastAsia="Times New Roman" w:hAnsi="Times New Roman"/>
          <w:sz w:val="16"/>
          <w:szCs w:val="16"/>
          <w:color w:val="auto"/>
        </w:rPr>
        <w:t>Effective internal controls are necessary for us to provide reliable financial reports. If we cannot provide reliable financial reports, our operating results could be misstated, our reputation may be harmed and the market price of our common stock could be negatively affected. Our management has concluded that there are no material weaknesses in our internal controls over financial reporting as of December 28, 2025. However, although we continue to devote substantial time and resources to the documentation and testing of our controls, there can be no assurance that our controls over financial processes and reporting will be effective in the future or that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stock.</w:t>
      </w:r>
    </w:p>
    <w:p>
      <w:pPr>
        <w:spacing w:after="0" w:line="187" w:lineRule="exact"/>
        <w:rPr>
          <w:sz w:val="20"/>
          <w:szCs w:val="20"/>
          <w:color w:val="auto"/>
        </w:rPr>
      </w:pPr>
    </w:p>
    <w:p>
      <w:pPr>
        <w:ind w:right="290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Litigation may distract us from operating our business, and adverse judgments or settlements could adversely affect our financial results and operations.</w:t>
      </w:r>
    </w:p>
    <w:p>
      <w:pPr>
        <w:spacing w:after="0" w:line="178" w:lineRule="exact"/>
        <w:rPr>
          <w:sz w:val="20"/>
          <w:szCs w:val="20"/>
          <w:color w:val="auto"/>
        </w:rPr>
      </w:pPr>
    </w:p>
    <w:p>
      <w:pPr>
        <w:ind w:right="280" w:firstLine="611"/>
        <w:spacing w:after="0" w:line="259" w:lineRule="auto"/>
        <w:rPr>
          <w:sz w:val="20"/>
          <w:szCs w:val="20"/>
          <w:color w:val="auto"/>
        </w:rPr>
      </w:pPr>
      <w:r>
        <w:rPr>
          <w:rFonts w:ascii="Times New Roman" w:cs="Times New Roman" w:eastAsia="Times New Roman" w:hAnsi="Times New Roman"/>
          <w:sz w:val="17"/>
          <w:szCs w:val="17"/>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 See Note 14 of the Notes to Consolidated Financial Statements contained within this Annual Report for a further discussion of our legal proceedings.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45" w:name="page46"/>
    <w:bookmarkEnd w:id="45"/>
    <w:p>
      <w:pPr>
        <w:ind w:right="38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publish inaccurate or unfavorable research about our business, our stock price and any trading volume could decline.</w:t>
      </w:r>
    </w:p>
    <w:p>
      <w:pPr>
        <w:spacing w:after="0" w:line="178" w:lineRule="exact"/>
        <w:rPr>
          <w:sz w:val="20"/>
          <w:szCs w:val="20"/>
          <w:color w:val="auto"/>
        </w:rPr>
      </w:pPr>
    </w:p>
    <w:p>
      <w:pPr>
        <w:jc w:val="both"/>
        <w:ind w:right="100" w:firstLine="611"/>
        <w:spacing w:after="0" w:line="259" w:lineRule="auto"/>
        <w:rPr>
          <w:sz w:val="20"/>
          <w:szCs w:val="20"/>
          <w:color w:val="auto"/>
        </w:rPr>
      </w:pPr>
      <w:r>
        <w:rPr>
          <w:rFonts w:ascii="Times New Roman" w:cs="Times New Roman" w:eastAsia="Times New Roman" w:hAnsi="Times New Roman"/>
          <w:sz w:val="17"/>
          <w:szCs w:val="17"/>
          <w:color w:val="auto"/>
        </w:rPr>
        <w:t>The trading market for our securities depends in part on the research and reports that industry or financial analysts publish about us or our business. We do not influence or control the reporting of these analysts. If one or more of the analysts who do cover us downgrade or provide a negative outlook on our Company or our industry, or the stock of any of our competitors, the price of our common stock could decline. If one or more of these analysts ceases coverage of our Company, we could lose visibility in the market, which in turn could cause the price of our common stock to decline.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1C. </w:t>
      </w:r>
      <w:r>
        <w:rPr>
          <w:rFonts w:ascii="Times New Roman" w:cs="Times New Roman" w:eastAsia="Times New Roman" w:hAnsi="Times New Roman"/>
          <w:sz w:val="17"/>
          <w:szCs w:val="17"/>
          <w:b w:val="1"/>
          <w:bCs w:val="1"/>
          <w:i w:val="1"/>
          <w:i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41" w:lineRule="exact"/>
        <w:rPr>
          <w:sz w:val="20"/>
          <w:szCs w:val="20"/>
          <w:color w:val="auto"/>
        </w:rPr>
      </w:pPr>
    </w:p>
    <w:p>
      <w:pPr>
        <w:ind w:firstLine="611"/>
        <w:spacing w:after="0" w:line="259" w:lineRule="auto"/>
        <w:rPr>
          <w:sz w:val="20"/>
          <w:szCs w:val="20"/>
          <w:color w:val="auto"/>
        </w:rPr>
      </w:pPr>
      <w:r>
        <w:rPr>
          <w:rFonts w:ascii="Times New Roman" w:cs="Times New Roman" w:eastAsia="Times New Roman" w:hAnsi="Times New Roman"/>
          <w:sz w:val="17"/>
          <w:szCs w:val="17"/>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 (“IRP”). The purpose of the IRP is to provide a structured and systematic incident response process for all Information Security Incidents that affect any of our or our subsidiaries’ information technology systems, network, or data, including data of ours and our subsidiaries held, or IT services provided by, third-party vendors or other service providers.</w:t>
      </w:r>
    </w:p>
    <w:p>
      <w:pPr>
        <w:spacing w:after="0" w:line="200" w:lineRule="exact"/>
        <w:rPr>
          <w:sz w:val="20"/>
          <w:szCs w:val="20"/>
          <w:color w:val="auto"/>
        </w:rPr>
      </w:pPr>
    </w:p>
    <w:p>
      <w:pPr>
        <w:ind w:right="300" w:firstLine="611"/>
        <w:spacing w:after="0" w:line="279" w:lineRule="auto"/>
        <w:rPr>
          <w:sz w:val="20"/>
          <w:szCs w:val="20"/>
          <w:color w:val="auto"/>
        </w:rPr>
      </w:pPr>
      <w:r>
        <w:rPr>
          <w:rFonts w:ascii="Times New Roman" w:cs="Times New Roman" w:eastAsia="Times New Roman" w:hAnsi="Times New Roman"/>
          <w:sz w:val="17"/>
          <w:szCs w:val="17"/>
          <w:color w:val="auto"/>
        </w:rPr>
        <w:t>We developed and maintain our program as required by applicable laws and regulations, including without limitation the Cybersecurity Maturity Model Certification (CMMC) and 17 CFR Part 229.</w:t>
      </w:r>
    </w:p>
    <w:p>
      <w:pPr>
        <w:spacing w:after="0" w:line="182" w:lineRule="exact"/>
        <w:rPr>
          <w:sz w:val="20"/>
          <w:szCs w:val="20"/>
          <w:color w:val="auto"/>
        </w:rPr>
      </w:pPr>
    </w:p>
    <w:p>
      <w:pPr>
        <w:ind w:firstLine="611"/>
        <w:spacing w:after="0" w:line="281" w:lineRule="auto"/>
        <w:rPr>
          <w:sz w:val="20"/>
          <w:szCs w:val="20"/>
          <w:color w:val="auto"/>
        </w:rPr>
      </w:pPr>
      <w:r>
        <w:rPr>
          <w:rFonts w:ascii="Times New Roman" w:cs="Times New Roman" w:eastAsia="Times New Roman" w:hAnsi="Times New Roman"/>
          <w:sz w:val="16"/>
          <w:szCs w:val="16"/>
          <w:color w:val="auto"/>
        </w:rPr>
        <w:t>On September 10, 2025, the Department of War (DoW) published its final Cybersecurity Maturity Model Certification (CMMC) rule in the Federal Register, effective November 10, 2025, officially launching a three-year phased rollout of cybersecurity requirements across DoW contracts. The rule, implemented through the Defense Federal Acquisition Regulation Supplement (DFARS) under Title 48 CFR, establishes mandatory cybersecurity standards for all contractors and subcontractors. Certification is required to handle Federal Contract Information (FCI) or Controlled Unclassified Information (CUI) and to bid on new contracts.</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CMMC 2.0, announced July 17, 2021, streamlined requirements to three levels:</w:t>
      </w:r>
    </w:p>
    <w:p>
      <w:pPr>
        <w:spacing w:after="0" w:line="148" w:lineRule="exact"/>
        <w:rPr>
          <w:sz w:val="20"/>
          <w:szCs w:val="20"/>
          <w:color w:val="auto"/>
        </w:rPr>
      </w:pPr>
    </w:p>
    <w:p>
      <w:pPr>
        <w:ind w:left="600" w:hanging="293"/>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Self-attestation allowed.</w:t>
      </w:r>
    </w:p>
    <w:p>
      <w:pPr>
        <w:spacing w:after="0" w:line="23"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Levels 2 &amp; 3: Third-party assessments required.</w:t>
      </w:r>
    </w:p>
    <w:p>
      <w:pPr>
        <w:spacing w:after="0" w:line="222" w:lineRule="exact"/>
        <w:rPr>
          <w:sz w:val="20"/>
          <w:szCs w:val="20"/>
          <w:color w:val="auto"/>
        </w:rPr>
      </w:pPr>
    </w:p>
    <w:p>
      <w:pPr>
        <w:ind w:right="100" w:firstLine="611"/>
        <w:spacing w:after="0" w:line="264" w:lineRule="auto"/>
        <w:rPr>
          <w:sz w:val="20"/>
          <w:szCs w:val="20"/>
          <w:color w:val="auto"/>
        </w:rPr>
      </w:pPr>
      <w:r>
        <w:rPr>
          <w:rFonts w:ascii="Times New Roman" w:cs="Times New Roman" w:eastAsia="Times New Roman" w:hAnsi="Times New Roman"/>
          <w:sz w:val="17"/>
          <w:szCs w:val="17"/>
          <w:color w:val="auto"/>
        </w:rPr>
        <w:t>Failure to achieve CMMC certification will prevent bidding on new or follow-on contracts, creating significant contract risk. Compliance efforts will require substantial and ongoing investment, increasing cost pressures. Additionally, non-compliant subcontractors may jeopardize overall eligibility for DoW work. Collectively, these factors could negatively impact revenue, operating margins, and cash flow.</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July 24, 2025, Kratos has received Final CMMC Level 2 (C3PAO) Certification.</w:t>
      </w:r>
    </w:p>
    <w:p>
      <w:pPr>
        <w:spacing w:after="0" w:line="237" w:lineRule="exact"/>
        <w:rPr>
          <w:sz w:val="20"/>
          <w:szCs w:val="20"/>
          <w:color w:val="auto"/>
        </w:rPr>
      </w:pPr>
    </w:p>
    <w:p>
      <w:pPr>
        <w:ind w:right="60" w:firstLine="611"/>
        <w:spacing w:after="0" w:line="264" w:lineRule="auto"/>
        <w:rPr>
          <w:sz w:val="20"/>
          <w:szCs w:val="20"/>
          <w:color w:val="auto"/>
        </w:rPr>
      </w:pPr>
      <w:r>
        <w:rPr>
          <w:rFonts w:ascii="Times New Roman" w:cs="Times New Roman" w:eastAsia="Times New Roman" w:hAnsi="Times New Roman"/>
          <w:sz w:val="17"/>
          <w:szCs w:val="17"/>
          <w:color w:val="auto"/>
        </w:rPr>
        <w:t>Our cybersecurity risk management program is integrated into our overall enterprise risk management program, and shares common methodologies, reporting channels and governance processes that apply across our global enterprise risk management program to other legal, compliance, strategic, operational, and financial risk areas.</w:t>
      </w:r>
    </w:p>
    <w:p>
      <w:pPr>
        <w:spacing w:after="0" w:line="195" w:lineRule="exact"/>
        <w:rPr>
          <w:sz w:val="20"/>
          <w:szCs w:val="20"/>
          <w:color w:val="auto"/>
        </w:rPr>
      </w:pPr>
    </w:p>
    <w:p>
      <w:pPr>
        <w:ind w:right="300" w:firstLine="611"/>
        <w:spacing w:after="0" w:line="256" w:lineRule="auto"/>
        <w:rPr>
          <w:sz w:val="20"/>
          <w:szCs w:val="20"/>
          <w:color w:val="auto"/>
        </w:rPr>
      </w:pPr>
      <w:r>
        <w:rPr>
          <w:rFonts w:ascii="Times New Roman" w:cs="Times New Roman" w:eastAsia="Times New Roman" w:hAnsi="Times New Roman"/>
          <w:sz w:val="17"/>
          <w:szCs w:val="17"/>
          <w:color w:val="auto"/>
        </w:rPr>
        <w:t>We have designated our Chief Information Officer (CIO) to implement and maintain the IRP. Our CIO has over 20 years of experience in the field of information technology including cybersecurity and is responsible for the management of our cybersecurity and data privacy program. Among other information security duties, the CIO is responsible for:</w:t>
      </w:r>
    </w:p>
    <w:p>
      <w:pPr>
        <w:spacing w:after="0" w:line="1" w:lineRule="exact"/>
        <w:rPr>
          <w:sz w:val="20"/>
          <w:szCs w:val="20"/>
          <w:color w:val="auto"/>
        </w:rPr>
      </w:pPr>
    </w:p>
    <w:p>
      <w:pPr>
        <w:ind w:left="600" w:hanging="293"/>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the IRP,</w:t>
      </w:r>
    </w:p>
    <w:p>
      <w:pPr>
        <w:spacing w:after="0" w:line="8" w:lineRule="exact"/>
        <w:rPr>
          <w:rFonts w:ascii="Times New Roman" w:cs="Times New Roman" w:eastAsia="Times New Roman" w:hAnsi="Times New Roman"/>
          <w:sz w:val="17"/>
          <w:szCs w:val="17"/>
          <w:color w:val="auto"/>
        </w:rPr>
      </w:pPr>
    </w:p>
    <w:p>
      <w:pPr>
        <w:ind w:left="620" w:right="140" w:hanging="313"/>
        <w:spacing w:after="0" w:line="260"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managing an incident response team (“IRT”) principally responsible for managing (1) our cybersecurity risk assessment processes, (2) our security controls, and (3) our response to cybersecurity incidents,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1074" w:right="359" w:bottom="1440" w:gutter="0" w:footer="0" w:header="0"/>
        </w:sectPr>
      </w:pPr>
    </w:p>
    <w:bookmarkStart w:id="46" w:name="page47"/>
    <w:bookmarkEnd w:id="46"/>
    <w:p>
      <w:pPr>
        <w:ind w:left="620" w:right="140" w:hanging="313"/>
        <w:spacing w:after="0" w:line="259"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IRT activities, including developing, maintaining, and following appropriate procedures to respond to, appropriately escalate, make decisions regarding, and document identified cybersecurity incidents,</w:t>
      </w:r>
    </w:p>
    <w:p>
      <w:pPr>
        <w:spacing w:after="0" w:line="1" w:lineRule="exact"/>
        <w:rPr>
          <w:rFonts w:ascii="Times New Roman" w:cs="Times New Roman" w:eastAsia="Times New Roman" w:hAnsi="Times New Roman"/>
          <w:sz w:val="17"/>
          <w:szCs w:val="17"/>
          <w:color w:val="auto"/>
        </w:rPr>
      </w:pPr>
    </w:p>
    <w:p>
      <w:pPr>
        <w:ind w:left="620" w:right="280" w:hanging="313"/>
        <w:spacing w:after="0" w:line="250"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post-incident reviews to gather feedback on identified cybersecurity incident response procedures and address any identified gaps in security measures,</w:t>
      </w:r>
    </w:p>
    <w:p>
      <w:pPr>
        <w:ind w:left="600" w:hanging="293"/>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training and conducting periodic exercises to promote employee and stakeholder preparedness and awareness of the IRP, and</w:t>
      </w:r>
    </w:p>
    <w:p>
      <w:pPr>
        <w:spacing w:after="0" w:line="8" w:lineRule="exact"/>
        <w:rPr>
          <w:rFonts w:ascii="Times New Roman" w:cs="Times New Roman" w:eastAsia="Times New Roman" w:hAnsi="Times New Roman"/>
          <w:sz w:val="17"/>
          <w:szCs w:val="17"/>
          <w:color w:val="auto"/>
        </w:rPr>
      </w:pPr>
    </w:p>
    <w:p>
      <w:pPr>
        <w:ind w:left="620" w:right="260" w:hanging="313"/>
        <w:spacing w:after="0" w:line="260"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IRP at least annually, or whenever there is a material change in our business practices that may reasonably affect its cybersecurity incident response procedures.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cybersecurity risk management program includes:</w:t>
      </w:r>
    </w:p>
    <w:p>
      <w:pPr>
        <w:spacing w:after="0" w:line="24" w:lineRule="exact"/>
        <w:rPr>
          <w:sz w:val="20"/>
          <w:szCs w:val="20"/>
          <w:color w:val="auto"/>
        </w:rPr>
      </w:pPr>
    </w:p>
    <w:p>
      <w:pPr>
        <w:ind w:left="620" w:right="80" w:hanging="313"/>
        <w:spacing w:after="0" w:line="250"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designed to help identify material cybersecurity risks to our critical systems, information, products, services, and our broader enterprise IT environment including risks associated with ransomware;</w:t>
      </w:r>
    </w:p>
    <w:p>
      <w:pPr>
        <w:ind w:left="600" w:hanging="293"/>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external service providers, where appropriate, to assess, test or otherwise assist with aspects of our security controls;</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awareness training of our employees, incident response personnel, and senior management;</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cybersecurity incident response plan that includes procedures for responding to cybersecurity incidents; and</w:t>
      </w:r>
    </w:p>
    <w:p>
      <w:pPr>
        <w:spacing w:after="0" w:line="8" w:lineRule="exact"/>
        <w:rPr>
          <w:rFonts w:ascii="Times New Roman" w:cs="Times New Roman" w:eastAsia="Times New Roman" w:hAnsi="Times New Roman"/>
          <w:sz w:val="17"/>
          <w:szCs w:val="17"/>
          <w:color w:val="auto"/>
        </w:rPr>
      </w:pPr>
    </w:p>
    <w:p>
      <w:pPr>
        <w:ind w:left="600" w:hanging="293"/>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third-party risk management process for service providers, suppliers, and vendors.</w:t>
      </w:r>
    </w:p>
    <w:p>
      <w:pPr>
        <w:spacing w:after="0" w:line="222" w:lineRule="exact"/>
        <w:rPr>
          <w:sz w:val="20"/>
          <w:szCs w:val="20"/>
          <w:color w:val="auto"/>
        </w:rPr>
      </w:pPr>
    </w:p>
    <w:p>
      <w:pPr>
        <w:ind w:firstLine="611"/>
        <w:spacing w:after="0" w:line="264" w:lineRule="auto"/>
        <w:rPr>
          <w:sz w:val="20"/>
          <w:szCs w:val="20"/>
          <w:color w:val="auto"/>
        </w:rPr>
      </w:pPr>
      <w:r>
        <w:rPr>
          <w:rFonts w:ascii="Times New Roman" w:cs="Times New Roman" w:eastAsia="Times New Roman" w:hAnsi="Times New Roman"/>
          <w:sz w:val="17"/>
          <w:szCs w:val="17"/>
          <w:color w:val="auto"/>
        </w:rPr>
        <w:t>We have developed processes to identify and oversee risks from cybersecurity threats associated with our third-party service providers, which includes the information security team assisting with and assessing cybersecurity robustness during vendor onboarding as well as risk-based monitoring of vendors on an ongoing basis.</w:t>
      </w:r>
    </w:p>
    <w:p>
      <w:pPr>
        <w:spacing w:after="0" w:line="195" w:lineRule="exact"/>
        <w:rPr>
          <w:sz w:val="20"/>
          <w:szCs w:val="20"/>
          <w:color w:val="auto"/>
        </w:rPr>
      </w:pPr>
    </w:p>
    <w:p>
      <w:pPr>
        <w:jc w:val="both"/>
        <w:ind w:right="40" w:firstLine="611"/>
        <w:spacing w:after="0" w:line="279" w:lineRule="auto"/>
        <w:rPr>
          <w:sz w:val="20"/>
          <w:szCs w:val="20"/>
          <w:color w:val="auto"/>
        </w:rPr>
      </w:pPr>
      <w:r>
        <w:rPr>
          <w:rFonts w:ascii="Times New Roman" w:cs="Times New Roman" w:eastAsia="Times New Roman" w:hAnsi="Times New Roman"/>
          <w:sz w:val="17"/>
          <w:szCs w:val="17"/>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 and Management’s Responsibilities</w:t>
      </w:r>
    </w:p>
    <w:p>
      <w:pPr>
        <w:spacing w:after="0" w:line="241" w:lineRule="exact"/>
        <w:rPr>
          <w:sz w:val="20"/>
          <w:szCs w:val="20"/>
          <w:color w:val="auto"/>
        </w:rPr>
      </w:pPr>
    </w:p>
    <w:p>
      <w:pPr>
        <w:ind w:right="460" w:firstLine="611"/>
        <w:spacing w:after="0" w:line="279" w:lineRule="auto"/>
        <w:rPr>
          <w:sz w:val="20"/>
          <w:szCs w:val="20"/>
          <w:color w:val="auto"/>
        </w:rPr>
      </w:pPr>
      <w:r>
        <w:rPr>
          <w:rFonts w:ascii="Times New Roman" w:cs="Times New Roman" w:eastAsia="Times New Roman" w:hAnsi="Times New Roman"/>
          <w:sz w:val="17"/>
          <w:szCs w:val="17"/>
          <w:color w:val="auto"/>
        </w:rPr>
        <w:t>Our entire Board considers cybersecurity risk as part of its risk oversight function and our entire board oversees management’s implementation of our cybersecurity risk management program.</w:t>
      </w:r>
    </w:p>
    <w:p>
      <w:pPr>
        <w:spacing w:after="0" w:line="93" w:lineRule="exact"/>
        <w:rPr>
          <w:sz w:val="20"/>
          <w:szCs w:val="20"/>
          <w:color w:val="auto"/>
        </w:rPr>
      </w:pPr>
    </w:p>
    <w:p>
      <w:pPr>
        <w:ind w:right="300" w:firstLine="611"/>
        <w:spacing w:after="0" w:line="279" w:lineRule="auto"/>
        <w:rPr>
          <w:sz w:val="20"/>
          <w:szCs w:val="20"/>
          <w:color w:val="auto"/>
        </w:rPr>
      </w:pPr>
      <w:r>
        <w:rPr>
          <w:rFonts w:ascii="Times New Roman" w:cs="Times New Roman" w:eastAsia="Times New Roman" w:hAnsi="Times New Roman"/>
          <w:sz w:val="17"/>
          <w:szCs w:val="17"/>
          <w:color w:val="auto"/>
        </w:rPr>
        <w:t>Our entire Board receives regular reports from management on our cybersecurity risks. In addition, management updates our entire Board, as necessary, regarding any material cybersecurity incidents, as well as any incidents with lesser impact potential.</w:t>
      </w:r>
    </w:p>
    <w:p>
      <w:pPr>
        <w:spacing w:after="0" w:line="80" w:lineRule="exact"/>
        <w:rPr>
          <w:sz w:val="20"/>
          <w:szCs w:val="20"/>
          <w:color w:val="auto"/>
        </w:rPr>
      </w:pPr>
    </w:p>
    <w:p>
      <w:pPr>
        <w:ind w:right="400" w:firstLine="611"/>
        <w:spacing w:after="0" w:line="279" w:lineRule="auto"/>
        <w:rPr>
          <w:sz w:val="20"/>
          <w:szCs w:val="20"/>
          <w:color w:val="auto"/>
        </w:rPr>
      </w:pPr>
      <w:r>
        <w:rPr>
          <w:rFonts w:ascii="Times New Roman" w:cs="Times New Roman" w:eastAsia="Times New Roman" w:hAnsi="Times New Roman"/>
          <w:sz w:val="17"/>
          <w:szCs w:val="17"/>
          <w:color w:val="auto"/>
        </w:rPr>
        <w:t>Board members receive presentations on cybersecurity topics from our CIO, internal security staff or external experts as part of the Board’s continuing education on topics that impact public companies.</w:t>
      </w:r>
    </w:p>
    <w:p>
      <w:pPr>
        <w:spacing w:after="0" w:line="93" w:lineRule="exact"/>
        <w:rPr>
          <w:sz w:val="20"/>
          <w:szCs w:val="20"/>
          <w:color w:val="auto"/>
        </w:rPr>
      </w:pPr>
    </w:p>
    <w:p>
      <w:pPr>
        <w:jc w:val="both"/>
        <w:ind w:right="60" w:firstLine="611"/>
        <w:spacing w:after="0" w:line="259" w:lineRule="auto"/>
        <w:rPr>
          <w:sz w:val="20"/>
          <w:szCs w:val="20"/>
          <w:color w:val="auto"/>
        </w:rPr>
      </w:pPr>
      <w:r>
        <w:rPr>
          <w:rFonts w:ascii="Times New Roman" w:cs="Times New Roman" w:eastAsia="Times New Roman" w:hAnsi="Times New Roman"/>
          <w:sz w:val="17"/>
          <w:szCs w:val="17"/>
          <w:color w:val="auto"/>
        </w:rPr>
        <w:t>Our management team is responsible for assessing and managing our material risks from cybersecurity threats. Our CIO regularly informs our management team of all aspects related to cybersecurity risks and incidents. This is designed to ensure that the highest levels of management are kept abreast of the cybersecurity posture and potential risks facing the Company. The team has primary responsibility for our overall cybersecurity risk management program and supervises both our internal cybersecurity personnel and our retained cybersecurity consultants.</w:t>
      </w:r>
    </w:p>
    <w:p>
      <w:pPr>
        <w:spacing w:after="0" w:line="111" w:lineRule="exact"/>
        <w:rPr>
          <w:sz w:val="20"/>
          <w:szCs w:val="20"/>
          <w:color w:val="auto"/>
        </w:rPr>
      </w:pPr>
    </w:p>
    <w:p>
      <w:pPr>
        <w:ind w:firstLine="611"/>
        <w:spacing w:after="0" w:line="264" w:lineRule="auto"/>
        <w:rPr>
          <w:sz w:val="20"/>
          <w:szCs w:val="20"/>
          <w:color w:val="auto"/>
        </w:rPr>
      </w:pPr>
      <w:r>
        <w:rPr>
          <w:rFonts w:ascii="Times New Roman" w:cs="Times New Roman" w:eastAsia="Times New Roman" w:hAnsi="Times New Roman"/>
          <w:sz w:val="17"/>
          <w:szCs w:val="17"/>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Cybersecurity Risks on Business Strategy, Results of Operations or Financial Condition</w:t>
      </w:r>
    </w:p>
    <w:p>
      <w:pPr>
        <w:spacing w:after="0" w:line="241" w:lineRule="exact"/>
        <w:rPr>
          <w:sz w:val="20"/>
          <w:szCs w:val="20"/>
          <w:color w:val="auto"/>
        </w:rPr>
      </w:pPr>
    </w:p>
    <w:p>
      <w:pPr>
        <w:ind w:right="80" w:firstLine="611"/>
        <w:spacing w:after="0" w:line="257" w:lineRule="auto"/>
        <w:rPr>
          <w:sz w:val="20"/>
          <w:szCs w:val="20"/>
          <w:color w:val="auto"/>
        </w:rPr>
      </w:pPr>
      <w:r>
        <w:rPr>
          <w:rFonts w:ascii="Times New Roman" w:cs="Times New Roman" w:eastAsia="Times New Roman" w:hAnsi="Times New Roman"/>
          <w:sz w:val="17"/>
          <w:szCs w:val="17"/>
          <w:color w:val="auto"/>
        </w:rPr>
        <w:t>Cybersecurity threats, such as threats of attacks from computer hackers, cyber criminals, nation-state actors and other malicious internet-based activity (some of which target the U.S. defense industrial base and other critical infrastructure sectors), continue to increase. Cybersecurity threats also include threats of attacks involving social engineering and cyber extortion to induce customers, contractors, business partners, third-party service providers, employees and other third parties to disclose information, transfer funds or unwittingly provide access to systems or data. Further, the sophistication, availability, and use of artificial intelligence and quantum computing by threat actors present an increased level of risk.</w:t>
      </w:r>
    </w:p>
    <w:p>
      <w:pPr>
        <w:spacing w:after="0" w:line="112" w:lineRule="exact"/>
        <w:rPr>
          <w:sz w:val="20"/>
          <w:szCs w:val="20"/>
          <w:color w:val="auto"/>
        </w:rPr>
      </w:pPr>
    </w:p>
    <w:p>
      <w:pPr>
        <w:ind w:right="180" w:firstLine="611"/>
        <w:spacing w:after="0" w:line="264" w:lineRule="auto"/>
        <w:rPr>
          <w:sz w:val="20"/>
          <w:szCs w:val="20"/>
          <w:color w:val="auto"/>
        </w:rPr>
      </w:pPr>
      <w:r>
        <w:rPr>
          <w:rFonts w:ascii="Times New Roman" w:cs="Times New Roman" w:eastAsia="Times New Roman" w:hAnsi="Times New Roman"/>
          <w:sz w:val="17"/>
          <w:szCs w:val="17"/>
          <w:color w:val="auto"/>
        </w:rPr>
        <w:t>We believe that our current preventative actions and response activities provide adequate measures of protection against security breaches and generally reduce our cybersecurity risks. However, cybersecurity threats are constantly evolving, are becoming more frequent and more sophisticated and are being made by groups of individuals with a wide range of expertise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47" w:name="page48"/>
    <w:bookmarkEnd w:id="47"/>
    <w:p>
      <w:pPr>
        <w:ind w:right="20"/>
        <w:spacing w:after="0" w:line="253" w:lineRule="auto"/>
        <w:rPr>
          <w:sz w:val="20"/>
          <w:szCs w:val="20"/>
          <w:color w:val="auto"/>
        </w:rPr>
      </w:pPr>
      <w:r>
        <w:rPr>
          <w:rFonts w:ascii="Times New Roman" w:cs="Times New Roman" w:eastAsia="Times New Roman" w:hAnsi="Times New Roman"/>
          <w:sz w:val="17"/>
          <w:szCs w:val="17"/>
          <w:color w:val="auto"/>
        </w:rPr>
        <w:t>and motives, which increases the difficulty of detecting and successfully defending against them. While we have implemented measures to safeguard our operational and technology systems and have established a culture of continuous learning, monitoring and improvement, the evolving nature of cybersecurity attacks and vulnerabilities means that these protections may not always be effective. In the ordinary course of our business, we have experienced and expect to continue to experience cyber-based attacks and other attempts to compromise our information systems, although none, to our knowledge, has had a material adverse effect on our business, financial condition or results of operations. While we do not believe cybersecurity threats are reasonably likely to affect us, our business strategy, our results of operations or our financial conditions, like all companies, we face a risks of such threats, the consequences of which could be material. See Item 1A – Risk Factors – Risks Related to Our Operations – “Cybersecurity breaches or disruptions of our information technology systems could negatively impact our operations,” above. In addition, given the constant and evolving threat of cyber-based attacks, we incur significant costs in an effort to detect and prevent security breaches and incidents, and these costs may increase in the future. Due to the evolving nature of such risks, the impact of any potential incident cannot be predicted. In addition, our insurance coverage, which may exclude losses from war or cyber operations, may not be adequate to cover all related costs and we may not otherwise be fully indemnified for them.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241" w:lineRule="exact"/>
        <w:rPr>
          <w:sz w:val="20"/>
          <w:szCs w:val="20"/>
          <w:color w:val="auto"/>
        </w:rPr>
      </w:pPr>
    </w:p>
    <w:p>
      <w:pPr>
        <w:ind w:firstLine="611"/>
        <w:spacing w:after="0" w:line="257" w:lineRule="auto"/>
        <w:rPr>
          <w:sz w:val="20"/>
          <w:szCs w:val="20"/>
          <w:color w:val="auto"/>
        </w:rPr>
      </w:pPr>
      <w:r>
        <w:rPr>
          <w:rFonts w:ascii="Times New Roman" w:cs="Times New Roman" w:eastAsia="Times New Roman" w:hAnsi="Times New Roman"/>
          <w:sz w:val="17"/>
          <w:szCs w:val="17"/>
          <w:color w:val="auto"/>
        </w:rPr>
        <w:t>At December 28, 2025, we owned or leased approximately 2.4 million square feet of floor space at 62 separate locations, primarily in the U.S., for manufacturing, warehousing, research and development, administration and various other uses. At December 28, 2025, we also leased approximately 106 acres of land, which included 98 acres in Ontario, Canada which is used by our Kratos ASC Signal business. We continually evaluate our current and future space capacity in relation to 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major operations at the following locations:</w:t>
      </w:r>
    </w:p>
    <w:p>
      <w:pPr>
        <w:spacing w:after="0" w:line="144" w:lineRule="exact"/>
        <w:rPr>
          <w:sz w:val="20"/>
          <w:szCs w:val="20"/>
          <w:color w:val="auto"/>
        </w:rPr>
      </w:pPr>
    </w:p>
    <w:p>
      <w:pPr>
        <w:ind w:firstLine="611"/>
        <w:spacing w:after="0" w:line="267" w:lineRule="auto"/>
        <w:rPr>
          <w:sz w:val="20"/>
          <w:szCs w:val="20"/>
          <w:color w:val="auto"/>
        </w:rPr>
      </w:pPr>
      <w:r>
        <w:rPr>
          <w:rFonts w:ascii="Times New Roman" w:cs="Times New Roman" w:eastAsia="Times New Roman" w:hAnsi="Times New Roman"/>
          <w:sz w:val="17"/>
          <w:szCs w:val="17"/>
          <w:b w:val="1"/>
          <w:bCs w:val="1"/>
          <w:color w:val="auto"/>
        </w:rPr>
        <w:t>Kratos Government Solutions</w:t>
      </w:r>
      <w:r>
        <w:rPr>
          <w:rFonts w:ascii="Times New Roman" w:cs="Times New Roman" w:eastAsia="Times New Roman" w:hAnsi="Times New Roman"/>
          <w:sz w:val="17"/>
          <w:szCs w:val="17"/>
          <w:color w:val="auto"/>
        </w:rPr>
        <w:t>: Birmingham and Huntsville, AL; Placerville, San Diego, and San Jose, CA; Colorado Springs and Englewood, CO; Jupiter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Orlando, FL; Crane, IN, Baltimore, Princess Anne, and Lanham, MD; Reno, NV, Bristow, OK; Dallastown and York, PA; Plano, TX; and Alexandria, Herndon and Chantilly, VA. Locations outside the U.S. include Australia, Canada, France, Germany, Israel, Norway, and the United Kingdom.</w:t>
      </w:r>
    </w:p>
    <w:p>
      <w:pPr>
        <w:spacing w:after="0" w:line="86" w:lineRule="exact"/>
        <w:rPr>
          <w:sz w:val="20"/>
          <w:szCs w:val="20"/>
          <w:color w:val="auto"/>
        </w:rPr>
      </w:pPr>
    </w:p>
    <w:p>
      <w:pPr>
        <w:ind w:right="240" w:firstLine="611"/>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Unmanned Systems: </w:t>
      </w:r>
      <w:r>
        <w:rPr>
          <w:rFonts w:ascii="Times New Roman" w:cs="Times New Roman" w:eastAsia="Times New Roman" w:hAnsi="Times New Roman"/>
          <w:sz w:val="17"/>
          <w:szCs w:val="17"/>
          <w:color w:val="auto"/>
        </w:rPr>
        <w:t>Huntsville, AL; McClellan, Roseville, Sacramento, and Tehachapi, CA; Fort Walton Beach, FL; Oxford, MI; Oklahoma City, OK;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Arlington and Round Rock, TX.</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Corporate and other locations</w:t>
      </w:r>
      <w:r>
        <w:rPr>
          <w:rFonts w:ascii="Times New Roman" w:cs="Times New Roman" w:eastAsia="Times New Roman" w:hAnsi="Times New Roman"/>
          <w:sz w:val="17"/>
          <w:szCs w:val="17"/>
          <w:color w:val="auto"/>
        </w:rPr>
        <w:t>: San Diego, CA and Round Rock, TX.</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our floor space at December 28, 2025:</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Square feet (in thousands)</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85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r>
      <w:tr>
        <w:trPr>
          <w:trHeight w:val="216"/>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Unmanned Systems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r>
      <w:tr>
        <w:trPr>
          <w:trHeight w:val="216"/>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(includes San Diego, operations of KGS and US segments)</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9"/>
        </w:trPr>
        <w:tc>
          <w:tcPr>
            <w:tcW w:w="870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2,350</w:t>
            </w:r>
          </w:p>
        </w:tc>
      </w:tr>
      <w:tr>
        <w:trPr>
          <w:trHeight w:val="20"/>
        </w:trPr>
        <w:tc>
          <w:tcPr>
            <w:tcW w:w="8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6 of the Notes to Consolidated Financial Statements contained within this Annual Report for information regarding commitments under leases.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See Note 14 of the Notes to Consolidated Financial Statements contained within this Annual Report for a discussion of our legal proceedings.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48" w:name="page49"/>
    <w:bookmarkEnd w:id="48"/>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and is traded under the symbol “KTOS”.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February 20, 2026, there were 263 shareholders of record of our common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41" w:lineRule="exact"/>
        <w:rPr>
          <w:sz w:val="20"/>
          <w:szCs w:val="20"/>
          <w:color w:val="auto"/>
        </w:rPr>
      </w:pPr>
    </w:p>
    <w:p>
      <w:pPr>
        <w:ind w:firstLine="611"/>
        <w:spacing w:after="0" w:line="274" w:lineRule="auto"/>
        <w:rPr>
          <w:sz w:val="20"/>
          <w:szCs w:val="20"/>
          <w:color w:val="auto"/>
        </w:rPr>
      </w:pPr>
      <w:r>
        <w:rPr>
          <w:rFonts w:ascii="Times New Roman" w:cs="Times New Roman" w:eastAsia="Times New Roman" w:hAnsi="Times New Roman"/>
          <w:sz w:val="16"/>
          <w:szCs w:val="16"/>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ability to pay dividends is restricted by our Credit Agreement, as discussed in the sections entitled “Liquidity and Capital Resources” and “2022 Credit Facility” in Item 7 “Management’s Discussion and Analysis of Financial Condition and Results of Operations” and Note 5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940"/>
          </w:cols>
          <w:pgMar w:left="320" w:top="845" w:right="6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12" w:lineRule="exact"/>
        <w:rPr>
          <w:sz w:val="20"/>
          <w:szCs w:val="20"/>
          <w:color w:val="auto"/>
        </w:rPr>
      </w:pPr>
    </w:p>
    <w:p>
      <w:pPr>
        <w:ind w:right="80" w:firstLine="611"/>
        <w:spacing w:after="0" w:line="267" w:lineRule="auto"/>
        <w:rPr>
          <w:sz w:val="20"/>
          <w:szCs w:val="20"/>
          <w:color w:val="auto"/>
        </w:rPr>
      </w:pPr>
      <w:r>
        <w:rPr>
          <w:rFonts w:ascii="Times New Roman" w:cs="Times New Roman" w:eastAsia="Times New Roman" w:hAnsi="Times New Roman"/>
          <w:sz w:val="17"/>
          <w:szCs w:val="17"/>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67" w:lineRule="exact"/>
        <w:rPr>
          <w:sz w:val="20"/>
          <w:szCs w:val="20"/>
          <w:color w:val="auto"/>
        </w:rPr>
      </w:pPr>
    </w:p>
    <w:p>
      <w:pPr>
        <w:ind w:firstLine="611"/>
        <w:spacing w:after="0" w:line="257" w:lineRule="auto"/>
        <w:rPr>
          <w:sz w:val="20"/>
          <w:szCs w:val="20"/>
          <w:color w:val="auto"/>
        </w:rPr>
      </w:pPr>
      <w:r>
        <w:rPr>
          <w:rFonts w:ascii="Times New Roman" w:cs="Times New Roman" w:eastAsia="Times New Roman" w:hAnsi="Times New Roman"/>
          <w:sz w:val="17"/>
          <w:szCs w:val="17"/>
          <w:color w:val="auto"/>
        </w:rPr>
        <w:t>The following performance graph presents a comparison of the five year cumulative stockholder return on our common stock against the cumulative total return of a broad equity market index, the Russell 2000 Stock Index, and a customized peer group consisting of the companies listed below, for the period commencing December 31, 2020 and ending December 31, 2025. The performance graph assumes an initial investment of $100 in our common stock and in each of the Russell 2000 Stock Index and the peer group, and further assumes that all dividends were reinvested and all returns are market-cap weighted. The historical information set forth below is not necessarily indicative of future stock price performance.</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COMPARISON OF 5 YEAR CUMULATIVE TOTAL RETURN*</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Among Kratos Defense &amp; Security Solutions, Inc., the Russell 2000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71120</wp:posOffset>
            </wp:positionV>
            <wp:extent cx="4730115" cy="3113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30115" cy="311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*$100 invested on 12/31/20 in stock or index, including reinvestment of dividends.</w:t>
      </w:r>
    </w:p>
    <w:p>
      <w:pPr>
        <w:ind w:left="1440"/>
        <w:spacing w:after="0"/>
        <w:rPr>
          <w:sz w:val="20"/>
          <w:szCs w:val="20"/>
          <w:color w:val="auto"/>
        </w:rPr>
      </w:pPr>
      <w:r>
        <w:rPr>
          <w:rFonts w:ascii="Arial" w:cs="Arial" w:eastAsia="Arial" w:hAnsi="Arial"/>
          <w:sz w:val="14"/>
          <w:szCs w:val="14"/>
          <w:color w:val="auto"/>
        </w:rPr>
        <w:t>Fiscal year ending December 31.</w:t>
      </w:r>
    </w:p>
    <w:p>
      <w:pPr>
        <w:spacing w:after="0" w:line="13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7"/>
          <w:szCs w:val="17"/>
          <w:color w:val="auto"/>
        </w:rPr>
        <w:t>The companies included in the Company’s Peer Group are: AAR Corp, AeroVironment Inc., CACI International Inc., Ducommun Inc., Frequency Electronics Inc., Leidos Holdings Inc., Mercury Systems Inc. and Parsons Corp.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 Use of Proceeds</w:t>
      </w:r>
    </w:p>
    <w:p>
      <w:pPr>
        <w:spacing w:after="0" w:line="216" w:lineRule="exact"/>
        <w:rPr>
          <w:sz w:val="20"/>
          <w:szCs w:val="20"/>
          <w:color w:val="auto"/>
        </w:rPr>
      </w:pPr>
    </w:p>
    <w:p>
      <w:pPr>
        <w:ind w:firstLine="611"/>
        <w:spacing w:after="0" w:line="259" w:lineRule="auto"/>
        <w:rPr>
          <w:sz w:val="20"/>
          <w:szCs w:val="20"/>
          <w:color w:val="auto"/>
        </w:rPr>
      </w:pPr>
      <w:r>
        <w:rPr>
          <w:rFonts w:ascii="Times New Roman" w:cs="Times New Roman" w:eastAsia="Times New Roman" w:hAnsi="Times New Roman"/>
          <w:sz w:val="17"/>
          <w:szCs w:val="17"/>
          <w:color w:val="auto"/>
        </w:rPr>
        <w:t>On February 4, 2025, pursuant to an Asset Purchase Agreement among the Company, Kratos Microwave, Inc., and Norden Millimeter, Inc. (“Norden”), the Company issued 1,095,674 shares of its common stock, with a deemed value of $32.2 million, to Norden. The shares were issued as part of the consideration for the Company’s acquisition of certain assets of Norden. The shares were issued in reliance upon the exemption from the registration requirements of the Securities Act provided by Section 4(a)(2) of the Securities Act as sales by an issuer not involving any public offering.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20" w:top="845"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139"/>
          </w:cols>
          <w:pgMar w:left="320" w:top="845"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12" w:lineRule="exact"/>
        <w:rPr>
          <w:sz w:val="20"/>
          <w:szCs w:val="20"/>
          <w:color w:val="auto"/>
        </w:rPr>
      </w:pPr>
    </w:p>
    <w:p>
      <w:pPr>
        <w:ind w:right="100" w:firstLine="611"/>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In addition to historical information, the following discussion contains forward-looking statements that are subject to risks and uncertainties. Our actual results may differ substantially from those expressed in or implied by any forward-looking statements herein due to a number of factors, including but not limited to the risks and uncertainties described in this Item 7, in Item 1A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7" w:lineRule="exact"/>
        <w:rPr>
          <w:sz w:val="20"/>
          <w:szCs w:val="20"/>
          <w:color w:val="auto"/>
        </w:rPr>
      </w:pPr>
    </w:p>
    <w:p>
      <w:pPr>
        <w:ind w:firstLine="611"/>
        <w:spacing w:after="0" w:line="246"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 For discussion related to changes in financial condition and the results of operations for fiscal year 2024-related items, refer to Part II, Item 7. Management’s Discussion and Analysis of Financial Condition and Results of Operations in our Annual Report on Form 10-K for the year ended December 29, 2024, which was filed with the Securities and Exchange Commission on February 26,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41" w:lineRule="exact"/>
        <w:rPr>
          <w:sz w:val="20"/>
          <w:szCs w:val="20"/>
          <w:color w:val="auto"/>
        </w:rPr>
      </w:pPr>
    </w:p>
    <w:p>
      <w:pPr>
        <w:ind w:firstLine="611"/>
        <w:spacing w:after="0" w:line="252" w:lineRule="auto"/>
        <w:rPr>
          <w:sz w:val="20"/>
          <w:szCs w:val="20"/>
          <w:color w:val="auto"/>
        </w:rPr>
      </w:pPr>
      <w:r>
        <w:rPr>
          <w:rFonts w:ascii="Times New Roman" w:cs="Times New Roman" w:eastAsia="Times New Roman" w:hAnsi="Times New Roman"/>
          <w:sz w:val="17"/>
          <w:szCs w:val="17"/>
          <w:color w:val="auto"/>
        </w:rPr>
        <w:t>Kratos is a technology, hardware, products, system and software company addressing the defense, national security, and commercial markets. Kratos makes true internally funded research, development, capital and other investments, to rapidly develop, produce and field relevant solutions that address our customers’ mission critical needs and requirements. At Kratos, affordability is a technology, and we seek to utilize proven, leading 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 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w:t>
      </w:r>
    </w:p>
    <w:p>
      <w:pPr>
        <w:spacing w:after="0" w:line="208" w:lineRule="exact"/>
        <w:rPr>
          <w:sz w:val="20"/>
          <w:szCs w:val="20"/>
          <w:color w:val="auto"/>
        </w:rPr>
      </w:pPr>
    </w:p>
    <w:p>
      <w:pPr>
        <w:ind w:right="40" w:firstLine="611"/>
        <w:spacing w:after="0" w:line="269" w:lineRule="auto"/>
        <w:rPr>
          <w:sz w:val="20"/>
          <w:szCs w:val="20"/>
          <w:color w:val="auto"/>
        </w:rPr>
      </w:pPr>
      <w:r>
        <w:rPr>
          <w:rFonts w:ascii="Times New Roman" w:cs="Times New Roman" w:eastAsia="Times New Roman" w:hAnsi="Times New Roman"/>
          <w:sz w:val="16"/>
          <w:szCs w:val="16"/>
          <w:color w:val="auto"/>
        </w:rPr>
        <w:t>We believe that there is a generational recapitalization of weapon systems and related defense industrial bases occurring globally, including with the United States and its allies, to address individual and potential collective peer and near peer threats, including Russia, China, North Korea and Iran. The Company currently has record levels of backlog and opportunity pipeline. The Company is currently making significant capital, property, plant, equipment and other internally funded investments to address its backlog, current opportunity pipeline, and expected and potential future program and contract awards, including from or with the Department of War, traditional legacy prime systems integrators and partners. These investments include unmanned jet powered aircraft such as Kratos Valkyrie ahead of potential contract award; a hypersonic system fabrication and integration facility including for Kratos Zeus solid rocket missiles (SRMs) and Erinyes hypersonic flight systems in Indiana; the procurement of long lead items for 60 Oriole and 60 Zeus SRM’s for ballistic missile defense related, hypersonic or other expected customer missions; relocation and expansion of our small turbojet engine production capacity in Michigan; establishment of a planned small turbofan jet engine production facility in Oklahoma; expansion of our existing microwave electronics manufacturing facility in Israel, establishment of an additional microwave electronics facility in Israel, including a space qualified facility; expansion of our machining, milling, casting, 3D printing and additive manufacturing capable facility in the United States to support our jet engine and other product and system manufacturing requirements; establishment of a new facility related to the Sentinel intercontinental ballistic missile (ICBM) program; expansion of our unmanned jet drone manufacturing capability; and expansion of existing and construction of additional classified facilities for certain programs and contracts. Investments related to the Company’s Prometheus venture with Rafael and the new BladeWorks turbofan production facility in Oklahoma related to our arrangement with GE Aerospace are expected to begin to ramp up during 2026.</w:t>
      </w:r>
    </w:p>
    <w:p>
      <w:pPr>
        <w:spacing w:after="0" w:line="195" w:lineRule="exact"/>
        <w:rPr>
          <w:sz w:val="20"/>
          <w:szCs w:val="20"/>
          <w:color w:val="auto"/>
        </w:rPr>
      </w:pPr>
    </w:p>
    <w:p>
      <w:pPr>
        <w:ind w:right="60" w:firstLine="611"/>
        <w:spacing w:after="0" w:line="279" w:lineRule="auto"/>
        <w:rPr>
          <w:sz w:val="20"/>
          <w:szCs w:val="20"/>
          <w:color w:val="auto"/>
        </w:rPr>
      </w:pPr>
      <w:r>
        <w:rPr>
          <w:rFonts w:ascii="Times New Roman" w:cs="Times New Roman" w:eastAsia="Times New Roman" w:hAnsi="Times New Roman"/>
          <w:sz w:val="17"/>
          <w:szCs w:val="17"/>
          <w:color w:val="auto"/>
        </w:rPr>
        <w:t>We believe that our technology, intellectual property, proprietary products, reputation and designed-in positions on our customers’ programs, platforms and systems, and our ability to rapidly develop, demonstrate and field affordable leading</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52" w:name="page53"/>
    <w:bookmarkEnd w:id="52"/>
    <w:p>
      <w:pPr>
        <w:ind w:right="80"/>
        <w:spacing w:after="0" w:line="257" w:lineRule="auto"/>
        <w:rPr>
          <w:sz w:val="20"/>
          <w:szCs w:val="20"/>
          <w:color w:val="auto"/>
        </w:rPr>
      </w:pPr>
      <w:r>
        <w:rPr>
          <w:rFonts w:ascii="Times New Roman" w:cs="Times New Roman" w:eastAsia="Times New Roman" w:hAnsi="Times New Roman"/>
          <w:sz w:val="17"/>
          <w:szCs w:val="17"/>
          <w:color w:val="auto"/>
        </w:rPr>
        <w:t>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facilities and sites, or in secure manufacturing and other facilities. Our primary end customers are National Security related agencies and large national and global commercial enterprises and entities. Our entire organization is focused on executing our strategy of being the leading technology and intellectual property based product and system company and being “first to market” in each of our industry leading core competency areas.</w:t>
      </w:r>
    </w:p>
    <w:p>
      <w:pPr>
        <w:spacing w:after="0" w:line="189" w:lineRule="exact"/>
        <w:rPr>
          <w:sz w:val="20"/>
          <w:szCs w:val="20"/>
          <w:color w:val="auto"/>
        </w:rPr>
      </w:pPr>
    </w:p>
    <w:p>
      <w:pPr>
        <w:ind w:right="20" w:firstLine="611"/>
        <w:spacing w:after="0" w:line="239" w:lineRule="auto"/>
        <w:rPr>
          <w:sz w:val="20"/>
          <w:szCs w:val="20"/>
          <w:color w:val="auto"/>
        </w:rPr>
      </w:pPr>
      <w:r>
        <w:rPr>
          <w:rFonts w:ascii="Times New Roman" w:cs="Times New Roman" w:eastAsia="Times New Roman" w:hAnsi="Times New Roman"/>
          <w:sz w:val="17"/>
          <w:szCs w:val="17"/>
          <w:color w:val="auto"/>
        </w:rPr>
        <w:t>Our primary end customers are U.S. Government agencies, including the DoW, intelligence agencies, and other national and homeland security related agencies. We also conduct business with local, state and foreign governments and domestic and international commercial customers. In fiscal 2025, 2024 and 2023, we generated 68%, 67% and 69%, respectively, of our total revenues from contracts with the U.S. Government (including all branches of the U.S. military and including FMS), either as a prime contractor or a subcontractor. We believe our stable customer base, strong customer relationships, intellectual property, specialized and differentiated products, broad array of contract vehicles, “designed in” positions on strategic National Security platforms, our targeted investments in strategic growth areas, large employee base possessing specialized skills, security clearances, specialized manufacturing facilities and equipment, extensive list of past performance qualifications, and significant management and operational capabilities position us for success.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Industry Background</w:t>
      </w:r>
    </w:p>
    <w:p>
      <w:pPr>
        <w:spacing w:after="0" w:line="229" w:lineRule="exact"/>
        <w:rPr>
          <w:sz w:val="20"/>
          <w:szCs w:val="20"/>
          <w:color w:val="auto"/>
        </w:rPr>
      </w:pPr>
    </w:p>
    <w:p>
      <w:pPr>
        <w:ind w:right="20" w:firstLine="611"/>
        <w:spacing w:after="0" w:line="258" w:lineRule="auto"/>
        <w:rPr>
          <w:sz w:val="20"/>
          <w:szCs w:val="20"/>
          <w:color w:val="auto"/>
        </w:rPr>
      </w:pPr>
      <w:r>
        <w:rPr>
          <w:rFonts w:ascii="Times New Roman" w:cs="Times New Roman" w:eastAsia="Times New Roman" w:hAnsi="Times New Roman"/>
          <w:sz w:val="16"/>
          <w:szCs w:val="16"/>
          <w:color w:val="auto"/>
        </w:rPr>
        <w:t>On November 5, 2024, the U.S. Presidential and Congressional elections occurred, with Donald Trump being elected President of the United States, and the Republican party controlling both the U.S. Senate and the U.S. House of Representatives. On March 14, 2025 the Senate voted to pass the “Full-Year Continuing Appropriations and Extensions Act of 2025” (H.R. 1968) to further extend appropriations and avert a government shutdown through the end of the federal government’s fiscal year 2025 on September 30, 2025. This CRA largely extended fiscal year 2024 spending levels, including certain limited flexibility to reallocate certain program funds, and, according to the Congressional Budget Office, would allow for $1.6 trillion in discretionary spending in the federal government’s fiscal year 2025, with $893 billion for defense (an approximately $6 billion increase) and $708 billion for non-defense spending (an approximately $13 billion reduction).</w:t>
      </w:r>
    </w:p>
    <w:p>
      <w:pPr>
        <w:spacing w:after="0" w:line="189" w:lineRule="exact"/>
        <w:rPr>
          <w:sz w:val="20"/>
          <w:szCs w:val="20"/>
          <w:color w:val="auto"/>
        </w:rPr>
      </w:pPr>
    </w:p>
    <w:p>
      <w:pPr>
        <w:ind w:firstLine="611"/>
        <w:spacing w:after="0"/>
        <w:rPr>
          <w:sz w:val="20"/>
          <w:szCs w:val="20"/>
          <w:color w:val="auto"/>
        </w:rPr>
      </w:pPr>
      <w:r>
        <w:rPr>
          <w:rFonts w:ascii="Times New Roman" w:cs="Times New Roman" w:eastAsia="Times New Roman" w:hAnsi="Times New Roman"/>
          <w:sz w:val="17"/>
          <w:szCs w:val="17"/>
          <w:color w:val="auto"/>
        </w:rPr>
        <w:t>On July 4, 2025, the One Big Beautiful Bill Act (OBBBA) was enacted. This reconciliation bill appropriated an additional $156 billion for defense spending and national security priorities and is expected to result in increased investment by the DoW in defense modernization projects and increasing weapons and armaments production capacity. Approximately $113 billion of the $156 billion in OBBBA funding for defense and national security priorities is intended to be added to the final 2026 defense appropriations bill, as described below. The appropriated funds will remain available to be obligated until September 30, 2029 and expended through FY 2035. The OBBBA is expected to result in increased investments by the DoW in defense modernization projects and Pacific region deterrence, among other programs included those funded under prior year appropriations.</w:t>
      </w:r>
    </w:p>
    <w:p>
      <w:pPr>
        <w:spacing w:after="0" w:line="202" w:lineRule="exact"/>
        <w:rPr>
          <w:sz w:val="20"/>
          <w:szCs w:val="20"/>
          <w:color w:val="auto"/>
        </w:rPr>
      </w:pPr>
    </w:p>
    <w:p>
      <w:pPr>
        <w:ind w:right="160" w:firstLine="611"/>
        <w:spacing w:after="0" w:line="248" w:lineRule="auto"/>
        <w:rPr>
          <w:sz w:val="20"/>
          <w:szCs w:val="20"/>
          <w:color w:val="auto"/>
        </w:rPr>
      </w:pPr>
      <w:r>
        <w:rPr>
          <w:rFonts w:ascii="Times New Roman" w:cs="Times New Roman" w:eastAsia="Times New Roman" w:hAnsi="Times New Roman"/>
          <w:sz w:val="17"/>
          <w:szCs w:val="17"/>
          <w:color w:val="auto"/>
        </w:rPr>
        <w:t>On October 1, 2025, the U.S. Government entered a shutdown, which ended on November 12, 2025. The federal government operated under a continuing resolution (“CR”) that extended funding for most agencies (including DoW) until January 30, 2026.</w:t>
      </w:r>
    </w:p>
    <w:p>
      <w:pPr>
        <w:spacing w:after="0" w:line="195" w:lineRule="exact"/>
        <w:rPr>
          <w:sz w:val="20"/>
          <w:szCs w:val="20"/>
          <w:color w:val="auto"/>
        </w:rPr>
      </w:pPr>
    </w:p>
    <w:p>
      <w:pPr>
        <w:ind w:right="180" w:firstLine="611"/>
        <w:spacing w:after="0" w:line="241" w:lineRule="auto"/>
        <w:rPr>
          <w:sz w:val="20"/>
          <w:szCs w:val="20"/>
          <w:color w:val="auto"/>
        </w:rPr>
      </w:pPr>
      <w:r>
        <w:rPr>
          <w:rFonts w:ascii="Times New Roman" w:cs="Times New Roman" w:eastAsia="Times New Roman" w:hAnsi="Times New Roman"/>
          <w:sz w:val="17"/>
          <w:szCs w:val="17"/>
          <w:color w:val="auto"/>
        </w:rPr>
        <w:t>On February 3, 2026 President Trump signed the Consolidated Appropriations Act, 2026 (H.R. 7148) a $1.2 trillion funding package, that ended a brief government shutdown that began on February 1, 2026. This law provides funding for most federal agencies, including the DoW, through September 30, 2026. The funding bill includes $838.7 billion in defense appropriations for the DoW. This $838.7 billion, plus the approximate $113 billion included in the OBBBA noted above, and including approximately $45 billion in Department of Energy National Security related funds, brings the total U.S. Federal Fiscal Year 2026 National Security spend to approximately $1 trillion.</w:t>
      </w:r>
    </w:p>
    <w:p>
      <w:pPr>
        <w:spacing w:after="0" w:line="203" w:lineRule="exact"/>
        <w:rPr>
          <w:sz w:val="20"/>
          <w:szCs w:val="20"/>
          <w:color w:val="auto"/>
        </w:rPr>
      </w:pPr>
    </w:p>
    <w:p>
      <w:pPr>
        <w:ind w:firstLine="611"/>
        <w:spacing w:after="0"/>
        <w:rPr>
          <w:sz w:val="20"/>
          <w:szCs w:val="20"/>
          <w:color w:val="auto"/>
        </w:rPr>
      </w:pPr>
      <w:r>
        <w:rPr>
          <w:rFonts w:ascii="Times New Roman" w:cs="Times New Roman" w:eastAsia="Times New Roman" w:hAnsi="Times New Roman"/>
          <w:sz w:val="17"/>
          <w:szCs w:val="17"/>
          <w:color w:val="auto"/>
        </w:rPr>
        <w:t>The potential challenges presented by the recent U.S. Government shutdown, Presidential and Congressional changes, proposed new tariffs, the current budgetary and deficit funding environment, the Trump Administration’s stated fiscal policies, Israel, Ukraine and Taiwan funding support, potential heightened levels of inflation, ongoing supply chain disruption, and the challenging appropriations process, among other items, all continue to potentially create significant short and long-term risks to the industry and the Company. Additionally, the Trump Administration has recently executed certain executive orders directly related to significantly changing the current DoW procurement policies and procedures, and the Federal Acquisition Regulations, the potential impact of which such changes, if effected either by executive orders or changes to the relevant law, to the industry, and to Kratos, is unknown at this time.</w:t>
      </w:r>
    </w:p>
    <w:p>
      <w:pPr>
        <w:spacing w:after="0" w:line="202" w:lineRule="exact"/>
        <w:rPr>
          <w:sz w:val="20"/>
          <w:szCs w:val="20"/>
          <w:color w:val="auto"/>
        </w:rPr>
      </w:pPr>
    </w:p>
    <w:p>
      <w:pPr>
        <w:ind w:right="120" w:firstLine="611"/>
        <w:spacing w:after="0" w:line="239" w:lineRule="auto"/>
        <w:rPr>
          <w:sz w:val="20"/>
          <w:szCs w:val="20"/>
          <w:color w:val="auto"/>
        </w:rPr>
      </w:pPr>
      <w:r>
        <w:rPr>
          <w:rFonts w:ascii="Times New Roman" w:cs="Times New Roman" w:eastAsia="Times New Roman" w:hAnsi="Times New Roman"/>
          <w:sz w:val="17"/>
          <w:szCs w:val="17"/>
          <w:color w:val="auto"/>
        </w:rPr>
        <w:t>We believe continued budget and deficit funding pressures (which are expected), CRAs (which are also expected), future Federal Government debt ceiling issues, or potential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possible that budget and program decisions made in such an uncertain environment would have long-term implications for our Company and the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53" w:name="page54"/>
    <w:bookmarkEnd w:id="53"/>
    <w:p>
      <w:pPr>
        <w:ind w:right="160"/>
        <w:spacing w:after="0" w:line="249" w:lineRule="auto"/>
        <w:rPr>
          <w:sz w:val="20"/>
          <w:szCs w:val="20"/>
          <w:color w:val="auto"/>
        </w:rPr>
      </w:pPr>
      <w:r>
        <w:rPr>
          <w:rFonts w:ascii="Times New Roman" w:cs="Times New Roman" w:eastAsia="Times New Roman" w:hAnsi="Times New Roman"/>
          <w:sz w:val="17"/>
          <w:szCs w:val="17"/>
          <w:color w:val="auto"/>
        </w:rPr>
        <w:t>entire defense industry. Additionally, funding for certain programs, including those in which we currently participate or are pursuing, may be reduced, delayed or cancelled, and budget uncertainty or funding cuts globally could adversely affect the viability of our customers, partners, teammates, subcontractors, suppliers, and our employee base.</w:t>
      </w:r>
    </w:p>
    <w:p>
      <w:pPr>
        <w:spacing w:after="0" w:line="194" w:lineRule="exact"/>
        <w:rPr>
          <w:sz w:val="20"/>
          <w:szCs w:val="20"/>
          <w:color w:val="auto"/>
        </w:rPr>
      </w:pPr>
    </w:p>
    <w:p>
      <w:pPr>
        <w:ind w:right="180" w:firstLine="611"/>
        <w:spacing w:after="0" w:line="263" w:lineRule="auto"/>
        <w:rPr>
          <w:sz w:val="20"/>
          <w:szCs w:val="20"/>
          <w:color w:val="auto"/>
        </w:rPr>
      </w:pPr>
      <w:r>
        <w:rPr>
          <w:rFonts w:ascii="Times New Roman" w:cs="Times New Roman" w:eastAsia="Times New Roman" w:hAnsi="Times New Roman"/>
          <w:sz w:val="17"/>
          <w:szCs w:val="17"/>
          <w:color w:val="auto"/>
        </w:rPr>
        <w:t>Such a dynamic and challenging federal and DoW budgetary environment may negatively impact our customers, business and programs and could have a material adverse effect on our forecasts, estimates, financial position, results of operations and/or cash flows.</w:t>
      </w:r>
    </w:p>
    <w:p>
      <w:pPr>
        <w:spacing w:after="0" w:line="183" w:lineRule="exact"/>
        <w:rPr>
          <w:sz w:val="20"/>
          <w:szCs w:val="20"/>
          <w:color w:val="auto"/>
        </w:rPr>
      </w:pPr>
    </w:p>
    <w:p>
      <w:pPr>
        <w:ind w:firstLine="611"/>
        <w:spacing w:after="0" w:line="237" w:lineRule="auto"/>
        <w:rPr>
          <w:sz w:val="20"/>
          <w:szCs w:val="20"/>
          <w:color w:val="auto"/>
        </w:rPr>
      </w:pPr>
      <w:r>
        <w:rPr>
          <w:rFonts w:ascii="Times New Roman" w:cs="Times New Roman" w:eastAsia="Times New Roman" w:hAnsi="Times New Roman"/>
          <w:sz w:val="17"/>
          <w:szCs w:val="17"/>
          <w:color w:val="auto"/>
        </w:rPr>
        <w:t>We also continue to be affected by various unfavorable macroeconomic conditions including adverse supply chain disruptions that continue throughout the industry and for us, and related delays in the receipt and delivery of materials, parts, supplies, etc., which in certain instances and for certain items is significant. To mitigate the impact of these delays, we have implemented advanced and larger lot purchases of certain materials and parts which has resulted in an increased use of our working capital, which is expected to continue. In addition, inflation and the related increased costs of inputs needed to execute our business, including materials, parts, supplies, consultants, subcontractors, vendors, etc., have significantly increased our business costs and have adversely impacted our operations, profit margins and financial forecasts.</w:t>
      </w:r>
    </w:p>
    <w:p>
      <w:pPr>
        <w:spacing w:after="0" w:line="204" w:lineRule="exact"/>
        <w:rPr>
          <w:sz w:val="20"/>
          <w:szCs w:val="20"/>
          <w:color w:val="auto"/>
        </w:rPr>
      </w:pPr>
    </w:p>
    <w:p>
      <w:pPr>
        <w:ind w:right="40" w:firstLine="611"/>
        <w:spacing w:after="0"/>
        <w:rPr>
          <w:sz w:val="20"/>
          <w:szCs w:val="20"/>
          <w:color w:val="auto"/>
        </w:rPr>
      </w:pPr>
      <w:r>
        <w:rPr>
          <w:rFonts w:ascii="Times New Roman" w:cs="Times New Roman" w:eastAsia="Times New Roman" w:hAnsi="Times New Roman"/>
          <w:sz w:val="17"/>
          <w:szCs w:val="17"/>
          <w:color w:val="auto"/>
        </w:rPr>
        <w:t>Also, an industry wide shortage of qualified labor, and the cost of that labor for the Company and its labor base is a significant operational challenge. The cost of labor has increased significantly and current challenges in hiring, obtaining and retaining employees, including those employees requiring National Security clearances, is adversely impacting Kratos’ ability to execute its business. The challenge of retaining skilled experienced production personnel has continued to negatively impact our operating margins, especially on our longer-term firm fixed-priced production contracts. There is also a significant industry wide labor shortage, including in the Science, Technology, Engineering, and Math (STEM) discipline areas, and also including employees willing and/or able to obtain National Security clearances, and for high level manufacturing and production disciplines.</w:t>
      </w:r>
    </w:p>
    <w:p>
      <w:pPr>
        <w:spacing w:after="0" w:line="202" w:lineRule="exact"/>
        <w:rPr>
          <w:sz w:val="20"/>
          <w:szCs w:val="20"/>
          <w:color w:val="auto"/>
        </w:rPr>
      </w:pPr>
    </w:p>
    <w:p>
      <w:pPr>
        <w:ind w:firstLine="611"/>
        <w:spacing w:after="0" w:line="237" w:lineRule="auto"/>
        <w:rPr>
          <w:sz w:val="20"/>
          <w:szCs w:val="20"/>
          <w:color w:val="auto"/>
        </w:rPr>
      </w:pPr>
      <w:r>
        <w:rPr>
          <w:rFonts w:ascii="Times New Roman" w:cs="Times New Roman" w:eastAsia="Times New Roman" w:hAnsi="Times New Roman"/>
          <w:sz w:val="17"/>
          <w:szCs w:val="17"/>
          <w:color w:val="auto"/>
        </w:rPr>
        <w:t>We believe that our business is well-positioned, including in areas that the Trump Administration, the DoW, and national security related and other customers currently indicate are priorities for future defense spending. As noted above, we believe that there is a generational recapitalization of weapon systems and the defense industrial base occurring with the U.S. and its allies to address peer and near peer threats, including Russia, China, North Korea and Iran. We believe that the Company’s positioning as a proven provider of military grade hardware, systems and software to address these threats for and with our customers and partners is recognized in the industry. We believe that the Company’s military grade hardware, software and solution offerings, including jet unmanned aerial drones, rocket and hypersonic systems, C5ISR and air defense systems, jet engine and propulsion systems for missiles, drones, hypersonic and supersonic vehicles, microwave electronics for missile, radar and air defense systems and training systems, address mission critical priority areas of the DoW.</w:t>
      </w:r>
    </w:p>
    <w:p>
      <w:pPr>
        <w:spacing w:after="0" w:line="202" w:lineRule="exact"/>
        <w:rPr>
          <w:sz w:val="20"/>
          <w:szCs w:val="20"/>
          <w:color w:val="auto"/>
        </w:rPr>
      </w:pPr>
    </w:p>
    <w:p>
      <w:pPr>
        <w:jc w:val="both"/>
        <w:ind w:right="100" w:firstLine="611"/>
        <w:spacing w:after="0" w:line="249" w:lineRule="auto"/>
        <w:rPr>
          <w:sz w:val="20"/>
          <w:szCs w:val="20"/>
          <w:color w:val="auto"/>
        </w:rPr>
      </w:pPr>
      <w:r>
        <w:rPr>
          <w:rFonts w:ascii="Times New Roman" w:cs="Times New Roman" w:eastAsia="Times New Roman" w:hAnsi="Times New Roman"/>
          <w:sz w:val="17"/>
          <w:szCs w:val="17"/>
          <w:color w:val="auto"/>
        </w:rPr>
        <w:t>Our Consolidated Financial Statements and Management’s Discussion and Analysis of Financial Condition and Results of Operations reflect estimates and assumptions made by management as of December 28, 2025. Events and changes in circumstances arising after December 28, 2025, including those resulting from the continuing impacts of the current unfavorable macroeconomic climate, will be reflected in management’s estimates for future periods.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Reporting Segments</w:t>
      </w:r>
    </w:p>
    <w:p>
      <w:pPr>
        <w:spacing w:after="0" w:line="229" w:lineRule="exact"/>
        <w:rPr>
          <w:sz w:val="20"/>
          <w:szCs w:val="20"/>
          <w:color w:val="auto"/>
        </w:rPr>
      </w:pPr>
    </w:p>
    <w:p>
      <w:pPr>
        <w:jc w:val="both"/>
        <w:ind w:right="140" w:firstLine="611"/>
        <w:spacing w:after="0" w:line="244" w:lineRule="auto"/>
        <w:rPr>
          <w:sz w:val="20"/>
          <w:szCs w:val="20"/>
          <w:color w:val="auto"/>
        </w:rPr>
      </w:pPr>
      <w:r>
        <w:rPr>
          <w:rFonts w:ascii="Times New Roman" w:cs="Times New Roman" w:eastAsia="Times New Roman" w:hAnsi="Times New Roman"/>
          <w:sz w:val="17"/>
          <w:szCs w:val="17"/>
          <w:color w:val="auto"/>
        </w:rPr>
        <w:t>We operate in two reportable segments. The KGS reportable segment is comprised of an aggregation of KGS operating segments, including its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spacing w:after="0" w:line="198" w:lineRule="exact"/>
        <w:rPr>
          <w:sz w:val="20"/>
          <w:szCs w:val="20"/>
          <w:color w:val="auto"/>
        </w:rPr>
      </w:pPr>
    </w:p>
    <w:p>
      <w:pPr>
        <w:ind w:right="60" w:firstLine="611"/>
        <w:spacing w:after="0" w:line="238" w:lineRule="auto"/>
        <w:rPr>
          <w:sz w:val="20"/>
          <w:szCs w:val="20"/>
          <w:color w:val="auto"/>
        </w:rPr>
      </w:pPr>
      <w:r>
        <w:rPr>
          <w:rFonts w:ascii="Times New Roman" w:cs="Times New Roman" w:eastAsia="Times New Roman" w:hAnsi="Times New Roman"/>
          <w:sz w:val="17"/>
          <w:szCs w:val="17"/>
          <w:color w:val="auto"/>
        </w:rPr>
        <w:t>Our KGS and US segments provide products, solutions and services for mission critical National Security programs. KGS and US customers primarily include National Security related agencies, the DoW, intelligence agencies and classified agencies, and to a lesser degree, international government agencies and domestic and international commercial customers. We organize our operating segments based primarily on the nature of the products, solutions and services offered. For additional information regarding our reportable segments, see Note 13 of the Notes to Consolidated Financial Statements. From a customer and solutions perspective, we view our business as an integrated whole, leveraging skills and assets wherever possible.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Statement Concepts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28, 2025, we consider the following factors to be important in understanding our financial statements.</w:t>
      </w:r>
    </w:p>
    <w:p>
      <w:pPr>
        <w:spacing w:after="0" w:line="225" w:lineRule="exact"/>
        <w:rPr>
          <w:sz w:val="20"/>
          <w:szCs w:val="20"/>
          <w:color w:val="auto"/>
        </w:rPr>
      </w:pPr>
    </w:p>
    <w:p>
      <w:pPr>
        <w:ind w:right="60" w:firstLine="611"/>
        <w:spacing w:after="0" w:line="249" w:lineRule="auto"/>
        <w:rPr>
          <w:sz w:val="20"/>
          <w:szCs w:val="20"/>
          <w:color w:val="auto"/>
        </w:rPr>
      </w:pPr>
      <w:r>
        <w:rPr>
          <w:rFonts w:ascii="Times New Roman" w:cs="Times New Roman" w:eastAsia="Times New Roman" w:hAnsi="Times New Roman"/>
          <w:sz w:val="17"/>
          <w:szCs w:val="17"/>
          <w:color w:val="auto"/>
        </w:rPr>
        <w:t>Our business with the U.S. Government and traditional prime contractors is generally performed under fixed-price, cost reimbursable, or time and materials contracts. Cost reimbursable contracts for the U.S. Government provide for reimbursement of costs plus the payment of a fee. Some cost reimbursable contracts include award and incentive fees that are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54" w:name="page55"/>
    <w:bookmarkEnd w:id="54"/>
    <w:p>
      <w:pPr>
        <w:ind w:right="680"/>
        <w:spacing w:after="0" w:line="263" w:lineRule="auto"/>
        <w:rPr>
          <w:sz w:val="20"/>
          <w:szCs w:val="20"/>
          <w:color w:val="auto"/>
        </w:rPr>
      </w:pPr>
      <w:r>
        <w:rPr>
          <w:rFonts w:ascii="Times New Roman" w:cs="Times New Roman" w:eastAsia="Times New Roman" w:hAnsi="Times New Roman"/>
          <w:sz w:val="17"/>
          <w:szCs w:val="17"/>
          <w:color w:val="auto"/>
        </w:rPr>
        <w:t>awarded based on performance on the contract. Under time and materials contracts, we are reimbursed for labor hours at negotiated hourly billing rates and reimbursed for travel and other direct expenses at actual costs plus applied general and administrative expenses.</w:t>
      </w:r>
    </w:p>
    <w:p>
      <w:pPr>
        <w:spacing w:after="0" w:line="183" w:lineRule="exact"/>
        <w:rPr>
          <w:sz w:val="20"/>
          <w:szCs w:val="20"/>
          <w:color w:val="auto"/>
        </w:rPr>
      </w:pPr>
    </w:p>
    <w:p>
      <w:pPr>
        <w:ind w:firstLine="611"/>
        <w:spacing w:after="0" w:line="237" w:lineRule="auto"/>
        <w:rPr>
          <w:sz w:val="20"/>
          <w:szCs w:val="20"/>
          <w:color w:val="auto"/>
        </w:rPr>
      </w:pPr>
      <w:r>
        <w:rPr>
          <w:rFonts w:ascii="Times New Roman" w:cs="Times New Roman" w:eastAsia="Times New Roman" w:hAnsi="Times New Roman"/>
          <w:sz w:val="17"/>
          <w:szCs w:val="17"/>
          <w:color w:val="auto"/>
        </w:rPr>
        <w:t>For the majority of contracts, we satisfy the underlying performance obligations over time as the customer obtains control or receives benefits as work is performed on the contract. We generally recognize revenue over time as we perform on long-term contracts because of continuous transfer of control to the customer. For U.S. government contracts, this continuous transfer of control to the customer is supported by clauses in the contract that allow the customer to unilaterally terminate the contract for convenience, pay us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202" w:lineRule="exact"/>
        <w:rPr>
          <w:sz w:val="20"/>
          <w:szCs w:val="20"/>
          <w:color w:val="auto"/>
        </w:rPr>
      </w:pPr>
    </w:p>
    <w:p>
      <w:pPr>
        <w:ind w:right="80" w:firstLine="611"/>
        <w:spacing w:after="0" w:line="241" w:lineRule="auto"/>
        <w:rPr>
          <w:sz w:val="20"/>
          <w:szCs w:val="20"/>
          <w:color w:val="auto"/>
        </w:rPr>
      </w:pPr>
      <w:r>
        <w:rPr>
          <w:rFonts w:ascii="Times New Roman" w:cs="Times New Roman" w:eastAsia="Times New Roman" w:hAnsi="Times New Roman"/>
          <w:sz w:val="17"/>
          <w:szCs w:val="17"/>
          <w:color w:val="auto"/>
        </w:rPr>
        <w:t>In accordance with ASC 606, we evaluate whether a contract with a customer exists by evaluating a number of criteria including whether collection of consideration is reasonably assured; comprehensive collection history; results of our communications with customers; the current financial position of the customer; and the relevant economic conditions in the customer’s country. If we have had no prior experience with the customer, we may review reports from various credit organizations to ensure that the customer has a history of paying its creditors in a reliable and effective manner. If the financial condition of our customers were to deteriorate and adversely affect their financial ability to make payments, allowances would be required.</w:t>
      </w:r>
    </w:p>
    <w:p>
      <w:pPr>
        <w:spacing w:after="0" w:line="203" w:lineRule="exact"/>
        <w:rPr>
          <w:sz w:val="20"/>
          <w:szCs w:val="20"/>
          <w:color w:val="auto"/>
        </w:rPr>
      </w:pPr>
    </w:p>
    <w:p>
      <w:pPr>
        <w:ind w:right="140" w:firstLine="611"/>
        <w:spacing w:after="0" w:line="249" w:lineRule="auto"/>
        <w:rPr>
          <w:sz w:val="20"/>
          <w:szCs w:val="20"/>
          <w:color w:val="auto"/>
        </w:rPr>
      </w:pPr>
      <w:r>
        <w:rPr>
          <w:rFonts w:ascii="Times New Roman" w:cs="Times New Roman" w:eastAsia="Times New Roman" w:hAnsi="Times New Roman"/>
          <w:sz w:val="17"/>
          <w:szCs w:val="17"/>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DCAA.</w:t>
      </w:r>
    </w:p>
    <w:p>
      <w:pPr>
        <w:spacing w:after="0" w:line="194" w:lineRule="exact"/>
        <w:rPr>
          <w:sz w:val="20"/>
          <w:szCs w:val="20"/>
          <w:color w:val="auto"/>
        </w:rPr>
      </w:pPr>
    </w:p>
    <w:p>
      <w:pPr>
        <w:ind w:right="60" w:firstLine="611"/>
        <w:spacing w:after="0" w:line="236" w:lineRule="auto"/>
        <w:rPr>
          <w:sz w:val="20"/>
          <w:szCs w:val="20"/>
          <w:color w:val="auto"/>
        </w:rPr>
      </w:pPr>
      <w:r>
        <w:rPr>
          <w:rFonts w:ascii="Times New Roman" w:cs="Times New Roman" w:eastAsia="Times New Roman" w:hAnsi="Times New Roman"/>
          <w:sz w:val="17"/>
          <w:szCs w:val="17"/>
          <w:color w:val="auto"/>
        </w:rPr>
        <w:t>We manage and assess the performance of our businesses based on our performance on individual contracts and programs obtained generally from government organizations.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revenue and cost estimates are reviewed on a contract-by-contract basis and are revised periodically throughout the life of the contract such that adjustments to profit resulting from revisions are made cumulative to the date of the revision in accordance with accounting principles generally accepted in the U.S. (“GAAP”). Significant management judgments and estimates, including the estimated costs to complete the project, which determine the project’s percentage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Year Ended December 28, 2025 to the Year Ended December 29, 2024</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by reportable segment for the years ended December 28, 2025 and December 29, 2024 are as follows (in millions):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5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9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5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Service revenues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460.3</w:t>
            </w:r>
          </w:p>
        </w:tc>
        <w:tc>
          <w:tcPr>
            <w:tcW w:w="10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10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10.6 %</w:t>
            </w:r>
          </w:p>
        </w:tc>
      </w:tr>
      <w:tr>
        <w:trPr>
          <w:trHeight w:val="216"/>
        </w:trPr>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Product sales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32.3 %</w:t>
            </w:r>
          </w:p>
        </w:tc>
      </w:tr>
      <w:tr>
        <w:trPr>
          <w:trHeight w:val="20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Kratos Government Solutions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1,054.8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21.8 %</w:t>
            </w:r>
          </w:p>
        </w:tc>
      </w:tr>
      <w:tr>
        <w:trPr>
          <w:trHeight w:val="19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Unmanned Systems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5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Service revenues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22.5 %</w:t>
            </w:r>
          </w:p>
        </w:tc>
      </w:tr>
      <w:tr>
        <w:trPr>
          <w:trHeight w:val="216"/>
        </w:trPr>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Product sales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7.6 %</w:t>
            </w:r>
          </w:p>
        </w:tc>
      </w:tr>
      <w:tr>
        <w:trPr>
          <w:trHeight w:val="20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Unmanned Systems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7.9 %</w:t>
            </w:r>
          </w:p>
        </w:tc>
      </w:tr>
      <w:tr>
        <w:trPr>
          <w:trHeight w:val="234"/>
        </w:trPr>
        <w:tc>
          <w:tcPr>
            <w:tcW w:w="5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revenues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18.5 %</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187"/>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service revenues</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10.8 %</w:t>
            </w:r>
          </w:p>
        </w:tc>
      </w:tr>
      <w:tr>
        <w:trPr>
          <w:trHeight w:val="216"/>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product sales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23.1 %</w:t>
            </w:r>
          </w:p>
        </w:tc>
      </w:tr>
      <w:tr>
        <w:trPr>
          <w:trHeight w:val="234"/>
        </w:trPr>
        <w:tc>
          <w:tcPr>
            <w:tcW w:w="55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revenues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18.5 %</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89" w:lineRule="exact"/>
        <w:rPr>
          <w:sz w:val="20"/>
          <w:szCs w:val="20"/>
          <w:color w:val="auto"/>
        </w:rPr>
      </w:pPr>
    </w:p>
    <w:p>
      <w:pPr>
        <w:ind w:right="20" w:firstLine="611"/>
        <w:spacing w:after="0" w:line="237" w:lineRule="auto"/>
        <w:rPr>
          <w:sz w:val="20"/>
          <w:szCs w:val="20"/>
          <w:color w:val="auto"/>
        </w:rPr>
      </w:pPr>
      <w:r>
        <w:rPr>
          <w:rFonts w:ascii="Times New Roman" w:cs="Times New Roman" w:eastAsia="Times New Roman" w:hAnsi="Times New Roman"/>
          <w:sz w:val="17"/>
          <w:szCs w:val="17"/>
          <w:color w:val="auto"/>
        </w:rPr>
        <w:t>Revenues increased $210.5 million to $1,346.8 million for the year ended December 28, 2025 from $1,136.3 million for the year ended December 29, 2024. Revenues in our KGS segment increased $189.0 million, due to increased revenues across all business units, with the most notable organic revenue increases in our Defense Rocket Support business driven by our hypersonic business, as well as growth in our space, satellite, training and cyber, C5ISR, turbine technologies and microwave products businesses, and the contribution of $22.3 million in revenue from the February 4, 2025 acquisition of certain assets from Norden Millimeter, Inc. Revenues in our US segment increased $21.5 million to $292.0 million primarily reflecting increased tactical drone activity during the twelve months ended December 28, 2025.</w:t>
      </w:r>
    </w:p>
    <w:p>
      <w:pPr>
        <w:spacing w:after="0" w:line="204" w:lineRule="exact"/>
        <w:rPr>
          <w:sz w:val="20"/>
          <w:szCs w:val="20"/>
          <w:color w:val="auto"/>
        </w:rPr>
      </w:pPr>
    </w:p>
    <w:p>
      <w:pPr>
        <w:ind w:right="40" w:firstLine="611"/>
        <w:spacing w:after="0" w:line="241" w:lineRule="auto"/>
        <w:rPr>
          <w:sz w:val="20"/>
          <w:szCs w:val="20"/>
          <w:color w:val="auto"/>
        </w:rPr>
      </w:pPr>
      <w:r>
        <w:rPr>
          <w:rFonts w:ascii="Times New Roman" w:cs="Times New Roman" w:eastAsia="Times New Roman" w:hAnsi="Times New Roman"/>
          <w:sz w:val="17"/>
          <w:szCs w:val="17"/>
          <w:color w:val="auto"/>
        </w:rPr>
        <w:t>Product sales increased $164.9 million to $877.8 million for the year ended December 28, 2025 from $712.9 million for the year ended December 29, 2024, primarily as a result of increased production activity in our KGS and in our US segments. As a percentage of total revenue, product sales were 65.2% for the year ended December 28, 2025, as compared to 62.7% for the year ended December 29, 2024. Service revenues increased by $45.6 million to $469.0 million for the year ended December 28, 2025, from $423.4 million for the year ended December 29, 2024. The increase was primarily related to increased activity in our defense rocket support businesses in our KGS segment.</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Cost of revenues. </w:t>
      </w:r>
      <w:r>
        <w:rPr>
          <w:rFonts w:ascii="Times New Roman" w:cs="Times New Roman" w:eastAsia="Times New Roman" w:hAnsi="Times New Roman"/>
          <w:sz w:val="17"/>
          <w:szCs w:val="17"/>
          <w:color w:val="auto"/>
        </w:rPr>
        <w:t>Cost of revenues increased to $1,038.9 million for the year ended December 28, 2025, from $849.1 million for the year ended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29, 2024. The $189.8 million increase in cost of revenues was primarily a result of the overall increase in revenue discussed above as well as the impact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increased labor and material costs.</w:t>
      </w:r>
    </w:p>
    <w:p>
      <w:pPr>
        <w:spacing w:after="0" w:line="207" w:lineRule="exact"/>
        <w:rPr>
          <w:sz w:val="20"/>
          <w:szCs w:val="20"/>
          <w:color w:val="auto"/>
        </w:rPr>
      </w:pPr>
    </w:p>
    <w:p>
      <w:pPr>
        <w:ind w:firstLine="611"/>
        <w:spacing w:after="0" w:line="237" w:lineRule="auto"/>
        <w:rPr>
          <w:sz w:val="20"/>
          <w:szCs w:val="20"/>
          <w:color w:val="auto"/>
        </w:rPr>
      </w:pPr>
      <w:r>
        <w:rPr>
          <w:rFonts w:ascii="Times New Roman" w:cs="Times New Roman" w:eastAsia="Times New Roman" w:hAnsi="Times New Roman"/>
          <w:sz w:val="17"/>
          <w:szCs w:val="17"/>
          <w:color w:val="auto"/>
        </w:rPr>
        <w:t>Gross margin percentage decreased to 22.9% for the year ended December 28, 2025, compared to 25.3% for the year ended December 29, 2024. Margins on services decreased to 23.9% for the year ended December 28, 2025, from 26.8% for the year ended December 29, 2024. Margins on product sales decreased to</w:t>
      </w:r>
    </w:p>
    <w:p>
      <w:pPr>
        <w:spacing w:after="0" w:line="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7"/>
          <w:szCs w:val="17"/>
          <w:color w:val="auto"/>
        </w:rPr>
        <w:t>22.3% for the year ended December 28, 2025, as compared to 24.4% for the year ended December 29, 2024. Margins in the KGS segment decreased to 24.4% for the year ended December 28, 2025, from 27.6% for the year ended December 29, 2024. This change was primarily due to a less favorable mix of revenues for the year ended December 28, 2025. Margins in the US segment decreased to 17.4% for the year ended December 28, 2025 from 17.9% for the year ended December 29, 2024, primarily due to the less favorable mix of revenues and from the impact of increased labor and material costs in the year ended December 28, 2025, which are not recoverable under multi-year fixed price contracts.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(SG&amp;A). </w:t>
      </w:r>
      <w:r>
        <w:rPr>
          <w:rFonts w:ascii="Times New Roman" w:cs="Times New Roman" w:eastAsia="Times New Roman" w:hAnsi="Times New Roman"/>
          <w:sz w:val="17"/>
          <w:szCs w:val="17"/>
          <w:color w:val="auto"/>
        </w:rPr>
        <w:t>SG&amp;A increased $23.0 million to $240.2 million for the year ended December 28, 2025, from</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$217.2 million for the year ended December 29, 2024 due primarily to the increased revenue volume and headcount, partially offset by the impact of cost reduction</w:t>
      </w:r>
    </w:p>
    <w:p>
      <w:pPr>
        <w:spacing w:after="0" w:line="234" w:lineRule="auto"/>
        <w:rPr>
          <w:sz w:val="20"/>
          <w:szCs w:val="20"/>
          <w:color w:val="auto"/>
        </w:rPr>
      </w:pPr>
      <w:r>
        <w:rPr>
          <w:rFonts w:ascii="Times New Roman" w:cs="Times New Roman" w:eastAsia="Times New Roman" w:hAnsi="Times New Roman"/>
          <w:sz w:val="17"/>
          <w:szCs w:val="17"/>
          <w:color w:val="auto"/>
        </w:rPr>
        <w:t>actions we have taken. As a percentage of revenues, SG&amp;A decreased to 17.8% for the year ended December 28, 2025 from 19.1% for the year ended December 29,</w:t>
      </w:r>
    </w:p>
    <w:p>
      <w:pPr>
        <w:spacing w:after="0"/>
        <w:rPr>
          <w:sz w:val="20"/>
          <w:szCs w:val="20"/>
          <w:color w:val="auto"/>
        </w:rPr>
      </w:pPr>
      <w:r>
        <w:rPr>
          <w:rFonts w:ascii="Times New Roman" w:cs="Times New Roman" w:eastAsia="Times New Roman" w:hAnsi="Times New Roman"/>
          <w:sz w:val="17"/>
          <w:szCs w:val="17"/>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6" w:name="page57"/>
    <w:bookmarkEnd w:id="56"/>
    <w:p>
      <w:pPr>
        <w:ind w:right="40" w:firstLine="611"/>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(R&amp;D) expenses. </w:t>
      </w:r>
      <w:r>
        <w:rPr>
          <w:rFonts w:ascii="Times New Roman" w:cs="Times New Roman" w:eastAsia="Times New Roman" w:hAnsi="Times New Roman"/>
          <w:sz w:val="17"/>
          <w:szCs w:val="17"/>
          <w:color w:val="auto"/>
        </w:rPr>
        <w:t>R&amp;D expenses were $40.0 million for the year ended December 28, 2025 and $40.3 million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29, 2024. As a percentage of revenues, R&amp;D decreased to 3.0% of revenues for the year ended December 28, 2025, from 3.5% of revenues for the year ended December 29, 2024.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195" w:lineRule="exact"/>
        <w:rPr>
          <w:sz w:val="20"/>
          <w:szCs w:val="20"/>
          <w:color w:val="auto"/>
        </w:rPr>
      </w:pPr>
    </w:p>
    <w:p>
      <w:pPr>
        <w:ind w:right="20" w:firstLine="611"/>
        <w:spacing w:after="0"/>
        <w:rPr>
          <w:sz w:val="20"/>
          <w:szCs w:val="20"/>
          <w:color w:val="auto"/>
        </w:rPr>
      </w:pPr>
      <w:r>
        <w:rPr>
          <w:rFonts w:ascii="Times New Roman" w:cs="Times New Roman" w:eastAsia="Times New Roman" w:hAnsi="Times New Roman"/>
          <w:sz w:val="17"/>
          <w:szCs w:val="17"/>
          <w:i w:val="1"/>
          <w:iCs w:val="1"/>
          <w:color w:val="auto"/>
        </w:rPr>
        <w:t xml:space="preserve">Total other income (expense), net. </w:t>
      </w:r>
      <w:r>
        <w:rPr>
          <w:rFonts w:ascii="Times New Roman" w:cs="Times New Roman" w:eastAsia="Times New Roman" w:hAnsi="Times New Roman"/>
          <w:sz w:val="17"/>
          <w:szCs w:val="17"/>
          <w:color w:val="auto"/>
        </w:rPr>
        <w:t>Other income (expense), net, increased to income of $8.4 million for the year ended December 28, 2025 from expense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$2.5 million for the year ended December 29, 2024. The increase in other income (expense), net, of $10.9 million was primarily related to the reduction of interest expense from the payoff of the Term Loan A under our Credit Agreement on July 2, 2025, an increase in interest income on cash balances which increased following our</w:t>
      </w:r>
    </w:p>
    <w:p>
      <w:pPr>
        <w:spacing w:after="0" w:line="2" w:lineRule="exact"/>
        <w:rPr>
          <w:sz w:val="20"/>
          <w:szCs w:val="20"/>
          <w:color w:val="auto"/>
        </w:rPr>
      </w:pPr>
    </w:p>
    <w:p>
      <w:pPr>
        <w:ind w:right="2780"/>
        <w:spacing w:after="0" w:line="260" w:lineRule="auto"/>
        <w:rPr>
          <w:sz w:val="20"/>
          <w:szCs w:val="20"/>
          <w:color w:val="auto"/>
        </w:rPr>
      </w:pPr>
      <w:r>
        <w:rPr>
          <w:rFonts w:ascii="Times New Roman" w:cs="Times New Roman" w:eastAsia="Times New Roman" w:hAnsi="Times New Roman"/>
          <w:sz w:val="17"/>
          <w:szCs w:val="17"/>
          <w:color w:val="auto"/>
        </w:rPr>
        <w:t>June 27, 2025 public offering, and due to the receipt of a research and development tax related refund received by one of the Company’s international businesses during the year ended December 28, 2025.</w:t>
      </w:r>
    </w:p>
    <w:p>
      <w:pPr>
        <w:spacing w:after="0" w:line="181" w:lineRule="exact"/>
        <w:rPr>
          <w:sz w:val="20"/>
          <w:szCs w:val="20"/>
          <w:color w:val="auto"/>
        </w:rPr>
      </w:pPr>
    </w:p>
    <w:p>
      <w:pPr>
        <w:ind w:right="280" w:firstLine="611"/>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The Company recorded an income tax provision of $12.0 million for the year ended December 28, 2025, and an income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provision of $10.2 million for the year ended December 29, 2024. The income tax provision for 2025 includes a $0.2 million benefit related to the decrease in the Company’s valuation allowance on U.S. deferred tax assets. The income tax provision for 2024 includes a $4.2 million benefit related to the decrease in the Company’s valuation allowance on deferred tax assets.</w:t>
      </w:r>
    </w:p>
    <w:p>
      <w:pPr>
        <w:spacing w:after="0" w:line="199" w:lineRule="exact"/>
        <w:rPr>
          <w:sz w:val="20"/>
          <w:szCs w:val="20"/>
          <w:color w:val="auto"/>
        </w:rPr>
      </w:pPr>
    </w:p>
    <w:p>
      <w:pPr>
        <w:ind w:right="60" w:firstLine="611"/>
        <w:spacing w:after="0" w:line="249" w:lineRule="auto"/>
        <w:rPr>
          <w:sz w:val="20"/>
          <w:szCs w:val="20"/>
          <w:color w:val="auto"/>
        </w:rPr>
      </w:pPr>
      <w:r>
        <w:rPr>
          <w:rFonts w:ascii="Times New Roman" w:cs="Times New Roman" w:eastAsia="Times New Roman" w:hAnsi="Times New Roman"/>
          <w:sz w:val="17"/>
          <w:szCs w:val="17"/>
          <w:color w:val="auto"/>
        </w:rPr>
        <w:t>For a comparison of the Company’s results of operations for the fiscal year ended December 31, 2023 to the fiscal year ended December 29, 2024, see Item 7, Management’s Discussion and Analysis of Financial Condition and Results of Operations in the Company’s Annual Report on Form 10-K for the year ended December 29, 2024, which was filed with the U.S. Securities and Exchange Commission on February 26,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28, 2025, we had cash and cash equivalents of $560.6 million compared with cash and cash equivalents of $329.3 million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29, 2024, which includes $30.3 million and $40.2 million, respectively, of cash and cash equivalents held by our foreign subsidiaries. We are not presently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aware of any restrictions on the repatriation of these funds; however, earnings of these foreign subsidiaries are essentially considered permanently invested in these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foreign subsidiaries. If these funds were needed to fund our operations or satisfy obligations in the U.S. they could be repatriated, and their repatriation into the U.S.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cause us to incur additional foreign withholding taxes. We do not currently intend to repatriate these earnings.</w:t>
      </w:r>
    </w:p>
    <w:p>
      <w:pPr>
        <w:spacing w:after="0" w:line="222" w:lineRule="exact"/>
        <w:rPr>
          <w:sz w:val="20"/>
          <w:szCs w:val="20"/>
          <w:color w:val="auto"/>
        </w:rPr>
      </w:pPr>
    </w:p>
    <w:p>
      <w:pPr>
        <w:ind w:right="60" w:firstLine="611"/>
        <w:spacing w:after="0" w:line="257" w:lineRule="auto"/>
        <w:rPr>
          <w:sz w:val="20"/>
          <w:szCs w:val="20"/>
          <w:color w:val="auto"/>
        </w:rPr>
      </w:pPr>
      <w:r>
        <w:rPr>
          <w:rFonts w:ascii="Times New Roman" w:cs="Times New Roman" w:eastAsia="Times New Roman" w:hAnsi="Times New Roman"/>
          <w:sz w:val="17"/>
          <w:szCs w:val="17"/>
          <w:color w:val="auto"/>
        </w:rPr>
        <w:t>Our total debt, decreased from $185.0 million at December 29, 2024 to zero at December 28, 2025, reflecting the extinguishment on July 2, 2025 of all outstanding Term Loan A debt under our Credit Agreement. The then outstanding Term Loan A aggregate principal balance of $177.5 million, plus accrued interest, was paid in full utilizing a portion of the proceeds we received from the June 27, 2025 public equity offering that generated net proceeds of approximately $555.9 million, which is described further in Note 5 to the accompanying consolidated financial statements. The undrawn $200 million revolving credit facility under our Credit Agreement referred to above remains active and available to the Company.</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use our operating cash flow to finance trade accounts receivable, fund necessary increases in inventory including increasing inventory stock levels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advance buys in larger lot sizes to gain pricing benefits where possible, in order to mitigate the impact of supply chain disruptions and price increases, utilize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working capital to fund revenue growth, fund prepayments required for long lead items necessary for production, fund internal investments of engineering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software development costs, fund capital expenditures, our internal research and development investments and our ongoing operations, service our debt, enhance our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 infrastructure, including cyber security infrastructure, and make strategic acquisitions. Financing trade accounts receivable is necessary because, on average,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customers do not pay us as quickly as we pay our vendors and employees for their goods and services because a number of our receivables are contractually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billable and due to us only when certain contractual milestones are achieved. Financing increases in inventory balances are necessary to fulfill shipment requirements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meet delivery schedules of our customers, to fund advanced inventory purchases to mitigate supply chain disruptions, to achieve quantity volume discounts, and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fund production for work in progress and increased inventory levels and prepayments for long-lead materials related to production and revenue growth. These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financing requirements have increased and have recently negatively impacted our operating cash flows due to actions we have taken to advance inventory purchases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an attempt to mitigate supply chain disruptions and to bolster our inventory levels. For the year ended December 28, 2025, approximately $19.3 million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$27.1 million of operating cash flow use was related to increases in inventory balances and other assets, respectively, which also include certain vendor prepayments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deposits related to the procurement of long-lead materials and inventory and certain investments we are making for certain unmanned systems initiatives.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57" w:name="page58"/>
    <w:bookmarkEnd w:id="57"/>
    <w:p>
      <w:pPr>
        <w:ind w:right="20" w:firstLine="611"/>
        <w:spacing w:after="0" w:line="255" w:lineRule="auto"/>
        <w:rPr>
          <w:sz w:val="20"/>
          <w:szCs w:val="20"/>
          <w:color w:val="auto"/>
        </w:rPr>
      </w:pPr>
      <w:r>
        <w:rPr>
          <w:rFonts w:ascii="Times New Roman" w:cs="Times New Roman" w:eastAsia="Times New Roman" w:hAnsi="Times New Roman"/>
          <w:sz w:val="17"/>
          <w:szCs w:val="17"/>
          <w:color w:val="auto"/>
        </w:rPr>
        <w:t>Cash from consolidated operations is primarily derived from our customer contracts in progress and associated changes in working capital components. Our days sales outstanding (“DSO”) have increased to 124 days as of December 28, 2025 from 104 days as of December 29, 2024. Our DSOs are impacted by the achievement of contractual billing milestones, such as equipment shipments and deliveries on certain products, for certain flight requirements that must be fulfilled on certain aerial target programs, for the receipt of certain contractual funding, certain of which has been impacted by government budgetary delays and appropriations or final milestone billings which are not due until completion on certain projects, and therefore we are unable to contractually bill for amounts outstanding related to those milestones at this time.</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our net cash provided by (used in) operating activities from our Consolidated Statements of Cash Flows is as follows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gridSpan w:val="4"/>
          </w:tcPr>
          <w:p>
            <w:pPr>
              <w:jc w:val="right"/>
              <w:ind w:right="124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4"/>
        </w:trPr>
        <w:tc>
          <w:tcPr>
            <w:tcW w:w="7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78"/>
        </w:trPr>
        <w:tc>
          <w:tcPr>
            <w:tcW w:w="7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80" w:type="dxa"/>
            <w:vAlign w:val="bottom"/>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15"/>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r>
    </w:tbl>
    <w:p>
      <w:pPr>
        <w:spacing w:after="0" w:line="276" w:lineRule="exact"/>
        <w:rPr>
          <w:sz w:val="20"/>
          <w:szCs w:val="20"/>
          <w:color w:val="auto"/>
        </w:rPr>
      </w:pPr>
    </w:p>
    <w:p>
      <w:pPr>
        <w:ind w:right="180" w:firstLine="611"/>
        <w:spacing w:after="0" w:line="255" w:lineRule="auto"/>
        <w:rPr>
          <w:sz w:val="20"/>
          <w:szCs w:val="20"/>
          <w:color w:val="auto"/>
        </w:rPr>
      </w:pPr>
      <w:r>
        <w:rPr>
          <w:rFonts w:ascii="Times New Roman" w:cs="Times New Roman" w:eastAsia="Times New Roman" w:hAnsi="Times New Roman"/>
          <w:sz w:val="17"/>
          <w:szCs w:val="17"/>
          <w:color w:val="auto"/>
        </w:rPr>
        <w:t>Our net cash used in operating activities was $42.1 million for the year ended December 28, 2025, primarily as a result of the net income of $22.0 million and noncash charges of $103.9 million which primarily includes stock compensation, depreciation and amortization offset by changes in net working capital accounts of $168.0 million which includes increases in billed and unbilled receivables of $126.0 million and increases in inventory of $19.3 million. Net cash provided by operating activities was $49.7 million for the year ended December 29, 2024, primarily as a result of the net income of $16.3 million and noncash charges of $86.8 million which primarily includes stock compensation, depreciation and amortization, which was partially offset by changes in net working capital accounts of $53.4 million.</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Our net cash used in investing activities is summarized as follows (in millions):</w:t>
      </w:r>
    </w:p>
    <w:p>
      <w:pPr>
        <w:sectPr>
          <w:pgSz w:w="11900" w:h="16838" w:orient="portrait"/>
          <w:cols w:equalWidth="0" w:num="1">
            <w:col w:w="11240"/>
          </w:cols>
          <w:pgMar w:left="320" w:top="1078"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13994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9940" cy="137160"/>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3994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9940" cy="13716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Investment in joint venture</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3994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9940" cy="137160"/>
                    </a:xfrm>
                    <a:prstGeom prst="rect">
                      <a:avLst/>
                    </a:prstGeom>
                    <a:noFill/>
                  </pic:spPr>
                </pic:pic>
              </a:graphicData>
            </a:graphic>
          </wp:anchor>
        </w:drawing>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Net cash used in investing activities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415"/>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6"/>
        </w:trPr>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w:t>
            </w:r>
          </w:p>
        </w:tc>
      </w:tr>
      <w:tr>
        <w:trPr>
          <w:trHeight w:val="21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(69.7)</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00" w:space="720"/>
            <w:col w:w="3320"/>
          </w:cols>
          <w:pgMar w:left="320" w:top="1078" w:right="339" w:bottom="1440" w:gutter="0" w:footer="0" w:header="0"/>
          <w:type w:val="continuous"/>
        </w:sectPr>
      </w:pPr>
    </w:p>
    <w:p>
      <w:pPr>
        <w:spacing w:after="0" w:line="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Net cash used in investing activities was $88.3 million for year ended December 28, 2025 is comprised of $95.3 million in capital expenditures partially offset by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 million in proceeds from the sale of company owned Valkyries which were previously classified as capital expenditures. Net cash used in investing activities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29, 2024 is comprised of $58.2 million in capital expenditures and $11.5 million in cash paid (including subsequent payments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 million for amounts payable to former employees of FTT) for the remaining minority interests in KTT Core (along with a corresponding issuance of 583,700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Kratos common stock valued at $11.3 million). During the year ended December 28, 2025, capital expenditures of approximately $38.4 million were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incurred in our US business, primarily related to our manufacture of two production lots of Valkyries prior to contract award to meet anticipated customer orders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requirements. We expect our capital expenditures for our fiscal year 2026 to continue to be significant for investments we are making for new production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manufacturing facilities, expansion of existing facilities and continued build of capital aerial targets and related support equipment.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type w:val="continuous"/>
        </w:sectPr>
      </w:pPr>
    </w:p>
    <w:bookmarkStart w:id="58" w:name="page59"/>
    <w:bookmarkEnd w:id="58"/>
    <w:p>
      <w:pPr>
        <w:ind w:left="620"/>
        <w:spacing w:after="0"/>
        <w:rPr>
          <w:sz w:val="20"/>
          <w:szCs w:val="20"/>
          <w:color w:val="auto"/>
        </w:rPr>
      </w:pPr>
      <w:r>
        <w:rPr>
          <w:rFonts w:ascii="Times New Roman" w:cs="Times New Roman" w:eastAsia="Times New Roman" w:hAnsi="Times New Roman"/>
          <w:sz w:val="17"/>
          <w:szCs w:val="17"/>
          <w:color w:val="auto"/>
        </w:rPr>
        <w:t>Our net cash provided by financing activities is summarized as follows (in millions):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7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gridSpan w:val="4"/>
          </w:tcPr>
          <w:p>
            <w:pPr>
              <w:jc w:val="right"/>
              <w:ind w:right="123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4"/>
        </w:trPr>
        <w:tc>
          <w:tcPr>
            <w:tcW w:w="7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8"/>
        </w:trPr>
        <w:tc>
          <w:tcPr>
            <w:tcW w:w="7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80" w:type="dxa"/>
            <w:vAlign w:val="bottom"/>
          </w:tcPr>
          <w:p>
            <w:pPr>
              <w:spacing w:after="0"/>
              <w:rPr>
                <w:sz w:val="15"/>
                <w:szCs w:val="15"/>
                <w:color w:val="auto"/>
              </w:rPr>
            </w:pP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0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6"/>
        </w:trPr>
        <w:tc>
          <w:tcPr>
            <w:tcW w:w="7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the issuance of common stock, net of issuance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330.7</w:t>
            </w:r>
          </w:p>
        </w:tc>
      </w:tr>
      <w:tr>
        <w:trPr>
          <w:trHeight w:val="216"/>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Borrowings under credit facility</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6"/>
        </w:trPr>
        <w:tc>
          <w:tcPr>
            <w:tcW w:w="7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under credit facility, term loan and other debt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r>
      <w:tr>
        <w:trPr>
          <w:trHeight w:val="216"/>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employee taxes withheld from share-based awards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16"/>
        </w:trPr>
        <w:tc>
          <w:tcPr>
            <w:tcW w:w="7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under finance leases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6"/>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shares issued under equity plans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16"/>
        </w:trPr>
        <w:tc>
          <w:tcPr>
            <w:tcW w:w="7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Proceeds from state grant for capital construction</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7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60" w:firstLine="611"/>
        <w:spacing w:after="0" w:line="257" w:lineRule="auto"/>
        <w:rPr>
          <w:sz w:val="20"/>
          <w:szCs w:val="20"/>
          <w:color w:val="auto"/>
        </w:rPr>
      </w:pPr>
      <w:r>
        <w:rPr>
          <w:rFonts w:ascii="Times New Roman" w:cs="Times New Roman" w:eastAsia="Times New Roman" w:hAnsi="Times New Roman"/>
          <w:sz w:val="17"/>
          <w:szCs w:val="17"/>
          <w:color w:val="auto"/>
        </w:rPr>
        <w:t>Net cash provided by financing activities was $360.7 million for the year ended December 28, 2025, which included employee stock purchase plan receipts of $9.9 million and net proceeds from the issuance of common stock of approximately $555.9 million (see Note 10 to the accompanying consolidated financial statements). These proceeds were partially offset by $185.0 million of principal payments on the Term Loan A under our Credit Agreement, which was fully extinguished on July 2, 2025, payroll withholding taxes paid from vested restricted stock traded for taxes of $20.0 million and payments made on financing lease obligations of $1.8 million.</w:t>
      </w:r>
    </w:p>
    <w:p>
      <w:pPr>
        <w:spacing w:after="0" w:line="201" w:lineRule="exact"/>
        <w:rPr>
          <w:sz w:val="20"/>
          <w:szCs w:val="20"/>
          <w:color w:val="auto"/>
        </w:rPr>
      </w:pPr>
    </w:p>
    <w:p>
      <w:pPr>
        <w:ind w:right="60" w:firstLine="611"/>
        <w:spacing w:after="0" w:line="257" w:lineRule="auto"/>
        <w:rPr>
          <w:sz w:val="20"/>
          <w:szCs w:val="20"/>
          <w:color w:val="auto"/>
        </w:rPr>
      </w:pPr>
      <w:r>
        <w:rPr>
          <w:rFonts w:ascii="Times New Roman" w:cs="Times New Roman" w:eastAsia="Times New Roman" w:hAnsi="Times New Roman"/>
          <w:sz w:val="17"/>
          <w:szCs w:val="17"/>
          <w:color w:val="auto"/>
        </w:rPr>
        <w:t>Net cash provided by financing activities was $277.6 million for the year ended December 29, 2024, which included employee stock purchase plan receipts of $8.2 million and net proceeds from the issuance of common stock of approximately $330.7 million. These proceeds were partially offset by $7.5 million of principal payments on the Term Loan A under our credit Agreement, a $45.0 million payment (partially offset by a $10.0 million draw) on the Revolving Credit Facility under our Credit Agreement, payroll withholding taxes paid from vested restricted stock traded for taxes of $17.4 million and payments made on financing lease obligations of $1.4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Credit Facility</w:t>
      </w:r>
    </w:p>
    <w:p>
      <w:pPr>
        <w:spacing w:after="0" w:line="241"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On February 18, 2022, we completed the refinancing of our then-outstanding $90 million revolving credit facility and $300 million Senior Secured Notes, with a 5-year $200 million Revolving Credit Facility and 5-year $200 million Term Loan A. We incurred debt issuance costs of $3.3 million associated with the 2022 Credit Facility. On July 2, 2025, we extinguished all outstanding Term Loan A debt under the 2022 Credit Facility. The then outstanding Term Loan A aggregate principal balance of $177.5 million, plus accrued interest, was paid in full utilizing a portion of the proceeds we received from the June 27, 2025 public equity offering, which is described further in Note 10 to the accompanying consolidated financial statements. We incurred a loss on the extinguishment of the debt of $0.5 million related to the write-off of unamortized debt issuance costs.</w:t>
      </w:r>
    </w:p>
    <w:p>
      <w:pPr>
        <w:spacing w:after="0" w:line="205" w:lineRule="exact"/>
        <w:rPr>
          <w:sz w:val="20"/>
          <w:szCs w:val="20"/>
          <w:color w:val="auto"/>
        </w:rPr>
      </w:pPr>
    </w:p>
    <w:p>
      <w:pPr>
        <w:ind w:right="40" w:firstLine="611"/>
        <w:spacing w:after="0" w:line="255" w:lineRule="auto"/>
        <w:rPr>
          <w:sz w:val="20"/>
          <w:szCs w:val="20"/>
          <w:color w:val="auto"/>
        </w:rPr>
      </w:pPr>
      <w:r>
        <w:rPr>
          <w:rFonts w:ascii="Times New Roman" w:cs="Times New Roman" w:eastAsia="Times New Roman" w:hAnsi="Times New Roman"/>
          <w:sz w:val="17"/>
          <w:szCs w:val="17"/>
          <w:color w:val="auto"/>
        </w:rPr>
        <w:t>The 2022 Credit Facility is governed by a Credit Agreement (the “Credit Agreement”), which establishes the 5-year senior secured credit facility which is comprised of the $200 million Revolving Credit Facility, none of which is outstanding, and the $200 million Term Loan A, which was paid fully on July 2, 2025. The Revolving Credit Facility includes sub-facilities for the incurrence of up to $10.0 million of swingline loans and the issuance of up to $50.0 million of Letters of Credit.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05" w:lineRule="exact"/>
        <w:rPr>
          <w:sz w:val="20"/>
          <w:szCs w:val="20"/>
          <w:color w:val="auto"/>
        </w:rPr>
      </w:pPr>
    </w:p>
    <w:p>
      <w:pPr>
        <w:ind w:right="80" w:firstLine="611"/>
        <w:spacing w:after="0" w:line="255" w:lineRule="auto"/>
        <w:rPr>
          <w:sz w:val="20"/>
          <w:szCs w:val="20"/>
          <w:color w:val="auto"/>
        </w:rPr>
      </w:pPr>
      <w:r>
        <w:rPr>
          <w:rFonts w:ascii="Times New Roman" w:cs="Times New Roman" w:eastAsia="Times New Roman" w:hAnsi="Times New Roman"/>
          <w:sz w:val="17"/>
          <w:szCs w:val="17"/>
          <w:color w:val="auto"/>
        </w:rPr>
        <w:t>Borrowings under the Revolving Credit Facility may take the form of base rate loans or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59" w:name="page60"/>
    <w:bookmarkEnd w:id="59"/>
    <w:p>
      <w:pPr>
        <w:jc w:val="both"/>
        <w:ind w:right="160"/>
        <w:spacing w:after="0" w:line="264" w:lineRule="auto"/>
        <w:rPr>
          <w:sz w:val="20"/>
          <w:szCs w:val="20"/>
          <w:color w:val="auto"/>
        </w:rPr>
      </w:pPr>
      <w:r>
        <w:rPr>
          <w:rFonts w:ascii="Times New Roman" w:cs="Times New Roman" w:eastAsia="Times New Roman" w:hAnsi="Times New Roman"/>
          <w:sz w:val="17"/>
          <w:szCs w:val="17"/>
          <w:color w:val="auto"/>
        </w:rPr>
        <w:t>between 0.25% and 1.25% per annum for base rate loans, and is based on the Company’s total net leverage ratio from time to time. The Credit Agreement contains certain covenants, which include, but are not limited to, restrictions on indebtedness, liens, fundamental changes, restricted payments, asset sales, and investments, and places limits on various other payments. We were in compliance with the covenants contained in the Credit Agreement as of December 28, 2025.</w:t>
      </w:r>
    </w:p>
    <w:p>
      <w:pPr>
        <w:spacing w:after="0" w:line="195" w:lineRule="exact"/>
        <w:rPr>
          <w:sz w:val="20"/>
          <w:szCs w:val="20"/>
          <w:color w:val="auto"/>
        </w:rPr>
      </w:pPr>
    </w:p>
    <w:p>
      <w:pPr>
        <w:ind w:right="60" w:firstLine="611"/>
        <w:spacing w:after="0" w:line="255" w:lineRule="auto"/>
        <w:rPr>
          <w:sz w:val="20"/>
          <w:szCs w:val="20"/>
          <w:color w:val="auto"/>
        </w:rPr>
      </w:pPr>
      <w:r>
        <w:rPr>
          <w:rFonts w:ascii="Times New Roman" w:cs="Times New Roman" w:eastAsia="Times New Roman" w:hAnsi="Times New Roman"/>
          <w:sz w:val="17"/>
          <w:szCs w:val="17"/>
          <w:color w:val="auto"/>
        </w:rPr>
        <w:t>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was at a fixed rate one-month term SOFR of 3.721% and settled monthly on the last day of each calendar month. The swap had an effective date of May 1, 2023 and was scheduled to terminate on May 1, 2026. On June 30, 2025, in anticipation of the extinguishment of all outstanding Term Loan A debt under the 2022 Credit Facility, the Company terminated the interest rate swap contract referred to above. The Company received a payment of approximately $0.3 million representing the termination value of the interest rate swap.</w:t>
      </w:r>
    </w:p>
    <w:p>
      <w:pPr>
        <w:spacing w:after="0" w:line="205" w:lineRule="exact"/>
        <w:rPr>
          <w:sz w:val="20"/>
          <w:szCs w:val="20"/>
          <w:color w:val="auto"/>
        </w:rPr>
      </w:pPr>
    </w:p>
    <w:p>
      <w:pPr>
        <w:ind w:right="260" w:firstLine="611"/>
        <w:spacing w:after="0" w:line="279" w:lineRule="auto"/>
        <w:rPr>
          <w:sz w:val="20"/>
          <w:szCs w:val="20"/>
          <w:color w:val="auto"/>
        </w:rPr>
      </w:pPr>
      <w:r>
        <w:rPr>
          <w:rFonts w:ascii="Times New Roman" w:cs="Times New Roman" w:eastAsia="Times New Roman" w:hAnsi="Times New Roman"/>
          <w:sz w:val="17"/>
          <w:szCs w:val="17"/>
          <w:color w:val="auto"/>
        </w:rPr>
        <w:t>On February 20, 2026, the 2022 Credit Facility was terminated in connection with the execution of the 2026 Credit Agreement. Please see “Item 9B(a) – Other Information” for more information regarding the 2026 Credit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Liquidity Matters</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discussion of how we expect to fund our short- and long-term liquidity needs from known contractual and other obligations.</w:t>
      </w:r>
    </w:p>
    <w:p>
      <w:pPr>
        <w:spacing w:after="0" w:line="237" w:lineRule="exact"/>
        <w:rPr>
          <w:sz w:val="20"/>
          <w:szCs w:val="20"/>
          <w:color w:val="auto"/>
        </w:rPr>
      </w:pPr>
    </w:p>
    <w:p>
      <w:pPr>
        <w:jc w:val="both"/>
        <w:ind w:firstLine="611"/>
        <w:spacing w:after="0" w:line="288" w:lineRule="auto"/>
        <w:rPr>
          <w:sz w:val="20"/>
          <w:szCs w:val="20"/>
          <w:color w:val="auto"/>
        </w:rPr>
      </w:pPr>
      <w:r>
        <w:rPr>
          <w:rFonts w:ascii="Times New Roman" w:cs="Times New Roman" w:eastAsia="Times New Roman" w:hAnsi="Times New Roman"/>
          <w:sz w:val="16"/>
          <w:szCs w:val="16"/>
          <w:color w:val="auto"/>
        </w:rPr>
        <w:t>The majority of our revenue is derived from contracts and programs that can span several years. We enter into agreements with suppliers and subcontractors for goods and services in support of these contracts and programs with payment terms that are generally aligned with the payment terms from our customers. In some instances, we require advance payments or deposits from our customers, which help fund our purchase commitments and reduce the risk of customer performance.</w:t>
      </w:r>
    </w:p>
    <w:p>
      <w:pPr>
        <w:spacing w:after="0" w:line="178" w:lineRule="exact"/>
        <w:rPr>
          <w:sz w:val="20"/>
          <w:szCs w:val="20"/>
          <w:color w:val="auto"/>
        </w:rPr>
      </w:pPr>
    </w:p>
    <w:p>
      <w:pPr>
        <w:ind w:right="120" w:firstLine="611"/>
        <w:spacing w:after="0" w:line="264" w:lineRule="auto"/>
        <w:rPr>
          <w:sz w:val="20"/>
          <w:szCs w:val="20"/>
          <w:color w:val="auto"/>
        </w:rPr>
      </w:pPr>
      <w:r>
        <w:rPr>
          <w:rFonts w:ascii="Times New Roman" w:cs="Times New Roman" w:eastAsia="Times New Roman" w:hAnsi="Times New Roman"/>
          <w:sz w:val="17"/>
          <w:szCs w:val="17"/>
          <w:color w:val="auto"/>
        </w:rPr>
        <w:t>As of December 28, 2025, we had contractual commitments to make payments under finance and operating leases, repay obligations related to agreements to purchase goods and services and settle tax and other liabilities. The following table summarizes our contractual obligations and other commitments as of December 28, 2025, and the effect such obligations could have on our liquidity and cash flow in future periods (in millions):</w:t>
      </w:r>
    </w:p>
    <w:tbl>
      <w:tblPr>
        <w:tblLayout w:type="fixed"/>
        <w:tblInd w:w="0" w:type="dxa"/>
        <w:tblCellMar>
          <w:top w:w="0" w:type="dxa"/>
          <w:left w:w="0" w:type="dxa"/>
          <w:bottom w:w="0" w:type="dxa"/>
          <w:right w:w="0" w:type="dxa"/>
        </w:tblCellMar>
      </w:tblPr>
      <w:tr>
        <w:trPr>
          <w:trHeight w:val="224"/>
        </w:trPr>
        <w:tc>
          <w:tcPr>
            <w:tcW w:w="6700" w:type="dxa"/>
            <w:vAlign w:val="bottom"/>
          </w:tcPr>
          <w:p>
            <w:pPr>
              <w:spacing w:after="0"/>
              <w:rPr>
                <w:sz w:val="19"/>
                <w:szCs w:val="19"/>
                <w:color w:val="auto"/>
              </w:rPr>
            </w:pPr>
          </w:p>
        </w:tc>
        <w:tc>
          <w:tcPr>
            <w:tcW w:w="154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Due within 1 Year</w:t>
            </w:r>
          </w:p>
        </w:tc>
      </w:tr>
      <w:tr>
        <w:trPr>
          <w:trHeight w:val="21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orders</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293.8</w:t>
            </w: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Joint venture contributions</w:t>
            </w:r>
          </w:p>
        </w:tc>
        <w:tc>
          <w:tcPr>
            <w:tcW w:w="1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34"/>
        </w:trPr>
        <w:tc>
          <w:tcPr>
            <w:tcW w:w="6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contractual cash obligations and commitments</w:t>
            </w:r>
          </w:p>
        </w:tc>
        <w:tc>
          <w:tcPr>
            <w:tcW w:w="1540" w:type="dxa"/>
            <w:vAlign w:val="bottom"/>
            <w:tcBorders>
              <w:bottom w:val="single" w:sz="8" w:color="auto"/>
            </w:tcBorders>
            <w:shd w:val="clear" w:color="auto" w:fill="CCEEFF"/>
          </w:tcPr>
          <w:p>
            <w:pPr>
              <w:jc w:val="right"/>
              <w:ind w:right="13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768.1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372.7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200" w:firstLine="611"/>
        <w:spacing w:after="0" w:line="259" w:lineRule="auto"/>
        <w:rPr>
          <w:sz w:val="20"/>
          <w:szCs w:val="20"/>
          <w:color w:val="auto"/>
        </w:rPr>
      </w:pPr>
      <w:r>
        <w:rPr>
          <w:rFonts w:ascii="Times New Roman" w:cs="Times New Roman" w:eastAsia="Times New Roman" w:hAnsi="Times New Roman"/>
          <w:sz w:val="17"/>
          <w:szCs w:val="17"/>
          <w:color w:val="auto"/>
        </w:rPr>
        <w:t>As of December 28, 2025, we have $11.5 million of standby letters of credit outstanding. Our letters of credit are primarily related to milestone payments received from foreign customers for which the customer has not yet received the product. Information regarding our debt payments and lease agreements can be found in Notes 5 and 6 to the Consolidated Financial Statements contained in this Annual Report. Additional information regarding our financial commitments is provided in the Note 14 to Consolidated Financial Statements contained in this Annual Report.</w:t>
      </w:r>
    </w:p>
    <w:p>
      <w:pPr>
        <w:spacing w:after="0" w:line="200" w:lineRule="exact"/>
        <w:rPr>
          <w:sz w:val="20"/>
          <w:szCs w:val="20"/>
          <w:color w:val="auto"/>
        </w:rPr>
      </w:pPr>
    </w:p>
    <w:p>
      <w:pPr>
        <w:ind w:right="60" w:firstLine="611"/>
        <w:spacing w:after="0" w:line="255" w:lineRule="auto"/>
        <w:rPr>
          <w:sz w:val="20"/>
          <w:szCs w:val="20"/>
          <w:color w:val="auto"/>
        </w:rPr>
      </w:pPr>
      <w:r>
        <w:rPr>
          <w:rFonts w:ascii="Times New Roman" w:cs="Times New Roman" w:eastAsia="Times New Roman" w:hAnsi="Times New Roman"/>
          <w:sz w:val="17"/>
          <w:szCs w:val="17"/>
          <w:color w:val="auto"/>
        </w:rPr>
        <w:t>We believe our cash on hand, together with funds available under the 2026 Credit Facility and cash expected to be generated from operating activities will be sufficient to fund our short- and long-term liquidity needs. As discussed in Item 1A “Risk Factors” contained within this Annual Report, our quarterly and annual operating results have fluctuated in the past and may vary in the future due to a variety of factors, many of which are external to our control. If the conditions in our industry deteriorate,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Principles and Estimates</w:t>
      </w:r>
    </w:p>
    <w:p>
      <w:pPr>
        <w:spacing w:after="0" w:line="216" w:lineRule="exact"/>
        <w:rPr>
          <w:sz w:val="20"/>
          <w:szCs w:val="20"/>
          <w:color w:val="auto"/>
        </w:rPr>
      </w:pPr>
    </w:p>
    <w:p>
      <w:pPr>
        <w:ind w:right="220" w:firstLine="611"/>
        <w:spacing w:after="0" w:line="279" w:lineRule="auto"/>
        <w:rPr>
          <w:sz w:val="20"/>
          <w:szCs w:val="20"/>
          <w:color w:val="auto"/>
        </w:rPr>
      </w:pPr>
      <w:r>
        <w:rPr>
          <w:rFonts w:ascii="Times New Roman" w:cs="Times New Roman" w:eastAsia="Times New Roman" w:hAnsi="Times New Roman"/>
          <w:sz w:val="17"/>
          <w:szCs w:val="17"/>
          <w:color w:val="auto"/>
        </w:rPr>
        <w:t>The preparation of our Consolidated Financial Statements in conformity with GAAP requires us to make estimates and judgments that affect the reported amounts of assets and liabilities, stockholders’ equity, revenues and expenses, and related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60" w:name="page61"/>
    <w:bookmarkEnd w:id="60"/>
    <w:p>
      <w:pPr>
        <w:ind w:right="40"/>
        <w:spacing w:after="0" w:line="254" w:lineRule="auto"/>
        <w:rPr>
          <w:sz w:val="20"/>
          <w:szCs w:val="20"/>
          <w:color w:val="auto"/>
        </w:rPr>
      </w:pPr>
      <w:r>
        <w:rPr>
          <w:rFonts w:ascii="Times New Roman" w:cs="Times New Roman" w:eastAsia="Times New Roman" w:hAnsi="Times New Roman"/>
          <w:sz w:val="17"/>
          <w:szCs w:val="17"/>
          <w:color w:val="auto"/>
        </w:rPr>
        <w:t>disclosures of contingent assets and liabilities. On a periodic basis, as deemed necessary, we evaluate our estimates, including those related to revenue recognition, valuation of inventory including the reserves for excess and obsolete inventory, valuation of long-lived assets including identifiable intangibles and goodwill, accounting for income taxes including the related valuation allowance, warranties, contingencies and litigation, contingent acquisition consideration, and losses on unused office space. We explain these accounting policies in the Notes to Consolidated Financial Statements contained within this 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 We have identified the following critical accounting policies that affect our more significant judgments and estimates used in the preparation of our Consolidated Financial Statements.</w:t>
      </w:r>
    </w:p>
    <w:p>
      <w:pPr>
        <w:spacing w:after="0" w:line="200" w:lineRule="exact"/>
        <w:rPr>
          <w:sz w:val="20"/>
          <w:szCs w:val="20"/>
          <w:color w:val="auto"/>
        </w:rPr>
      </w:pPr>
    </w:p>
    <w:p>
      <w:pPr>
        <w:ind w:right="940" w:firstLine="611"/>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Effective January 1, 2018, we adopted the FASB ASU 2014-09,</w:t>
      </w:r>
      <w:r>
        <w:rPr>
          <w:rFonts w:ascii="Times New Roman" w:cs="Times New Roman" w:eastAsia="Times New Roman" w:hAnsi="Times New Roman"/>
          <w:sz w:val="17"/>
          <w:szCs w:val="17"/>
          <w:i w:val="1"/>
          <w:iCs w:val="1"/>
          <w:color w:val="auto"/>
        </w:rPr>
        <w:t xml:space="preserve"> Revenue from Contracts with Customers</w:t>
      </w:r>
      <w:r>
        <w:rPr>
          <w:rFonts w:ascii="Times New Roman" w:cs="Times New Roman" w:eastAsia="Times New Roman" w:hAnsi="Times New Roman"/>
          <w:sz w:val="17"/>
          <w:szCs w:val="17"/>
          <w:color w:val="auto"/>
        </w:rPr>
        <w:t>, and the 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amendments, which are codified into Accounting Standards Codification (“ASC”) 606 (“ASC 606”).</w:t>
      </w:r>
    </w:p>
    <w:p>
      <w:pPr>
        <w:spacing w:after="0" w:line="191" w:lineRule="exact"/>
        <w:rPr>
          <w:sz w:val="20"/>
          <w:szCs w:val="20"/>
          <w:color w:val="auto"/>
        </w:rPr>
      </w:pPr>
    </w:p>
    <w:p>
      <w:pPr>
        <w:ind w:right="40" w:firstLine="611"/>
        <w:spacing w:after="0" w:line="255" w:lineRule="auto"/>
        <w:rPr>
          <w:sz w:val="20"/>
          <w:szCs w:val="20"/>
          <w:color w:val="auto"/>
        </w:rPr>
      </w:pPr>
      <w:r>
        <w:rPr>
          <w:rFonts w:ascii="Times New Roman" w:cs="Times New Roman" w:eastAsia="Times New Roman" w:hAnsi="Times New Roman"/>
          <w:sz w:val="17"/>
          <w:szCs w:val="17"/>
          <w:color w:val="auto"/>
        </w:rPr>
        <w:t>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205" w:lineRule="exact"/>
        <w:rPr>
          <w:sz w:val="20"/>
          <w:szCs w:val="20"/>
          <w:color w:val="auto"/>
        </w:rPr>
      </w:pPr>
    </w:p>
    <w:p>
      <w:pPr>
        <w:ind w:right="140" w:firstLine="611"/>
        <w:spacing w:after="0" w:line="255"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and is the unit of account under ASC 606. The majority of our contracts have a single performance obligation as the promise to transfer the individual goods or services is not separately identifiable from other promises in the contracts and, therefore, not distinct. For contracts with multiple performance obligations, we allocate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we forecast the expected costs of satisfying a performance obligation and then add an appropriate margin for that distinct good or service.</w:t>
      </w:r>
    </w:p>
    <w:p>
      <w:pPr>
        <w:spacing w:after="0" w:line="205"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For the majority of contracts, we satisfy the underlying performance obligations over time as the customer obtains control or receives benefits as work is performed on the contract. We generally recognize revenue over time as we perform on long-term contracts because of continuous transfer of control to the customer. For U.S. government contracts, this continuous transfer of control to the customer is supported by clauses in the contract that allow the customer to unilaterally terminate the contract for convenience, pay us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percentage-of-completion cost-to-cost method (cost incurred relative to total estimated cost at completion).</w:t>
      </w:r>
    </w:p>
    <w:p>
      <w:pPr>
        <w:spacing w:after="0" w:line="202" w:lineRule="exact"/>
        <w:rPr>
          <w:sz w:val="20"/>
          <w:szCs w:val="20"/>
          <w:color w:val="auto"/>
        </w:rPr>
      </w:pPr>
    </w:p>
    <w:p>
      <w:pPr>
        <w:ind w:right="280" w:firstLine="611"/>
        <w:spacing w:after="0" w:line="254" w:lineRule="auto"/>
        <w:rPr>
          <w:sz w:val="20"/>
          <w:szCs w:val="20"/>
          <w:color w:val="auto"/>
        </w:rPr>
      </w:pPr>
      <w:r>
        <w:rPr>
          <w:rFonts w:ascii="Times New Roman" w:cs="Times New Roman" w:eastAsia="Times New Roman" w:hAnsi="Times New Roman"/>
          <w:sz w:val="17"/>
          <w:szCs w:val="17"/>
          <w:color w:val="auto"/>
        </w:rPr>
        <w:t>For our federal contracts, we apply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200" w:lineRule="exact"/>
        <w:rPr>
          <w:sz w:val="20"/>
          <w:szCs w:val="20"/>
          <w:color w:val="auto"/>
        </w:rPr>
      </w:pPr>
    </w:p>
    <w:p>
      <w:pPr>
        <w:ind w:right="20" w:firstLine="611"/>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Long-lived and Intangible Assets. </w:t>
      </w:r>
      <w:r>
        <w:rPr>
          <w:rFonts w:ascii="Times New Roman" w:cs="Times New Roman" w:eastAsia="Times New Roman" w:hAnsi="Times New Roman"/>
          <w:sz w:val="17"/>
          <w:szCs w:val="17"/>
          <w:color w:val="auto"/>
        </w:rPr>
        <w:t>We account for long-lived assets in accordance with the provisions of FASB ASC Topic 360,</w:t>
      </w:r>
      <w:r>
        <w:rPr>
          <w:rFonts w:ascii="Times New Roman" w:cs="Times New Roman" w:eastAsia="Times New Roman" w:hAnsi="Times New Roman"/>
          <w:sz w:val="17"/>
          <w:szCs w:val="17"/>
          <w:i w:val="1"/>
          <w:iCs w:val="1"/>
          <w:color w:val="auto"/>
        </w:rPr>
        <w:t xml:space="preserve"> Property, Plant, and Equipment </w:t>
      </w:r>
      <w:r>
        <w:rPr>
          <w:rFonts w:ascii="Times New Roman" w:cs="Times New Roman" w:eastAsia="Times New Roman" w:hAnsi="Times New Roman"/>
          <w:sz w:val="17"/>
          <w:szCs w:val="17"/>
          <w:color w:val="auto"/>
        </w:rPr>
        <w:t>(“Topic 360</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Topic 360 addresses financial accounting and reporting for the impairment or disposal of long-lived assets and requires that long-lived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be reviewed for impairment whenever events or changes in circumstances indicate that the carrying amount of an asset may not be 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Topic 360 requires companies to separately report discontinued operations, including</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61" w:name="page62"/>
    <w:bookmarkEnd w:id="61"/>
    <w:p>
      <w:pPr>
        <w:ind w:right="40"/>
        <w:spacing w:after="0" w:line="279" w:lineRule="auto"/>
        <w:rPr>
          <w:sz w:val="20"/>
          <w:szCs w:val="20"/>
          <w:color w:val="auto"/>
        </w:rPr>
      </w:pPr>
      <w:r>
        <w:rPr>
          <w:rFonts w:ascii="Times New Roman" w:cs="Times New Roman" w:eastAsia="Times New Roman" w:hAnsi="Times New Roman"/>
          <w:sz w:val="17"/>
          <w:szCs w:val="17"/>
          <w:color w:val="auto"/>
        </w:rPr>
        <w:t>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82" w:lineRule="exact"/>
        <w:rPr>
          <w:sz w:val="20"/>
          <w:szCs w:val="20"/>
          <w:color w:val="auto"/>
        </w:rPr>
      </w:pPr>
    </w:p>
    <w:p>
      <w:pPr>
        <w:ind w:right="320" w:firstLine="611"/>
        <w:spacing w:after="0" w:line="264" w:lineRule="auto"/>
        <w:rPr>
          <w:sz w:val="20"/>
          <w:szCs w:val="20"/>
          <w:color w:val="auto"/>
        </w:rPr>
      </w:pPr>
      <w:r>
        <w:rPr>
          <w:rFonts w:ascii="Times New Roman" w:cs="Times New Roman" w:eastAsia="Times New Roman" w:hAnsi="Times New Roman"/>
          <w:sz w:val="17"/>
          <w:szCs w:val="17"/>
          <w:color w:val="auto"/>
        </w:rPr>
        <w:t>In accordance with Topic 360,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195" w:lineRule="exact"/>
        <w:rPr>
          <w:sz w:val="20"/>
          <w:szCs w:val="20"/>
          <w:color w:val="auto"/>
        </w:rPr>
      </w:pPr>
    </w:p>
    <w:p>
      <w:pPr>
        <w:ind w:left="920" w:hanging="307"/>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underperformance relative to expected historical or projected future operating results;</w:t>
      </w:r>
    </w:p>
    <w:p>
      <w:pPr>
        <w:spacing w:after="0" w:line="23"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in the manner of our use of the acquired assets or the strategy for our overall business;</w:t>
      </w:r>
    </w:p>
    <w:p>
      <w:pPr>
        <w:spacing w:after="0" w:line="8"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negative industry or economic trends;</w:t>
      </w:r>
    </w:p>
    <w:p>
      <w:pPr>
        <w:spacing w:after="0" w:line="8"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decline in our stock price for a sustained period; and</w:t>
      </w:r>
    </w:p>
    <w:p>
      <w:pPr>
        <w:spacing w:after="0" w:line="8"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capitalization relative to net book value.</w:t>
      </w:r>
    </w:p>
    <w:p>
      <w:pPr>
        <w:spacing w:after="0" w:line="222" w:lineRule="exact"/>
        <w:rPr>
          <w:sz w:val="20"/>
          <w:szCs w:val="20"/>
          <w:color w:val="auto"/>
        </w:rPr>
      </w:pPr>
    </w:p>
    <w:p>
      <w:pPr>
        <w:ind w:right="180" w:firstLine="611"/>
        <w:spacing w:after="0" w:line="279" w:lineRule="auto"/>
        <w:rPr>
          <w:sz w:val="20"/>
          <w:szCs w:val="20"/>
          <w:color w:val="auto"/>
        </w:rPr>
      </w:pPr>
      <w:r>
        <w:rPr>
          <w:rFonts w:ascii="Times New Roman" w:cs="Times New Roman" w:eastAsia="Times New Roman" w:hAnsi="Times New Roman"/>
          <w:sz w:val="17"/>
          <w:szCs w:val="17"/>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78" w:lineRule="exact"/>
        <w:rPr>
          <w:sz w:val="20"/>
          <w:szCs w:val="20"/>
          <w:color w:val="auto"/>
        </w:rPr>
      </w:pPr>
    </w:p>
    <w:p>
      <w:pPr>
        <w:ind w:right="100" w:firstLine="611"/>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Goodwill. </w:t>
      </w:r>
      <w:r>
        <w:rPr>
          <w:rFonts w:ascii="Times New Roman" w:cs="Times New Roman" w:eastAsia="Times New Roman" w:hAnsi="Times New Roman"/>
          <w:sz w:val="17"/>
          <w:szCs w:val="17"/>
          <w:color w:val="auto"/>
        </w:rPr>
        <w:t>The purchase price of an acquired business is allocated to the underlying tangible and intangible assets acquired and liabilities assumed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their respective fair values, with the excess recorded as goodwill. Such fair value assessments require judgments and estimates that can be affected by contract performance and other factors over time, which may cause final amounts to differ materially from original estimates.</w:t>
      </w:r>
    </w:p>
    <w:p>
      <w:pPr>
        <w:spacing w:after="0" w:line="188" w:lineRule="exact"/>
        <w:rPr>
          <w:sz w:val="20"/>
          <w:szCs w:val="20"/>
          <w:color w:val="auto"/>
        </w:rPr>
      </w:pPr>
    </w:p>
    <w:p>
      <w:pPr>
        <w:ind w:firstLine="611"/>
        <w:spacing w:after="0" w:line="258" w:lineRule="auto"/>
        <w:rPr>
          <w:sz w:val="20"/>
          <w:szCs w:val="20"/>
          <w:color w:val="auto"/>
        </w:rPr>
      </w:pPr>
      <w:r>
        <w:rPr>
          <w:rFonts w:ascii="Times New Roman" w:cs="Times New Roman" w:eastAsia="Times New Roman" w:hAnsi="Times New Roman"/>
          <w:sz w:val="17"/>
          <w:szCs w:val="17"/>
          <w:color w:val="auto"/>
        </w:rPr>
        <w:t xml:space="preserve">We perform our impairment test for goodwill in accordance with ASC Topic 350, </w:t>
      </w:r>
      <w:r>
        <w:rPr>
          <w:rFonts w:ascii="Times New Roman" w:cs="Times New Roman" w:eastAsia="Times New Roman" w:hAnsi="Times New Roman"/>
          <w:sz w:val="17"/>
          <w:szCs w:val="17"/>
          <w:i w:val="1"/>
          <w:iCs w:val="1"/>
          <w:color w:val="auto"/>
        </w:rPr>
        <w:t>Intangibles-Goodwill and Other</w:t>
      </w:r>
      <w:r>
        <w:rPr>
          <w:rFonts w:ascii="Times New Roman" w:cs="Times New Roman" w:eastAsia="Times New Roman" w:hAnsi="Times New Roman"/>
          <w:sz w:val="17"/>
          <w:szCs w:val="17"/>
          <w:color w:val="auto"/>
        </w:rPr>
        <w:t xml:space="preserve"> (“Topic 350”). We assess goodwill for impairment at the reporting unit level, which is defined as an operating segment or one level below an operating segment, referred to as a component. We determine our reporting units by first identifying our 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w:t>
      </w:r>
    </w:p>
    <w:p>
      <w:pPr>
        <w:spacing w:after="0" w:line="201" w:lineRule="exact"/>
        <w:rPr>
          <w:sz w:val="20"/>
          <w:szCs w:val="20"/>
          <w:color w:val="auto"/>
        </w:rPr>
      </w:pPr>
    </w:p>
    <w:p>
      <w:pPr>
        <w:ind w:firstLine="611"/>
        <w:spacing w:after="0" w:line="246" w:lineRule="auto"/>
        <w:rPr>
          <w:sz w:val="20"/>
          <w:szCs w:val="20"/>
          <w:color w:val="auto"/>
        </w:rPr>
      </w:pPr>
      <w:r>
        <w:rPr>
          <w:rFonts w:ascii="Times New Roman" w:cs="Times New Roman" w:eastAsia="Times New Roman" w:hAnsi="Times New Roman"/>
          <w:sz w:val="17"/>
          <w:szCs w:val="17"/>
          <w:color w:val="auto"/>
        </w:rPr>
        <w:t>KGS has five operating businesses: Defense and Rocket Support Systems (“DRSS”), Microwave Electronics (“ME”), Space, Training and Cybersecurity Solutions (“ST&amp;C”), C5ISR Systems/Modular Systems (“MS”), and Kratos Turbine Technologies (“KTT”), that provide technology based defense solutions, involving products and services, primarily for mission critical U.S. National Security priorities, with the primary focus relating to the nation’s C5ISR requirements. The US reportable segment provides unmanned aerial, unmanned ground, unmanned seaborne and command, control and communications system products. We have identified our reporting units to be the DRSS, ME, ST&amp;C, MS, and KTT operating segments, within the KGS reportable segment, and the US reportable segment, each of which has been assessed and evaluated for potential impairment in our fiscal year 2025 annual test.</w:t>
      </w:r>
    </w:p>
    <w:p>
      <w:pPr>
        <w:spacing w:after="0" w:line="199" w:lineRule="exact"/>
        <w:rPr>
          <w:sz w:val="20"/>
          <w:szCs w:val="20"/>
          <w:color w:val="auto"/>
        </w:rPr>
      </w:pPr>
    </w:p>
    <w:p>
      <w:pPr>
        <w:ind w:right="20" w:firstLine="611"/>
        <w:spacing w:after="0" w:line="242" w:lineRule="auto"/>
        <w:rPr>
          <w:sz w:val="20"/>
          <w:szCs w:val="20"/>
          <w:color w:val="auto"/>
        </w:rPr>
      </w:pPr>
      <w:r>
        <w:rPr>
          <w:rFonts w:ascii="Times New Roman" w:cs="Times New Roman" w:eastAsia="Times New Roman" w:hAnsi="Times New Roman"/>
          <w:sz w:val="17"/>
          <w:szCs w:val="17"/>
          <w:color w:val="auto"/>
        </w:rPr>
        <w:t>We test goodwill for impairment by first performing a qualitative assessment, and then a quantitative assessment if necessary. If, after performing a qualitative assessment and after assessing the totality of events or circumstances such as macroeconomic, industry and market conditions, cost factors, and overall financial performance, we determine that it is more likely than not (that is, a likelihood of more than 50 percent) that the fair value of a reporting unit is greater than its carrying amount, then a quantitative assessment is not unnecessary. If, after performing a qualitative assessment we determine it is more likely than not that the fair value of a reporting unit is less than its carrying amount, including goodwill, then a quantitative assessment is performed to determine if an impairment exists. For operations where a quantitative assessment is performed, the identification and measurement of impairment involves the estimation of the fair value of reporting units to determine the amount of the impairment. When any impairment has occurred, a charge to operations is recorded. In order to test for potential impairment, we estimate the fair value of each of the impacted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w:t>
      </w:r>
    </w:p>
    <w:p>
      <w:pPr>
        <w:spacing w:after="0" w:line="206" w:lineRule="exact"/>
        <w:rPr>
          <w:sz w:val="20"/>
          <w:szCs w:val="20"/>
          <w:color w:val="auto"/>
        </w:rPr>
      </w:pPr>
    </w:p>
    <w:p>
      <w:pPr>
        <w:ind w:right="140" w:firstLine="611"/>
        <w:spacing w:after="0" w:line="256" w:lineRule="auto"/>
        <w:rPr>
          <w:sz w:val="20"/>
          <w:szCs w:val="20"/>
          <w:color w:val="auto"/>
        </w:rPr>
      </w:pPr>
      <w:r>
        <w:rPr>
          <w:rFonts w:ascii="Times New Roman" w:cs="Times New Roman" w:eastAsia="Times New Roman" w:hAnsi="Times New Roman"/>
          <w:sz w:val="17"/>
          <w:szCs w:val="17"/>
          <w:color w:val="auto"/>
        </w:rPr>
        <w:t>In testing for impairment of our goodwill using a quantitative assessment at a particular reporting unit, we make assumptions about the amount and timing of future expected cash flows, terminal growth rates, appropriate discount rates, market multiples, and the control premium a controlling shareholder could be expected to pay:</w:t>
      </w:r>
    </w:p>
    <w:p>
      <w:pPr>
        <w:spacing w:after="0" w:line="189" w:lineRule="exact"/>
        <w:rPr>
          <w:sz w:val="20"/>
          <w:szCs w:val="20"/>
          <w:color w:val="auto"/>
        </w:rPr>
      </w:pPr>
    </w:p>
    <w:p>
      <w:pPr>
        <w:ind w:left="920" w:right="380" w:hanging="307"/>
        <w:spacing w:after="0" w:line="279" w:lineRule="auto"/>
        <w:tabs>
          <w:tab w:leader="none" w:pos="9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62" w:name="page63"/>
    <w:bookmarkEnd w:id="62"/>
    <w:p>
      <w:pPr>
        <w:ind w:left="920" w:right="660" w:hanging="307"/>
        <w:spacing w:after="0" w:line="259" w:lineRule="auto"/>
        <w:tabs>
          <w:tab w:leader="none" w:pos="9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terminal growth rate is used to calculate the value of cash flows beyond the last projected period in our DCF analysis and reflects our best estimates for stable, perpetual growth of our reporting units.</w:t>
      </w:r>
    </w:p>
    <w:p>
      <w:pPr>
        <w:spacing w:after="0" w:line="1" w:lineRule="exact"/>
        <w:rPr>
          <w:rFonts w:ascii="Times New Roman" w:cs="Times New Roman" w:eastAsia="Times New Roman" w:hAnsi="Times New Roman"/>
          <w:sz w:val="17"/>
          <w:szCs w:val="17"/>
          <w:color w:val="auto"/>
        </w:rPr>
      </w:pPr>
    </w:p>
    <w:p>
      <w:pPr>
        <w:ind w:left="920" w:right="140" w:hanging="307"/>
        <w:spacing w:after="0" w:line="250" w:lineRule="auto"/>
        <w:tabs>
          <w:tab w:leader="none" w:pos="9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may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ind w:left="920" w:hanging="307"/>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historical market multiples are used to estimate future market pricing.</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carrying value of goodwill of the US and KGS reportable segments, was $124.8 million and $470.9 million, respectively, at December 28, 2025.</w:t>
      </w:r>
    </w:p>
    <w:p>
      <w:pPr>
        <w:spacing w:after="0" w:line="237" w:lineRule="exact"/>
        <w:rPr>
          <w:sz w:val="20"/>
          <w:szCs w:val="20"/>
          <w:color w:val="auto"/>
        </w:rPr>
      </w:pPr>
    </w:p>
    <w:p>
      <w:pPr>
        <w:ind w:firstLine="611"/>
        <w:spacing w:after="0" w:line="245" w:lineRule="auto"/>
        <w:rPr>
          <w:sz w:val="20"/>
          <w:szCs w:val="20"/>
          <w:color w:val="auto"/>
        </w:rPr>
      </w:pPr>
      <w:r>
        <w:rPr>
          <w:rFonts w:ascii="Times New Roman" w:cs="Times New Roman" w:eastAsia="Times New Roman" w:hAnsi="Times New Roman"/>
          <w:sz w:val="17"/>
          <w:szCs w:val="17"/>
          <w:color w:val="auto"/>
        </w:rPr>
        <w:t>In determining the fair value of our reporting units, there are key assumptions related to our future operating performance and revenue growth. If the actual operating performance and financial results are not consistent with our assumptions, an impairment in our $595.7 million goodwill and $53.9 million long-lived intangibles could occur in future periods. In particular, the US reporting unit fair value includes assumptions that the development of the high performance UCAS product is successful and we are awarded future contracts for new tactical unmanned aircraft systems. Additional risks for goodwill across all reporting units include, but are not limited to, the risks discussed in Item 1A “Risk Factors” contained within this Annual Report and:</w:t>
      </w:r>
    </w:p>
    <w:p>
      <w:pPr>
        <w:spacing w:after="0" w:line="212" w:lineRule="exact"/>
        <w:rPr>
          <w:sz w:val="20"/>
          <w:szCs w:val="20"/>
          <w:color w:val="auto"/>
        </w:rPr>
      </w:pPr>
    </w:p>
    <w:p>
      <w:pPr>
        <w:ind w:left="920" w:right="80" w:hanging="307"/>
        <w:spacing w:after="0" w:line="259" w:lineRule="auto"/>
        <w:tabs>
          <w:tab w:leader="none" w:pos="9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our stock price and resulting market capitalization, if we determine the decline is sustained and is indicative of a reduction in the fair value below the carrying value of our reporting units;</w:t>
      </w:r>
    </w:p>
    <w:p>
      <w:pPr>
        <w:spacing w:after="0" w:line="1" w:lineRule="exact"/>
        <w:rPr>
          <w:rFonts w:ascii="Times New Roman" w:cs="Times New Roman" w:eastAsia="Times New Roman" w:hAnsi="Times New Roman"/>
          <w:sz w:val="17"/>
          <w:szCs w:val="17"/>
          <w:color w:val="auto"/>
        </w:rPr>
      </w:pPr>
    </w:p>
    <w:p>
      <w:pPr>
        <w:ind w:left="920" w:right="100" w:hanging="307"/>
        <w:spacing w:after="0" w:line="250" w:lineRule="auto"/>
        <w:tabs>
          <w:tab w:leader="none" w:pos="9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available government funding, including budgetary constraints affecting U.S. Government spending generally, or specific departments or agencies;</w:t>
      </w:r>
    </w:p>
    <w:p>
      <w:pPr>
        <w:ind w:left="920" w:hanging="307"/>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Government programs or requirements, including the increased use of small business providers;</w:t>
      </w:r>
    </w:p>
    <w:p>
      <w:pPr>
        <w:spacing w:after="0" w:line="8" w:lineRule="exact"/>
        <w:rPr>
          <w:rFonts w:ascii="Times New Roman" w:cs="Times New Roman" w:eastAsia="Times New Roman" w:hAnsi="Times New Roman"/>
          <w:sz w:val="17"/>
          <w:szCs w:val="17"/>
          <w:color w:val="auto"/>
        </w:rPr>
      </w:pPr>
    </w:p>
    <w:p>
      <w:pPr>
        <w:ind w:left="920" w:right="260" w:hanging="307"/>
        <w:spacing w:after="0" w:line="250" w:lineRule="auto"/>
        <w:tabs>
          <w:tab w:leader="none" w:pos="9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reach our internal forecasts could impact our ability to achieve our forecasted levels of cash flows and reduce the estimated discounted value of our reporting units;</w:t>
      </w:r>
    </w:p>
    <w:p>
      <w:pPr>
        <w:ind w:left="920" w:hanging="307"/>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equity and debt markets resulting in higher discount rates;</w:t>
      </w:r>
    </w:p>
    <w:p>
      <w:pPr>
        <w:spacing w:after="0" w:line="8"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and political factors that could impact the success of new products, especially related to new unmanned systems platforms; and</w:t>
      </w:r>
    </w:p>
    <w:p>
      <w:pPr>
        <w:spacing w:after="0" w:line="8"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7"/>
          <w:szCs w:val="17"/>
          <w:color w:val="auto"/>
        </w:rPr>
        <w:t>continued impact to our businesses and the industry related to supply chain disruptions and inflation.</w:t>
      </w:r>
    </w:p>
    <w:p>
      <w:pPr>
        <w:spacing w:after="0" w:line="209" w:lineRule="exact"/>
        <w:rPr>
          <w:sz w:val="20"/>
          <w:szCs w:val="20"/>
          <w:color w:val="auto"/>
        </w:rPr>
      </w:pPr>
    </w:p>
    <w:p>
      <w:pPr>
        <w:ind w:right="20" w:firstLine="611"/>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Accounting for income taxes and tax contingencies. </w:t>
      </w:r>
      <w:r>
        <w:rPr>
          <w:rFonts w:ascii="Times New Roman" w:cs="Times New Roman" w:eastAsia="Times New Roman" w:hAnsi="Times New Roman"/>
          <w:sz w:val="17"/>
          <w:szCs w:val="17"/>
          <w:color w:val="auto"/>
        </w:rPr>
        <w:t>FASB ASC Topic 740,</w:t>
      </w:r>
      <w:r>
        <w:rPr>
          <w:rFonts w:ascii="Times New Roman" w:cs="Times New Roman" w:eastAsia="Times New Roman" w:hAnsi="Times New Roman"/>
          <w:sz w:val="17"/>
          <w:szCs w:val="17"/>
          <w:i w:val="1"/>
          <w:iCs w:val="1"/>
          <w:color w:val="auto"/>
        </w:rPr>
        <w:t xml:space="preserve"> Income Taxes </w:t>
      </w:r>
      <w:r>
        <w:rPr>
          <w:rFonts w:ascii="Times New Roman" w:cs="Times New Roman" w:eastAsia="Times New Roman" w:hAnsi="Times New Roman"/>
          <w:sz w:val="17"/>
          <w:szCs w:val="17"/>
          <w:color w:val="auto"/>
        </w:rPr>
        <w:t>(“Topic 740”) provides the accounting treatment for uncertainty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income taxes recognized in an enterprise’s financial statements. Topic 740 prescribes a recognition threshold and measurement attribute for the financial statement recognition and measurement of a tax position taken or expected to be taken in a tax return. </w:t>
      </w:r>
      <w:r>
        <w:rPr>
          <w:rFonts w:ascii="Times New Roman" w:cs="Times New Roman" w:eastAsia="Times New Roman" w:hAnsi="Times New Roman"/>
          <w:sz w:val="17"/>
          <w:szCs w:val="17"/>
          <w:i w:val="1"/>
          <w:iCs w:val="1"/>
          <w:color w:val="auto"/>
        </w:rPr>
        <w:t>Topic 740</w:t>
      </w:r>
      <w:r>
        <w:rPr>
          <w:rFonts w:ascii="Times New Roman" w:cs="Times New Roman" w:eastAsia="Times New Roman" w:hAnsi="Times New Roman"/>
          <w:sz w:val="17"/>
          <w:szCs w:val="17"/>
          <w:color w:val="auto"/>
        </w:rPr>
        <w:t xml:space="preserve"> also provides guidance on derecognizing, classification, interest and penalties, accounting in interim periods, disclosure and transition.</w:t>
      </w:r>
    </w:p>
    <w:p>
      <w:pPr>
        <w:spacing w:after="0" w:line="198" w:lineRule="exact"/>
        <w:rPr>
          <w:sz w:val="20"/>
          <w:szCs w:val="20"/>
          <w:color w:val="auto"/>
        </w:rPr>
      </w:pPr>
    </w:p>
    <w:p>
      <w:pPr>
        <w:ind w:right="80" w:firstLine="611"/>
        <w:spacing w:after="0" w:line="255" w:lineRule="auto"/>
        <w:rPr>
          <w:sz w:val="20"/>
          <w:szCs w:val="20"/>
          <w:color w:val="auto"/>
        </w:rPr>
      </w:pPr>
      <w:r>
        <w:rPr>
          <w:rFonts w:ascii="Times New Roman" w:cs="Times New Roman" w:eastAsia="Times New Roman" w:hAnsi="Times New Roman"/>
          <w:sz w:val="17"/>
          <w:szCs w:val="17"/>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205" w:lineRule="exact"/>
        <w:rPr>
          <w:sz w:val="20"/>
          <w:szCs w:val="20"/>
          <w:color w:val="auto"/>
        </w:rPr>
      </w:pPr>
    </w:p>
    <w:p>
      <w:pPr>
        <w:ind w:right="200" w:firstLine="611"/>
        <w:spacing w:after="0" w:line="257" w:lineRule="auto"/>
        <w:rPr>
          <w:sz w:val="20"/>
          <w:szCs w:val="20"/>
          <w:color w:val="auto"/>
        </w:rPr>
      </w:pPr>
      <w:r>
        <w:rPr>
          <w:rFonts w:ascii="Times New Roman" w:cs="Times New Roman" w:eastAsia="Times New Roman" w:hAnsi="Times New Roman"/>
          <w:sz w:val="17"/>
          <w:szCs w:val="17"/>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advisers, our legal advisers and similar tax cases. If at a later time our assessment of the probability of these tax contingencies changes, our accrual for such tax uncertainties may increase or decrease. For further discussion see Note 8 “Income Taxes” in the Notes to the Consolidated Financial Statements in this Annual Report.</w:t>
      </w:r>
    </w:p>
    <w:p>
      <w:pPr>
        <w:spacing w:after="0" w:line="197" w:lineRule="exact"/>
        <w:rPr>
          <w:sz w:val="20"/>
          <w:szCs w:val="20"/>
          <w:color w:val="auto"/>
        </w:rPr>
      </w:pPr>
    </w:p>
    <w:p>
      <w:pPr>
        <w:ind w:right="100" w:firstLine="611"/>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Contingencies and litigation. </w:t>
      </w:r>
      <w:r>
        <w:rPr>
          <w:rFonts w:ascii="Times New Roman" w:cs="Times New Roman" w:eastAsia="Times New Roman" w:hAnsi="Times New Roman"/>
          <w:sz w:val="17"/>
          <w:szCs w:val="17"/>
          <w:color w:val="auto"/>
        </w:rPr>
        <w:t>We are currently involved in certain legal proceedings. We estimate a range of liability related to pending litigation where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 and range of loss can be estimated. We record our estimate of a loss when the loss is considered probable and reasonably estimable. Where a liability is probable and there is a range of estimated loss and no</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63" w:name="page64"/>
    <w:bookmarkEnd w:id="63"/>
    <w:p>
      <w:pPr>
        <w:spacing w:after="0" w:line="259" w:lineRule="auto"/>
        <w:rPr>
          <w:sz w:val="20"/>
          <w:szCs w:val="20"/>
          <w:color w:val="auto"/>
        </w:rPr>
      </w:pPr>
      <w:r>
        <w:rPr>
          <w:rFonts w:ascii="Times New Roman" w:cs="Times New Roman" w:eastAsia="Times New Roman" w:hAnsi="Times New Roman"/>
          <w:sz w:val="17"/>
          <w:szCs w:val="17"/>
          <w:color w:val="auto"/>
        </w:rPr>
        <w:t xml:space="preserve">amount in the range is more likely than any other number in the range, we record the minimum estimated liability related to the claim in accordance with FASB ASC Topic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As additional information becomes available, we assess the potential liability related to our pending litigation and revise our estimates. Revisions in our estimates of potential liability could materially impact our results of operations. See Note 14 of the Notes to Consolidated Financial Statements contained within this Annual Report for a further discussion of our legal proceedings.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 of the Notes to Consolidated Financial Statements contained within this Annual Report for a discussion of recent accounting pronouncements.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and Foreign Currency Risks</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exposed to market risk, primarily related to interest rates and foreign currency exchange rates.</w:t>
      </w:r>
    </w:p>
    <w:p>
      <w:pPr>
        <w:spacing w:after="0" w:line="233" w:lineRule="exact"/>
        <w:rPr>
          <w:sz w:val="20"/>
          <w:szCs w:val="20"/>
          <w:color w:val="auto"/>
        </w:rPr>
      </w:pPr>
    </w:p>
    <w:p>
      <w:pPr>
        <w:ind w:right="20" w:firstLine="611"/>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Exposure to market risk for changes in interest rates relates to our outstanding debt. </w:t>
      </w:r>
      <w:r>
        <w:rPr>
          <w:rFonts w:ascii="Times New Roman" w:cs="Times New Roman" w:eastAsia="Times New Roman" w:hAnsi="Times New Roman"/>
          <w:sz w:val="17"/>
          <w:szCs w:val="17"/>
          <w:color w:val="auto"/>
        </w:rPr>
        <w:t>We are exposed to interest rate risk, primarily through any future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borrowings under the Credit Agreement discussed under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Liquidity and Capital Resources” above. Based on our current outstanding balances, a 1% change in the SOFR would not materially impact our financial position and results of operations.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interest rate risk on our prior credit facilities. Please see Note 16 in the accompanying Consolidated Financial Statements for information on our outstanding derivative financial instruments as of December 28, 2025.</w:t>
      </w:r>
    </w:p>
    <w:p>
      <w:pPr>
        <w:spacing w:after="0" w:line="206" w:lineRule="exact"/>
        <w:rPr>
          <w:sz w:val="20"/>
          <w:szCs w:val="20"/>
          <w:color w:val="auto"/>
        </w:rPr>
      </w:pPr>
    </w:p>
    <w:p>
      <w:pPr>
        <w:ind w:right="100" w:firstLine="611"/>
        <w:spacing w:after="0" w:line="253" w:lineRule="auto"/>
        <w:rPr>
          <w:sz w:val="20"/>
          <w:szCs w:val="20"/>
          <w:color w:val="auto"/>
        </w:rPr>
      </w:pPr>
      <w:r>
        <w:rPr>
          <w:rFonts w:ascii="Times New Roman" w:cs="Times New Roman" w:eastAsia="Times New Roman" w:hAnsi="Times New Roman"/>
          <w:sz w:val="17"/>
          <w:szCs w:val="17"/>
          <w:color w:val="auto"/>
        </w:rPr>
        <w:t>Exposure to market risk for foreign currency exchange rate risk is related to receipts from customers, payments to suppliers and intercompany loans denominated in foreign currencies. Accordingly, a strengthening of the U.S. dollar (“USD”) or a strengthening of certain foreign currencies, such as the Israeli Shekel, will negatively impact revenues and gross margins expressed in consolidated USD terms. For instance, in our Israeli business, we are paid in USD for work performed but our cost of sales (payroll, materials, subcontract costs, etc.) are paid in Israeli Shekel. From time to time, we enter into limited foreign currency forward contracts to manage foreign currency exchange rate risk because exchange rate fluctuations have had, and we expect will have, minimal impact on our operating results and cash flows. We had no such contracts outstanding as of December 28, 2025. Based on our overall foreign currency rate exposure as of December 28, 2025, including the limited derivative financial instruments that we have entered into to manage this risk, a 10% appreciation or depreciation of the USD from its cross-functional rates would not be expected, in the aggregate, to have a material effect on our financial position, results of operations and cash flows in the near-term.</w:t>
      </w:r>
    </w:p>
    <w:p>
      <w:pPr>
        <w:spacing w:after="0" w:line="208" w:lineRule="exact"/>
        <w:rPr>
          <w:sz w:val="20"/>
          <w:szCs w:val="20"/>
          <w:color w:val="auto"/>
        </w:rPr>
      </w:pPr>
    </w:p>
    <w:p>
      <w:pPr>
        <w:ind w:right="160" w:firstLine="611"/>
        <w:spacing w:after="0" w:line="264" w:lineRule="auto"/>
        <w:rPr>
          <w:sz w:val="20"/>
          <w:szCs w:val="20"/>
          <w:color w:val="auto"/>
        </w:rPr>
      </w:pPr>
      <w:r>
        <w:rPr>
          <w:rFonts w:ascii="Times New Roman" w:cs="Times New Roman" w:eastAsia="Times New Roman" w:hAnsi="Times New Roman"/>
          <w:sz w:val="17"/>
          <w:szCs w:val="17"/>
          <w:color w:val="auto"/>
        </w:rPr>
        <w:t>Our cash and cash equivalents as of December 28, 2025 were $560.6 million and are primarily invested in money market interest bearing accounts. A hypothetical 10% adverse change in the average interest rate on our money market cash investments and short-term investments would have had no material effect on our net income for the year ended December 28,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Inflation Risk</w:t>
      </w:r>
    </w:p>
    <w:p>
      <w:pPr>
        <w:spacing w:after="0" w:line="241" w:lineRule="exact"/>
        <w:rPr>
          <w:sz w:val="20"/>
          <w:szCs w:val="20"/>
          <w:color w:val="auto"/>
        </w:rPr>
      </w:pPr>
    </w:p>
    <w:p>
      <w:pPr>
        <w:ind w:right="120" w:firstLine="611"/>
        <w:spacing w:after="0" w:line="254" w:lineRule="auto"/>
        <w:rPr>
          <w:sz w:val="20"/>
          <w:szCs w:val="20"/>
          <w:color w:val="auto"/>
        </w:rPr>
      </w:pPr>
      <w:r>
        <w:rPr>
          <w:rFonts w:ascii="Times New Roman" w:cs="Times New Roman" w:eastAsia="Times New Roman" w:hAnsi="Times New Roman"/>
          <w:sz w:val="17"/>
          <w:szCs w:val="17"/>
          <w:color w:val="auto"/>
        </w:rPr>
        <w:t>Inflation has increased during the period covered by this Annual Report, and is expected to continue to increase for the near future. 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some effect if inflation rates continue to rise. Significant adverse changes in inflation and prices in the future could result in material losses.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Commodity Price Risk Management</w:t>
      </w:r>
    </w:p>
    <w:p>
      <w:pPr>
        <w:spacing w:after="0" w:line="222" w:lineRule="exact"/>
        <w:rPr>
          <w:sz w:val="20"/>
          <w:szCs w:val="20"/>
          <w:color w:val="auto"/>
        </w:rPr>
      </w:pPr>
    </w:p>
    <w:p>
      <w:pPr>
        <w:ind w:right="20" w:firstLine="611"/>
        <w:spacing w:after="0" w:line="279" w:lineRule="auto"/>
        <w:rPr>
          <w:sz w:val="20"/>
          <w:szCs w:val="20"/>
          <w:color w:val="auto"/>
        </w:rPr>
      </w:pPr>
      <w:r>
        <w:rPr>
          <w:rFonts w:ascii="Times New Roman" w:cs="Times New Roman" w:eastAsia="Times New Roman" w:hAnsi="Times New Roman"/>
          <w:sz w:val="17"/>
          <w:szCs w:val="17"/>
          <w:color w:val="auto"/>
        </w:rPr>
        <w:t>We purchase commodities for use in our manufacturing processes. We typically purchase these commodities at market prices, and as a result are affected by market price fluctuations. We have decided not to hedge these exposures as they are deemed immaterial.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 and Supplementary Data.</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64" w:name="page65"/>
    <w:bookmarkEnd w:id="64"/>
    <w:p>
      <w:pPr>
        <w:ind w:right="360" w:firstLine="611"/>
        <w:spacing w:after="0" w:line="279" w:lineRule="auto"/>
        <w:rPr>
          <w:sz w:val="20"/>
          <w:szCs w:val="20"/>
          <w:color w:val="auto"/>
        </w:rPr>
      </w:pPr>
      <w:r>
        <w:rPr>
          <w:rFonts w:ascii="Times New Roman" w:cs="Times New Roman" w:eastAsia="Times New Roman" w:hAnsi="Times New Roman"/>
          <w:sz w:val="17"/>
          <w:szCs w:val="17"/>
          <w:color w:val="auto"/>
        </w:rPr>
        <w:t>Our Consolidated Financial Statements and supplementary data required by this item are set forth at the pages indicated in Item 15(a) (1) and 15(a) (2),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Disclosure Controls and Procedures</w:t>
      </w:r>
    </w:p>
    <w:p>
      <w:pPr>
        <w:spacing w:after="0" w:line="241" w:lineRule="exact"/>
        <w:rPr>
          <w:sz w:val="20"/>
          <w:szCs w:val="20"/>
          <w:color w:val="auto"/>
        </w:rPr>
      </w:pPr>
    </w:p>
    <w:p>
      <w:pPr>
        <w:ind w:right="60" w:firstLine="611"/>
        <w:spacing w:after="0" w:line="255"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202" w:lineRule="exact"/>
        <w:rPr>
          <w:sz w:val="20"/>
          <w:szCs w:val="20"/>
          <w:color w:val="auto"/>
        </w:rPr>
      </w:pPr>
    </w:p>
    <w:p>
      <w:pPr>
        <w:ind w:right="120" w:firstLine="611"/>
        <w:spacing w:after="0" w:line="259" w:lineRule="auto"/>
        <w:rPr>
          <w:sz w:val="20"/>
          <w:szCs w:val="20"/>
          <w:color w:val="auto"/>
        </w:rPr>
      </w:pPr>
      <w:r>
        <w:rPr>
          <w:rFonts w:ascii="Times New Roman" w:cs="Times New Roman" w:eastAsia="Times New Roman" w:hAnsi="Times New Roman"/>
          <w:sz w:val="17"/>
          <w:szCs w:val="17"/>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at the reasonable assurance level as of December 28,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241" w:lineRule="exact"/>
        <w:rPr>
          <w:sz w:val="20"/>
          <w:szCs w:val="20"/>
          <w:color w:val="auto"/>
        </w:rPr>
      </w:pPr>
    </w:p>
    <w:p>
      <w:pPr>
        <w:ind w:firstLine="611"/>
        <w:spacing w:after="0" w:line="257"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the policies and procedures may deteriorate.</w:t>
      </w:r>
    </w:p>
    <w:p>
      <w:pPr>
        <w:spacing w:after="0" w:line="201" w:lineRule="exact"/>
        <w:rPr>
          <w:sz w:val="20"/>
          <w:szCs w:val="20"/>
          <w:color w:val="auto"/>
        </w:rPr>
      </w:pPr>
    </w:p>
    <w:p>
      <w:pPr>
        <w:ind w:right="340" w:firstLine="611"/>
        <w:spacing w:after="0" w:line="259"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Principal Executive Officer and Principal Financial Officer, we conducted an evaluation of the effectiveness of our internal control over financial reporting based on the framework in the 2013 Internal Control-Integrated Framework issued by the Committee of Sponsoring Organizations of the Treadway Commission. Management concluded that our internal control over financial reporting was effective at the reasonable assurance level as of December 28, 2025.</w:t>
      </w:r>
    </w:p>
    <w:p>
      <w:pPr>
        <w:spacing w:after="0" w:line="200" w:lineRule="exact"/>
        <w:rPr>
          <w:sz w:val="20"/>
          <w:szCs w:val="20"/>
          <w:color w:val="auto"/>
        </w:rPr>
      </w:pPr>
    </w:p>
    <w:p>
      <w:pPr>
        <w:ind w:right="20" w:firstLine="611"/>
        <w:spacing w:after="0" w:line="279" w:lineRule="auto"/>
        <w:rPr>
          <w:sz w:val="20"/>
          <w:szCs w:val="20"/>
          <w:color w:val="auto"/>
        </w:rPr>
      </w:pPr>
      <w:r>
        <w:rPr>
          <w:rFonts w:ascii="Times New Roman" w:cs="Times New Roman" w:eastAsia="Times New Roman" w:hAnsi="Times New Roman"/>
          <w:sz w:val="17"/>
          <w:szCs w:val="17"/>
          <w:color w:val="auto"/>
        </w:rPr>
        <w:t>Our internal control over financial reporting has been audited by Deloitte &amp; Touche LLP, an independent registered public accounting firm, as stated in their report appearing below, which expresses an unqualified opinion on the effectiveness of our internal control over financial reporting as of December 28,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41" w:lineRule="exact"/>
        <w:rPr>
          <w:sz w:val="20"/>
          <w:szCs w:val="20"/>
          <w:color w:val="auto"/>
        </w:rPr>
      </w:pPr>
    </w:p>
    <w:p>
      <w:pPr>
        <w:jc w:val="both"/>
        <w:ind w:right="180" w:firstLine="611"/>
        <w:spacing w:after="0" w:line="264"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accounting and reporting (as defined in Rules 13a-15(f) and 15d-15(f) of the Exchange Act) during the fourth quarter of the fiscal year ended December 28,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212" w:lineRule="exact"/>
        <w:rPr>
          <w:sz w:val="20"/>
          <w:szCs w:val="20"/>
          <w:color w:val="auto"/>
        </w:rPr>
      </w:pPr>
    </w:p>
    <w:p>
      <w:pPr>
        <w:ind w:right="680" w:firstLine="2"/>
        <w:spacing w:after="0" w:line="284" w:lineRule="auto"/>
        <w:tabs>
          <w:tab w:leader="none" w:pos="368"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Entry into a Material Definitive Agreement, Termination of a Material Definitive Agreement, Creation of a Direct Financial Obligation or an Obligation under an Off-Balance Sheet Arrangement of a Registrant, and Material Modification to Rights to Security Holders</w:t>
      </w:r>
    </w:p>
    <w:p>
      <w:pPr>
        <w:spacing w:after="0" w:line="178"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On February 20, 2026, the Company entered into a Credit Agreement (the “2026 Credit Agreement”), by and among the Company, the guarantors from time to time party thereto, the lenders from time to time party thereto (the “Lenders”), and PNC Bank, National Association (the “Administrative Agent”), in its capacity as administrative agent, and as swingline loan lender and issuing lender. The 2026 Credit Agreement establishes a five-year senior secured credit facility which is comprised of a $300 million revolving credit facility (which includes sub-facilities for the incurrence of up to $35.0 million of swingline loans and the issuance of up to $50.0 million of Letters of Credit). Letters of credit outstanding under the 2022 Credit Agreement will be transferred to the 2026 Credit Agreement. The 2026 Credit Agreement contemplates uncommitted incremental credit facilities of up to $135.0 million.</w:t>
      </w:r>
    </w:p>
    <w:p>
      <w:pPr>
        <w:spacing w:after="0" w:line="205" w:lineRule="exact"/>
        <w:rPr>
          <w:sz w:val="20"/>
          <w:szCs w:val="20"/>
          <w:color w:val="auto"/>
        </w:rPr>
      </w:pPr>
    </w:p>
    <w:p>
      <w:pPr>
        <w:jc w:val="both"/>
        <w:ind w:right="20" w:firstLine="611"/>
        <w:spacing w:after="0" w:line="264" w:lineRule="auto"/>
        <w:rPr>
          <w:sz w:val="20"/>
          <w:szCs w:val="20"/>
          <w:color w:val="auto"/>
        </w:rPr>
      </w:pPr>
      <w:r>
        <w:rPr>
          <w:rFonts w:ascii="Times New Roman" w:cs="Times New Roman" w:eastAsia="Times New Roman" w:hAnsi="Times New Roman"/>
          <w:sz w:val="17"/>
          <w:szCs w:val="17"/>
          <w:color w:val="auto"/>
        </w:rPr>
        <w:t>The Company’s obligations under the 2026 Credit Agreement are guaranteed by the Guarantors (as defined in the 2026 Credit Agreement). The Company’s obligations under the 2026 Credit Agreement and the Guarantors’ obligations under the Guaranty and Security Agreement (as defined in the 2026 Credit Agreement) are secured by first priority security interests in all assets of the loan parties that have executed the Guaranty and Security Agreement.</w:t>
      </w:r>
    </w:p>
    <w:p>
      <w:pPr>
        <w:spacing w:after="0" w:line="195" w:lineRule="exact"/>
        <w:rPr>
          <w:sz w:val="20"/>
          <w:szCs w:val="20"/>
          <w:color w:val="auto"/>
        </w:rPr>
      </w:pPr>
    </w:p>
    <w:p>
      <w:pPr>
        <w:jc w:val="both"/>
        <w:ind w:right="180" w:firstLine="611"/>
        <w:spacing w:after="0" w:line="278" w:lineRule="auto"/>
        <w:rPr>
          <w:sz w:val="20"/>
          <w:szCs w:val="20"/>
          <w:color w:val="auto"/>
        </w:rPr>
      </w:pPr>
      <w:r>
        <w:rPr>
          <w:rFonts w:ascii="Times New Roman" w:cs="Times New Roman" w:eastAsia="Times New Roman" w:hAnsi="Times New Roman"/>
          <w:sz w:val="16"/>
          <w:szCs w:val="16"/>
          <w:color w:val="auto"/>
        </w:rPr>
        <w:t>Borrowings under the revolving credit facility may take the form of base rate loans or Secured Overnight Financing Rate (“SOFR”) loans. Base rate loans under the 2026 Credit Agreement will bear interest at a rate per annum equal to the sum of the Applicable Margin (as defined in the 2026 Credit Agreement) from time to time in effect plus the highest of (i) the Overnight Bank Funding Rate (as defined in the 2026 Credit Agreement), as in effect at such time, plus 0.50%, (ii) the Administrative Agent’s prime lending rate, as in effect at such time, and (iii) the Daily Simple SOFR (as defined in the 2026 Credit Agreement) plus 1.00%, so</w:t>
      </w:r>
    </w:p>
    <w:p>
      <w:pPr>
        <w:spacing w:after="0" w:line="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long as Daily Simple SOFR is offered, ascertainable and not unlawful. SOFR loans will bear interest a rate per annum equal to the sum of the Applicable Margin from time to time in effect plus the Term SOFR Rate for an Interest Period (as defined in the 2026 Credit Agreement) selected by the Company of one (1), three (3) or six (6) months. The Applicable Margin varies between 1.00% and 2.00% per annum for SOFR loans and between 0.00% and 1.00% per annum for base rate loans, and is based on the Company’s total net leverage ratio from time to time.</w:t>
      </w:r>
    </w:p>
    <w:p>
      <w:pPr>
        <w:spacing w:after="0" w:line="200" w:lineRule="exact"/>
        <w:rPr>
          <w:sz w:val="20"/>
          <w:szCs w:val="20"/>
          <w:color w:val="auto"/>
        </w:rPr>
      </w:pPr>
    </w:p>
    <w:p>
      <w:pPr>
        <w:ind w:right="400" w:firstLine="611"/>
        <w:spacing w:after="0" w:line="279" w:lineRule="auto"/>
        <w:rPr>
          <w:sz w:val="20"/>
          <w:szCs w:val="20"/>
          <w:color w:val="auto"/>
        </w:rPr>
      </w:pPr>
      <w:r>
        <w:rPr>
          <w:rFonts w:ascii="Times New Roman" w:cs="Times New Roman" w:eastAsia="Times New Roman" w:hAnsi="Times New Roman"/>
          <w:sz w:val="17"/>
          <w:szCs w:val="17"/>
          <w:color w:val="auto"/>
        </w:rPr>
        <w:t>The 2026 Credit Agreement contains certain covenants, which include, but are not limited to, restrictions on indebtedness, liens, fundamental changes, restricted payments, asset sales, and investments, and places limits on various other payments.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Events of default under the terms of the 2026 Credit Agreement include, but are not limited to:</w:t>
      </w:r>
    </w:p>
    <w:p>
      <w:pPr>
        <w:spacing w:after="0" w:line="237" w:lineRule="exact"/>
        <w:rPr>
          <w:sz w:val="20"/>
          <w:szCs w:val="20"/>
          <w:color w:val="auto"/>
        </w:rPr>
      </w:pPr>
    </w:p>
    <w:p>
      <w:pPr>
        <w:ind w:left="720" w:hanging="107"/>
        <w:spacing w:after="0"/>
        <w:tabs>
          <w:tab w:leader="none" w:pos="7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the Company to pay any principal of any loans in full when due and payable;</w:t>
      </w:r>
    </w:p>
    <w:p>
      <w:pPr>
        <w:spacing w:after="0" w:line="237" w:lineRule="exact"/>
        <w:rPr>
          <w:rFonts w:ascii="Times New Roman" w:cs="Times New Roman" w:eastAsia="Times New Roman" w:hAnsi="Times New Roman"/>
          <w:sz w:val="17"/>
          <w:szCs w:val="17"/>
          <w:color w:val="auto"/>
        </w:rPr>
      </w:pPr>
    </w:p>
    <w:p>
      <w:pPr>
        <w:ind w:right="280" w:firstLine="613"/>
        <w:spacing w:after="0" w:line="279" w:lineRule="auto"/>
        <w:tabs>
          <w:tab w:leader="none" w:pos="71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the Company to pay any interest on any loan or any fee or other amount payable under the 2026 Credit Agreement within five business days after the date when due and payable;</w:t>
      </w:r>
    </w:p>
    <w:p>
      <w:pPr>
        <w:spacing w:after="0" w:line="182" w:lineRule="exact"/>
        <w:rPr>
          <w:rFonts w:ascii="Times New Roman" w:cs="Times New Roman" w:eastAsia="Times New Roman" w:hAnsi="Times New Roman"/>
          <w:sz w:val="17"/>
          <w:szCs w:val="17"/>
          <w:color w:val="auto"/>
        </w:rPr>
      </w:pPr>
    </w:p>
    <w:p>
      <w:pPr>
        <w:ind w:right="440" w:firstLine="613"/>
        <w:spacing w:after="0" w:line="279" w:lineRule="auto"/>
        <w:tabs>
          <w:tab w:leader="none" w:pos="71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the Company or any of its subsidiaries to comply with certain covenants and agreements, subject to applicable grace periods and/or notice requirements; and</w:t>
      </w:r>
    </w:p>
    <w:p>
      <w:pPr>
        <w:spacing w:after="0" w:line="182" w:lineRule="exact"/>
        <w:rPr>
          <w:rFonts w:ascii="Times New Roman" w:cs="Times New Roman" w:eastAsia="Times New Roman" w:hAnsi="Times New Roman"/>
          <w:sz w:val="17"/>
          <w:szCs w:val="17"/>
          <w:color w:val="auto"/>
        </w:rPr>
      </w:pPr>
    </w:p>
    <w:p>
      <w:pPr>
        <w:ind w:right="100" w:firstLine="613"/>
        <w:spacing w:after="0" w:line="257" w:lineRule="auto"/>
        <w:tabs>
          <w:tab w:leader="none" w:pos="71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representation or warranty made or deemed made by or on behalf of the Company or any of its subsidiaries in or in connection with the 2026 Credit Agreement or in any certificate, report, financial statement or other document submitted to the Administrative Agent or the Lenders by the Company or the Guarantors pursuant to or in connection with the 2026 Credit Agreement or any other loan document shall prove to be incorrect in any material respect (other than any representation or warranty that is expressly qualified by a Material Adverse Effect (as defined in the 2026 Credit Agreement) or other materiality, in which case such representation or warranty shall prove to be incorrect in any respect) when made or deemed made or submitted.</w:t>
      </w:r>
    </w:p>
    <w:p>
      <w:pPr>
        <w:spacing w:after="0" w:line="201" w:lineRule="exact"/>
        <w:rPr>
          <w:sz w:val="20"/>
          <w:szCs w:val="20"/>
          <w:color w:val="auto"/>
        </w:rPr>
      </w:pPr>
    </w:p>
    <w:p>
      <w:pPr>
        <w:jc w:val="both"/>
        <w:ind w:right="180" w:firstLine="611"/>
        <w:spacing w:after="0" w:line="264" w:lineRule="auto"/>
        <w:rPr>
          <w:sz w:val="20"/>
          <w:szCs w:val="20"/>
          <w:color w:val="auto"/>
        </w:rPr>
      </w:pPr>
      <w:r>
        <w:rPr>
          <w:rFonts w:ascii="Times New Roman" w:cs="Times New Roman" w:eastAsia="Times New Roman" w:hAnsi="Times New Roman"/>
          <w:sz w:val="17"/>
          <w:szCs w:val="17"/>
          <w:color w:val="auto"/>
        </w:rPr>
        <w:t>Subject to certain notice requirements and other conditions, upon the occurrence of an event of default, commitments may be terminated and the principal of, and interest then outstanding on, all of the loans may become immediately due and payable; however, where an event of default arises from certain bankruptcy events, the commitments shall automatically and</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color w:val="auto"/>
        </w:rPr>
        <w:t>immediately terminate and the principal of, and interest then outstanding on, all of the loans shall become immediately due and payable.</w:t>
      </w:r>
    </w:p>
    <w:p>
      <w:pPr>
        <w:spacing w:after="0" w:line="237" w:lineRule="exact"/>
        <w:rPr>
          <w:sz w:val="20"/>
          <w:szCs w:val="20"/>
          <w:color w:val="auto"/>
        </w:rPr>
      </w:pPr>
    </w:p>
    <w:p>
      <w:pPr>
        <w:ind w:right="340" w:firstLine="611"/>
        <w:spacing w:after="0" w:line="279" w:lineRule="auto"/>
        <w:rPr>
          <w:sz w:val="20"/>
          <w:szCs w:val="20"/>
          <w:color w:val="auto"/>
        </w:rPr>
      </w:pPr>
      <w:r>
        <w:rPr>
          <w:rFonts w:ascii="Times New Roman" w:cs="Times New Roman" w:eastAsia="Times New Roman" w:hAnsi="Times New Roman"/>
          <w:sz w:val="17"/>
          <w:szCs w:val="17"/>
          <w:color w:val="auto"/>
        </w:rPr>
        <w:t>In connection with the execution of the consummation of the transactions contemplated by the 2026 Credit Agreement, the 2022 Credit Agreement was terminated..</w:t>
      </w:r>
    </w:p>
    <w:p>
      <w:pPr>
        <w:spacing w:after="0" w:line="182" w:lineRule="exact"/>
        <w:rPr>
          <w:sz w:val="20"/>
          <w:szCs w:val="20"/>
          <w:color w:val="auto"/>
        </w:rPr>
      </w:pPr>
    </w:p>
    <w:p>
      <w:pPr>
        <w:ind w:firstLine="611"/>
        <w:spacing w:after="0" w:line="279" w:lineRule="auto"/>
        <w:rPr>
          <w:sz w:val="20"/>
          <w:szCs w:val="20"/>
          <w:color w:val="auto"/>
        </w:rPr>
      </w:pPr>
      <w:r>
        <w:rPr>
          <w:rFonts w:ascii="Times New Roman" w:cs="Times New Roman" w:eastAsia="Times New Roman" w:hAnsi="Times New Roman"/>
          <w:sz w:val="17"/>
          <w:szCs w:val="17"/>
          <w:color w:val="auto"/>
        </w:rPr>
        <w:t>Pursuant to the 2026 Credit Agreement, the Company is subject to certain restrictions on its ability to pay dividends or make other distributions or payments on account of any redemption, retirement or purchase of any capital stock.</w:t>
      </w:r>
    </w:p>
    <w:p>
      <w:pPr>
        <w:spacing w:after="0" w:line="182" w:lineRule="exact"/>
        <w:rPr>
          <w:sz w:val="20"/>
          <w:szCs w:val="20"/>
          <w:color w:val="auto"/>
        </w:rPr>
      </w:pPr>
    </w:p>
    <w:p>
      <w:pPr>
        <w:jc w:val="both"/>
        <w:ind w:right="380" w:firstLine="611"/>
        <w:spacing w:after="0" w:line="311" w:lineRule="auto"/>
        <w:rPr>
          <w:sz w:val="20"/>
          <w:szCs w:val="20"/>
          <w:color w:val="auto"/>
        </w:rPr>
      </w:pPr>
      <w:r>
        <w:rPr>
          <w:rFonts w:ascii="Times New Roman" w:cs="Times New Roman" w:eastAsia="Times New Roman" w:hAnsi="Times New Roman"/>
          <w:sz w:val="16"/>
          <w:szCs w:val="16"/>
          <w:color w:val="auto"/>
        </w:rPr>
        <w:t>The 2026 Credit Agreement is filed as Exhibit 10.27 to this Annual Report and is incorporated herein by reference. The description of the 2026 Credit Agreement in this Annual Report is a summary only, does not purport to be complete, and is qualified in its entirety by the terms of the 2026 Credit Agreement.</w:t>
      </w:r>
    </w:p>
    <w:p>
      <w:pPr>
        <w:spacing w:after="0" w:line="15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Rule 10b5-1 Trading Plans</w:t>
      </w:r>
    </w:p>
    <w:p>
      <w:pPr>
        <w:spacing w:after="0" w:line="241" w:lineRule="exact"/>
        <w:rPr>
          <w:sz w:val="20"/>
          <w:szCs w:val="20"/>
          <w:color w:val="auto"/>
        </w:rPr>
      </w:pPr>
    </w:p>
    <w:p>
      <w:pPr>
        <w:jc w:val="both"/>
        <w:ind w:right="100" w:firstLine="611"/>
        <w:spacing w:after="0" w:line="264" w:lineRule="auto"/>
        <w:rPr>
          <w:sz w:val="20"/>
          <w:szCs w:val="20"/>
          <w:color w:val="auto"/>
        </w:rPr>
      </w:pPr>
      <w:r>
        <w:rPr>
          <w:rFonts w:ascii="Times New Roman" w:cs="Times New Roman" w:eastAsia="Times New Roman" w:hAnsi="Times New Roman"/>
          <w:sz w:val="17"/>
          <w:szCs w:val="17"/>
          <w:color w:val="auto"/>
        </w:rPr>
        <w:t>During the fiscal quarter ended December 28, 2025, none of our directors or officers (as defined in Rule 16a-1 under the Exchange Act) adopted, modified or terminated a "Rule 10b5-1 trading arrangement" or "non-Rule 105b-1 trading arrangement" (as those terms are defined in Item 408 of Regulation S-K), except as described in the table below:</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540" w:type="dxa"/>
            <w:vAlign w:val="bottom"/>
            <w:tcBorders>
              <w:top w:val="single" w:sz="8" w:color="auto"/>
              <w:left w:val="single" w:sz="8" w:color="auto"/>
              <w:right w:val="single" w:sz="8" w:color="auto"/>
            </w:tcBorders>
          </w:tcPr>
          <w:p>
            <w:pPr>
              <w:spacing w:after="0"/>
              <w:rPr>
                <w:sz w:val="17"/>
                <w:szCs w:val="17"/>
                <w:color w:val="auto"/>
              </w:rPr>
            </w:pPr>
          </w:p>
        </w:tc>
        <w:tc>
          <w:tcPr>
            <w:tcW w:w="228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Rule 10b5-1</w:t>
            </w:r>
          </w:p>
        </w:tc>
        <w:tc>
          <w:tcPr>
            <w:tcW w:w="1640" w:type="dxa"/>
            <w:vAlign w:val="bottom"/>
            <w:tcBorders>
              <w:top w:val="single" w:sz="8" w:color="auto"/>
            </w:tcBorders>
          </w:tcPr>
          <w:p>
            <w:pPr>
              <w:spacing w:after="0"/>
              <w:rPr>
                <w:sz w:val="17"/>
                <w:szCs w:val="17"/>
                <w:color w:val="auto"/>
              </w:rPr>
            </w:pPr>
          </w:p>
        </w:tc>
        <w:tc>
          <w:tcPr>
            <w:tcW w:w="460" w:type="dxa"/>
            <w:vAlign w:val="bottom"/>
            <w:tcBorders>
              <w:top w:val="single" w:sz="8" w:color="auto"/>
              <w:right w:val="single" w:sz="8" w:color="auto"/>
            </w:tcBorders>
          </w:tcPr>
          <w:p>
            <w:pPr>
              <w:spacing w:after="0"/>
              <w:rPr>
                <w:sz w:val="17"/>
                <w:szCs w:val="17"/>
                <w:color w:val="auto"/>
              </w:rPr>
            </w:pPr>
          </w:p>
        </w:tc>
      </w:tr>
      <w:tr>
        <w:trPr>
          <w:trHeight w:val="191"/>
        </w:trPr>
        <w:tc>
          <w:tcPr>
            <w:tcW w:w="154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w w:val="97"/>
              </w:rPr>
              <w:t>Trading</w:t>
            </w:r>
          </w:p>
        </w:tc>
        <w:tc>
          <w:tcPr>
            <w:tcW w:w="210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rPr>
              <w:t>Aggregated Number of</w:t>
            </w:r>
          </w:p>
        </w:tc>
      </w:tr>
      <w:tr>
        <w:trPr>
          <w:trHeight w:val="188"/>
        </w:trPr>
        <w:tc>
          <w:tcPr>
            <w:tcW w:w="154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9"/>
              </w:rPr>
              <w:t>Applicable</w:t>
            </w:r>
          </w:p>
        </w:tc>
        <w:tc>
          <w:tcPr>
            <w:tcW w:w="11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9"/>
              </w:rPr>
              <w:t>Expiration</w:t>
            </w:r>
          </w:p>
        </w:tc>
        <w:tc>
          <w:tcPr>
            <w:tcW w:w="15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9"/>
              </w:rPr>
              <w:t>Arrangement?</w:t>
            </w:r>
          </w:p>
        </w:tc>
        <w:tc>
          <w:tcPr>
            <w:tcW w:w="210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9"/>
              </w:rPr>
              <w:t>Securities Subject to</w:t>
            </w:r>
          </w:p>
        </w:tc>
      </w:tr>
      <w:tr>
        <w:trPr>
          <w:trHeight w:val="252"/>
        </w:trPr>
        <w:tc>
          <w:tcPr>
            <w:tcW w:w="1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Action</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(Y/N)</w:t>
            </w:r>
            <w:r>
              <w:rPr>
                <w:rFonts w:ascii="Times New Roman" w:cs="Times New Roman" w:eastAsia="Times New Roman" w:hAnsi="Times New Roman"/>
                <w:sz w:val="22"/>
                <w:szCs w:val="22"/>
                <w:b w:val="1"/>
                <w:bCs w:val="1"/>
                <w:color w:val="auto"/>
                <w:w w:val="93"/>
                <w:vertAlign w:val="superscript"/>
              </w:rPr>
              <w:t>(1)</w:t>
            </w:r>
          </w:p>
        </w:tc>
        <w:tc>
          <w:tcPr>
            <w:tcW w:w="21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Trading Arrangement</w:t>
            </w:r>
          </w:p>
        </w:tc>
      </w:tr>
      <w:tr>
        <w:trPr>
          <w:trHeight w:val="180"/>
        </w:trPr>
        <w:tc>
          <w:tcPr>
            <w:tcW w:w="1540" w:type="dxa"/>
            <w:vAlign w:val="bottom"/>
            <w:tcBorders>
              <w:left w:val="single" w:sz="8" w:color="auto"/>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Maria Cervantes De</w:t>
            </w:r>
          </w:p>
        </w:tc>
        <w:tc>
          <w:tcPr>
            <w:tcW w:w="228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Vice President &amp; Corporate</w:t>
            </w:r>
          </w:p>
        </w:tc>
        <w:tc>
          <w:tcPr>
            <w:tcW w:w="112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Adopted</w:t>
            </w:r>
          </w:p>
        </w:tc>
        <w:tc>
          <w:tcPr>
            <w:tcW w:w="114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12/15/2025</w:t>
            </w:r>
          </w:p>
        </w:tc>
        <w:tc>
          <w:tcPr>
            <w:tcW w:w="118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8"/>
              </w:rPr>
              <w:t>3/15/2027</w:t>
            </w:r>
          </w:p>
        </w:tc>
        <w:tc>
          <w:tcPr>
            <w:tcW w:w="1520" w:type="dxa"/>
            <w:vAlign w:val="bottom"/>
            <w:tcBorders>
              <w:right w:val="single" w:sz="8" w:color="auto"/>
            </w:tcBorders>
            <w:shd w:val="clear" w:color="auto" w:fill="CCEEFF"/>
          </w:tcPr>
          <w:p>
            <w:pPr>
              <w:ind w:left="900"/>
              <w:spacing w:after="0" w:line="181" w:lineRule="exact"/>
              <w:rPr>
                <w:sz w:val="20"/>
                <w:szCs w:val="20"/>
                <w:color w:val="auto"/>
              </w:rPr>
            </w:pPr>
            <w:r>
              <w:rPr>
                <w:rFonts w:ascii="Times New Roman" w:cs="Times New Roman" w:eastAsia="Times New Roman" w:hAnsi="Times New Roman"/>
                <w:sz w:val="17"/>
                <w:szCs w:val="17"/>
                <w:color w:val="auto"/>
              </w:rPr>
              <w:t>Y</w:t>
            </w:r>
          </w:p>
        </w:tc>
        <w:tc>
          <w:tcPr>
            <w:tcW w:w="16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14,568</w:t>
            </w:r>
          </w:p>
        </w:tc>
        <w:tc>
          <w:tcPr>
            <w:tcW w:w="460" w:type="dxa"/>
            <w:vAlign w:val="bottom"/>
            <w:tcBorders>
              <w:right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2"/>
                <w:szCs w:val="12"/>
                <w:color w:val="auto"/>
                <w:w w:val="99"/>
              </w:rPr>
              <w:t>(2)</w:t>
            </w:r>
          </w:p>
        </w:tc>
      </w:tr>
      <w:tr>
        <w:trPr>
          <w:trHeight w:val="251"/>
        </w:trPr>
        <w:tc>
          <w:tcPr>
            <w:tcW w:w="15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Burgreen</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Controller</w:t>
            </w:r>
          </w:p>
        </w:tc>
        <w:tc>
          <w:tcPr>
            <w:tcW w:w="11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c>
          <w:tcPr>
            <w:tcW w:w="1180" w:type="dxa"/>
            <w:vAlign w:val="bottom"/>
            <w:tcBorders>
              <w:bottom w:val="single" w:sz="8" w:color="CCEEFF"/>
              <w:right w:val="single" w:sz="8" w:color="auto"/>
            </w:tcBorders>
            <w:shd w:val="clear" w:color="auto" w:fill="CCEEFF"/>
          </w:tcPr>
          <w:p>
            <w:pPr>
              <w:spacing w:after="0"/>
              <w:rPr>
                <w:sz w:val="21"/>
                <w:szCs w:val="21"/>
                <w:color w:val="auto"/>
              </w:rPr>
            </w:pPr>
          </w:p>
        </w:tc>
        <w:tc>
          <w:tcPr>
            <w:tcW w:w="1520" w:type="dxa"/>
            <w:vAlign w:val="bottom"/>
            <w:tcBorders>
              <w:bottom w:val="single" w:sz="8" w:color="CCEEFF"/>
              <w:right w:val="single" w:sz="8" w:color="auto"/>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5"/>
        </w:trPr>
        <w:tc>
          <w:tcPr>
            <w:tcW w:w="1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William Hoglund</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Adopted</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12/10/2025</w:t>
            </w:r>
          </w:p>
        </w:tc>
        <w:tc>
          <w:tcPr>
            <w:tcW w:w="1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9/30/2026</w:t>
            </w:r>
          </w:p>
        </w:tc>
        <w:tc>
          <w:tcPr>
            <w:tcW w:w="1520" w:type="dxa"/>
            <w:vAlign w:val="bottom"/>
            <w:tcBorders>
              <w:top w:val="single" w:sz="8" w:color="auto"/>
              <w:bottom w:val="single" w:sz="8" w:color="auto"/>
              <w:right w:val="single" w:sz="8" w:color="auto"/>
            </w:tcBorders>
          </w:tcPr>
          <w:p>
            <w:pPr>
              <w:ind w:left="900"/>
              <w:spacing w:after="0" w:line="235" w:lineRule="exact"/>
              <w:rPr>
                <w:sz w:val="20"/>
                <w:szCs w:val="20"/>
                <w:color w:val="auto"/>
              </w:rPr>
            </w:pPr>
            <w:r>
              <w:rPr>
                <w:rFonts w:ascii="Times New Roman" w:cs="Times New Roman" w:eastAsia="Times New Roman" w:hAnsi="Times New Roman"/>
                <w:sz w:val="27"/>
                <w:szCs w:val="27"/>
                <w:color w:val="auto"/>
                <w:vertAlign w:val="subscript"/>
              </w:rPr>
              <w:t>Y</w:t>
            </w:r>
            <w:r>
              <w:rPr>
                <w:rFonts w:ascii="Times New Roman" w:cs="Times New Roman" w:eastAsia="Times New Roman" w:hAnsi="Times New Roman"/>
                <w:sz w:val="11"/>
                <w:szCs w:val="11"/>
                <w:color w:val="auto"/>
              </w:rPr>
              <w:t xml:space="preserve"> (2)</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183,000</w:t>
            </w:r>
          </w:p>
        </w:tc>
        <w:tc>
          <w:tcPr>
            <w:tcW w:w="460" w:type="dxa"/>
            <w:vAlign w:val="bottom"/>
            <w:tcBorders>
              <w:top w:val="single" w:sz="8" w:color="auto"/>
              <w:bottom w:val="single" w:sz="8" w:color="auto"/>
              <w:right w:val="single" w:sz="8" w:color="auto"/>
            </w:tcBorders>
          </w:tcPr>
          <w:p>
            <w:pPr>
              <w:jc w:val="right"/>
              <w:ind w:right="241"/>
              <w:spacing w:after="0"/>
              <w:rPr>
                <w:sz w:val="20"/>
                <w:szCs w:val="20"/>
                <w:color w:val="auto"/>
              </w:rPr>
            </w:pPr>
            <w:r>
              <w:rPr>
                <w:rFonts w:ascii="Times New Roman" w:cs="Times New Roman" w:eastAsia="Times New Roman" w:hAnsi="Times New Roman"/>
                <w:sz w:val="12"/>
                <w:szCs w:val="12"/>
                <w:color w:val="auto"/>
                <w:w w:val="99"/>
              </w:rPr>
              <w:t>(3)</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Denotes whether the trading arrangement is intended to satisfy the affirmative defense of Rule 10b5-1(c).</w:t>
      </w:r>
    </w:p>
    <w:p>
      <w:pPr>
        <w:ind w:right="80"/>
        <w:spacing w:after="0" w:line="222" w:lineRule="auto"/>
        <w:rPr>
          <w:sz w:val="20"/>
          <w:szCs w:val="20"/>
          <w:color w:val="auto"/>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This number represents the maximum number of shares of our common stock that may be sold pursuant to the trading arrangement. The number of shares actually sold will depend on the satisfaction of certain conditions set forth in the trading arrangement.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9C. </w:t>
      </w:r>
      <w:r>
        <w:rPr>
          <w:rFonts w:ascii="Times New Roman" w:cs="Times New Roman" w:eastAsia="Times New Roman" w:hAnsi="Times New Roman"/>
          <w:sz w:val="17"/>
          <w:szCs w:val="17"/>
          <w:b w:val="1"/>
          <w:bCs w:val="1"/>
          <w:i w:val="1"/>
          <w:iCs w:val="1"/>
          <w:color w:val="auto"/>
        </w:rPr>
        <w:t>Disclosure Regarding Foreign Jurisdictions that Prevent Inspections</w:t>
      </w:r>
      <w:r>
        <w:rPr>
          <w:rFonts w:ascii="Times New Roman" w:cs="Times New Roman" w:eastAsia="Times New Roman" w:hAnsi="Times New Roman"/>
          <w:sz w:val="20"/>
          <w:szCs w:val="20"/>
          <w:b w:val="1"/>
          <w:bCs w:val="1"/>
          <w:i w:val="1"/>
          <w:iCs w:val="1"/>
          <w:color w:val="auto"/>
        </w:rPr>
        <w: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67" w:name="page68"/>
    <w:bookmarkEnd w:id="67"/>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16" w:lineRule="exact"/>
        <w:rPr>
          <w:sz w:val="20"/>
          <w:szCs w:val="20"/>
          <w:color w:val="auto"/>
        </w:rPr>
      </w:pPr>
    </w:p>
    <w:p>
      <w:pPr>
        <w:ind w:firstLine="611"/>
        <w:spacing w:after="0" w:line="264" w:lineRule="auto"/>
        <w:rPr>
          <w:sz w:val="20"/>
          <w:szCs w:val="20"/>
          <w:color w:val="auto"/>
        </w:rPr>
      </w:pPr>
      <w:r>
        <w:rPr>
          <w:rFonts w:ascii="Times New Roman" w:cs="Times New Roman" w:eastAsia="Times New Roman" w:hAnsi="Times New Roman"/>
          <w:sz w:val="17"/>
          <w:szCs w:val="17"/>
          <w:color w:val="auto"/>
        </w:rPr>
        <w:t>Kratos has adopted an insider trading policy governing the purchase, sale, and other dispositions of our securities by our directors, officers, employees and other individuals associated with us that we believe is reasonably designed to promote compliance with insider trading laws, rules and regulations, and any applicable listing standards. A copy of our insider trading policy is filed as Exhibit 19.1 to this Annual Report on Form 10-K.</w:t>
      </w:r>
    </w:p>
    <w:p>
      <w:pPr>
        <w:spacing w:after="0" w:line="195" w:lineRule="exact"/>
        <w:rPr>
          <w:sz w:val="20"/>
          <w:szCs w:val="20"/>
          <w:color w:val="auto"/>
        </w:rPr>
      </w:pPr>
    </w:p>
    <w:p>
      <w:pPr>
        <w:ind w:right="100" w:firstLine="611"/>
        <w:spacing w:after="0" w:line="279"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2026 Annual Meeting of Stockholders or an amendment to this Annual Report to be filed with the SEC within 120 days after the close of our fiscal year ended December 28, 2025.</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216" w:lineRule="exact"/>
        <w:rPr>
          <w:sz w:val="20"/>
          <w:szCs w:val="20"/>
          <w:color w:val="auto"/>
        </w:rPr>
      </w:pPr>
    </w:p>
    <w:p>
      <w:pPr>
        <w:ind w:right="100" w:firstLine="611"/>
        <w:spacing w:after="0" w:line="279"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2026 Annual Meeting of Stockholders or an amendment to this Annual Report to be filed with the SEC within 120 days after the close of our fiscal year ended December 28,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16" w:lineRule="exact"/>
        <w:rPr>
          <w:sz w:val="20"/>
          <w:szCs w:val="20"/>
          <w:color w:val="auto"/>
        </w:rPr>
      </w:pPr>
    </w:p>
    <w:p>
      <w:pPr>
        <w:ind w:right="100" w:firstLine="611"/>
        <w:spacing w:after="0" w:line="279"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2026 Annual Meeting of Stockholders or an amendment to this Annual Report to be filed with the SEC within 120 days after the close of our fiscal year ended December 28,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16" w:lineRule="exact"/>
        <w:rPr>
          <w:sz w:val="20"/>
          <w:szCs w:val="20"/>
          <w:color w:val="auto"/>
        </w:rPr>
      </w:pPr>
    </w:p>
    <w:p>
      <w:pPr>
        <w:ind w:right="100" w:firstLine="611"/>
        <w:spacing w:after="0" w:line="279"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2026 Annual Meeting of Stockholders or an amendment to this Annual Report to be filed with the SEC within 120 days after the close of our fiscal year ended December 28, 2025.</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Accountant Fees and Services.</w:t>
      </w:r>
    </w:p>
    <w:p>
      <w:pPr>
        <w:spacing w:after="0" w:line="216" w:lineRule="exact"/>
        <w:rPr>
          <w:sz w:val="20"/>
          <w:szCs w:val="20"/>
          <w:color w:val="auto"/>
        </w:rPr>
      </w:pPr>
    </w:p>
    <w:p>
      <w:pPr>
        <w:ind w:right="100" w:firstLine="611"/>
        <w:spacing w:after="0" w:line="279"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definitive proxy statement filed in connection with our 2026 Annual Meeting of Stockholders or an amendment to this Annual Report to be filed with the SEC within 120 days after the close of our fiscal year ended December 28, 2025.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20"/>
          </w:cols>
          <w:pgMar w:left="320" w:top="845" w:right="459" w:bottom="1440" w:gutter="0" w:footer="0" w:header="0"/>
        </w:sectPr>
      </w:pPr>
    </w:p>
    <w:bookmarkStart w:id="68" w:name="page69"/>
    <w:bookmarkEnd w:id="68"/>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and Financial Statement Schedules.</w:t>
      </w:r>
    </w:p>
    <w:p>
      <w:pPr>
        <w:spacing w:after="0" w:line="237"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(a)(1)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216" w:lineRule="exact"/>
        <w:rPr>
          <w:sz w:val="20"/>
          <w:szCs w:val="20"/>
          <w:color w:val="auto"/>
        </w:rPr>
      </w:pPr>
    </w:p>
    <w:p>
      <w:pPr>
        <w:ind w:firstLine="611"/>
        <w:spacing w:after="0" w:line="279" w:lineRule="auto"/>
        <w:rPr>
          <w:sz w:val="20"/>
          <w:szCs w:val="20"/>
          <w:color w:val="auto"/>
        </w:rPr>
      </w:pPr>
      <w:r>
        <w:rPr>
          <w:rFonts w:ascii="Times New Roman" w:cs="Times New Roman" w:eastAsia="Times New Roman" w:hAnsi="Times New Roman"/>
          <w:sz w:val="17"/>
          <w:szCs w:val="17"/>
          <w:color w:val="auto"/>
        </w:rPr>
        <w:t>The Consolidated Financial Statements of Kratos Defense &amp; Security Solutions, Inc. and Report of Deloitte &amp; Touche LLP, Independent Registered Public Accounting Firm, are included in a separate section of this Annual Report beginning on page F-1.</w:t>
      </w:r>
    </w:p>
    <w:p>
      <w:pPr>
        <w:spacing w:after="0" w:line="178"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(a)(2)</w:t>
      </w:r>
      <w:r>
        <w:rPr>
          <w:sz w:val="20"/>
          <w:szCs w:val="20"/>
          <w:color w:val="auto"/>
        </w:rPr>
        <w:tab/>
      </w:r>
      <w:r>
        <w:rPr>
          <w:rFonts w:ascii="Times New Roman" w:cs="Times New Roman" w:eastAsia="Times New Roman" w:hAnsi="Times New Roman"/>
          <w:sz w:val="16"/>
          <w:szCs w:val="16"/>
          <w:b w:val="1"/>
          <w:bCs w:val="1"/>
          <w:color w:val="auto"/>
        </w:rPr>
        <w:t>Financial Statement Schedules</w:t>
      </w:r>
    </w:p>
    <w:p>
      <w:pPr>
        <w:spacing w:after="0" w:line="216" w:lineRule="exact"/>
        <w:rPr>
          <w:sz w:val="20"/>
          <w:szCs w:val="20"/>
          <w:color w:val="auto"/>
        </w:rPr>
      </w:pPr>
    </w:p>
    <w:p>
      <w:pPr>
        <w:ind w:right="280" w:firstLine="611"/>
        <w:spacing w:after="0" w:line="279" w:lineRule="auto"/>
        <w:rPr>
          <w:sz w:val="20"/>
          <w:szCs w:val="20"/>
          <w:color w:val="auto"/>
        </w:rPr>
      </w:pPr>
      <w:r>
        <w:rPr>
          <w:rFonts w:ascii="Times New Roman" w:cs="Times New Roman" w:eastAsia="Times New Roman" w:hAnsi="Times New Roman"/>
          <w:sz w:val="17"/>
          <w:szCs w:val="17"/>
          <w:color w:val="auto"/>
        </w:rPr>
        <w:t>All schedules have been omitted because they are not applicable or are not required or the information required to be set forth therein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40"/>
          </w:cols>
          <w:pgMar w:left="320" w:top="845" w:right="439"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7"/>
          <w:szCs w:val="17"/>
          <w:b w:val="1"/>
          <w:bCs w:val="1"/>
          <w:color w:val="auto"/>
        </w:rPr>
        <w:t>(b) Exhibits</w:t>
      </w:r>
    </w:p>
    <w:p>
      <w:pPr>
        <w:sectPr>
          <w:pgSz w:w="11900" w:h="16838" w:orient="portrait"/>
          <w:cols w:equalWidth="0" w:num="1">
            <w:col w:w="10139"/>
          </w:cols>
          <w:pgMar w:left="320" w:top="84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200" w:type="dxa"/>
            <w:vAlign w:val="bottom"/>
            <w:gridSpan w:val="4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200" w:type="dxa"/>
            <w:vAlign w:val="bottom"/>
            <w:gridSpan w:val="4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00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gridSpan w:val="43"/>
          </w:tcPr>
          <w:p>
            <w:pPr>
              <w:spacing w:after="0" w:line="177"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Stock Purchase Agreement, dated February</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30"/>
          </w:tcPr>
          <w:p>
            <w:pPr>
              <w:spacing w:after="0" w:line="14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28, 2018 among Kratos Defense &amp; Security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tcBorders>
              <w:bottom w:val="single" w:sz="8" w:color="0000FF"/>
            </w:tcBorders>
            <w:gridSpan w:val="33"/>
          </w:tcPr>
          <w:p>
            <w:pPr>
              <w:spacing w:after="0" w:line="14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Solutions, Inc., Kratos Public Safety Security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gridSpan w:val="40"/>
          </w:tcPr>
          <w:p>
            <w:pPr>
              <w:spacing w:after="0" w:line="159"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Solutions, Inc. and Securitas Electronic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Borders>
              <w:top w:val="single" w:sz="8" w:color="0000FF"/>
            </w:tcBorders>
            <w:gridSpan w:val="20"/>
          </w:tcPr>
          <w:p>
            <w:pPr>
              <w:spacing w:after="0" w:line="14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Security, Inc</w:t>
              </w:r>
              <w:r>
                <w:rPr>
                  <w:rFonts w:ascii="Times New Roman" w:cs="Times New Roman" w:eastAsia="Times New Roman" w:hAnsi="Times New Roman"/>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gridSpan w:val="43"/>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Purchase Agreement, dated February 27,</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60" w:type="dxa"/>
            <w:vAlign w:val="bottom"/>
            <w:tcBorders>
              <w:top w:val="single" w:sz="8" w:color="0000FF"/>
              <w:bottom w:val="single" w:sz="8" w:color="0000FF"/>
            </w:tcBorders>
            <w:gridSpan w:val="18"/>
          </w:tcPr>
          <w:p>
            <w:pPr>
              <w:spacing w:after="0" w:line="14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2019, by and among Kratos Defense &amp;</w:t>
              </w:r>
            </w:hyperlink>
          </w:p>
        </w:tc>
        <w:tc>
          <w:tcPr>
            <w:tcW w:w="1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0" w:type="dxa"/>
            <w:vAlign w:val="bottom"/>
            <w:gridSpan w:val="43"/>
          </w:tcPr>
          <w:p>
            <w:pPr>
              <w:spacing w:after="0" w:line="14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Security Solutions, Inc., Shirley Brostmeyer,</w:t>
              </w:r>
            </w:hyperlink>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tcBorders>
            <w:gridSpan w:val="38"/>
          </w:tcPr>
          <w:p>
            <w:pPr>
              <w:spacing w:after="0" w:line="159"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(“SB”), Joseph Brostmeyer (“JB”), certain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00" w:type="dxa"/>
            <w:vAlign w:val="bottom"/>
            <w:tcBorders>
              <w:top w:val="single" w:sz="8" w:color="0000FF"/>
            </w:tcBorders>
            <w:gridSpan w:val="28"/>
          </w:tcPr>
          <w:p>
            <w:pPr>
              <w:spacing w:after="0" w:line="14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trusts established by SB, JB and members</w:t>
              </w:r>
            </w:hyperlink>
          </w:p>
        </w:tc>
        <w:tc>
          <w:tcPr>
            <w:tcW w:w="300" w:type="dxa"/>
            <w:vAlign w:val="bottom"/>
            <w:gridSpan w:val="15"/>
          </w:tcPr>
          <w:p>
            <w:pPr>
              <w:spacing w:after="0" w:line="14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of</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37"/>
          </w:tcPr>
          <w:p>
            <w:pPr>
              <w:spacing w:after="0" w:line="14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their immediate family, and JB, as the Sellers</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bottom w:val="single" w:sz="8" w:color="0000FF"/>
            </w:tcBorders>
            <w:gridSpan w:val="5"/>
          </w:tcPr>
          <w:p>
            <w:pPr>
              <w:spacing w:after="0" w:line="159" w:lineRule="exact"/>
              <w:rPr>
                <w:rFonts w:ascii="Times New Roman" w:cs="Times New Roman" w:eastAsia="Times New Roman" w:hAnsi="Times New Roman"/>
                <w:sz w:val="17"/>
                <w:szCs w:val="17"/>
                <w:color w:val="0000FF"/>
                <w:w w:val="98"/>
              </w:rPr>
            </w:pPr>
            <w:hyperlink r:id="rId90">
              <w:r>
                <w:rPr>
                  <w:rFonts w:ascii="Times New Roman" w:cs="Times New Roman" w:eastAsia="Times New Roman" w:hAnsi="Times New Roman"/>
                  <w:sz w:val="17"/>
                  <w:szCs w:val="17"/>
                  <w:color w:val="0000FF"/>
                  <w:w w:val="98"/>
                </w:rPr>
                <w:t>Representative.</w:t>
              </w:r>
            </w:hyperlink>
          </w:p>
        </w:tc>
        <w:tc>
          <w:tcPr>
            <w:tcW w:w="2060" w:type="dxa"/>
            <w:vAlign w:val="bottom"/>
            <w:gridSpan w:val="3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gridSpan w:val="43"/>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Agreement and Plan of Merger, dated as of</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tcBorders>
              <w:top w:val="single" w:sz="8" w:color="0000FF"/>
            </w:tcBorders>
            <w:gridSpan w:val="29"/>
          </w:tcPr>
          <w:p>
            <w:pPr>
              <w:spacing w:after="0" w:line="145"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November 4, 2025, by and among the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0" w:type="dxa"/>
            <w:vAlign w:val="bottom"/>
            <w:gridSpan w:val="43"/>
          </w:tcPr>
          <w:p>
            <w:pPr>
              <w:spacing w:after="0" w:line="145"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Company, Kratos Holdings U K Limited,</w:t>
              </w:r>
            </w:hyperlink>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tcBorders>
            <w:gridSpan w:val="24"/>
          </w:tcPr>
          <w:p>
            <w:pPr>
              <w:spacing w:after="0" w:line="159"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Kratos Acquisition Ltd and Orbit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tcBorders>
              <w:top w:val="single" w:sz="8" w:color="0000FF"/>
            </w:tcBorders>
            <w:gridSpan w:val="13"/>
          </w:tcPr>
          <w:p>
            <w:pPr>
              <w:spacing w:after="0" w:line="145"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Technologies Ltd.</w:t>
              </w:r>
            </w:hyperlink>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gridSpan w:val="43"/>
          </w:tcPr>
          <w:p>
            <w:pPr>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Amended and Restated Certificate of</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tcBorders>
              <w:top w:val="single" w:sz="8" w:color="0000FF"/>
            </w:tcBorders>
            <w:gridSpan w:val="15"/>
          </w:tcPr>
          <w:p>
            <w:pPr>
              <w:spacing w:after="0" w:line="145"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Incorporation of Kratos Defense &amp;</w:t>
              </w:r>
            </w:hyperlink>
          </w:p>
        </w:tc>
        <w:tc>
          <w:tcPr>
            <w:tcW w:w="640" w:type="dxa"/>
            <w:vAlign w:val="bottom"/>
            <w:gridSpan w:val="28"/>
          </w:tcPr>
          <w:p>
            <w:pPr>
              <w:jc w:val="center"/>
              <w:ind w:right="220"/>
              <w:spacing w:after="0" w:line="145" w:lineRule="exact"/>
              <w:rPr>
                <w:rFonts w:ascii="Times New Roman" w:cs="Times New Roman" w:eastAsia="Times New Roman" w:hAnsi="Times New Roman"/>
                <w:sz w:val="16"/>
                <w:szCs w:val="16"/>
                <w:color w:val="0000FF"/>
                <w:w w:val="78"/>
              </w:rPr>
            </w:pPr>
            <w:hyperlink r:id="rId92">
              <w:r>
                <w:rPr>
                  <w:rFonts w:ascii="Times New Roman" w:cs="Times New Roman" w:eastAsia="Times New Roman" w:hAnsi="Times New Roman"/>
                  <w:sz w:val="16"/>
                  <w:szCs w:val="16"/>
                  <w:color w:val="0000FF"/>
                  <w:w w:val="78"/>
                </w:rPr>
                <w:t>Security</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Borders>
              <w:top w:val="single" w:sz="8" w:color="0000FF"/>
              <w:bottom w:val="single" w:sz="8" w:color="0000FF"/>
            </w:tcBorders>
            <w:gridSpan w:val="11"/>
          </w:tcPr>
          <w:p>
            <w:pPr>
              <w:spacing w:after="0" w:line="145"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Solutions, Inc., as amended.</w:t>
              </w:r>
            </w:hyperlink>
          </w:p>
        </w:tc>
        <w:tc>
          <w:tcPr>
            <w:tcW w:w="108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Borders>
              <w:bottom w:val="single" w:sz="8" w:color="0000FF"/>
            </w:tcBorders>
            <w:gridSpan w:val="22"/>
          </w:tcPr>
          <w:p>
            <w:pPr>
              <w:spacing w:after="0"/>
              <w:rPr>
                <w:rFonts w:ascii="Times New Roman" w:cs="Times New Roman" w:eastAsia="Times New Roman" w:hAnsi="Times New Roman"/>
                <w:sz w:val="17"/>
                <w:szCs w:val="17"/>
                <w:color w:val="0000FF"/>
                <w:w w:val="99"/>
              </w:rPr>
            </w:pPr>
            <w:hyperlink r:id="rId93">
              <w:r>
                <w:rPr>
                  <w:rFonts w:ascii="Times New Roman" w:cs="Times New Roman" w:eastAsia="Times New Roman" w:hAnsi="Times New Roman"/>
                  <w:sz w:val="17"/>
                  <w:szCs w:val="17"/>
                  <w:color w:val="0000FF"/>
                  <w:w w:val="99"/>
                </w:rPr>
                <w:t>Third Amended and Restated Bylaws of</w:t>
              </w:r>
            </w:hyperlink>
          </w:p>
        </w:tc>
        <w:tc>
          <w:tcPr>
            <w:tcW w:w="46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80" w:type="dxa"/>
            <w:vAlign w:val="bottom"/>
            <w:tcBorders>
              <w:bottom w:val="single" w:sz="8" w:color="0000FF"/>
            </w:tcBorders>
            <w:gridSpan w:val="27"/>
          </w:tcPr>
          <w:p>
            <w:pPr>
              <w:spacing w:after="0" w:line="145"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Kratos Defense &amp; Security Solutions, Inc.</w:t>
              </w:r>
            </w:hyperlink>
          </w:p>
        </w:tc>
        <w:tc>
          <w:tcPr>
            <w:tcW w:w="32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w w:val="99"/>
              </w:rPr>
            </w:pPr>
            <w:hyperlink r:id="rId94">
              <w:r>
                <w:rPr>
                  <w:rFonts w:ascii="Times New Roman" w:cs="Times New Roman" w:eastAsia="Times New Roman" w:hAnsi="Times New Roman"/>
                  <w:sz w:val="17"/>
                  <w:szCs w:val="17"/>
                  <w:color w:val="0000FF"/>
                  <w:w w:val="99"/>
                </w:rPr>
                <w:t>Specimen Stock Certificate.</w:t>
              </w:r>
            </w:hyperlink>
          </w:p>
        </w:tc>
        <w:tc>
          <w:tcPr>
            <w:tcW w:w="1280" w:type="dxa"/>
            <w:vAlign w:val="bottom"/>
            <w:gridSpan w:val="33"/>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gridSpan w:val="43"/>
          </w:tcPr>
          <w:p>
            <w:pPr>
              <w:spacing w:after="0"/>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Description of Equity Securities Registered</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tcBorders>
              <w:top w:val="single" w:sz="8" w:color="0000FF"/>
            </w:tcBorders>
            <w:gridSpan w:val="31"/>
          </w:tcPr>
          <w:p>
            <w:pPr>
              <w:spacing w:after="0" w:line="145"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under Section 12 of the Exchange Act.</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gridSpan w:val="43"/>
          </w:tcPr>
          <w:p>
            <w:pPr>
              <w:spacing w:after="0"/>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Form of Indemnification Agreement by and</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tcBorders>
              <w:top w:val="single" w:sz="8" w:color="0000FF"/>
            </w:tcBorders>
            <w:gridSpan w:val="32"/>
          </w:tcPr>
          <w:p>
            <w:pPr>
              <w:spacing w:after="0" w:line="145"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between Kratos Defense &amp; Security</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tcBorders>
              <w:top w:val="single" w:sz="8" w:color="0000FF"/>
            </w:tcBorders>
            <w:gridSpan w:val="14"/>
          </w:tcPr>
          <w:p>
            <w:pPr>
              <w:spacing w:after="0" w:line="145"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Solutions, Inc. and its directors and</w:t>
              </w:r>
            </w:hyperlink>
          </w:p>
        </w:tc>
        <w:tc>
          <w:tcPr>
            <w:tcW w:w="760" w:type="dxa"/>
            <w:vAlign w:val="bottom"/>
            <w:gridSpan w:val="29"/>
          </w:tcPr>
          <w:p>
            <w:pPr>
              <w:jc w:val="center"/>
              <w:ind w:right="100"/>
              <w:spacing w:after="0" w:line="145"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executive</w:t>
              </w:r>
            </w:hyperlink>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0000FF"/>
              <w:bottom w:val="single" w:sz="8" w:color="0000FF"/>
            </w:tcBorders>
            <w:gridSpan w:val="2"/>
          </w:tcPr>
          <w:p>
            <w:pPr>
              <w:spacing w:after="0" w:line="159" w:lineRule="exact"/>
              <w:rPr>
                <w:rFonts w:ascii="Times New Roman" w:cs="Times New Roman" w:eastAsia="Times New Roman" w:hAnsi="Times New Roman"/>
                <w:sz w:val="17"/>
                <w:szCs w:val="17"/>
                <w:color w:val="0000FF"/>
                <w:w w:val="96"/>
              </w:rPr>
            </w:pPr>
            <w:hyperlink r:id="rId96">
              <w:r>
                <w:rPr>
                  <w:rFonts w:ascii="Times New Roman" w:cs="Times New Roman" w:eastAsia="Times New Roman" w:hAnsi="Times New Roman"/>
                  <w:sz w:val="17"/>
                  <w:szCs w:val="17"/>
                  <w:color w:val="0000FF"/>
                  <w:w w:val="96"/>
                </w:rPr>
                <w:t>officers.</w:t>
              </w:r>
            </w:hyperlink>
          </w:p>
        </w:tc>
        <w:tc>
          <w:tcPr>
            <w:tcW w:w="2600" w:type="dxa"/>
            <w:vAlign w:val="bottom"/>
            <w:tcBorders>
              <w:top w:val="single" w:sz="8" w:color="0000FF"/>
            </w:tcBorders>
            <w:gridSpan w:val="3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gridSpan w:val="43"/>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Amended and Restated 1999 Employee</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tcBorders>
              <w:top w:val="single" w:sz="8" w:color="0000FF"/>
            </w:tcBorders>
            <w:gridSpan w:val="21"/>
          </w:tcPr>
          <w:p>
            <w:pPr>
              <w:spacing w:after="0" w:line="145"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Stock Purchase Plan.</w:t>
              </w:r>
            </w:hyperlink>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w w:val="99"/>
              </w:rPr>
            </w:pPr>
            <w:hyperlink r:id="rId98">
              <w:r>
                <w:rPr>
                  <w:rFonts w:ascii="Times New Roman" w:cs="Times New Roman" w:eastAsia="Times New Roman" w:hAnsi="Times New Roman"/>
                  <w:sz w:val="17"/>
                  <w:szCs w:val="17"/>
                  <w:color w:val="0000FF"/>
                  <w:w w:val="99"/>
                </w:rPr>
                <w:t>2005 Equity Incentive Plan.</w:t>
              </w:r>
            </w:hyperlink>
          </w:p>
        </w:tc>
        <w:tc>
          <w:tcPr>
            <w:tcW w:w="1300" w:type="dxa"/>
            <w:vAlign w:val="bottom"/>
            <w:gridSpan w:val="34"/>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gridSpan w:val="43"/>
          </w:tcPr>
          <w:p>
            <w:pPr>
              <w:spacing w:after="0"/>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Form of Stock Option Agreement pursuant to</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80" w:type="dxa"/>
            <w:vAlign w:val="bottom"/>
            <w:tcBorders>
              <w:top w:val="single" w:sz="8" w:color="0000FF"/>
            </w:tcBorders>
            <w:gridSpan w:val="42"/>
          </w:tcPr>
          <w:p>
            <w:pPr>
              <w:spacing w:after="0" w:line="145"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the 2005 Equity Incentive Plan.</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gridSpan w:val="43"/>
          </w:tcPr>
          <w:p>
            <w:pPr>
              <w:spacing w:after="0"/>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Form of Restricted Stock Unit Agreement</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tcBorders>
              <w:top w:val="single" w:sz="8" w:color="0000FF"/>
              <w:bottom w:val="single" w:sz="8" w:color="0000FF"/>
            </w:tcBorders>
            <w:gridSpan w:val="26"/>
          </w:tcPr>
          <w:p>
            <w:pPr>
              <w:spacing w:after="0" w:line="145"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and Form of Notice of Grant of Restricted</w:t>
              </w:r>
            </w:hyperlink>
          </w:p>
        </w:tc>
        <w:tc>
          <w:tcPr>
            <w:tcW w:w="20" w:type="dxa"/>
            <w:vAlign w:val="bottom"/>
            <w:tcBorders>
              <w:bottom w:val="single" w:sz="8" w:color="0000FF"/>
            </w:tcBorders>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0" w:type="dxa"/>
            <w:vAlign w:val="bottom"/>
            <w:gridSpan w:val="43"/>
          </w:tcPr>
          <w:p>
            <w:pPr>
              <w:spacing w:after="0" w:line="145"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Stock Units under the 2005 Equity Incentive</w:t>
              </w:r>
            </w:hyperlink>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tcBorders>
            <w:gridSpan w:val="36"/>
          </w:tcPr>
          <w:p>
            <w:pPr>
              <w:spacing w:after="0" w:line="159"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Plan.</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gridSpan w:val="43"/>
          </w:tcPr>
          <w:p>
            <w:pPr>
              <w:spacing w:after="0"/>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2011 Equity Incentive Plan.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gridSpan w:val="43"/>
          </w:tcPr>
          <w:p>
            <w:pPr>
              <w:spacing w:after="0"/>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Form of Notice of Grant of Restricted Stock</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tcBorders>
              <w:top w:val="single" w:sz="8" w:color="0000FF"/>
            </w:tcBorders>
            <w:gridSpan w:val="35"/>
          </w:tcPr>
          <w:p>
            <w:pPr>
              <w:spacing w:after="0" w:line="14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Units and Restricted Stock Unit Award</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17"/>
          </w:tcPr>
          <w:p>
            <w:pPr>
              <w:spacing w:after="0" w:line="14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Agreement pursuant to the 2011 Equity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gridSpan w:val="6"/>
          </w:tcPr>
          <w:p>
            <w:pPr>
              <w:spacing w:after="0"/>
              <w:rPr>
                <w:sz w:val="12"/>
                <w:szCs w:val="12"/>
                <w:color w:val="auto"/>
              </w:rPr>
            </w:pPr>
          </w:p>
        </w:tc>
        <w:tc>
          <w:tcPr>
            <w:tcW w:w="36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bottom w:val="single" w:sz="8" w:color="0000FF"/>
            </w:tcBorders>
            <w:gridSpan w:val="4"/>
          </w:tcPr>
          <w:p>
            <w:pPr>
              <w:spacing w:after="0" w:line="159" w:lineRule="exact"/>
              <w:rPr>
                <w:rFonts w:ascii="Times New Roman" w:cs="Times New Roman" w:eastAsia="Times New Roman" w:hAnsi="Times New Roman"/>
                <w:sz w:val="17"/>
                <w:szCs w:val="17"/>
                <w:color w:val="0000FF"/>
                <w:w w:val="98"/>
              </w:rPr>
            </w:pPr>
            <w:hyperlink r:id="rId102">
              <w:r>
                <w:rPr>
                  <w:rFonts w:ascii="Times New Roman" w:cs="Times New Roman" w:eastAsia="Times New Roman" w:hAnsi="Times New Roman"/>
                  <w:sz w:val="17"/>
                  <w:szCs w:val="17"/>
                  <w:color w:val="0000FF"/>
                  <w:w w:val="98"/>
                </w:rPr>
                <w:t>Incentive Plan.</w:t>
              </w:r>
            </w:hyperlink>
          </w:p>
        </w:tc>
        <w:tc>
          <w:tcPr>
            <w:tcW w:w="1660" w:type="dxa"/>
            <w:vAlign w:val="bottom"/>
            <w:gridSpan w:val="15"/>
          </w:tcPr>
          <w:p>
            <w:pPr>
              <w:spacing w:after="0"/>
              <w:rPr>
                <w:sz w:val="13"/>
                <w:szCs w:val="13"/>
                <w:color w:val="auto"/>
              </w:rPr>
            </w:pPr>
          </w:p>
        </w:tc>
        <w:tc>
          <w:tcPr>
            <w:tcW w:w="160" w:type="dxa"/>
            <w:vAlign w:val="bottom"/>
            <w:gridSpan w:val="6"/>
          </w:tcPr>
          <w:p>
            <w:pPr>
              <w:spacing w:after="0"/>
              <w:rPr>
                <w:sz w:val="13"/>
                <w:szCs w:val="13"/>
                <w:color w:val="auto"/>
              </w:rPr>
            </w:pPr>
          </w:p>
        </w:tc>
        <w:tc>
          <w:tcPr>
            <w:tcW w:w="36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w w:val="99"/>
              </w:rPr>
            </w:pPr>
            <w:hyperlink r:id="rId103">
              <w:r>
                <w:rPr>
                  <w:rFonts w:ascii="Times New Roman" w:cs="Times New Roman" w:eastAsia="Times New Roman" w:hAnsi="Times New Roman"/>
                  <w:sz w:val="17"/>
                  <w:szCs w:val="17"/>
                  <w:color w:val="0000FF"/>
                  <w:w w:val="99"/>
                </w:rPr>
                <w:t>2014 Equity Incentive Plan.</w:t>
              </w:r>
            </w:hyperlink>
          </w:p>
        </w:tc>
        <w:tc>
          <w:tcPr>
            <w:tcW w:w="130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w w:val="99"/>
              </w:rPr>
            </w:pPr>
            <w:hyperlink r:id="rId104">
              <w:r>
                <w:rPr>
                  <w:rFonts w:ascii="Times New Roman" w:cs="Times New Roman" w:eastAsia="Times New Roman" w:hAnsi="Times New Roman"/>
                  <w:sz w:val="17"/>
                  <w:szCs w:val="17"/>
                  <w:color w:val="0000FF"/>
                  <w:w w:val="99"/>
                </w:rPr>
                <w:t>Form of Restricted Stock Unit Grant &amp;</w:t>
              </w:r>
            </w:hyperlink>
          </w:p>
        </w:tc>
        <w:tc>
          <w:tcPr>
            <w:tcW w:w="54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0" w:type="dxa"/>
            <w:vAlign w:val="bottom"/>
            <w:gridSpan w:val="43"/>
          </w:tcPr>
          <w:p>
            <w:pPr>
              <w:spacing w:after="0" w:line="14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Notice and Form of Restricted Stock Unit</w:t>
              </w:r>
            </w:hyperlink>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Borders>
              <w:top w:val="single" w:sz="8" w:color="0000FF"/>
              <w:bottom w:val="single" w:sz="8" w:color="0000FF"/>
            </w:tcBorders>
            <w:gridSpan w:val="20"/>
          </w:tcPr>
          <w:p>
            <w:pPr>
              <w:spacing w:after="0" w:line="14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Award Agreement pursuant to the 2014</w:t>
              </w:r>
            </w:hyperlink>
          </w:p>
        </w:tc>
        <w:tc>
          <w:tcPr>
            <w:tcW w:w="140" w:type="dxa"/>
            <w:vAlign w:val="bottom"/>
            <w:tcBorders>
              <w:top w:val="single" w:sz="8" w:color="0000FF"/>
            </w:tcBorders>
            <w:gridSpan w:val="5"/>
          </w:tcPr>
          <w:p>
            <w:pPr>
              <w:spacing w:after="0"/>
              <w:rPr>
                <w:sz w:val="12"/>
                <w:szCs w:val="12"/>
                <w:color w:val="auto"/>
              </w:rPr>
            </w:pPr>
          </w:p>
        </w:tc>
        <w:tc>
          <w:tcPr>
            <w:tcW w:w="36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bl>
    <w:p>
      <w:pPr>
        <w:ind w:left="1100"/>
        <w:spacing w:after="0"/>
        <w:rPr>
          <w:rFonts w:ascii="Times New Roman" w:cs="Times New Roman" w:eastAsia="Times New Roman" w:hAnsi="Times New Roman"/>
          <w:sz w:val="17"/>
          <w:szCs w:val="17"/>
          <w:u w:val="single" w:color="auto"/>
          <w:color w:val="0000FF"/>
        </w:rPr>
      </w:pPr>
      <w:hyperlink r:id="rId104">
        <w:r>
          <w:rPr>
            <w:rFonts w:ascii="Times New Roman" w:cs="Times New Roman" w:eastAsia="Times New Roman" w:hAnsi="Times New Roman"/>
            <w:sz w:val="17"/>
            <w:szCs w:val="17"/>
            <w:u w:val="single" w:color="auto"/>
            <w:color w:val="0000FF"/>
          </w:rPr>
          <w:t>Equity Incentive Plan.</w:t>
        </w:r>
      </w:hyperlink>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w:t>
      </w:r>
    </w:p>
    <w:p>
      <w:pPr>
        <w:ind w:left="20"/>
        <w:spacing w:after="0"/>
        <w:rPr>
          <w:sz w:val="20"/>
          <w:szCs w:val="20"/>
          <w:color w:val="auto"/>
        </w:rPr>
      </w:pPr>
      <w:r>
        <w:rPr>
          <w:rFonts w:ascii="Times New Roman" w:cs="Times New Roman" w:eastAsia="Times New Roman" w:hAnsi="Times New Roman"/>
          <w:sz w:val="14"/>
          <w:szCs w:val="14"/>
          <w:b w:val="1"/>
          <w:bCs w:val="1"/>
          <w:color w:val="auto"/>
        </w:rPr>
        <w:t>Reference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0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 (File</w:t>
            </w:r>
          </w:p>
        </w:tc>
        <w:tc>
          <w:tcPr>
            <w:tcW w:w="10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0"/>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vMerge w:val="restart"/>
          </w:tcPr>
          <w:p>
            <w:pPr>
              <w:spacing w:after="0"/>
              <w:rPr>
                <w:sz w:val="12"/>
                <w:szCs w:val="12"/>
                <w:color w:val="auto"/>
              </w:rPr>
            </w:pPr>
          </w:p>
        </w:tc>
        <w:tc>
          <w:tcPr>
            <w:tcW w:w="106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ind w:right="2579"/>
        <w:spacing w:after="0"/>
        <w:rPr>
          <w:sz w:val="20"/>
          <w:szCs w:val="20"/>
          <w:color w:val="auto"/>
        </w:rPr>
      </w:pPr>
      <w:r>
        <w:rPr>
          <w:rFonts w:ascii="Times New Roman" w:cs="Times New Roman" w:eastAsia="Times New Roman" w:hAnsi="Times New Roman"/>
          <w:sz w:val="17"/>
          <w:szCs w:val="17"/>
          <w:color w:val="auto"/>
        </w:rPr>
        <w:t>05/10/2018</w:t>
      </w:r>
    </w:p>
    <w:p>
      <w:pPr>
        <w:ind w:left="340"/>
        <w:spacing w:after="0"/>
        <w:tabs>
          <w:tab w:leader="none" w:pos="1180" w:val="left"/>
          <w:tab w:leader="none" w:pos="2620" w:val="left"/>
        </w:tabs>
        <w:rPr>
          <w:sz w:val="20"/>
          <w:szCs w:val="20"/>
          <w:color w:val="auto"/>
        </w:rPr>
      </w:pPr>
      <w:r>
        <w:rPr>
          <w:rFonts w:ascii="Times New Roman" w:cs="Times New Roman" w:eastAsia="Times New Roman" w:hAnsi="Times New Roman"/>
          <w:sz w:val="17"/>
          <w:szCs w:val="17"/>
          <w:color w:val="auto"/>
        </w:rPr>
        <w:t>10-Q</w:t>
      </w:r>
      <w:r>
        <w:rPr>
          <w:sz w:val="20"/>
          <w:szCs w:val="20"/>
          <w:color w:val="auto"/>
        </w:rPr>
        <w:tab/>
      </w:r>
      <w:r>
        <w:rPr>
          <w:rFonts w:ascii="Times New Roman" w:cs="Times New Roman" w:eastAsia="Times New Roman" w:hAnsi="Times New Roman"/>
          <w:sz w:val="17"/>
          <w:szCs w:val="17"/>
          <w:color w:val="auto"/>
        </w:rPr>
        <w:t>(001-34460)</w:t>
      </w:r>
      <w:r>
        <w:rPr>
          <w:sz w:val="20"/>
          <w:szCs w:val="20"/>
          <w:color w:val="auto"/>
        </w:rPr>
        <w:tab/>
      </w:r>
      <w:r>
        <w:rPr>
          <w:rFonts w:ascii="Times New Roman" w:cs="Times New Roman" w:eastAsia="Times New Roman" w:hAnsi="Times New Roman"/>
          <w:sz w:val="16"/>
          <w:szCs w:val="16"/>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8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05/08/2019</w:t>
            </w:r>
          </w:p>
        </w:tc>
        <w:tc>
          <w:tcPr>
            <w:tcW w:w="620" w:type="dxa"/>
            <w:vAlign w:val="bottom"/>
          </w:tcPr>
          <w:p>
            <w:pPr>
              <w:spacing w:after="0"/>
              <w:rPr>
                <w:sz w:val="17"/>
                <w:szCs w:val="17"/>
                <w:color w:val="auto"/>
              </w:rPr>
            </w:pPr>
          </w:p>
        </w:tc>
      </w:tr>
      <w:tr>
        <w:trPr>
          <w:trHeight w:val="228"/>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7"/>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(001-34460)</w:t>
            </w:r>
          </w:p>
        </w:tc>
        <w:tc>
          <w:tcPr>
            <w:tcW w:w="6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w w:val="93"/>
              </w:rPr>
              <w:t>2.3</w:t>
            </w:r>
          </w:p>
        </w:tc>
      </w:tr>
      <w:tr>
        <w:trPr>
          <w:trHeight w:val="676"/>
        </w:trPr>
        <w:tc>
          <w:tcPr>
            <w:tcW w:w="8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11/07/2025</w:t>
            </w:r>
          </w:p>
        </w:tc>
        <w:tc>
          <w:tcPr>
            <w:tcW w:w="620" w:type="dxa"/>
            <w:vAlign w:val="bottom"/>
          </w:tcPr>
          <w:p>
            <w:pPr>
              <w:spacing w:after="0"/>
              <w:rPr>
                <w:sz w:val="24"/>
                <w:szCs w:val="24"/>
                <w:color w:val="auto"/>
              </w:rPr>
            </w:pPr>
          </w:p>
        </w:tc>
      </w:tr>
      <w:tr>
        <w:trPr>
          <w:trHeight w:val="228"/>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(001-34460)</w:t>
            </w:r>
          </w:p>
        </w:tc>
        <w:tc>
          <w:tcPr>
            <w:tcW w:w="6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w w:val="93"/>
              </w:rPr>
              <w:t>2.1</w:t>
            </w:r>
          </w:p>
        </w:tc>
      </w:tr>
      <w:tr>
        <w:trPr>
          <w:trHeight w:val="332"/>
        </w:trPr>
        <w:tc>
          <w:tcPr>
            <w:tcW w:w="8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02/27/2017</w:t>
            </w:r>
          </w:p>
        </w:tc>
        <w:tc>
          <w:tcPr>
            <w:tcW w:w="620" w:type="dxa"/>
            <w:vAlign w:val="bottom"/>
          </w:tcPr>
          <w:p>
            <w:pPr>
              <w:spacing w:after="0"/>
              <w:rPr>
                <w:sz w:val="24"/>
                <w:szCs w:val="24"/>
                <w:color w:val="auto"/>
              </w:rPr>
            </w:pPr>
          </w:p>
        </w:tc>
      </w:tr>
      <w:tr>
        <w:trPr>
          <w:trHeight w:val="226"/>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(001-34460)</w:t>
            </w:r>
          </w:p>
        </w:tc>
        <w:tc>
          <w:tcPr>
            <w:tcW w:w="6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w w:val="93"/>
              </w:rPr>
              <w:t>3.1</w:t>
            </w:r>
          </w:p>
        </w:tc>
      </w:tr>
      <w:tr>
        <w:trPr>
          <w:trHeight w:val="169"/>
        </w:trPr>
        <w:tc>
          <w:tcPr>
            <w:tcW w:w="8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w w:val="98"/>
              </w:rPr>
              <w:t>05/24/2024</w:t>
            </w:r>
          </w:p>
        </w:tc>
        <w:tc>
          <w:tcPr>
            <w:tcW w:w="620" w:type="dxa"/>
            <w:vAlign w:val="bottom"/>
          </w:tcPr>
          <w:p>
            <w:pPr>
              <w:spacing w:after="0"/>
              <w:rPr>
                <w:sz w:val="14"/>
                <w:szCs w:val="14"/>
                <w:color w:val="auto"/>
              </w:rPr>
            </w:pPr>
          </w:p>
        </w:tc>
      </w:tr>
      <w:tr>
        <w:trPr>
          <w:trHeight w:val="226"/>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(001-34460)</w:t>
            </w:r>
          </w:p>
        </w:tc>
        <w:tc>
          <w:tcPr>
            <w:tcW w:w="6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w w:val="93"/>
              </w:rPr>
              <w:t>3.1</w:t>
            </w:r>
          </w:p>
        </w:tc>
      </w:tr>
      <w:tr>
        <w:trPr>
          <w:trHeight w:val="169"/>
        </w:trPr>
        <w:tc>
          <w:tcPr>
            <w:tcW w:w="8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w w:val="98"/>
              </w:rPr>
              <w:t>02/27/2017</w:t>
            </w:r>
          </w:p>
        </w:tc>
        <w:tc>
          <w:tcPr>
            <w:tcW w:w="620" w:type="dxa"/>
            <w:vAlign w:val="bottom"/>
          </w:tcPr>
          <w:p>
            <w:pPr>
              <w:spacing w:after="0"/>
              <w:rPr>
                <w:sz w:val="14"/>
                <w:szCs w:val="14"/>
                <w:color w:val="auto"/>
              </w:rPr>
            </w:pPr>
          </w:p>
        </w:tc>
      </w:tr>
      <w:tr>
        <w:trPr>
          <w:trHeight w:val="226"/>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(001-34460)</w:t>
            </w:r>
          </w:p>
        </w:tc>
        <w:tc>
          <w:tcPr>
            <w:tcW w:w="6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w w:val="93"/>
              </w:rPr>
              <w:t>4.1</w:t>
            </w:r>
          </w:p>
        </w:tc>
      </w:tr>
      <w:tr>
        <w:trPr>
          <w:trHeight w:val="169"/>
        </w:trPr>
        <w:tc>
          <w:tcPr>
            <w:tcW w:w="8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w w:val="98"/>
              </w:rPr>
              <w:t>02/24/2020</w:t>
            </w:r>
          </w:p>
        </w:tc>
        <w:tc>
          <w:tcPr>
            <w:tcW w:w="620" w:type="dxa"/>
            <w:vAlign w:val="bottom"/>
          </w:tcPr>
          <w:p>
            <w:pPr>
              <w:spacing w:after="0"/>
              <w:rPr>
                <w:sz w:val="14"/>
                <w:szCs w:val="14"/>
                <w:color w:val="auto"/>
              </w:rPr>
            </w:pPr>
          </w:p>
        </w:tc>
      </w:tr>
      <w:tr>
        <w:trPr>
          <w:trHeight w:val="228"/>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(001-34460)</w:t>
            </w:r>
          </w:p>
        </w:tc>
        <w:tc>
          <w:tcPr>
            <w:tcW w:w="6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w w:val="93"/>
              </w:rPr>
              <w:t>4.4</w:t>
            </w:r>
          </w:p>
        </w:tc>
      </w:tr>
      <w:tr>
        <w:trPr>
          <w:trHeight w:val="498"/>
        </w:trPr>
        <w:tc>
          <w:tcPr>
            <w:tcW w:w="8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08/04/2011</w:t>
            </w:r>
          </w:p>
        </w:tc>
        <w:tc>
          <w:tcPr>
            <w:tcW w:w="620" w:type="dxa"/>
            <w:vAlign w:val="bottom"/>
          </w:tcPr>
          <w:p>
            <w:pPr>
              <w:spacing w:after="0"/>
              <w:rPr>
                <w:sz w:val="24"/>
                <w:szCs w:val="24"/>
                <w:color w:val="auto"/>
              </w:rPr>
            </w:pPr>
          </w:p>
        </w:tc>
      </w:tr>
      <w:tr>
        <w:trPr>
          <w:trHeight w:val="226"/>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7"/>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(001-34460)</w:t>
            </w:r>
          </w:p>
        </w:tc>
        <w:tc>
          <w:tcPr>
            <w:tcW w:w="62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10.8</w:t>
            </w:r>
          </w:p>
        </w:tc>
      </w:tr>
      <w:tr>
        <w:trPr>
          <w:trHeight w:val="169"/>
        </w:trPr>
        <w:tc>
          <w:tcPr>
            <w:tcW w:w="8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w w:val="98"/>
              </w:rPr>
              <w:t>07/31/2017</w:t>
            </w:r>
          </w:p>
        </w:tc>
        <w:tc>
          <w:tcPr>
            <w:tcW w:w="620" w:type="dxa"/>
            <w:vAlign w:val="bottom"/>
          </w:tcPr>
          <w:p>
            <w:pPr>
              <w:spacing w:after="0"/>
              <w:rPr>
                <w:sz w:val="14"/>
                <w:szCs w:val="14"/>
                <w:color w:val="auto"/>
              </w:rPr>
            </w:pPr>
          </w:p>
        </w:tc>
      </w:tr>
      <w:tr>
        <w:trPr>
          <w:trHeight w:val="226"/>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2"/>
              </w:rPr>
              <w:t>S-8</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(001-34460)</w:t>
            </w:r>
          </w:p>
        </w:tc>
        <w:tc>
          <w:tcPr>
            <w:tcW w:w="62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99.1</w:t>
            </w:r>
          </w:p>
        </w:tc>
      </w:tr>
      <w:tr>
        <w:trPr>
          <w:trHeight w:val="169"/>
        </w:trPr>
        <w:tc>
          <w:tcPr>
            <w:tcW w:w="8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w w:val="98"/>
              </w:rPr>
              <w:t>08/01/2005</w:t>
            </w:r>
          </w:p>
        </w:tc>
        <w:tc>
          <w:tcPr>
            <w:tcW w:w="620" w:type="dxa"/>
            <w:vAlign w:val="bottom"/>
          </w:tcPr>
          <w:p>
            <w:pPr>
              <w:spacing w:after="0"/>
              <w:rPr>
                <w:sz w:val="14"/>
                <w:szCs w:val="14"/>
                <w:color w:val="auto"/>
              </w:rPr>
            </w:pPr>
          </w:p>
        </w:tc>
      </w:tr>
      <w:tr>
        <w:trPr>
          <w:trHeight w:val="226"/>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2"/>
              </w:rPr>
              <w:t>S-8</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(333-127060)</w:t>
            </w:r>
          </w:p>
        </w:tc>
        <w:tc>
          <w:tcPr>
            <w:tcW w:w="62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99.2</w:t>
            </w:r>
          </w:p>
        </w:tc>
      </w:tr>
      <w:tr>
        <w:trPr>
          <w:trHeight w:val="169"/>
        </w:trPr>
        <w:tc>
          <w:tcPr>
            <w:tcW w:w="8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w w:val="98"/>
              </w:rPr>
              <w:t>08/01/2005</w:t>
            </w:r>
          </w:p>
        </w:tc>
        <w:tc>
          <w:tcPr>
            <w:tcW w:w="620" w:type="dxa"/>
            <w:vAlign w:val="bottom"/>
          </w:tcPr>
          <w:p>
            <w:pPr>
              <w:spacing w:after="0"/>
              <w:rPr>
                <w:sz w:val="14"/>
                <w:szCs w:val="14"/>
                <w:color w:val="auto"/>
              </w:rPr>
            </w:pPr>
          </w:p>
        </w:tc>
      </w:tr>
      <w:tr>
        <w:trPr>
          <w:trHeight w:val="228"/>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2"/>
              </w:rPr>
              <w:t>S-8</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(333-127060)</w:t>
            </w:r>
          </w:p>
        </w:tc>
        <w:tc>
          <w:tcPr>
            <w:tcW w:w="62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99.1</w:t>
            </w:r>
          </w:p>
        </w:tc>
      </w:tr>
      <w:tr>
        <w:trPr>
          <w:trHeight w:val="498"/>
        </w:trPr>
        <w:tc>
          <w:tcPr>
            <w:tcW w:w="8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01/17/2007</w:t>
            </w:r>
          </w:p>
        </w:tc>
        <w:tc>
          <w:tcPr>
            <w:tcW w:w="620" w:type="dxa"/>
            <w:vAlign w:val="bottom"/>
          </w:tcPr>
          <w:p>
            <w:pPr>
              <w:spacing w:after="0"/>
              <w:rPr>
                <w:sz w:val="24"/>
                <w:szCs w:val="24"/>
                <w:color w:val="auto"/>
              </w:rPr>
            </w:pPr>
          </w:p>
        </w:tc>
      </w:tr>
      <w:tr>
        <w:trPr>
          <w:trHeight w:val="226"/>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(000-27231)</w:t>
            </w:r>
          </w:p>
        </w:tc>
        <w:tc>
          <w:tcPr>
            <w:tcW w:w="62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99.3</w:t>
            </w:r>
          </w:p>
        </w:tc>
      </w:tr>
      <w:tr>
        <w:trPr>
          <w:trHeight w:val="169"/>
        </w:trPr>
        <w:tc>
          <w:tcPr>
            <w:tcW w:w="8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w w:val="98"/>
              </w:rPr>
              <w:t>04/15/2011</w:t>
            </w:r>
          </w:p>
        </w:tc>
        <w:tc>
          <w:tcPr>
            <w:tcW w:w="620" w:type="dxa"/>
            <w:vAlign w:val="bottom"/>
          </w:tcPr>
          <w:p>
            <w:pPr>
              <w:spacing w:after="0"/>
              <w:rPr>
                <w:sz w:val="14"/>
                <w:szCs w:val="14"/>
                <w:color w:val="auto"/>
              </w:rPr>
            </w:pPr>
          </w:p>
        </w:tc>
      </w:tr>
      <w:tr>
        <w:trPr>
          <w:trHeight w:val="228"/>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DEF 14A</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(001-34460)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n/a</w:t>
            </w:r>
          </w:p>
        </w:tc>
      </w:tr>
      <w:tr>
        <w:trPr>
          <w:trHeight w:val="498"/>
        </w:trPr>
        <w:tc>
          <w:tcPr>
            <w:tcW w:w="8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11/18/2011</w:t>
            </w:r>
          </w:p>
        </w:tc>
        <w:tc>
          <w:tcPr>
            <w:tcW w:w="620" w:type="dxa"/>
            <w:vAlign w:val="bottom"/>
          </w:tcPr>
          <w:p>
            <w:pPr>
              <w:spacing w:after="0"/>
              <w:rPr>
                <w:sz w:val="24"/>
                <w:szCs w:val="24"/>
                <w:color w:val="auto"/>
              </w:rPr>
            </w:pPr>
          </w:p>
        </w:tc>
      </w:tr>
      <w:tr>
        <w:trPr>
          <w:trHeight w:val="226"/>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(001-34460)</w:t>
            </w:r>
          </w:p>
        </w:tc>
        <w:tc>
          <w:tcPr>
            <w:tcW w:w="62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10.2</w:t>
            </w:r>
          </w:p>
        </w:tc>
      </w:tr>
      <w:tr>
        <w:trPr>
          <w:trHeight w:val="169"/>
        </w:trPr>
        <w:tc>
          <w:tcPr>
            <w:tcW w:w="8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w w:val="98"/>
              </w:rPr>
              <w:t>06/05/2020</w:t>
            </w:r>
          </w:p>
        </w:tc>
        <w:tc>
          <w:tcPr>
            <w:tcW w:w="620" w:type="dxa"/>
            <w:vAlign w:val="bottom"/>
          </w:tcPr>
          <w:p>
            <w:pPr>
              <w:spacing w:after="0"/>
              <w:rPr>
                <w:sz w:val="14"/>
                <w:szCs w:val="14"/>
                <w:color w:val="auto"/>
              </w:rPr>
            </w:pPr>
          </w:p>
        </w:tc>
      </w:tr>
      <w:tr>
        <w:trPr>
          <w:trHeight w:val="228"/>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8"/>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(001-34460)</w:t>
            </w:r>
          </w:p>
        </w:tc>
        <w:tc>
          <w:tcPr>
            <w:tcW w:w="62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10.1</w:t>
            </w:r>
          </w:p>
        </w:tc>
      </w:tr>
      <w:tr>
        <w:trPr>
          <w:trHeight w:val="498"/>
        </w:trPr>
        <w:tc>
          <w:tcPr>
            <w:tcW w:w="8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02/24/2020</w:t>
            </w:r>
          </w:p>
        </w:tc>
        <w:tc>
          <w:tcPr>
            <w:tcW w:w="620" w:type="dxa"/>
            <w:vAlign w:val="bottom"/>
          </w:tcPr>
          <w:p>
            <w:pPr>
              <w:spacing w:after="0"/>
              <w:rPr>
                <w:sz w:val="24"/>
                <w:szCs w:val="24"/>
                <w:color w:val="auto"/>
              </w:rPr>
            </w:pPr>
          </w:p>
        </w:tc>
      </w:tr>
      <w:tr>
        <w:trPr>
          <w:trHeight w:val="228"/>
        </w:trPr>
        <w:tc>
          <w:tcPr>
            <w:tcW w:w="8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(01-34460)</w:t>
            </w:r>
          </w:p>
        </w:tc>
        <w:tc>
          <w:tcPr>
            <w:tcW w:w="62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w w:val="99"/>
              </w:rPr>
              <w:t>10.15</w:t>
            </w:r>
          </w:p>
        </w:tc>
      </w:tr>
      <w:tr>
        <w:trPr>
          <w:trHeight w:val="802"/>
        </w:trPr>
        <w:tc>
          <w:tcPr>
            <w:tcW w:w="820" w:type="dxa"/>
            <w:vAlign w:val="bottom"/>
          </w:tcPr>
          <w:p>
            <w:pPr>
              <w:spacing w:after="0"/>
              <w:rPr>
                <w:sz w:val="24"/>
                <w:szCs w:val="24"/>
                <w:color w:val="auto"/>
              </w:rPr>
            </w:pPr>
          </w:p>
        </w:tc>
        <w:tc>
          <w:tcPr>
            <w:tcW w:w="132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rPr>
              <w:t>69</w:t>
            </w: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-2753995</wp:posOffset>
            </wp:positionH>
            <wp:positionV relativeFrom="paragraph">
              <wp:posOffset>52705</wp:posOffset>
            </wp:positionV>
            <wp:extent cx="716534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2">
            <w:col w:w="4220" w:space="100"/>
            <w:col w:w="5819"/>
          </w:cols>
          <w:pgMar w:left="320" w:top="845" w:right="1440"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95"/>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10.10#</w:t>
            </w:r>
          </w:p>
        </w:tc>
        <w:tc>
          <w:tcPr>
            <w:tcW w:w="288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Second Amended and Restated Executive</w:t>
              </w:r>
            </w:hyperlink>
          </w:p>
        </w:tc>
        <w:tc>
          <w:tcPr>
            <w:tcW w:w="4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360" w:type="dxa"/>
            <w:vAlign w:val="bottom"/>
            <w:gridSpan w:val="45"/>
          </w:tcPr>
          <w:p>
            <w:pPr>
              <w:spacing w:after="0" w:line="14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Employment Agreement, dated as of August</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240" w:type="dxa"/>
            <w:vAlign w:val="bottom"/>
            <w:tcBorders>
              <w:top w:val="single" w:sz="8" w:color="0000FF"/>
            </w:tcBorders>
            <w:gridSpan w:val="39"/>
          </w:tcPr>
          <w:p>
            <w:pPr>
              <w:spacing w:after="0" w:line="14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4, 2011, by and between Kratos Defense &amp;</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29"/>
          </w:tcPr>
          <w:p>
            <w:pPr>
              <w:spacing w:after="0" w:line="159"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Security Solutions, Inc. and Eric DeMarco.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10.11#</w:t>
            </w:r>
          </w:p>
        </w:tc>
        <w:tc>
          <w:tcPr>
            <w:tcW w:w="3360" w:type="dxa"/>
            <w:vAlign w:val="bottom"/>
            <w:gridSpan w:val="45"/>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Second Amended and Restated Severance</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920" w:type="dxa"/>
            <w:vAlign w:val="bottom"/>
            <w:tcBorders>
              <w:top w:val="single" w:sz="8" w:color="0000FF"/>
            </w:tcBorders>
            <w:gridSpan w:val="23"/>
          </w:tcPr>
          <w:p>
            <w:pPr>
              <w:spacing w:after="0" w:line="14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and Change of Control Agreement, dated</w:t>
              </w:r>
            </w:hyperlink>
          </w:p>
        </w:tc>
        <w:tc>
          <w:tcPr>
            <w:tcW w:w="440" w:type="dxa"/>
            <w:vAlign w:val="bottom"/>
            <w:gridSpan w:val="22"/>
          </w:tcPr>
          <w:p>
            <w:pPr>
              <w:jc w:val="right"/>
              <w:ind w:right="380"/>
              <w:spacing w:after="0"/>
              <w:rPr>
                <w:rFonts w:ascii="Times New Roman" w:cs="Times New Roman" w:eastAsia="Times New Roman" w:hAnsi="Times New Roman"/>
                <w:sz w:val="6"/>
                <w:szCs w:val="6"/>
                <w:color w:val="0000FF"/>
                <w:w w:val="78"/>
              </w:rPr>
            </w:pPr>
            <w:hyperlink r:id="rId107">
              <w:r>
                <w:rPr>
                  <w:rFonts w:ascii="Times New Roman" w:cs="Times New Roman" w:eastAsia="Times New Roman" w:hAnsi="Times New Roman"/>
                  <w:sz w:val="6"/>
                  <w:szCs w:val="6"/>
                  <w:color w:val="0000FF"/>
                  <w:w w:val="78"/>
                </w:rPr>
                <w:t>as</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180" w:type="dxa"/>
            <w:vAlign w:val="bottom"/>
            <w:tcBorders>
              <w:top w:val="single" w:sz="8" w:color="0000FF"/>
            </w:tcBorders>
            <w:gridSpan w:val="36"/>
          </w:tcPr>
          <w:p>
            <w:pPr>
              <w:spacing w:after="0" w:line="14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of August 4, 2011, by and between Kratos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2960" w:type="dxa"/>
            <w:vAlign w:val="bottom"/>
            <w:tcBorders>
              <w:top w:val="single" w:sz="8" w:color="0000FF"/>
            </w:tcBorders>
            <w:gridSpan w:val="25"/>
          </w:tcPr>
          <w:p>
            <w:pPr>
              <w:spacing w:after="0" w:line="159"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Defense &amp; Security Solutions, Inc.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680" w:type="dxa"/>
            <w:vAlign w:val="bottom"/>
            <w:tcBorders>
              <w:top w:val="single" w:sz="8" w:color="0000FF"/>
            </w:tcBorders>
            <w:gridSpan w:val="11"/>
          </w:tcPr>
          <w:p>
            <w:pPr>
              <w:spacing w:after="0" w:line="14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Deanna Lund.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10.12</w:t>
            </w:r>
          </w:p>
        </w:tc>
        <w:tc>
          <w:tcPr>
            <w:tcW w:w="3360" w:type="dxa"/>
            <w:vAlign w:val="bottom"/>
            <w:gridSpan w:val="45"/>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Office Lease, dated as of May 1, 2017, by</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17"/>
          </w:tcPr>
          <w:p>
            <w:pPr>
              <w:spacing w:after="0" w:line="14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and between Kratos Defense &amp; Security</w:t>
              </w:r>
            </w:hyperlink>
          </w:p>
        </w:tc>
        <w:tc>
          <w:tcPr>
            <w:tcW w:w="8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020" w:type="dxa"/>
            <w:vAlign w:val="bottom"/>
            <w:tcBorders>
              <w:bottom w:val="single" w:sz="8" w:color="0000FF"/>
            </w:tcBorders>
            <w:gridSpan w:val="28"/>
          </w:tcPr>
          <w:p>
            <w:pPr>
              <w:spacing w:after="0" w:line="14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Solutions, Inc. and TPP 212 Scripps, LLC.</w:t>
              </w:r>
            </w:hyperlink>
          </w:p>
        </w:tc>
        <w:tc>
          <w:tcPr>
            <w:tcW w:w="34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10.13</w:t>
            </w:r>
          </w:p>
        </w:tc>
        <w:tc>
          <w:tcPr>
            <w:tcW w:w="3360" w:type="dxa"/>
            <w:vAlign w:val="bottom"/>
            <w:gridSpan w:val="45"/>
          </w:tcPr>
          <w:p>
            <w:pPr>
              <w:spacing w:after="0"/>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Exchange Agreement, dated February 27,</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700" w:type="dxa"/>
            <w:vAlign w:val="bottom"/>
            <w:tcBorders>
              <w:top w:val="single" w:sz="8" w:color="0000FF"/>
              <w:bottom w:val="single" w:sz="8" w:color="0000FF"/>
            </w:tcBorders>
            <w:gridSpan w:val="12"/>
          </w:tcPr>
          <w:p>
            <w:pPr>
              <w:spacing w:after="0" w:line="14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2019, by and among Kratos Defense &amp;</w:t>
              </w:r>
            </w:hyperlink>
          </w:p>
        </w:tc>
        <w:tc>
          <w:tcPr>
            <w:tcW w:w="160" w:type="dxa"/>
            <w:vAlign w:val="bottom"/>
            <w:tcBorders>
              <w:top w:val="single" w:sz="8" w:color="0000FF"/>
            </w:tcBorders>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360" w:type="dxa"/>
            <w:vAlign w:val="bottom"/>
            <w:gridSpan w:val="45"/>
          </w:tcPr>
          <w:p>
            <w:pPr>
              <w:spacing w:after="0" w:line="14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Security Solutions, Inc., FTT CORE, LLC,</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30"/>
          </w:tcPr>
          <w:p>
            <w:pPr>
              <w:spacing w:after="0" w:line="159"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Florida Turbine Technologies, Inc., Shirley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080" w:type="dxa"/>
            <w:vAlign w:val="bottom"/>
            <w:gridSpan w:val="31"/>
          </w:tcPr>
          <w:p>
            <w:pPr>
              <w:spacing w:after="0" w:line="14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Brostmeyer (“SB”), Joseph Brostmeyer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760" w:type="dxa"/>
            <w:vAlign w:val="bottom"/>
            <w:tcBorders>
              <w:top w:val="single" w:sz="8" w:color="0000FF"/>
            </w:tcBorders>
            <w:gridSpan w:val="15"/>
          </w:tcPr>
          <w:p>
            <w:pPr>
              <w:spacing w:after="0" w:line="14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(“JB”), and certain trusts established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8"/>
          </w:tcPr>
          <w:p>
            <w:pPr>
              <w:spacing w:after="0" w:line="14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SB,</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3200" w:type="dxa"/>
            <w:vAlign w:val="bottom"/>
            <w:tcBorders>
              <w:top w:val="single" w:sz="8" w:color="0000FF"/>
            </w:tcBorders>
            <w:gridSpan w:val="37"/>
          </w:tcPr>
          <w:p>
            <w:pPr>
              <w:spacing w:after="0" w:line="159"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JB and members of their immediate family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020" w:type="dxa"/>
            <w:vAlign w:val="bottom"/>
            <w:tcBorders>
              <w:top w:val="single" w:sz="8" w:color="0000FF"/>
            </w:tcBorders>
            <w:gridSpan w:val="28"/>
          </w:tcPr>
          <w:p>
            <w:pPr>
              <w:spacing w:after="0" w:line="14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and JB, as the Sellers Representative</w:t>
              </w:r>
              <w:r>
                <w:rPr>
                  <w:rFonts w:ascii="Times New Roman" w:cs="Times New Roman" w:eastAsia="Times New Roman" w:hAnsi="Times New Roman"/>
                  <w:sz w:val="16"/>
                  <w:szCs w:val="16"/>
                  <w:color w:val="000000"/>
                </w:rPr>
                <w:t>.</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10.14</w:t>
            </w:r>
          </w:p>
        </w:tc>
        <w:tc>
          <w:tcPr>
            <w:tcW w:w="4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80" w:type="dxa"/>
            <w:vAlign w:val="bottom"/>
            <w:vMerge w:val="continue"/>
          </w:tcPr>
          <w:p>
            <w:pPr>
              <w:spacing w:after="0"/>
              <w:rPr>
                <w:sz w:val="20"/>
                <w:szCs w:val="20"/>
                <w:color w:val="auto"/>
              </w:rPr>
            </w:pPr>
          </w:p>
        </w:tc>
        <w:tc>
          <w:tcPr>
            <w:tcW w:w="3360" w:type="dxa"/>
            <w:vAlign w:val="bottom"/>
            <w:gridSpan w:val="45"/>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Amended and Restated Lease Agreement,</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2900" w:type="dxa"/>
            <w:vAlign w:val="bottom"/>
            <w:tcBorders>
              <w:top w:val="single" w:sz="8" w:color="0000FF"/>
            </w:tcBorders>
            <w:gridSpan w:val="22"/>
          </w:tcPr>
          <w:p>
            <w:pPr>
              <w:spacing w:after="0" w:line="159"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dated as of December 20, 2019, by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660" w:type="dxa"/>
            <w:vAlign w:val="bottom"/>
            <w:tcBorders>
              <w:top w:val="single" w:sz="8" w:color="0000FF"/>
            </w:tcBorders>
            <w:gridSpan w:val="10"/>
          </w:tcPr>
          <w:p>
            <w:pPr>
              <w:spacing w:after="0" w:line="14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between STORE Capital Acquisitions,</w:t>
              </w:r>
            </w:hyperlink>
          </w:p>
        </w:tc>
        <w:tc>
          <w:tcPr>
            <w:tcW w:w="40" w:type="dxa"/>
            <w:vAlign w:val="bottom"/>
            <w:gridSpan w:val="2"/>
          </w:tcPr>
          <w:p>
            <w:pPr>
              <w:spacing w:after="0"/>
              <w:rPr>
                <w:sz w:val="12"/>
                <w:szCs w:val="12"/>
                <w:color w:val="auto"/>
              </w:rPr>
            </w:pPr>
          </w:p>
        </w:tc>
        <w:tc>
          <w:tcPr>
            <w:tcW w:w="660" w:type="dxa"/>
            <w:vAlign w:val="bottom"/>
            <w:gridSpan w:val="33"/>
          </w:tcPr>
          <w:p>
            <w:pPr>
              <w:jc w:val="right"/>
              <w:ind w:right="380"/>
              <w:spacing w:after="0" w:line="145" w:lineRule="exact"/>
              <w:rPr>
                <w:rFonts w:ascii="Times New Roman" w:cs="Times New Roman" w:eastAsia="Times New Roman" w:hAnsi="Times New Roman"/>
                <w:sz w:val="16"/>
                <w:szCs w:val="16"/>
                <w:color w:val="0000FF"/>
                <w:w w:val="85"/>
              </w:rPr>
            </w:pPr>
            <w:hyperlink r:id="rId110">
              <w:r>
                <w:rPr>
                  <w:rFonts w:ascii="Times New Roman" w:cs="Times New Roman" w:eastAsia="Times New Roman" w:hAnsi="Times New Roman"/>
                  <w:sz w:val="16"/>
                  <w:szCs w:val="16"/>
                  <w:color w:val="0000FF"/>
                  <w:w w:val="85"/>
                </w:rPr>
                <w:t>LLC</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780" w:type="dxa"/>
            <w:vAlign w:val="bottom"/>
            <w:tcBorders>
              <w:top w:val="single" w:sz="8" w:color="0000FF"/>
              <w:bottom w:val="single" w:sz="8" w:color="0000FF"/>
            </w:tcBorders>
            <w:gridSpan w:val="4"/>
          </w:tcPr>
          <w:p>
            <w:pPr>
              <w:spacing w:after="0" w:line="14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and Kratos RT Logic, Inc.</w:t>
              </w:r>
            </w:hyperlink>
          </w:p>
        </w:tc>
        <w:tc>
          <w:tcPr>
            <w:tcW w:w="1380" w:type="dxa"/>
            <w:vAlign w:val="bottom"/>
            <w:tcBorders>
              <w:top w:val="single" w:sz="8" w:color="0000FF"/>
            </w:tcBorders>
            <w:gridSpan w:val="31"/>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10.15</w:t>
            </w:r>
          </w:p>
        </w:tc>
        <w:tc>
          <w:tcPr>
            <w:tcW w:w="3100" w:type="dxa"/>
            <w:vAlign w:val="bottom"/>
            <w:tcBorders>
              <w:bottom w:val="single" w:sz="8" w:color="0000FF"/>
            </w:tcBorders>
            <w:gridSpan w:val="32"/>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First Amendment to Exchange Agreement,</w:t>
              </w:r>
            </w:hyperlink>
          </w:p>
        </w:tc>
        <w:tc>
          <w:tcPr>
            <w:tcW w:w="26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360" w:type="dxa"/>
            <w:vAlign w:val="bottom"/>
            <w:gridSpan w:val="45"/>
          </w:tcPr>
          <w:p>
            <w:pPr>
              <w:spacing w:after="0" w:line="14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dated as of February 18, 2022, by and among</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280" w:type="dxa"/>
            <w:vAlign w:val="bottom"/>
            <w:tcBorders>
              <w:top w:val="single" w:sz="8" w:color="0000FF"/>
            </w:tcBorders>
            <w:gridSpan w:val="41"/>
          </w:tcPr>
          <w:p>
            <w:pPr>
              <w:spacing w:after="0" w:line="14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Kratos Defense &amp; Security Solutions,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6"/>
          </w:tcPr>
          <w:p>
            <w:pPr>
              <w:spacing w:after="0" w:line="159" w:lineRule="exact"/>
              <w:rPr>
                <w:rFonts w:ascii="Times New Roman" w:cs="Times New Roman" w:eastAsia="Times New Roman" w:hAnsi="Times New Roman"/>
                <w:sz w:val="17"/>
                <w:szCs w:val="17"/>
                <w:color w:val="0000FF"/>
                <w:w w:val="99"/>
              </w:rPr>
            </w:pPr>
            <w:hyperlink r:id="rId111">
              <w:r>
                <w:rPr>
                  <w:rFonts w:ascii="Times New Roman" w:cs="Times New Roman" w:eastAsia="Times New Roman" w:hAnsi="Times New Roman"/>
                  <w:sz w:val="17"/>
                  <w:szCs w:val="17"/>
                  <w:color w:val="0000FF"/>
                  <w:w w:val="99"/>
                </w:rPr>
                <w:t>FTT CORE, LLC, Florida Turbine</w:t>
              </w:r>
            </w:hyperlink>
          </w:p>
        </w:tc>
        <w:tc>
          <w:tcPr>
            <w:tcW w:w="640" w:type="dxa"/>
            <w:vAlign w:val="bottom"/>
            <w:tcBorders>
              <w:top w:val="single" w:sz="8" w:color="0000FF"/>
            </w:tcBorders>
            <w:gridSpan w:val="21"/>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360" w:type="dxa"/>
            <w:vAlign w:val="bottom"/>
            <w:gridSpan w:val="45"/>
          </w:tcPr>
          <w:p>
            <w:pPr>
              <w:spacing w:after="0" w:line="14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Technologies, Inc., Shirley Brostmeyer</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700" w:type="dxa"/>
            <w:vAlign w:val="bottom"/>
            <w:tcBorders>
              <w:top w:val="single" w:sz="8" w:color="0000FF"/>
              <w:bottom w:val="single" w:sz="8" w:color="0000FF"/>
            </w:tcBorders>
            <w:gridSpan w:val="12"/>
          </w:tcPr>
          <w:p>
            <w:pPr>
              <w:spacing w:after="0" w:line="14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(“SB”), Joseph Brostmeyer (“JB”), and</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2720" w:type="dxa"/>
            <w:vAlign w:val="bottom"/>
            <w:tcBorders>
              <w:bottom w:val="single" w:sz="8" w:color="0000FF"/>
            </w:tcBorders>
            <w:gridSpan w:val="13"/>
          </w:tcPr>
          <w:p>
            <w:pPr>
              <w:spacing w:after="0" w:line="159"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certain trusts established by SB, JB and</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580" w:type="dxa"/>
            <w:vAlign w:val="bottom"/>
            <w:gridSpan w:val="29"/>
            <w:vMerge w:val="restart"/>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JB,</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740" w:type="dxa"/>
            <w:vAlign w:val="bottom"/>
            <w:gridSpan w:val="14"/>
          </w:tcPr>
          <w:p>
            <w:pPr>
              <w:spacing w:after="0" w:line="14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members of their immediate family and</w:t>
              </w:r>
            </w:hyperlink>
          </w:p>
        </w:tc>
        <w:tc>
          <w:tcPr>
            <w:tcW w:w="40" w:type="dxa"/>
            <w:vAlign w:val="bottom"/>
            <w:gridSpan w:val="2"/>
          </w:tcPr>
          <w:p>
            <w:pPr>
              <w:spacing w:after="0"/>
              <w:rPr>
                <w:sz w:val="12"/>
                <w:szCs w:val="12"/>
                <w:color w:val="auto"/>
              </w:rPr>
            </w:pPr>
          </w:p>
        </w:tc>
        <w:tc>
          <w:tcPr>
            <w:tcW w:w="580" w:type="dxa"/>
            <w:vAlign w:val="bottom"/>
            <w:gridSpan w:val="2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5"/>
          </w:tcPr>
          <w:p>
            <w:pPr>
              <w:spacing w:after="0" w:line="14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as the Sellers Representative.</w:t>
              </w:r>
            </w:hyperlink>
          </w:p>
        </w:tc>
        <w:tc>
          <w:tcPr>
            <w:tcW w:w="1140" w:type="dxa"/>
            <w:vAlign w:val="bottom"/>
            <w:tcBorders>
              <w:top w:val="single" w:sz="8" w:color="0000FF"/>
            </w:tcBorders>
            <w:gridSpan w:val="29"/>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10.16</w:t>
            </w:r>
          </w:p>
        </w:tc>
        <w:tc>
          <w:tcPr>
            <w:tcW w:w="3360" w:type="dxa"/>
            <w:vAlign w:val="bottom"/>
            <w:gridSpan w:val="45"/>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Credit Agreement, dated as of February 18,</w:t>
              </w:r>
            </w:hyperlink>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26"/>
          </w:tcPr>
          <w:p>
            <w:pPr>
              <w:spacing w:after="0" w:line="14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2022, among Kratos Defense and Security</w:t>
              </w:r>
            </w:hyperlink>
          </w:p>
        </w:tc>
        <w:tc>
          <w:tcPr>
            <w:tcW w:w="140" w:type="dxa"/>
            <w:vAlign w:val="bottom"/>
            <w:tcBorders>
              <w:top w:val="single" w:sz="8" w:color="0000FF"/>
            </w:tcBorders>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360" w:type="dxa"/>
            <w:vAlign w:val="bottom"/>
            <w:gridSpan w:val="45"/>
          </w:tcPr>
          <w:p>
            <w:pPr>
              <w:spacing w:after="0" w:line="14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Solutions, Inc., as Borrower, the lenders from</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3340" w:type="dxa"/>
            <w:vAlign w:val="bottom"/>
            <w:tcBorders>
              <w:top w:val="single" w:sz="8" w:color="0000FF"/>
            </w:tcBorders>
            <w:gridSpan w:val="44"/>
          </w:tcPr>
          <w:p>
            <w:pPr>
              <w:spacing w:after="0" w:line="159"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time to time party thereto, and Truist Bank,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100" w:type="dxa"/>
            <w:vAlign w:val="bottom"/>
            <w:tcBorders>
              <w:top w:val="single" w:sz="8" w:color="0000FF"/>
            </w:tcBorders>
            <w:gridSpan w:val="32"/>
          </w:tcPr>
          <w:p>
            <w:pPr>
              <w:spacing w:after="0" w:line="14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as Administrative Agent.</w:t>
              </w:r>
            </w:hyperlink>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10.17</w:t>
            </w:r>
          </w:p>
        </w:tc>
        <w:tc>
          <w:tcPr>
            <w:tcW w:w="3360" w:type="dxa"/>
            <w:vAlign w:val="bottom"/>
            <w:gridSpan w:val="45"/>
          </w:tcPr>
          <w:p>
            <w:pPr>
              <w:spacing w:after="0"/>
              <w:rPr>
                <w:sz w:val="20"/>
                <w:szCs w:val="20"/>
                <w:color w:val="auto"/>
              </w:rPr>
            </w:pPr>
            <w:r>
              <w:rPr>
                <w:rFonts w:ascii="Times New Roman" w:cs="Times New Roman" w:eastAsia="Times New Roman" w:hAnsi="Times New Roman"/>
                <w:sz w:val="17"/>
                <w:szCs w:val="17"/>
                <w:color w:val="0000FF"/>
              </w:rPr>
              <w:t>First Amendment to Credit Agreement, dated</w:t>
            </w: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300" w:type="dxa"/>
            <w:vAlign w:val="bottom"/>
            <w:tcBorders>
              <w:top w:val="single" w:sz="8" w:color="0000FF"/>
            </w:tcBorders>
            <w:gridSpan w:val="42"/>
          </w:tcPr>
          <w:p>
            <w:pPr>
              <w:spacing w:after="0" w:line="145" w:lineRule="exact"/>
              <w:rPr>
                <w:sz w:val="20"/>
                <w:szCs w:val="20"/>
                <w:color w:val="auto"/>
              </w:rPr>
            </w:pPr>
            <w:r>
              <w:rPr>
                <w:rFonts w:ascii="Times New Roman" w:cs="Times New Roman" w:eastAsia="Times New Roman" w:hAnsi="Times New Roman"/>
                <w:sz w:val="16"/>
                <w:szCs w:val="16"/>
                <w:color w:val="0000FF"/>
              </w:rPr>
              <w:t>as of March 9, 2023, by and among Kratos</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980" w:type="dxa"/>
            <w:vAlign w:val="bottom"/>
            <w:tcBorders>
              <w:top w:val="single" w:sz="8" w:color="0000FF"/>
            </w:tcBorders>
            <w:gridSpan w:val="26"/>
          </w:tcPr>
          <w:p>
            <w:pPr>
              <w:spacing w:after="0" w:line="145" w:lineRule="exact"/>
              <w:rPr>
                <w:sz w:val="20"/>
                <w:szCs w:val="20"/>
                <w:color w:val="auto"/>
              </w:rPr>
            </w:pPr>
            <w:r>
              <w:rPr>
                <w:rFonts w:ascii="Times New Roman" w:cs="Times New Roman" w:eastAsia="Times New Roman" w:hAnsi="Times New Roman"/>
                <w:sz w:val="16"/>
                <w:szCs w:val="16"/>
                <w:color w:val="0000FF"/>
              </w:rPr>
              <w:t>Defense and Security Solutions, Inc., as</w:t>
            </w:r>
          </w:p>
        </w:tc>
        <w:tc>
          <w:tcPr>
            <w:tcW w:w="240" w:type="dxa"/>
            <w:vAlign w:val="bottom"/>
            <w:gridSpan w:val="1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2780" w:type="dxa"/>
            <w:vAlign w:val="bottom"/>
            <w:tcBorders>
              <w:top w:val="single" w:sz="8" w:color="0000FF"/>
            </w:tcBorders>
            <w:gridSpan w:val="16"/>
          </w:tcPr>
          <w:p>
            <w:pPr>
              <w:spacing w:after="0" w:line="159" w:lineRule="exact"/>
              <w:rPr>
                <w:sz w:val="20"/>
                <w:szCs w:val="20"/>
                <w:color w:val="auto"/>
              </w:rPr>
            </w:pPr>
            <w:r>
              <w:rPr>
                <w:rFonts w:ascii="Times New Roman" w:cs="Times New Roman" w:eastAsia="Times New Roman" w:hAnsi="Times New Roman"/>
                <w:sz w:val="17"/>
                <w:szCs w:val="17"/>
                <w:color w:val="0000FF"/>
              </w:rPr>
              <w:t>Borrower, the other Loan Parties party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80" w:type="dxa"/>
            <w:vAlign w:val="bottom"/>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620" w:type="dxa"/>
            <w:vAlign w:val="bottom"/>
            <w:tcBorders>
              <w:top w:val="single" w:sz="8" w:color="0000FF"/>
            </w:tcBorders>
            <w:gridSpan w:val="8"/>
          </w:tcPr>
          <w:p>
            <w:pPr>
              <w:spacing w:after="0" w:line="145" w:lineRule="exact"/>
              <w:rPr>
                <w:sz w:val="20"/>
                <w:szCs w:val="20"/>
                <w:color w:val="auto"/>
              </w:rPr>
            </w:pPr>
            <w:r>
              <w:rPr>
                <w:rFonts w:ascii="Times New Roman" w:cs="Times New Roman" w:eastAsia="Times New Roman" w:hAnsi="Times New Roman"/>
                <w:sz w:val="16"/>
                <w:szCs w:val="16"/>
                <w:color w:val="0000FF"/>
              </w:rPr>
              <w:t>thereto, the Lenders party thereto, and</w:t>
            </w:r>
          </w:p>
        </w:tc>
        <w:tc>
          <w:tcPr>
            <w:tcW w:w="740" w:type="dxa"/>
            <w:vAlign w:val="bottom"/>
            <w:gridSpan w:val="37"/>
          </w:tcPr>
          <w:p>
            <w:pPr>
              <w:ind w:left="20"/>
              <w:spacing w:after="0" w:line="145" w:lineRule="exact"/>
              <w:rPr>
                <w:sz w:val="20"/>
                <w:szCs w:val="20"/>
                <w:color w:val="auto"/>
              </w:rPr>
            </w:pPr>
            <w:r>
              <w:rPr>
                <w:rFonts w:ascii="Times New Roman" w:cs="Times New Roman" w:eastAsia="Times New Roman" w:hAnsi="Times New Roman"/>
                <w:sz w:val="16"/>
                <w:szCs w:val="16"/>
                <w:color w:val="0000FF"/>
              </w:rPr>
              <w:t>Truist</w:t>
            </w: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260" w:type="dxa"/>
            <w:vAlign w:val="bottom"/>
            <w:tcBorders>
              <w:top w:val="single" w:sz="8" w:color="0000FF"/>
            </w:tcBorders>
            <w:gridSpan w:val="40"/>
          </w:tcPr>
          <w:p>
            <w:pPr>
              <w:spacing w:after="0" w:line="145" w:lineRule="exact"/>
              <w:rPr>
                <w:sz w:val="20"/>
                <w:szCs w:val="20"/>
                <w:color w:val="auto"/>
              </w:rPr>
            </w:pPr>
            <w:r>
              <w:rPr>
                <w:rFonts w:ascii="Times New Roman" w:cs="Times New Roman" w:eastAsia="Times New Roman" w:hAnsi="Times New Roman"/>
                <w:sz w:val="16"/>
                <w:szCs w:val="16"/>
                <w:color w:val="0000FF"/>
              </w:rPr>
              <w:t>Bank, in its capacity as Administrative</w:t>
            </w: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9" w:lineRule="exact"/>
              <w:rPr>
                <w:sz w:val="20"/>
                <w:szCs w:val="20"/>
                <w:color w:val="auto"/>
              </w:rPr>
            </w:pPr>
            <w:r>
              <w:rPr>
                <w:rFonts w:ascii="Times New Roman" w:cs="Times New Roman" w:eastAsia="Times New Roman" w:hAnsi="Times New Roman"/>
                <w:sz w:val="17"/>
                <w:szCs w:val="17"/>
                <w:color w:val="0000FF"/>
                <w:w w:val="95"/>
              </w:rPr>
              <w:t>Agent.</w:t>
            </w:r>
          </w:p>
        </w:tc>
        <w:tc>
          <w:tcPr>
            <w:tcW w:w="2180" w:type="dxa"/>
            <w:vAlign w:val="bottom"/>
            <w:tcBorders>
              <w:top w:val="single" w:sz="8" w:color="0000FF"/>
            </w:tcBorders>
            <w:gridSpan w:val="8"/>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80" w:type="dxa"/>
            <w:vAlign w:val="bottom"/>
            <w:gridSpan w:val="14"/>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10.18</w:t>
            </w:r>
          </w:p>
        </w:tc>
        <w:tc>
          <w:tcPr>
            <w:tcW w:w="3360" w:type="dxa"/>
            <w:vAlign w:val="bottom"/>
            <w:gridSpan w:val="45"/>
          </w:tcPr>
          <w:p>
            <w:pPr>
              <w:spacing w:after="0"/>
              <w:rPr>
                <w:sz w:val="20"/>
                <w:szCs w:val="20"/>
                <w:color w:val="auto"/>
              </w:rPr>
            </w:pPr>
            <w:r>
              <w:rPr>
                <w:rFonts w:ascii="Times New Roman" w:cs="Times New Roman" w:eastAsia="Times New Roman" w:hAnsi="Times New Roman"/>
                <w:sz w:val="17"/>
                <w:szCs w:val="17"/>
                <w:color w:val="0000FF"/>
              </w:rPr>
              <w:t>Second Amendment to Credit Agreement,</w:t>
            </w: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840" w:type="dxa"/>
            <w:vAlign w:val="bottom"/>
            <w:tcBorders>
              <w:top w:val="single" w:sz="8" w:color="0000FF"/>
              <w:bottom w:val="single" w:sz="8" w:color="0000FF"/>
            </w:tcBorders>
            <w:gridSpan w:val="19"/>
          </w:tcPr>
          <w:p>
            <w:pPr>
              <w:spacing w:after="0" w:line="145" w:lineRule="exact"/>
              <w:rPr>
                <w:sz w:val="20"/>
                <w:szCs w:val="20"/>
                <w:color w:val="auto"/>
              </w:rPr>
            </w:pPr>
            <w:r>
              <w:rPr>
                <w:rFonts w:ascii="Times New Roman" w:cs="Times New Roman" w:eastAsia="Times New Roman" w:hAnsi="Times New Roman"/>
                <w:sz w:val="16"/>
                <w:szCs w:val="16"/>
                <w:color w:val="0000FF"/>
              </w:rPr>
              <w:t>dated as of March 8, 2024, by and among</w:t>
            </w:r>
          </w:p>
        </w:tc>
        <w:tc>
          <w:tcPr>
            <w:tcW w:w="100" w:type="dxa"/>
            <w:vAlign w:val="bottom"/>
            <w:tcBorders>
              <w:top w:val="single" w:sz="8" w:color="0000FF"/>
            </w:tcBorders>
            <w:gridSpan w:val="5"/>
          </w:tcPr>
          <w:p>
            <w:pPr>
              <w:spacing w:after="0"/>
              <w:rPr>
                <w:sz w:val="12"/>
                <w:szCs w:val="12"/>
                <w:color w:val="auto"/>
              </w:rPr>
            </w:pPr>
          </w:p>
        </w:tc>
        <w:tc>
          <w:tcPr>
            <w:tcW w:w="280" w:type="dxa"/>
            <w:vAlign w:val="bottom"/>
            <w:gridSpan w:val="14"/>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360" w:type="dxa"/>
            <w:vAlign w:val="bottom"/>
            <w:gridSpan w:val="45"/>
          </w:tcPr>
          <w:p>
            <w:pPr>
              <w:spacing w:after="0" w:line="145" w:lineRule="exact"/>
              <w:rPr>
                <w:sz w:val="20"/>
                <w:szCs w:val="20"/>
                <w:color w:val="auto"/>
              </w:rPr>
            </w:pPr>
            <w:r>
              <w:rPr>
                <w:rFonts w:ascii="Times New Roman" w:cs="Times New Roman" w:eastAsia="Times New Roman" w:hAnsi="Times New Roman"/>
                <w:sz w:val="16"/>
                <w:szCs w:val="16"/>
                <w:color w:val="0000FF"/>
              </w:rPr>
              <w:t>Kratos Defense and Security Solutions, Inc.,</w:t>
            </w: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18"/>
          </w:tcPr>
          <w:p>
            <w:pPr>
              <w:spacing w:after="0" w:line="159" w:lineRule="exact"/>
              <w:rPr>
                <w:sz w:val="20"/>
                <w:szCs w:val="20"/>
                <w:color w:val="auto"/>
              </w:rPr>
            </w:pPr>
            <w:r>
              <w:rPr>
                <w:rFonts w:ascii="Times New Roman" w:cs="Times New Roman" w:eastAsia="Times New Roman" w:hAnsi="Times New Roman"/>
                <w:sz w:val="17"/>
                <w:szCs w:val="17"/>
                <w:color w:val="0000FF"/>
                <w:w w:val="99"/>
              </w:rPr>
              <w:t>as Borrower, the other Loan Parties party</w:t>
            </w:r>
          </w:p>
        </w:tc>
        <w:tc>
          <w:tcPr>
            <w:tcW w:w="400" w:type="dxa"/>
            <w:vAlign w:val="bottom"/>
            <w:tcBorders>
              <w:top w:val="single" w:sz="8" w:color="0000FF"/>
            </w:tcBorders>
            <w:gridSpan w:val="20"/>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360" w:type="dxa"/>
            <w:vAlign w:val="bottom"/>
            <w:gridSpan w:val="45"/>
          </w:tcPr>
          <w:p>
            <w:pPr>
              <w:spacing w:after="0" w:line="145" w:lineRule="exact"/>
              <w:rPr>
                <w:sz w:val="20"/>
                <w:szCs w:val="20"/>
                <w:color w:val="auto"/>
              </w:rPr>
            </w:pPr>
            <w:r>
              <w:rPr>
                <w:rFonts w:ascii="Times New Roman" w:cs="Times New Roman" w:eastAsia="Times New Roman" w:hAnsi="Times New Roman"/>
                <w:sz w:val="16"/>
                <w:szCs w:val="16"/>
                <w:color w:val="0000FF"/>
              </w:rPr>
              <w:t>thereto, the Lenders party thereto, and Truist</w:t>
            </w: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260" w:type="dxa"/>
            <w:vAlign w:val="bottom"/>
            <w:tcBorders>
              <w:top w:val="single" w:sz="8" w:color="0000FF"/>
            </w:tcBorders>
            <w:gridSpan w:val="40"/>
          </w:tcPr>
          <w:p>
            <w:pPr>
              <w:spacing w:after="0" w:line="145" w:lineRule="exact"/>
              <w:rPr>
                <w:sz w:val="20"/>
                <w:szCs w:val="20"/>
                <w:color w:val="auto"/>
              </w:rPr>
            </w:pPr>
            <w:r>
              <w:rPr>
                <w:rFonts w:ascii="Times New Roman" w:cs="Times New Roman" w:eastAsia="Times New Roman" w:hAnsi="Times New Roman"/>
                <w:sz w:val="16"/>
                <w:szCs w:val="16"/>
                <w:color w:val="0000FF"/>
              </w:rPr>
              <w:t>Bank, in its capacity as Administrative</w:t>
            </w: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9" w:lineRule="exact"/>
              <w:rPr>
                <w:sz w:val="20"/>
                <w:szCs w:val="20"/>
                <w:color w:val="auto"/>
              </w:rPr>
            </w:pPr>
            <w:r>
              <w:rPr>
                <w:rFonts w:ascii="Times New Roman" w:cs="Times New Roman" w:eastAsia="Times New Roman" w:hAnsi="Times New Roman"/>
                <w:sz w:val="17"/>
                <w:szCs w:val="17"/>
                <w:color w:val="0000FF"/>
                <w:w w:val="95"/>
              </w:rPr>
              <w:t>Agent.</w:t>
            </w:r>
          </w:p>
        </w:tc>
        <w:tc>
          <w:tcPr>
            <w:tcW w:w="2180" w:type="dxa"/>
            <w:vAlign w:val="bottom"/>
            <w:tcBorders>
              <w:top w:val="single" w:sz="8" w:color="0000FF"/>
            </w:tcBorders>
            <w:gridSpan w:val="8"/>
          </w:tcPr>
          <w:p>
            <w:pPr>
              <w:spacing w:after="0"/>
              <w:rPr>
                <w:sz w:val="13"/>
                <w:szCs w:val="13"/>
                <w:color w:val="auto"/>
              </w:rPr>
            </w:pPr>
          </w:p>
        </w:tc>
        <w:tc>
          <w:tcPr>
            <w:tcW w:w="160" w:type="dxa"/>
            <w:vAlign w:val="bottom"/>
            <w:gridSpan w:val="8"/>
          </w:tcPr>
          <w:p>
            <w:pPr>
              <w:spacing w:after="0"/>
              <w:rPr>
                <w:sz w:val="13"/>
                <w:szCs w:val="13"/>
                <w:color w:val="auto"/>
              </w:rPr>
            </w:pPr>
          </w:p>
        </w:tc>
        <w:tc>
          <w:tcPr>
            <w:tcW w:w="420" w:type="dxa"/>
            <w:vAlign w:val="bottom"/>
            <w:gridSpan w:val="21"/>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10.19</w:t>
            </w:r>
          </w:p>
        </w:tc>
        <w:tc>
          <w:tcPr>
            <w:tcW w:w="3360" w:type="dxa"/>
            <w:vAlign w:val="bottom"/>
            <w:gridSpan w:val="45"/>
          </w:tcPr>
          <w:p>
            <w:pPr>
              <w:spacing w:after="0"/>
              <w:rPr>
                <w:sz w:val="20"/>
                <w:szCs w:val="20"/>
                <w:color w:val="auto"/>
              </w:rPr>
            </w:pPr>
            <w:r>
              <w:rPr>
                <w:rFonts w:ascii="Times New Roman" w:cs="Times New Roman" w:eastAsia="Times New Roman" w:hAnsi="Times New Roman"/>
                <w:sz w:val="17"/>
                <w:szCs w:val="17"/>
                <w:color w:val="0000FF"/>
              </w:rPr>
              <w:t>Third Amendment to Credit Agreement,</w:t>
            </w: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800" w:type="dxa"/>
            <w:vAlign w:val="bottom"/>
            <w:tcBorders>
              <w:top w:val="single" w:sz="8" w:color="0000FF"/>
            </w:tcBorders>
            <w:gridSpan w:val="17"/>
          </w:tcPr>
          <w:p>
            <w:pPr>
              <w:spacing w:after="0" w:line="145" w:lineRule="exact"/>
              <w:rPr>
                <w:sz w:val="20"/>
                <w:szCs w:val="20"/>
                <w:color w:val="auto"/>
              </w:rPr>
            </w:pPr>
            <w:r>
              <w:rPr>
                <w:rFonts w:ascii="Times New Roman" w:cs="Times New Roman" w:eastAsia="Times New Roman" w:hAnsi="Times New Roman"/>
                <w:sz w:val="16"/>
                <w:szCs w:val="16"/>
                <w:color w:val="0000FF"/>
              </w:rPr>
              <w:t>dated as of November 4, 2025, by and</w:t>
            </w:r>
          </w:p>
        </w:tc>
        <w:tc>
          <w:tcPr>
            <w:tcW w:w="560" w:type="dxa"/>
            <w:vAlign w:val="bottom"/>
            <w:gridSpan w:val="28"/>
          </w:tcPr>
          <w:p>
            <w:pPr>
              <w:spacing w:after="0" w:line="145" w:lineRule="exact"/>
              <w:rPr>
                <w:sz w:val="20"/>
                <w:szCs w:val="20"/>
                <w:color w:val="auto"/>
              </w:rPr>
            </w:pPr>
            <w:r>
              <w:rPr>
                <w:rFonts w:ascii="Times New Roman" w:cs="Times New Roman" w:eastAsia="Times New Roman" w:hAnsi="Times New Roman"/>
                <w:sz w:val="16"/>
                <w:szCs w:val="16"/>
                <w:color w:val="0000FF"/>
              </w:rPr>
              <w:t>among</w:t>
            </w: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39"/>
          </w:tcPr>
          <w:p>
            <w:pPr>
              <w:spacing w:after="0" w:line="145" w:lineRule="exact"/>
              <w:rPr>
                <w:sz w:val="20"/>
                <w:szCs w:val="20"/>
                <w:color w:val="auto"/>
              </w:rPr>
            </w:pPr>
            <w:r>
              <w:rPr>
                <w:rFonts w:ascii="Times New Roman" w:cs="Times New Roman" w:eastAsia="Times New Roman" w:hAnsi="Times New Roman"/>
                <w:sz w:val="16"/>
                <w:szCs w:val="16"/>
                <w:color w:val="0000FF"/>
              </w:rPr>
              <w:t>Kratos Defense and Security Solutions, Inc.,</w:t>
            </w:r>
          </w:p>
        </w:tc>
        <w:tc>
          <w:tcPr>
            <w:tcW w:w="80" w:type="dxa"/>
            <w:vAlign w:val="bottom"/>
            <w:tcBorders>
              <w:top w:val="single" w:sz="8" w:color="0000FF"/>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bl>
    <w:p>
      <w:pPr>
        <w:ind w:left="1080" w:right="60"/>
        <w:spacing w:after="0" w:line="222" w:lineRule="auto"/>
        <w:rPr>
          <w:sz w:val="20"/>
          <w:szCs w:val="20"/>
          <w:color w:val="auto"/>
        </w:rPr>
      </w:pPr>
      <w:r>
        <w:rPr>
          <w:rFonts w:ascii="Times New Roman" w:cs="Times New Roman" w:eastAsia="Times New Roman" w:hAnsi="Times New Roman"/>
          <w:sz w:val="16"/>
          <w:szCs w:val="16"/>
          <w:u w:val="single" w:color="auto"/>
          <w:color w:val="0000FF"/>
        </w:rPr>
        <w:t>as Borrower, the other Loan Parties party thereto, the Lenders party thereto, and Truist Bank, in its capacity as Administrative</w:t>
      </w:r>
    </w:p>
    <w:p>
      <w:pPr>
        <w:ind w:left="1080"/>
        <w:spacing w:after="0"/>
        <w:rPr>
          <w:sz w:val="20"/>
          <w:szCs w:val="20"/>
          <w:color w:val="auto"/>
        </w:rPr>
      </w:pPr>
      <w:r>
        <w:rPr>
          <w:rFonts w:ascii="Times New Roman" w:cs="Times New Roman" w:eastAsia="Times New Roman" w:hAnsi="Times New Roman"/>
          <w:sz w:val="17"/>
          <w:szCs w:val="17"/>
          <w:u w:val="single" w:color="auto"/>
          <w:color w:val="0000FF"/>
        </w:rPr>
        <w:t>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8-K</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08/04/2011</w:t>
      </w:r>
    </w:p>
    <w:p>
      <w:pPr>
        <w:spacing w:after="0"/>
        <w:rPr>
          <w:sz w:val="20"/>
          <w:szCs w:val="20"/>
          <w:color w:val="auto"/>
        </w:rPr>
      </w:pPr>
      <w:r>
        <w:rPr>
          <w:rFonts w:ascii="Times New Roman" w:cs="Times New Roman" w:eastAsia="Times New Roman" w:hAnsi="Times New Roman"/>
          <w:sz w:val="16"/>
          <w:szCs w:val="16"/>
          <w:color w:val="auto"/>
        </w:rPr>
        <w:t>(001-34460)</w:t>
      </w: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08/04/2011</w:t>
      </w:r>
    </w:p>
    <w:p>
      <w:pPr>
        <w:spacing w:after="0"/>
        <w:rPr>
          <w:sz w:val="20"/>
          <w:szCs w:val="20"/>
          <w:color w:val="auto"/>
        </w:rPr>
      </w:pPr>
      <w:r>
        <w:rPr>
          <w:rFonts w:ascii="Times New Roman" w:cs="Times New Roman" w:eastAsia="Times New Roman" w:hAnsi="Times New Roman"/>
          <w:sz w:val="16"/>
          <w:szCs w:val="16"/>
          <w:color w:val="auto"/>
        </w:rPr>
        <w:t>(001-34460)</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05/04/2017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05/08/2019</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(001-34460)</w:t>
      </w: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02/22/2022</w:t>
      </w:r>
    </w:p>
    <w:p>
      <w:pPr>
        <w:spacing w:after="0"/>
        <w:rPr>
          <w:sz w:val="20"/>
          <w:szCs w:val="20"/>
          <w:color w:val="auto"/>
        </w:rPr>
      </w:pPr>
      <w:r>
        <w:rPr>
          <w:rFonts w:ascii="Times New Roman" w:cs="Times New Roman" w:eastAsia="Times New Roman" w:hAnsi="Times New Roman"/>
          <w:sz w:val="16"/>
          <w:szCs w:val="16"/>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02/22/2022</w:t>
      </w:r>
    </w:p>
    <w:p>
      <w:pPr>
        <w:spacing w:after="0"/>
        <w:rPr>
          <w:sz w:val="20"/>
          <w:szCs w:val="20"/>
          <w:color w:val="auto"/>
        </w:rPr>
      </w:pPr>
      <w:r>
        <w:rPr>
          <w:rFonts w:ascii="Times New Roman" w:cs="Times New Roman" w:eastAsia="Times New Roman" w:hAnsi="Times New Roman"/>
          <w:sz w:val="16"/>
          <w:szCs w:val="16"/>
          <w:color w:val="auto"/>
        </w:rPr>
        <w:t>(001-34460)</w:t>
      </w: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02/22/2022</w:t>
      </w:r>
    </w:p>
    <w:p>
      <w:pPr>
        <w:spacing w:after="0"/>
        <w:rPr>
          <w:sz w:val="20"/>
          <w:szCs w:val="20"/>
          <w:color w:val="auto"/>
        </w:rPr>
      </w:pPr>
      <w:r>
        <w:rPr>
          <w:rFonts w:ascii="Times New Roman" w:cs="Times New Roman" w:eastAsia="Times New Roman" w:hAnsi="Times New Roman"/>
          <w:sz w:val="16"/>
          <w:szCs w:val="16"/>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67945</wp:posOffset>
            </wp:positionV>
            <wp:extent cx="716534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10.4</w:t>
      </w:r>
    </w:p>
    <w:p>
      <w:pPr>
        <w:spacing w:after="0" w:line="3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4">
            <w:col w:w="4180" w:space="460"/>
            <w:col w:w="340" w:space="520"/>
            <w:col w:w="840" w:space="520"/>
            <w:col w:w="3259"/>
          </w:cols>
          <w:pgMar w:left="340" w:top="963" w:right="1440" w:bottom="1440" w:gutter="0" w:footer="0" w:header="0"/>
        </w:sectPr>
      </w:pPr>
    </w:p>
    <w:bookmarkStart w:id="71" w:name="page72"/>
    <w:bookmarkEnd w:id="71"/>
    <w:tbl>
      <w:tblPr>
        <w:tblLayout w:type="fixed"/>
        <w:tblInd w:w="1" w:type="dxa"/>
        <w:tblCellMar>
          <w:top w:w="0" w:type="dxa"/>
          <w:left w:w="0" w:type="dxa"/>
          <w:bottom w:w="0" w:type="dxa"/>
          <w:right w:w="0" w:type="dxa"/>
        </w:tblCellMar>
      </w:tblPr>
      <w:tr>
        <w:trPr>
          <w:trHeight w:val="19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10.20</w:t>
            </w:r>
          </w:p>
        </w:tc>
        <w:tc>
          <w:tcPr>
            <w:tcW w:w="3100" w:type="dxa"/>
            <w:vAlign w:val="bottom"/>
            <w:gridSpan w:val="37"/>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Equity Purchase Agreement, date as of June</w:t>
              </w:r>
            </w:hyperlink>
          </w:p>
        </w:tc>
      </w:tr>
      <w:tr>
        <w:trPr>
          <w:trHeight w:val="146"/>
        </w:trPr>
        <w:tc>
          <w:tcPr>
            <w:tcW w:w="1100" w:type="dxa"/>
            <w:vAlign w:val="bottom"/>
          </w:tcPr>
          <w:p>
            <w:pPr>
              <w:spacing w:after="0"/>
              <w:rPr>
                <w:sz w:val="12"/>
                <w:szCs w:val="12"/>
                <w:color w:val="auto"/>
              </w:rPr>
            </w:pPr>
          </w:p>
        </w:tc>
        <w:tc>
          <w:tcPr>
            <w:tcW w:w="3040" w:type="dxa"/>
            <w:vAlign w:val="bottom"/>
            <w:tcBorders>
              <w:top w:val="single" w:sz="8" w:color="0000FF"/>
            </w:tcBorders>
            <w:gridSpan w:val="35"/>
          </w:tcPr>
          <w:p>
            <w:pPr>
              <w:spacing w:after="0" w:line="14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13, 2022, by and among Kratos Defense &amp;</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30"/>
          </w:tcPr>
          <w:p>
            <w:pPr>
              <w:spacing w:after="0" w:line="14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Security Solutions, Inc., Joseph Brostmeyer</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1100" w:type="dxa"/>
            <w:vAlign w:val="bottom"/>
          </w:tcPr>
          <w:p>
            <w:pPr>
              <w:spacing w:after="0"/>
              <w:rPr>
                <w:sz w:val="13"/>
                <w:szCs w:val="13"/>
                <w:color w:val="auto"/>
              </w:rPr>
            </w:pPr>
          </w:p>
        </w:tc>
        <w:tc>
          <w:tcPr>
            <w:tcW w:w="3020" w:type="dxa"/>
            <w:vAlign w:val="bottom"/>
            <w:gridSpan w:val="34"/>
          </w:tcPr>
          <w:p>
            <w:pPr>
              <w:spacing w:after="0" w:line="159"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(“JB”), Shirley Brostmeyer (“SB”), and</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46"/>
        </w:trPr>
        <w:tc>
          <w:tcPr>
            <w:tcW w:w="1100" w:type="dxa"/>
            <w:vAlign w:val="bottom"/>
          </w:tcPr>
          <w:p>
            <w:pPr>
              <w:spacing w:after="0"/>
              <w:rPr>
                <w:sz w:val="12"/>
                <w:szCs w:val="12"/>
                <w:color w:val="auto"/>
              </w:rPr>
            </w:pPr>
          </w:p>
        </w:tc>
        <w:tc>
          <w:tcPr>
            <w:tcW w:w="2700" w:type="dxa"/>
            <w:vAlign w:val="bottom"/>
            <w:tcBorders>
              <w:top w:val="single" w:sz="8" w:color="0000FF"/>
            </w:tcBorders>
            <w:gridSpan w:val="19"/>
          </w:tcPr>
          <w:p>
            <w:pPr>
              <w:spacing w:after="0" w:line="14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certain trusts established by JB, SB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680" w:type="dxa"/>
            <w:vAlign w:val="bottom"/>
            <w:tcBorders>
              <w:top w:val="single" w:sz="8" w:color="0000FF"/>
            </w:tcBorders>
            <w:gridSpan w:val="18"/>
          </w:tcPr>
          <w:p>
            <w:pPr>
              <w:spacing w:after="0" w:line="14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members of their immediate family, as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110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9" w:lineRule="exact"/>
              <w:rPr>
                <w:rFonts w:ascii="Times New Roman" w:cs="Times New Roman" w:eastAsia="Times New Roman" w:hAnsi="Times New Roman"/>
                <w:sz w:val="17"/>
                <w:szCs w:val="17"/>
                <w:color w:val="0000FF"/>
                <w:w w:val="94"/>
              </w:rPr>
            </w:pPr>
            <w:hyperlink r:id="rId114">
              <w:r>
                <w:rPr>
                  <w:rFonts w:ascii="Times New Roman" w:cs="Times New Roman" w:eastAsia="Times New Roman" w:hAnsi="Times New Roman"/>
                  <w:sz w:val="17"/>
                  <w:szCs w:val="17"/>
                  <w:color w:val="0000FF"/>
                  <w:w w:val="94"/>
                </w:rPr>
                <w:t>Sellers.</w:t>
              </w:r>
            </w:hyperlink>
          </w:p>
        </w:tc>
        <w:tc>
          <w:tcPr>
            <w:tcW w:w="21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10.21</w:t>
            </w:r>
          </w:p>
        </w:tc>
        <w:tc>
          <w:tcPr>
            <w:tcW w:w="3100" w:type="dxa"/>
            <w:vAlign w:val="bottom"/>
            <w:gridSpan w:val="37"/>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Equity Purchase Agreement, date as of June</w:t>
              </w:r>
            </w:hyperlink>
          </w:p>
        </w:tc>
      </w:tr>
      <w:tr>
        <w:trPr>
          <w:trHeight w:val="146"/>
        </w:trPr>
        <w:tc>
          <w:tcPr>
            <w:tcW w:w="1100" w:type="dxa"/>
            <w:vAlign w:val="bottom"/>
          </w:tcPr>
          <w:p>
            <w:pPr>
              <w:spacing w:after="0"/>
              <w:rPr>
                <w:sz w:val="12"/>
                <w:szCs w:val="12"/>
                <w:color w:val="auto"/>
              </w:rPr>
            </w:pPr>
          </w:p>
        </w:tc>
        <w:tc>
          <w:tcPr>
            <w:tcW w:w="3040" w:type="dxa"/>
            <w:vAlign w:val="bottom"/>
            <w:tcBorders>
              <w:top w:val="single" w:sz="8" w:color="0000FF"/>
            </w:tcBorders>
            <w:gridSpan w:val="35"/>
          </w:tcPr>
          <w:p>
            <w:pPr>
              <w:spacing w:after="0" w:line="14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21, 2024, by and among Kratos Defense &amp;</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940" w:type="dxa"/>
            <w:vAlign w:val="bottom"/>
            <w:tcBorders>
              <w:top w:val="single" w:sz="8" w:color="0000FF"/>
            </w:tcBorders>
            <w:gridSpan w:val="30"/>
          </w:tcPr>
          <w:p>
            <w:pPr>
              <w:spacing w:after="0" w:line="14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Security Solutions, Inc., Joseph Brostmeyer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1100" w:type="dxa"/>
            <w:vAlign w:val="bottom"/>
          </w:tcPr>
          <w:p>
            <w:pPr>
              <w:spacing w:after="0"/>
              <w:rPr>
                <w:sz w:val="13"/>
                <w:szCs w:val="13"/>
                <w:color w:val="auto"/>
              </w:rPr>
            </w:pPr>
          </w:p>
        </w:tc>
        <w:tc>
          <w:tcPr>
            <w:tcW w:w="3020" w:type="dxa"/>
            <w:vAlign w:val="bottom"/>
            <w:tcBorders>
              <w:top w:val="single" w:sz="8" w:color="0000FF"/>
            </w:tcBorders>
            <w:gridSpan w:val="34"/>
          </w:tcPr>
          <w:p>
            <w:pPr>
              <w:spacing w:after="0" w:line="159"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(“JB”), Shirley Brostmeyer (“SB”), and</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46"/>
        </w:trPr>
        <w:tc>
          <w:tcPr>
            <w:tcW w:w="1100" w:type="dxa"/>
            <w:vAlign w:val="bottom"/>
          </w:tcPr>
          <w:p>
            <w:pPr>
              <w:spacing w:after="0"/>
              <w:rPr>
                <w:sz w:val="12"/>
                <w:szCs w:val="12"/>
                <w:color w:val="auto"/>
              </w:rPr>
            </w:pPr>
          </w:p>
        </w:tc>
        <w:tc>
          <w:tcPr>
            <w:tcW w:w="2700" w:type="dxa"/>
            <w:vAlign w:val="bottom"/>
            <w:tcBorders>
              <w:top w:val="single" w:sz="8" w:color="0000FF"/>
            </w:tcBorders>
            <w:gridSpan w:val="19"/>
          </w:tcPr>
          <w:p>
            <w:pPr>
              <w:spacing w:after="0" w:line="14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certain trusts established by JB, SB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680" w:type="dxa"/>
            <w:vAlign w:val="bottom"/>
            <w:tcBorders>
              <w:top w:val="single" w:sz="8" w:color="0000FF"/>
            </w:tcBorders>
            <w:gridSpan w:val="18"/>
          </w:tcPr>
          <w:p>
            <w:pPr>
              <w:spacing w:after="0" w:line="14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members of their immediate family, as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110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9" w:lineRule="exact"/>
              <w:rPr>
                <w:rFonts w:ascii="Times New Roman" w:cs="Times New Roman" w:eastAsia="Times New Roman" w:hAnsi="Times New Roman"/>
                <w:sz w:val="17"/>
                <w:szCs w:val="17"/>
                <w:color w:val="0000FF"/>
                <w:w w:val="94"/>
              </w:rPr>
            </w:pPr>
            <w:hyperlink r:id="rId115">
              <w:r>
                <w:rPr>
                  <w:rFonts w:ascii="Times New Roman" w:cs="Times New Roman" w:eastAsia="Times New Roman" w:hAnsi="Times New Roman"/>
                  <w:sz w:val="17"/>
                  <w:szCs w:val="17"/>
                  <w:color w:val="0000FF"/>
                  <w:w w:val="94"/>
                </w:rPr>
                <w:t>Sellers.</w:t>
              </w:r>
            </w:hyperlink>
          </w:p>
        </w:tc>
        <w:tc>
          <w:tcPr>
            <w:tcW w:w="21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10.22#</w:t>
            </w:r>
          </w:p>
        </w:tc>
        <w:tc>
          <w:tcPr>
            <w:tcW w:w="3100" w:type="dxa"/>
            <w:vAlign w:val="bottom"/>
            <w:gridSpan w:val="37"/>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Kratos Defense &amp; Security Solutions, Inc.</w:t>
              </w:r>
            </w:hyperlink>
          </w:p>
        </w:tc>
      </w:tr>
      <w:tr>
        <w:trPr>
          <w:trHeight w:val="146"/>
        </w:trPr>
        <w:tc>
          <w:tcPr>
            <w:tcW w:w="1100" w:type="dxa"/>
            <w:vAlign w:val="bottom"/>
          </w:tcPr>
          <w:p>
            <w:pPr>
              <w:spacing w:after="0"/>
              <w:rPr>
                <w:sz w:val="12"/>
                <w:szCs w:val="12"/>
                <w:color w:val="auto"/>
              </w:rPr>
            </w:pPr>
          </w:p>
        </w:tc>
        <w:tc>
          <w:tcPr>
            <w:tcW w:w="2880" w:type="dxa"/>
            <w:vAlign w:val="bottom"/>
            <w:tcBorders>
              <w:top w:val="single" w:sz="8" w:color="0000FF"/>
            </w:tcBorders>
            <w:gridSpan w:val="27"/>
          </w:tcPr>
          <w:p>
            <w:pPr>
              <w:spacing w:after="0" w:line="145"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2023 Equity Incentive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10.23#</w:t>
            </w:r>
          </w:p>
        </w:tc>
        <w:tc>
          <w:tcPr>
            <w:tcW w:w="3100" w:type="dxa"/>
            <w:vAlign w:val="bottom"/>
            <w:gridSpan w:val="37"/>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Kratos Defense &amp; Security Solutions, Inc.</w:t>
              </w:r>
            </w:hyperlink>
          </w:p>
        </w:tc>
      </w:tr>
      <w:tr>
        <w:trPr>
          <w:trHeight w:val="146"/>
        </w:trPr>
        <w:tc>
          <w:tcPr>
            <w:tcW w:w="110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13"/>
          </w:tcPr>
          <w:p>
            <w:pPr>
              <w:spacing w:after="0" w:line="145"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2023 Employee Stock Purchase Plan</w:t>
              </w:r>
            </w:hyperlink>
          </w:p>
        </w:tc>
        <w:tc>
          <w:tcPr>
            <w:tcW w:w="3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10.24#</w:t>
            </w:r>
          </w:p>
        </w:tc>
        <w:tc>
          <w:tcPr>
            <w:tcW w:w="3100" w:type="dxa"/>
            <w:vAlign w:val="bottom"/>
            <w:gridSpan w:val="37"/>
          </w:tcPr>
          <w:p>
            <w:pPr>
              <w:spacing w:after="0"/>
              <w:rPr>
                <w:rFonts w:ascii="Times New Roman" w:cs="Times New Roman" w:eastAsia="Times New Roman" w:hAnsi="Times New Roman"/>
                <w:sz w:val="17"/>
                <w:szCs w:val="17"/>
                <w:color w:val="0000FF"/>
                <w:w w:val="99"/>
              </w:rPr>
            </w:pPr>
            <w:hyperlink r:id="rId118">
              <w:r>
                <w:rPr>
                  <w:rFonts w:ascii="Times New Roman" w:cs="Times New Roman" w:eastAsia="Times New Roman" w:hAnsi="Times New Roman"/>
                  <w:sz w:val="17"/>
                  <w:szCs w:val="17"/>
                  <w:color w:val="0000FF"/>
                  <w:w w:val="99"/>
                </w:rPr>
                <w:t>Employment Agreement, effective January 1,</w:t>
              </w:r>
            </w:hyperlink>
          </w:p>
        </w:tc>
      </w:tr>
      <w:tr>
        <w:trPr>
          <w:trHeight w:val="146"/>
        </w:trPr>
        <w:tc>
          <w:tcPr>
            <w:tcW w:w="1100" w:type="dxa"/>
            <w:vAlign w:val="bottom"/>
          </w:tcPr>
          <w:p>
            <w:pPr>
              <w:spacing w:after="0"/>
              <w:rPr>
                <w:sz w:val="12"/>
                <w:szCs w:val="12"/>
                <w:color w:val="auto"/>
              </w:rPr>
            </w:pPr>
          </w:p>
        </w:tc>
        <w:tc>
          <w:tcPr>
            <w:tcW w:w="3080" w:type="dxa"/>
            <w:vAlign w:val="bottom"/>
            <w:tcBorders>
              <w:top w:val="single" w:sz="8" w:color="0000FF"/>
            </w:tcBorders>
            <w:gridSpan w:val="36"/>
          </w:tcPr>
          <w:p>
            <w:pPr>
              <w:spacing w:after="0" w:line="14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2023 by and between Kratos Defense and</w:t>
              </w:r>
            </w:hyperlink>
          </w:p>
        </w:tc>
        <w:tc>
          <w:tcPr>
            <w:tcW w:w="20" w:type="dxa"/>
            <w:vAlign w:val="bottom"/>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16"/>
          </w:tcPr>
          <w:p>
            <w:pPr>
              <w:spacing w:after="0" w:line="14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Security Systems, Inc. and Phil Carrai.</w:t>
              </w:r>
            </w:hyperlink>
          </w:p>
        </w:tc>
        <w:tc>
          <w:tcPr>
            <w:tcW w:w="18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10.25#</w:t>
            </w:r>
          </w:p>
        </w:tc>
        <w:tc>
          <w:tcPr>
            <w:tcW w:w="3100" w:type="dxa"/>
            <w:vAlign w:val="bottom"/>
            <w:gridSpan w:val="37"/>
          </w:tcPr>
          <w:p>
            <w:pPr>
              <w:spacing w:after="0"/>
              <w:rPr>
                <w:rFonts w:ascii="Times New Roman" w:cs="Times New Roman" w:eastAsia="Times New Roman" w:hAnsi="Times New Roman"/>
                <w:sz w:val="17"/>
                <w:szCs w:val="17"/>
                <w:color w:val="0000FF"/>
                <w:w w:val="99"/>
              </w:rPr>
            </w:pPr>
            <w:hyperlink r:id="rId119">
              <w:r>
                <w:rPr>
                  <w:rFonts w:ascii="Times New Roman" w:cs="Times New Roman" w:eastAsia="Times New Roman" w:hAnsi="Times New Roman"/>
                  <w:sz w:val="17"/>
                  <w:szCs w:val="17"/>
                  <w:color w:val="0000FF"/>
                  <w:w w:val="99"/>
                </w:rPr>
                <w:t>Employment Agreement, effective January 1,</w:t>
              </w:r>
            </w:hyperlink>
          </w:p>
        </w:tc>
      </w:tr>
      <w:tr>
        <w:trPr>
          <w:trHeight w:val="146"/>
        </w:trPr>
        <w:tc>
          <w:tcPr>
            <w:tcW w:w="1100" w:type="dxa"/>
            <w:vAlign w:val="bottom"/>
          </w:tcPr>
          <w:p>
            <w:pPr>
              <w:spacing w:after="0"/>
              <w:rPr>
                <w:sz w:val="12"/>
                <w:szCs w:val="12"/>
                <w:color w:val="auto"/>
              </w:rPr>
            </w:pPr>
          </w:p>
        </w:tc>
        <w:tc>
          <w:tcPr>
            <w:tcW w:w="3080" w:type="dxa"/>
            <w:vAlign w:val="bottom"/>
            <w:tcBorders>
              <w:top w:val="single" w:sz="8" w:color="0000FF"/>
            </w:tcBorders>
            <w:gridSpan w:val="36"/>
          </w:tcPr>
          <w:p>
            <w:pPr>
              <w:spacing w:after="0" w:line="14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2024 by and between Kratos Defense and</w:t>
              </w:r>
            </w:hyperlink>
          </w:p>
        </w:tc>
        <w:tc>
          <w:tcPr>
            <w:tcW w:w="20" w:type="dxa"/>
            <w:vAlign w:val="bottom"/>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840" w:type="dxa"/>
            <w:vAlign w:val="bottom"/>
            <w:tcBorders>
              <w:top w:val="single" w:sz="8" w:color="0000FF"/>
              <w:bottom w:val="single" w:sz="8" w:color="0000FF"/>
            </w:tcBorders>
            <w:gridSpan w:val="25"/>
          </w:tcPr>
          <w:p>
            <w:pPr>
              <w:spacing w:after="0" w:line="14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Security Systems, Inc. and Steve Fendley.</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10.26#</w:t>
            </w:r>
          </w:p>
        </w:tc>
        <w:tc>
          <w:tcPr>
            <w:tcW w:w="3100" w:type="dxa"/>
            <w:vAlign w:val="bottom"/>
            <w:gridSpan w:val="37"/>
          </w:tcPr>
          <w:p>
            <w:pPr>
              <w:spacing w:after="0"/>
              <w:rPr>
                <w:sz w:val="20"/>
                <w:szCs w:val="20"/>
                <w:color w:val="auto"/>
              </w:rPr>
            </w:pPr>
            <w:r>
              <w:rPr>
                <w:rFonts w:ascii="Times New Roman" w:cs="Times New Roman" w:eastAsia="Times New Roman" w:hAnsi="Times New Roman"/>
                <w:sz w:val="17"/>
                <w:szCs w:val="17"/>
                <w:color w:val="0000FF"/>
              </w:rPr>
              <w:t>Amendment to Employment Agreement,</w:t>
            </w:r>
          </w:p>
        </w:tc>
      </w:tr>
      <w:tr>
        <w:trPr>
          <w:trHeight w:val="146"/>
        </w:trPr>
        <w:tc>
          <w:tcPr>
            <w:tcW w:w="1100" w:type="dxa"/>
            <w:vAlign w:val="bottom"/>
          </w:tcPr>
          <w:p>
            <w:pPr>
              <w:spacing w:after="0"/>
              <w:rPr>
                <w:sz w:val="12"/>
                <w:szCs w:val="12"/>
                <w:color w:val="auto"/>
              </w:rPr>
            </w:pPr>
          </w:p>
        </w:tc>
        <w:tc>
          <w:tcPr>
            <w:tcW w:w="2760" w:type="dxa"/>
            <w:vAlign w:val="bottom"/>
            <w:tcBorders>
              <w:top w:val="single" w:sz="8" w:color="0000FF"/>
            </w:tcBorders>
            <w:gridSpan w:val="22"/>
          </w:tcPr>
          <w:p>
            <w:pPr>
              <w:spacing w:after="0" w:line="145" w:lineRule="exact"/>
              <w:rPr>
                <w:sz w:val="20"/>
                <w:szCs w:val="20"/>
                <w:color w:val="auto"/>
              </w:rPr>
            </w:pPr>
            <w:r>
              <w:rPr>
                <w:rFonts w:ascii="Times New Roman" w:cs="Times New Roman" w:eastAsia="Times New Roman" w:hAnsi="Times New Roman"/>
                <w:sz w:val="16"/>
                <w:szCs w:val="16"/>
                <w:color w:val="0000FF"/>
              </w:rPr>
              <w:t>effective December 29, 2025, by and</w:t>
            </w:r>
          </w:p>
        </w:tc>
        <w:tc>
          <w:tcPr>
            <w:tcW w:w="4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13"/>
          </w:tcPr>
          <w:p>
            <w:pPr>
              <w:spacing w:after="0" w:line="145" w:lineRule="exact"/>
              <w:rPr>
                <w:sz w:val="20"/>
                <w:szCs w:val="20"/>
                <w:color w:val="auto"/>
              </w:rPr>
            </w:pPr>
            <w:r>
              <w:rPr>
                <w:rFonts w:ascii="Times New Roman" w:cs="Times New Roman" w:eastAsia="Times New Roman" w:hAnsi="Times New Roman"/>
                <w:sz w:val="16"/>
                <w:szCs w:val="16"/>
                <w:color w:val="0000FF"/>
              </w:rPr>
              <w:t>between Kratos Defense and Security</w:t>
            </w:r>
          </w:p>
        </w:tc>
        <w:tc>
          <w:tcPr>
            <w:tcW w:w="20" w:type="dxa"/>
            <w:vAlign w:val="bottom"/>
            <w:tcBorders>
              <w:bottom w:val="single" w:sz="8" w:color="0000FF"/>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r>
      <w:tr>
        <w:trPr>
          <w:trHeight w:val="158"/>
        </w:trPr>
        <w:tc>
          <w:tcPr>
            <w:tcW w:w="1100" w:type="dxa"/>
            <w:vAlign w:val="bottom"/>
          </w:tcPr>
          <w:p>
            <w:pPr>
              <w:spacing w:after="0"/>
              <w:rPr>
                <w:sz w:val="13"/>
                <w:szCs w:val="13"/>
                <w:color w:val="auto"/>
              </w:rPr>
            </w:pPr>
          </w:p>
        </w:tc>
        <w:tc>
          <w:tcPr>
            <w:tcW w:w="2020" w:type="dxa"/>
            <w:vAlign w:val="bottom"/>
            <w:tcBorders>
              <w:bottom w:val="single" w:sz="8" w:color="0000FF"/>
            </w:tcBorders>
            <w:gridSpan w:val="9"/>
          </w:tcPr>
          <w:p>
            <w:pPr>
              <w:spacing w:after="0" w:line="159" w:lineRule="exact"/>
              <w:rPr>
                <w:sz w:val="20"/>
                <w:szCs w:val="20"/>
                <w:color w:val="auto"/>
              </w:rPr>
            </w:pPr>
            <w:r>
              <w:rPr>
                <w:rFonts w:ascii="Times New Roman" w:cs="Times New Roman" w:eastAsia="Times New Roman" w:hAnsi="Times New Roman"/>
                <w:sz w:val="17"/>
                <w:szCs w:val="17"/>
                <w:color w:val="0000FF"/>
                <w:w w:val="98"/>
              </w:rPr>
              <w:t>Systems, Inc. and Phil Carrai.</w:t>
            </w:r>
          </w:p>
        </w:tc>
        <w:tc>
          <w:tcPr>
            <w:tcW w:w="520" w:type="dxa"/>
            <w:vAlign w:val="bottom"/>
            <w:gridSpan w:val="5"/>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196"/>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10.27</w:t>
            </w:r>
          </w:p>
        </w:tc>
        <w:tc>
          <w:tcPr>
            <w:tcW w:w="3100" w:type="dxa"/>
            <w:vAlign w:val="bottom"/>
            <w:gridSpan w:val="37"/>
          </w:tcPr>
          <w:p>
            <w:pPr>
              <w:spacing w:after="0"/>
              <w:rPr>
                <w:sz w:val="20"/>
                <w:szCs w:val="20"/>
                <w:color w:val="auto"/>
              </w:rPr>
            </w:pPr>
            <w:r>
              <w:rPr>
                <w:rFonts w:ascii="Times New Roman" w:cs="Times New Roman" w:eastAsia="Times New Roman" w:hAnsi="Times New Roman"/>
                <w:sz w:val="17"/>
                <w:szCs w:val="17"/>
                <w:color w:val="0000FF"/>
              </w:rPr>
              <w:t>Credit Agreement, dated as of February 20,</w:t>
            </w:r>
          </w:p>
        </w:tc>
      </w:tr>
      <w:tr>
        <w:trPr>
          <w:trHeight w:val="146"/>
        </w:trPr>
        <w:tc>
          <w:tcPr>
            <w:tcW w:w="1100" w:type="dxa"/>
            <w:vAlign w:val="bottom"/>
          </w:tcPr>
          <w:p>
            <w:pPr>
              <w:spacing w:after="0"/>
              <w:rPr>
                <w:sz w:val="12"/>
                <w:szCs w:val="12"/>
                <w:color w:val="auto"/>
              </w:rPr>
            </w:pPr>
          </w:p>
        </w:tc>
        <w:tc>
          <w:tcPr>
            <w:tcW w:w="3000" w:type="dxa"/>
            <w:vAlign w:val="bottom"/>
            <w:tcBorders>
              <w:top w:val="single" w:sz="8" w:color="0000FF"/>
            </w:tcBorders>
            <w:gridSpan w:val="33"/>
          </w:tcPr>
          <w:p>
            <w:pPr>
              <w:spacing w:after="0" w:line="145" w:lineRule="exact"/>
              <w:rPr>
                <w:sz w:val="20"/>
                <w:szCs w:val="20"/>
                <w:color w:val="auto"/>
              </w:rPr>
            </w:pPr>
            <w:r>
              <w:rPr>
                <w:rFonts w:ascii="Times New Roman" w:cs="Times New Roman" w:eastAsia="Times New Roman" w:hAnsi="Times New Roman"/>
                <w:sz w:val="16"/>
                <w:szCs w:val="16"/>
                <w:color w:val="0000FF"/>
              </w:rPr>
              <w:t>2026, among Kratos Defense and Security</w:t>
            </w:r>
          </w:p>
        </w:tc>
        <w:tc>
          <w:tcPr>
            <w:tcW w:w="100" w:type="dxa"/>
            <w:vAlign w:val="bottom"/>
            <w:gridSpan w:val="4"/>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29"/>
          </w:tcPr>
          <w:p>
            <w:pPr>
              <w:spacing w:after="0" w:line="145" w:lineRule="exact"/>
              <w:rPr>
                <w:sz w:val="20"/>
                <w:szCs w:val="20"/>
                <w:color w:val="auto"/>
              </w:rPr>
            </w:pPr>
            <w:r>
              <w:rPr>
                <w:rFonts w:ascii="Times New Roman" w:cs="Times New Roman" w:eastAsia="Times New Roman" w:hAnsi="Times New Roman"/>
                <w:sz w:val="16"/>
                <w:szCs w:val="16"/>
                <w:color w:val="0000FF"/>
              </w:rPr>
              <w:t>Solutions, Inc., as Borrower, the guarantors</w:t>
            </w: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20" w:type="dxa"/>
            <w:vAlign w:val="bottom"/>
            <w:gridSpan w:val="5"/>
          </w:tcPr>
          <w:p>
            <w:pPr>
              <w:spacing w:after="0"/>
              <w:rPr>
                <w:sz w:val="12"/>
                <w:szCs w:val="12"/>
                <w:color w:val="auto"/>
              </w:rPr>
            </w:pPr>
          </w:p>
        </w:tc>
      </w:tr>
      <w:tr>
        <w:trPr>
          <w:trHeight w:val="158"/>
        </w:trPr>
        <w:tc>
          <w:tcPr>
            <w:tcW w:w="1100" w:type="dxa"/>
            <w:vAlign w:val="bottom"/>
          </w:tcPr>
          <w:p>
            <w:pPr>
              <w:spacing w:after="0"/>
              <w:rPr>
                <w:sz w:val="13"/>
                <w:szCs w:val="13"/>
                <w:color w:val="auto"/>
              </w:rPr>
            </w:pPr>
          </w:p>
        </w:tc>
        <w:tc>
          <w:tcPr>
            <w:tcW w:w="2980" w:type="dxa"/>
            <w:vAlign w:val="bottom"/>
            <w:gridSpan w:val="32"/>
          </w:tcPr>
          <w:p>
            <w:pPr>
              <w:spacing w:after="0" w:line="159" w:lineRule="exact"/>
              <w:rPr>
                <w:sz w:val="20"/>
                <w:szCs w:val="20"/>
                <w:color w:val="auto"/>
              </w:rPr>
            </w:pPr>
            <w:r>
              <w:rPr>
                <w:rFonts w:ascii="Times New Roman" w:cs="Times New Roman" w:eastAsia="Times New Roman" w:hAnsi="Times New Roman"/>
                <w:sz w:val="17"/>
                <w:szCs w:val="17"/>
                <w:color w:val="0000FF"/>
              </w:rPr>
              <w:t>from time to time party thereto, the lenders</w:t>
            </w:r>
          </w:p>
        </w:tc>
        <w:tc>
          <w:tcPr>
            <w:tcW w:w="120" w:type="dxa"/>
            <w:vAlign w:val="bottom"/>
            <w:gridSpan w:val="5"/>
          </w:tcPr>
          <w:p>
            <w:pPr>
              <w:spacing w:after="0"/>
              <w:rPr>
                <w:sz w:val="13"/>
                <w:szCs w:val="13"/>
                <w:color w:val="auto"/>
              </w:rPr>
            </w:pPr>
          </w:p>
        </w:tc>
      </w:tr>
      <w:tr>
        <w:trPr>
          <w:trHeight w:val="146"/>
        </w:trPr>
        <w:tc>
          <w:tcPr>
            <w:tcW w:w="1100" w:type="dxa"/>
            <w:vAlign w:val="bottom"/>
          </w:tcPr>
          <w:p>
            <w:pPr>
              <w:spacing w:after="0"/>
              <w:rPr>
                <w:sz w:val="12"/>
                <w:szCs w:val="12"/>
                <w:color w:val="auto"/>
              </w:rPr>
            </w:pPr>
          </w:p>
        </w:tc>
        <w:tc>
          <w:tcPr>
            <w:tcW w:w="2960" w:type="dxa"/>
            <w:vAlign w:val="bottom"/>
            <w:tcBorders>
              <w:top w:val="single" w:sz="8" w:color="0000FF"/>
            </w:tcBorders>
            <w:gridSpan w:val="31"/>
          </w:tcPr>
          <w:p>
            <w:pPr>
              <w:spacing w:after="0" w:line="145" w:lineRule="exact"/>
              <w:rPr>
                <w:sz w:val="20"/>
                <w:szCs w:val="20"/>
                <w:color w:val="auto"/>
              </w:rPr>
            </w:pPr>
            <w:r>
              <w:rPr>
                <w:rFonts w:ascii="Times New Roman" w:cs="Times New Roman" w:eastAsia="Times New Roman" w:hAnsi="Times New Roman"/>
                <w:sz w:val="16"/>
                <w:szCs w:val="16"/>
                <w:color w:val="0000FF"/>
              </w:rPr>
              <w:t>from time to time party thereto, and PNC</w:t>
            </w:r>
          </w:p>
        </w:tc>
        <w:tc>
          <w:tcPr>
            <w:tcW w:w="140" w:type="dxa"/>
            <w:vAlign w:val="bottom"/>
            <w:gridSpan w:val="6"/>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800" w:type="dxa"/>
            <w:vAlign w:val="bottom"/>
            <w:tcBorders>
              <w:top w:val="single" w:sz="8" w:color="0000FF"/>
            </w:tcBorders>
            <w:gridSpan w:val="23"/>
          </w:tcPr>
          <w:p>
            <w:pPr>
              <w:spacing w:after="0" w:line="145" w:lineRule="exact"/>
              <w:rPr>
                <w:sz w:val="20"/>
                <w:szCs w:val="20"/>
                <w:color w:val="auto"/>
              </w:rPr>
            </w:pPr>
            <w:r>
              <w:rPr>
                <w:rFonts w:ascii="Times New Roman" w:cs="Times New Roman" w:eastAsia="Times New Roman" w:hAnsi="Times New Roman"/>
                <w:sz w:val="16"/>
                <w:szCs w:val="16"/>
                <w:color w:val="0000FF"/>
              </w:rPr>
              <w:t>Bank, National Association as</w:t>
            </w: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9"/>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158"/>
        </w:trPr>
        <w:tc>
          <w:tcPr>
            <w:tcW w:w="1100" w:type="dxa"/>
            <w:vAlign w:val="bottom"/>
          </w:tcPr>
          <w:p>
            <w:pPr>
              <w:spacing w:after="0"/>
              <w:rPr>
                <w:sz w:val="13"/>
                <w:szCs w:val="13"/>
                <w:color w:val="auto"/>
              </w:rPr>
            </w:pPr>
          </w:p>
        </w:tc>
        <w:tc>
          <w:tcPr>
            <w:tcW w:w="3100" w:type="dxa"/>
            <w:vAlign w:val="bottom"/>
            <w:gridSpan w:val="37"/>
          </w:tcPr>
          <w:p>
            <w:pPr>
              <w:spacing w:after="0" w:line="159" w:lineRule="exact"/>
              <w:rPr>
                <w:sz w:val="20"/>
                <w:szCs w:val="20"/>
                <w:color w:val="auto"/>
              </w:rPr>
            </w:pPr>
            <w:r>
              <w:rPr>
                <w:rFonts w:ascii="Times New Roman" w:cs="Times New Roman" w:eastAsia="Times New Roman" w:hAnsi="Times New Roman"/>
                <w:sz w:val="17"/>
                <w:szCs w:val="17"/>
                <w:color w:val="0000FF"/>
              </w:rPr>
              <w:t>Administrative Agent, Swingline Loan</w:t>
            </w:r>
          </w:p>
        </w:tc>
      </w:tr>
      <w:tr>
        <w:trPr>
          <w:trHeight w:val="146"/>
        </w:trPr>
        <w:tc>
          <w:tcPr>
            <w:tcW w:w="1100" w:type="dxa"/>
            <w:vAlign w:val="bottom"/>
          </w:tcPr>
          <w:p>
            <w:pPr>
              <w:spacing w:after="0"/>
              <w:rPr>
                <w:sz w:val="12"/>
                <w:szCs w:val="12"/>
                <w:color w:val="auto"/>
              </w:rPr>
            </w:pPr>
          </w:p>
        </w:tc>
        <w:tc>
          <w:tcPr>
            <w:tcW w:w="2640" w:type="dxa"/>
            <w:vAlign w:val="bottom"/>
            <w:tcBorders>
              <w:top w:val="single" w:sz="8" w:color="0000FF"/>
            </w:tcBorders>
            <w:gridSpan w:val="16"/>
          </w:tcPr>
          <w:p>
            <w:pPr>
              <w:spacing w:after="0" w:line="145" w:lineRule="exact"/>
              <w:rPr>
                <w:sz w:val="20"/>
                <w:szCs w:val="20"/>
                <w:color w:val="auto"/>
              </w:rPr>
            </w:pPr>
            <w:r>
              <w:rPr>
                <w:rFonts w:ascii="Times New Roman" w:cs="Times New Roman" w:eastAsia="Times New Roman" w:hAnsi="Times New Roman"/>
                <w:sz w:val="16"/>
                <w:szCs w:val="16"/>
                <w:color w:val="0000FF"/>
              </w:rPr>
              <w:t>Lender, and Issuing Lender.</w:t>
            </w: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9"/>
          </w:tcPr>
          <w:p>
            <w:pPr>
              <w:spacing w:after="0"/>
              <w:rPr>
                <w:sz w:val="12"/>
                <w:szCs w:val="12"/>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19.1</w:t>
            </w:r>
          </w:p>
        </w:tc>
        <w:tc>
          <w:tcPr>
            <w:tcW w:w="152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7"/>
                <w:szCs w:val="17"/>
                <w:color w:val="0000FF"/>
                <w:w w:val="98"/>
              </w:rPr>
            </w:pPr>
            <w:hyperlink r:id="rId120">
              <w:r>
                <w:rPr>
                  <w:rFonts w:ascii="Times New Roman" w:cs="Times New Roman" w:eastAsia="Times New Roman" w:hAnsi="Times New Roman"/>
                  <w:sz w:val="17"/>
                  <w:szCs w:val="17"/>
                  <w:color w:val="0000FF"/>
                  <w:w w:val="98"/>
                </w:rPr>
                <w:t>Insider Trading Policy</w:t>
              </w:r>
            </w:hyperlink>
          </w:p>
        </w:tc>
        <w:tc>
          <w:tcPr>
            <w:tcW w:w="360" w:type="dxa"/>
            <w:vAlign w:val="bottom"/>
            <w:tcBorders>
              <w:top w:val="single" w:sz="8" w:color="0000FF"/>
            </w:tcBorders>
            <w:gridSpan w:val="3"/>
          </w:tcPr>
          <w:p>
            <w:pPr>
              <w:spacing w:after="0"/>
              <w:rPr>
                <w:sz w:val="18"/>
                <w:szCs w:val="18"/>
                <w:color w:val="auto"/>
              </w:rPr>
            </w:pPr>
          </w:p>
        </w:tc>
        <w:tc>
          <w:tcPr>
            <w:tcW w:w="1220" w:type="dxa"/>
            <w:vAlign w:val="bottom"/>
            <w:gridSpan w:val="29"/>
          </w:tcPr>
          <w:p>
            <w:pPr>
              <w:spacing w:after="0"/>
              <w:rPr>
                <w:sz w:val="18"/>
                <w:szCs w:val="18"/>
                <w:color w:val="auto"/>
              </w:rPr>
            </w:pPr>
          </w:p>
        </w:tc>
      </w:tr>
      <w:tr>
        <w:trPr>
          <w:trHeight w:val="37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1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List of Subsidiaries.</w:t>
            </w:r>
          </w:p>
        </w:tc>
        <w:tc>
          <w:tcPr>
            <w:tcW w:w="1740" w:type="dxa"/>
            <w:vAlign w:val="bottom"/>
            <w:gridSpan w:val="33"/>
          </w:tcPr>
          <w:p>
            <w:pPr>
              <w:spacing w:after="0"/>
              <w:rPr>
                <w:sz w:val="24"/>
                <w:szCs w:val="24"/>
                <w:color w:val="auto"/>
              </w:rPr>
            </w:pPr>
          </w:p>
        </w:tc>
      </w:tr>
      <w:tr>
        <w:trPr>
          <w:trHeight w:val="196"/>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3100" w:type="dxa"/>
            <w:vAlign w:val="bottom"/>
            <w:gridSpan w:val="37"/>
          </w:tcPr>
          <w:p>
            <w:pPr>
              <w:spacing w:after="0"/>
              <w:rPr>
                <w:sz w:val="20"/>
                <w:szCs w:val="20"/>
                <w:color w:val="auto"/>
              </w:rPr>
            </w:pPr>
            <w:r>
              <w:rPr>
                <w:rFonts w:ascii="Times New Roman" w:cs="Times New Roman" w:eastAsia="Times New Roman" w:hAnsi="Times New Roman"/>
                <w:sz w:val="17"/>
                <w:szCs w:val="17"/>
                <w:color w:val="0000FF"/>
              </w:rPr>
              <w:t>Consent of Independent Registered Public</w:t>
            </w:r>
          </w:p>
        </w:tc>
      </w:tr>
      <w:tr>
        <w:trPr>
          <w:trHeight w:val="146"/>
        </w:trPr>
        <w:tc>
          <w:tcPr>
            <w:tcW w:w="1100" w:type="dxa"/>
            <w:vAlign w:val="bottom"/>
          </w:tcPr>
          <w:p>
            <w:pPr>
              <w:spacing w:after="0"/>
              <w:rPr>
                <w:sz w:val="12"/>
                <w:szCs w:val="12"/>
                <w:color w:val="auto"/>
              </w:rPr>
            </w:pPr>
          </w:p>
        </w:tc>
        <w:tc>
          <w:tcPr>
            <w:tcW w:w="2900" w:type="dxa"/>
            <w:vAlign w:val="bottom"/>
            <w:tcBorders>
              <w:top w:val="single" w:sz="8" w:color="0000FF"/>
            </w:tcBorders>
            <w:gridSpan w:val="28"/>
          </w:tcPr>
          <w:p>
            <w:pPr>
              <w:spacing w:after="0" w:line="145" w:lineRule="exact"/>
              <w:rPr>
                <w:sz w:val="20"/>
                <w:szCs w:val="20"/>
                <w:color w:val="auto"/>
              </w:rPr>
            </w:pPr>
            <w:r>
              <w:rPr>
                <w:rFonts w:ascii="Times New Roman" w:cs="Times New Roman" w:eastAsia="Times New Roman" w:hAnsi="Times New Roman"/>
                <w:sz w:val="16"/>
                <w:szCs w:val="16"/>
                <w:color w:val="0000FF"/>
              </w:rPr>
              <w:t>Accounting Firm.</w:t>
            </w:r>
          </w:p>
        </w:tc>
        <w:tc>
          <w:tcPr>
            <w:tcW w:w="200" w:type="dxa"/>
            <w:vAlign w:val="bottom"/>
            <w:gridSpan w:val="9"/>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3100" w:type="dxa"/>
            <w:vAlign w:val="bottom"/>
            <w:gridSpan w:val="37"/>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w:t>
            </w:r>
          </w:p>
        </w:tc>
      </w:tr>
      <w:tr>
        <w:trPr>
          <w:trHeight w:val="146"/>
        </w:trPr>
        <w:tc>
          <w:tcPr>
            <w:tcW w:w="1100" w:type="dxa"/>
            <w:vAlign w:val="bottom"/>
          </w:tcPr>
          <w:p>
            <w:pPr>
              <w:spacing w:after="0"/>
              <w:rPr>
                <w:sz w:val="12"/>
                <w:szCs w:val="12"/>
                <w:color w:val="auto"/>
              </w:rPr>
            </w:pPr>
          </w:p>
        </w:tc>
        <w:tc>
          <w:tcPr>
            <w:tcW w:w="2740" w:type="dxa"/>
            <w:vAlign w:val="bottom"/>
            <w:tcBorders>
              <w:top w:val="single" w:sz="8" w:color="0000FF"/>
            </w:tcBorders>
            <w:gridSpan w:val="21"/>
          </w:tcPr>
          <w:p>
            <w:pPr>
              <w:spacing w:after="0" w:line="145" w:lineRule="exact"/>
              <w:rPr>
                <w:sz w:val="20"/>
                <w:szCs w:val="20"/>
                <w:color w:val="auto"/>
              </w:rPr>
            </w:pPr>
            <w:r>
              <w:rPr>
                <w:rFonts w:ascii="Times New Roman" w:cs="Times New Roman" w:eastAsia="Times New Roman" w:hAnsi="Times New Roman"/>
                <w:sz w:val="16"/>
                <w:szCs w:val="16"/>
                <w:color w:val="0000FF"/>
              </w:rPr>
              <w:t>pursuant to Section 302 of the Sarbanes</w:t>
            </w:r>
          </w:p>
        </w:tc>
        <w:tc>
          <w:tcPr>
            <w:tcW w:w="120" w:type="dxa"/>
            <w:vAlign w:val="bottom"/>
            <w:gridSpan w:val="5"/>
          </w:tcPr>
          <w:p>
            <w:pPr>
              <w:spacing w:after="0"/>
              <w:rPr>
                <w:sz w:val="12"/>
                <w:szCs w:val="12"/>
                <w:color w:val="auto"/>
              </w:rPr>
            </w:pPr>
          </w:p>
        </w:tc>
        <w:tc>
          <w:tcPr>
            <w:tcW w:w="240" w:type="dxa"/>
            <w:vAlign w:val="bottom"/>
            <w:gridSpan w:val="11"/>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720" w:type="dxa"/>
            <w:vAlign w:val="bottom"/>
            <w:tcBorders>
              <w:top w:val="single" w:sz="8" w:color="0000FF"/>
            </w:tcBorders>
            <w:gridSpan w:val="20"/>
          </w:tcPr>
          <w:p>
            <w:pPr>
              <w:spacing w:after="0" w:line="145" w:lineRule="exact"/>
              <w:rPr>
                <w:sz w:val="20"/>
                <w:szCs w:val="20"/>
                <w:color w:val="auto"/>
              </w:rPr>
            </w:pPr>
            <w:r>
              <w:rPr>
                <w:rFonts w:ascii="Times New Roman" w:cs="Times New Roman" w:eastAsia="Times New Roman" w:hAnsi="Times New Roman"/>
                <w:sz w:val="16"/>
                <w:szCs w:val="16"/>
                <w:color w:val="0000FF"/>
              </w:rPr>
              <w:t>Oxley Act of 2002.</w:t>
            </w:r>
          </w:p>
        </w:tc>
        <w:tc>
          <w:tcPr>
            <w:tcW w:w="140" w:type="dxa"/>
            <w:vAlign w:val="bottom"/>
            <w:gridSpan w:val="6"/>
          </w:tcPr>
          <w:p>
            <w:pPr>
              <w:spacing w:after="0"/>
              <w:rPr>
                <w:sz w:val="12"/>
                <w:szCs w:val="12"/>
                <w:color w:val="auto"/>
              </w:rPr>
            </w:pPr>
          </w:p>
        </w:tc>
        <w:tc>
          <w:tcPr>
            <w:tcW w:w="240" w:type="dxa"/>
            <w:vAlign w:val="bottom"/>
            <w:gridSpan w:val="11"/>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3100" w:type="dxa"/>
            <w:vAlign w:val="bottom"/>
            <w:gridSpan w:val="37"/>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w:t>
            </w:r>
          </w:p>
        </w:tc>
      </w:tr>
      <w:tr>
        <w:trPr>
          <w:trHeight w:val="146"/>
        </w:trPr>
        <w:tc>
          <w:tcPr>
            <w:tcW w:w="1100" w:type="dxa"/>
            <w:vAlign w:val="bottom"/>
          </w:tcPr>
          <w:p>
            <w:pPr>
              <w:spacing w:after="0"/>
              <w:rPr>
                <w:sz w:val="12"/>
                <w:szCs w:val="12"/>
                <w:color w:val="auto"/>
              </w:rPr>
            </w:pPr>
          </w:p>
        </w:tc>
        <w:tc>
          <w:tcPr>
            <w:tcW w:w="2660" w:type="dxa"/>
            <w:vAlign w:val="bottom"/>
            <w:tcBorders>
              <w:top w:val="single" w:sz="8" w:color="0000FF"/>
            </w:tcBorders>
            <w:gridSpan w:val="17"/>
          </w:tcPr>
          <w:p>
            <w:pPr>
              <w:spacing w:after="0" w:line="145" w:lineRule="exact"/>
              <w:rPr>
                <w:sz w:val="20"/>
                <w:szCs w:val="20"/>
                <w:color w:val="auto"/>
              </w:rPr>
            </w:pPr>
            <w:r>
              <w:rPr>
                <w:rFonts w:ascii="Times New Roman" w:cs="Times New Roman" w:eastAsia="Times New Roman" w:hAnsi="Times New Roman"/>
                <w:sz w:val="16"/>
                <w:szCs w:val="16"/>
                <w:color w:val="0000FF"/>
              </w:rPr>
              <w:t>pursuant to Section 302 of the Sarbanes</w:t>
            </w:r>
          </w:p>
        </w:tc>
        <w:tc>
          <w:tcPr>
            <w:tcW w:w="200" w:type="dxa"/>
            <w:vAlign w:val="bottom"/>
            <w:gridSpan w:val="9"/>
          </w:tcPr>
          <w:p>
            <w:pPr>
              <w:spacing w:after="0"/>
              <w:rPr>
                <w:sz w:val="12"/>
                <w:szCs w:val="12"/>
                <w:color w:val="auto"/>
              </w:rPr>
            </w:pPr>
          </w:p>
        </w:tc>
        <w:tc>
          <w:tcPr>
            <w:tcW w:w="240" w:type="dxa"/>
            <w:vAlign w:val="bottom"/>
            <w:gridSpan w:val="11"/>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720" w:type="dxa"/>
            <w:vAlign w:val="bottom"/>
            <w:tcBorders>
              <w:top w:val="single" w:sz="8" w:color="0000FF"/>
            </w:tcBorders>
            <w:gridSpan w:val="20"/>
          </w:tcPr>
          <w:p>
            <w:pPr>
              <w:spacing w:after="0" w:line="145" w:lineRule="exact"/>
              <w:rPr>
                <w:sz w:val="20"/>
                <w:szCs w:val="20"/>
                <w:color w:val="auto"/>
              </w:rPr>
            </w:pPr>
            <w:r>
              <w:rPr>
                <w:rFonts w:ascii="Times New Roman" w:cs="Times New Roman" w:eastAsia="Times New Roman" w:hAnsi="Times New Roman"/>
                <w:sz w:val="16"/>
                <w:szCs w:val="16"/>
                <w:color w:val="0000FF"/>
              </w:rPr>
              <w:t>Oxley Act of 2002.</w:t>
            </w:r>
          </w:p>
        </w:tc>
        <w:tc>
          <w:tcPr>
            <w:tcW w:w="140" w:type="dxa"/>
            <w:vAlign w:val="bottom"/>
            <w:gridSpan w:val="6"/>
          </w:tcPr>
          <w:p>
            <w:pPr>
              <w:spacing w:after="0"/>
              <w:rPr>
                <w:sz w:val="12"/>
                <w:szCs w:val="12"/>
                <w:color w:val="auto"/>
              </w:rPr>
            </w:pPr>
          </w:p>
        </w:tc>
        <w:tc>
          <w:tcPr>
            <w:tcW w:w="240" w:type="dxa"/>
            <w:vAlign w:val="bottom"/>
            <w:gridSpan w:val="11"/>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3100" w:type="dxa"/>
            <w:vAlign w:val="bottom"/>
            <w:gridSpan w:val="37"/>
          </w:tcPr>
          <w:p>
            <w:pPr>
              <w:spacing w:after="0"/>
              <w:rPr>
                <w:sz w:val="20"/>
                <w:szCs w:val="20"/>
                <w:color w:val="auto"/>
              </w:rPr>
            </w:pPr>
            <w:r>
              <w:rPr>
                <w:rFonts w:ascii="Times New Roman" w:cs="Times New Roman" w:eastAsia="Times New Roman" w:hAnsi="Times New Roman"/>
                <w:sz w:val="17"/>
                <w:szCs w:val="17"/>
                <w:color w:val="0000FF"/>
              </w:rPr>
              <w:t>Certification pursuant to 18 U.S.C.</w:t>
            </w:r>
          </w:p>
        </w:tc>
      </w:tr>
      <w:tr>
        <w:trPr>
          <w:trHeight w:val="146"/>
        </w:trPr>
        <w:tc>
          <w:tcPr>
            <w:tcW w:w="1100" w:type="dxa"/>
            <w:vAlign w:val="bottom"/>
          </w:tcPr>
          <w:p>
            <w:pPr>
              <w:spacing w:after="0"/>
              <w:rPr>
                <w:sz w:val="12"/>
                <w:szCs w:val="12"/>
                <w:color w:val="auto"/>
              </w:rPr>
            </w:pPr>
          </w:p>
        </w:tc>
        <w:tc>
          <w:tcPr>
            <w:tcW w:w="2360" w:type="dxa"/>
            <w:vAlign w:val="bottom"/>
            <w:tcBorders>
              <w:top w:val="single" w:sz="8" w:color="0000FF"/>
              <w:bottom w:val="single" w:sz="8" w:color="0000FF"/>
            </w:tcBorders>
            <w:gridSpan w:val="11"/>
          </w:tcPr>
          <w:p>
            <w:pPr>
              <w:spacing w:after="0" w:line="145" w:lineRule="exact"/>
              <w:rPr>
                <w:sz w:val="20"/>
                <w:szCs w:val="20"/>
                <w:color w:val="auto"/>
              </w:rPr>
            </w:pPr>
            <w:r>
              <w:rPr>
                <w:rFonts w:ascii="Times New Roman" w:cs="Times New Roman" w:eastAsia="Times New Roman" w:hAnsi="Times New Roman"/>
                <w:sz w:val="16"/>
                <w:szCs w:val="16"/>
                <w:color w:val="0000FF"/>
              </w:rPr>
              <w:t>Section 1350, as adopted pursuant</w:t>
            </w:r>
          </w:p>
        </w:tc>
        <w:tc>
          <w:tcPr>
            <w:tcW w:w="140" w:type="dxa"/>
            <w:vAlign w:val="bottom"/>
            <w:tcBorders>
              <w:bottom w:val="single" w:sz="8" w:color="0000FF"/>
            </w:tcBorders>
          </w:tcPr>
          <w:p>
            <w:pPr>
              <w:spacing w:after="0" w:line="145" w:lineRule="exact"/>
              <w:rPr>
                <w:sz w:val="20"/>
                <w:szCs w:val="20"/>
                <w:color w:val="auto"/>
              </w:rPr>
            </w:pPr>
            <w:r>
              <w:rPr>
                <w:rFonts w:ascii="Times New Roman" w:cs="Times New Roman" w:eastAsia="Times New Roman" w:hAnsi="Times New Roman"/>
                <w:sz w:val="16"/>
                <w:szCs w:val="16"/>
                <w:color w:val="0000FF"/>
                <w:w w:val="95"/>
              </w:rPr>
              <w:t>to</w:t>
            </w:r>
          </w:p>
        </w:tc>
        <w:tc>
          <w:tcPr>
            <w:tcW w:w="600" w:type="dxa"/>
            <w:vAlign w:val="bottom"/>
            <w:gridSpan w:val="25"/>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3100" w:type="dxa"/>
            <w:vAlign w:val="bottom"/>
            <w:gridSpan w:val="37"/>
          </w:tcPr>
          <w:p>
            <w:pPr>
              <w:spacing w:after="0" w:line="145" w:lineRule="exact"/>
              <w:rPr>
                <w:sz w:val="20"/>
                <w:szCs w:val="20"/>
                <w:color w:val="auto"/>
              </w:rPr>
            </w:pPr>
            <w:r>
              <w:rPr>
                <w:rFonts w:ascii="Times New Roman" w:cs="Times New Roman" w:eastAsia="Times New Roman" w:hAnsi="Times New Roman"/>
                <w:sz w:val="16"/>
                <w:szCs w:val="16"/>
                <w:color w:val="0000FF"/>
              </w:rPr>
              <w:t>Section 906 of the Sarbanes-Oxley Act of</w:t>
            </w:r>
          </w:p>
        </w:tc>
      </w:tr>
      <w:tr>
        <w:trPr>
          <w:trHeight w:val="158"/>
        </w:trPr>
        <w:tc>
          <w:tcPr>
            <w:tcW w:w="1100" w:type="dxa"/>
            <w:vAlign w:val="bottom"/>
          </w:tcPr>
          <w:p>
            <w:pPr>
              <w:spacing w:after="0"/>
              <w:rPr>
                <w:sz w:val="13"/>
                <w:szCs w:val="13"/>
                <w:color w:val="auto"/>
              </w:rPr>
            </w:pPr>
          </w:p>
        </w:tc>
        <w:tc>
          <w:tcPr>
            <w:tcW w:w="2860" w:type="dxa"/>
            <w:vAlign w:val="bottom"/>
            <w:tcBorders>
              <w:top w:val="single" w:sz="8" w:color="0000FF"/>
            </w:tcBorders>
            <w:gridSpan w:val="26"/>
          </w:tcPr>
          <w:p>
            <w:pPr>
              <w:spacing w:after="0" w:line="159" w:lineRule="exact"/>
              <w:rPr>
                <w:sz w:val="20"/>
                <w:szCs w:val="20"/>
                <w:color w:val="auto"/>
              </w:rPr>
            </w:pPr>
            <w:r>
              <w:rPr>
                <w:rFonts w:ascii="Times New Roman" w:cs="Times New Roman" w:eastAsia="Times New Roman" w:hAnsi="Times New Roman"/>
                <w:sz w:val="17"/>
                <w:szCs w:val="17"/>
                <w:color w:val="0000FF"/>
              </w:rPr>
              <w:t>2002 for Eric M. DeMarco.</w:t>
            </w:r>
          </w:p>
        </w:tc>
        <w:tc>
          <w:tcPr>
            <w:tcW w:w="240" w:type="dxa"/>
            <w:vAlign w:val="bottom"/>
            <w:gridSpan w:val="11"/>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1000" w:type="dxa"/>
            <w:vAlign w:val="bottom"/>
            <w:gridSpan w:val="19"/>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3100" w:type="dxa"/>
            <w:vAlign w:val="bottom"/>
            <w:gridSpan w:val="37"/>
          </w:tcPr>
          <w:p>
            <w:pPr>
              <w:spacing w:after="0"/>
              <w:rPr>
                <w:sz w:val="20"/>
                <w:szCs w:val="20"/>
                <w:color w:val="auto"/>
              </w:rPr>
            </w:pPr>
            <w:r>
              <w:rPr>
                <w:rFonts w:ascii="Times New Roman" w:cs="Times New Roman" w:eastAsia="Times New Roman" w:hAnsi="Times New Roman"/>
                <w:sz w:val="17"/>
                <w:szCs w:val="17"/>
                <w:color w:val="0000FF"/>
              </w:rPr>
              <w:t>Certification pursuant to 18 U.S.C.</w:t>
            </w:r>
          </w:p>
        </w:tc>
      </w:tr>
      <w:tr>
        <w:trPr>
          <w:trHeight w:val="146"/>
        </w:trPr>
        <w:tc>
          <w:tcPr>
            <w:tcW w:w="1100" w:type="dxa"/>
            <w:vAlign w:val="bottom"/>
          </w:tcPr>
          <w:p>
            <w:pPr>
              <w:spacing w:after="0"/>
              <w:rPr>
                <w:sz w:val="12"/>
                <w:szCs w:val="12"/>
                <w:color w:val="auto"/>
              </w:rPr>
            </w:pPr>
          </w:p>
        </w:tc>
        <w:tc>
          <w:tcPr>
            <w:tcW w:w="2360" w:type="dxa"/>
            <w:vAlign w:val="bottom"/>
            <w:tcBorders>
              <w:top w:val="single" w:sz="8" w:color="0000FF"/>
              <w:bottom w:val="single" w:sz="8" w:color="0000FF"/>
            </w:tcBorders>
            <w:gridSpan w:val="11"/>
          </w:tcPr>
          <w:p>
            <w:pPr>
              <w:spacing w:after="0" w:line="145" w:lineRule="exact"/>
              <w:rPr>
                <w:sz w:val="20"/>
                <w:szCs w:val="20"/>
                <w:color w:val="auto"/>
              </w:rPr>
            </w:pPr>
            <w:r>
              <w:rPr>
                <w:rFonts w:ascii="Times New Roman" w:cs="Times New Roman" w:eastAsia="Times New Roman" w:hAnsi="Times New Roman"/>
                <w:sz w:val="16"/>
                <w:szCs w:val="16"/>
                <w:color w:val="0000FF"/>
              </w:rPr>
              <w:t>Section 1350, as adopted pursuant</w:t>
            </w:r>
          </w:p>
        </w:tc>
        <w:tc>
          <w:tcPr>
            <w:tcW w:w="140" w:type="dxa"/>
            <w:vAlign w:val="bottom"/>
            <w:tcBorders>
              <w:bottom w:val="single" w:sz="8" w:color="0000FF"/>
            </w:tcBorders>
          </w:tcPr>
          <w:p>
            <w:pPr>
              <w:spacing w:after="0" w:line="145" w:lineRule="exact"/>
              <w:rPr>
                <w:sz w:val="20"/>
                <w:szCs w:val="20"/>
                <w:color w:val="auto"/>
              </w:rPr>
            </w:pPr>
            <w:r>
              <w:rPr>
                <w:rFonts w:ascii="Times New Roman" w:cs="Times New Roman" w:eastAsia="Times New Roman" w:hAnsi="Times New Roman"/>
                <w:sz w:val="16"/>
                <w:szCs w:val="16"/>
                <w:color w:val="0000FF"/>
                <w:w w:val="95"/>
              </w:rPr>
              <w:t>to</w:t>
            </w:r>
          </w:p>
        </w:tc>
        <w:tc>
          <w:tcPr>
            <w:tcW w:w="600" w:type="dxa"/>
            <w:vAlign w:val="bottom"/>
            <w:gridSpan w:val="25"/>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880" w:type="dxa"/>
            <w:vAlign w:val="bottom"/>
            <w:tcBorders>
              <w:bottom w:val="single" w:sz="8" w:color="0000FF"/>
            </w:tcBorders>
            <w:gridSpan w:val="27"/>
          </w:tcPr>
          <w:p>
            <w:pPr>
              <w:spacing w:after="0" w:line="145" w:lineRule="exact"/>
              <w:rPr>
                <w:sz w:val="20"/>
                <w:szCs w:val="20"/>
                <w:color w:val="auto"/>
              </w:rPr>
            </w:pPr>
            <w:r>
              <w:rPr>
                <w:rFonts w:ascii="Times New Roman" w:cs="Times New Roman" w:eastAsia="Times New Roman" w:hAnsi="Times New Roman"/>
                <w:sz w:val="16"/>
                <w:szCs w:val="16"/>
                <w:color w:val="0000FF"/>
              </w:rPr>
              <w:t>Section 906 of the Sarbanes-Oxley Act of</w:t>
            </w:r>
          </w:p>
        </w:tc>
        <w:tc>
          <w:tcPr>
            <w:tcW w:w="220" w:type="dxa"/>
            <w:vAlign w:val="bottom"/>
            <w:gridSpan w:val="10"/>
          </w:tcPr>
          <w:p>
            <w:pPr>
              <w:spacing w:after="0"/>
              <w:rPr>
                <w:sz w:val="12"/>
                <w:szCs w:val="12"/>
                <w:color w:val="auto"/>
              </w:rPr>
            </w:pPr>
          </w:p>
        </w:tc>
      </w:tr>
    </w:tbl>
    <w:p>
      <w:pPr>
        <w:ind w:left="1101"/>
        <w:spacing w:after="0"/>
        <w:rPr>
          <w:sz w:val="20"/>
          <w:szCs w:val="20"/>
          <w:color w:val="auto"/>
        </w:rPr>
      </w:pPr>
      <w:r>
        <w:rPr>
          <w:rFonts w:ascii="Times New Roman" w:cs="Times New Roman" w:eastAsia="Times New Roman" w:hAnsi="Times New Roman"/>
          <w:sz w:val="17"/>
          <w:szCs w:val="17"/>
          <w:u w:val="single" w:color="auto"/>
          <w:color w:val="0000FF"/>
        </w:rPr>
        <w:t>2002 for Deanna Lund.</w:t>
      </w:r>
    </w:p>
    <w:p>
      <w:pPr>
        <w:spacing w:after="0" w:line="7" w:lineRule="exact"/>
        <w:rPr>
          <w:sz w:val="20"/>
          <w:szCs w:val="20"/>
          <w:color w:val="auto"/>
        </w:rPr>
      </w:pPr>
    </w:p>
    <w:p>
      <w:pPr>
        <w:ind w:left="1101" w:right="240" w:hanging="1101"/>
        <w:spacing w:after="0" w:line="234" w:lineRule="auto"/>
        <w:tabs>
          <w:tab w:leader="none" w:pos="1101" w:val="left"/>
        </w:tabs>
        <w:numPr>
          <w:ilvl w:val="0"/>
          <w:numId w:val="34"/>
        </w:numPr>
        <w:rPr>
          <w:rFonts w:ascii="Times New Roman" w:cs="Times New Roman" w:eastAsia="Times New Roman" w:hAnsi="Times New Roman"/>
          <w:sz w:val="17"/>
          <w:szCs w:val="17"/>
          <w:u w:val="single" w:color="auto"/>
          <w:color w:val="0000FF"/>
        </w:rPr>
      </w:pPr>
      <w:hyperlink r:id="rId121">
        <w:r>
          <w:rPr>
            <w:rFonts w:ascii="Times New Roman" w:cs="Times New Roman" w:eastAsia="Times New Roman" w:hAnsi="Times New Roman"/>
            <w:sz w:val="17"/>
            <w:szCs w:val="17"/>
            <w:u w:val="single" w:color="auto"/>
            <w:color w:val="0000FF"/>
          </w:rPr>
          <w:t>Kratos Defense &amp; Security Solutions, Inc.</w:t>
        </w:r>
      </w:hyperlink>
      <w:r>
        <w:rPr>
          <w:rFonts w:ascii="Times New Roman" w:cs="Times New Roman" w:eastAsia="Times New Roman" w:hAnsi="Times New Roman"/>
          <w:sz w:val="17"/>
          <w:szCs w:val="17"/>
          <w:u w:val="single" w:color="auto"/>
          <w:color w:val="0000FF"/>
        </w:rPr>
        <w:t xml:space="preserve"> </w:t>
      </w:r>
      <w:hyperlink r:id="rId121">
        <w:r>
          <w:rPr>
            <w:rFonts w:ascii="Times New Roman" w:cs="Times New Roman" w:eastAsia="Times New Roman" w:hAnsi="Times New Roman"/>
            <w:sz w:val="17"/>
            <w:szCs w:val="17"/>
            <w:u w:val="single" w:color="auto"/>
            <w:color w:val="0000FF"/>
          </w:rPr>
          <w:t>Compensation Recovery Policy</w:t>
        </w:r>
      </w:hyperlink>
    </w:p>
    <w:tbl>
      <w:tblPr>
        <w:tblLayout w:type="fixed"/>
        <w:tblInd w:w="1" w:type="dxa"/>
        <w:tblCellMar>
          <w:top w:w="0" w:type="dxa"/>
          <w:left w:w="0" w:type="dxa"/>
          <w:bottom w:w="0" w:type="dxa"/>
          <w:right w:w="0" w:type="dxa"/>
        </w:tblCellMar>
      </w:tblPr>
      <w:tr>
        <w:trPr>
          <w:trHeight w:val="193"/>
        </w:trPr>
        <w:tc>
          <w:tcPr>
            <w:tcW w:w="110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101.INS</w:t>
            </w:r>
          </w:p>
        </w:tc>
        <w:tc>
          <w:tcPr>
            <w:tcW w:w="3120" w:type="dxa"/>
            <w:vAlign w:val="bottom"/>
            <w:gridSpan w:val="4"/>
          </w:tcPr>
          <w:p>
            <w:pPr>
              <w:spacing w:after="0" w:line="193" w:lineRule="exact"/>
              <w:rPr>
                <w:sz w:val="20"/>
                <w:szCs w:val="20"/>
                <w:color w:val="auto"/>
              </w:rPr>
            </w:pPr>
            <w:r>
              <w:rPr>
                <w:rFonts w:ascii="Times New Roman" w:cs="Times New Roman" w:eastAsia="Times New Roman" w:hAnsi="Times New Roman"/>
                <w:sz w:val="17"/>
                <w:szCs w:val="17"/>
                <w:color w:val="0000FF"/>
                <w:w w:val="99"/>
              </w:rPr>
              <w:t>Inline XBRL Instance Document the instance</w:t>
            </w:r>
          </w:p>
        </w:tc>
      </w:tr>
      <w:tr>
        <w:trPr>
          <w:trHeight w:val="146"/>
        </w:trPr>
        <w:tc>
          <w:tcPr>
            <w:tcW w:w="1100" w:type="dxa"/>
            <w:vAlign w:val="bottom"/>
          </w:tcPr>
          <w:p>
            <w:pPr>
              <w:spacing w:after="0"/>
              <w:rPr>
                <w:sz w:val="12"/>
                <w:szCs w:val="12"/>
                <w:color w:val="auto"/>
              </w:rPr>
            </w:pPr>
          </w:p>
        </w:tc>
        <w:tc>
          <w:tcPr>
            <w:tcW w:w="3100" w:type="dxa"/>
            <w:vAlign w:val="bottom"/>
            <w:tcBorders>
              <w:top w:val="single" w:sz="8" w:color="0000FF"/>
            </w:tcBorders>
            <w:gridSpan w:val="3"/>
          </w:tcPr>
          <w:p>
            <w:pPr>
              <w:spacing w:after="0" w:line="145" w:lineRule="exact"/>
              <w:rPr>
                <w:sz w:val="20"/>
                <w:szCs w:val="20"/>
                <w:color w:val="auto"/>
              </w:rPr>
            </w:pPr>
            <w:r>
              <w:rPr>
                <w:rFonts w:ascii="Times New Roman" w:cs="Times New Roman" w:eastAsia="Times New Roman" w:hAnsi="Times New Roman"/>
                <w:sz w:val="16"/>
                <w:szCs w:val="16"/>
                <w:color w:val="0000FF"/>
              </w:rPr>
              <w:t>document does not appear in the Interactive</w:t>
            </w:r>
          </w:p>
        </w:tc>
        <w:tc>
          <w:tcPr>
            <w:tcW w:w="20" w:type="dxa"/>
            <w:vAlign w:val="bottom"/>
          </w:tcPr>
          <w:p>
            <w:pPr>
              <w:spacing w:after="0"/>
              <w:rPr>
                <w:sz w:val="12"/>
                <w:szCs w:val="12"/>
                <w:color w:val="auto"/>
              </w:rPr>
            </w:pPr>
          </w:p>
        </w:tc>
      </w:tr>
      <w:tr>
        <w:trPr>
          <w:trHeight w:val="146"/>
        </w:trPr>
        <w:tc>
          <w:tcPr>
            <w:tcW w:w="1100" w:type="dxa"/>
            <w:vAlign w:val="bottom"/>
          </w:tcPr>
          <w:p>
            <w:pPr>
              <w:spacing w:after="0"/>
              <w:rPr>
                <w:sz w:val="12"/>
                <w:szCs w:val="12"/>
                <w:color w:val="auto"/>
              </w:rPr>
            </w:pPr>
          </w:p>
        </w:tc>
        <w:tc>
          <w:tcPr>
            <w:tcW w:w="2960" w:type="dxa"/>
            <w:vAlign w:val="bottom"/>
            <w:tcBorders>
              <w:top w:val="single" w:sz="8" w:color="0000FF"/>
            </w:tcBorders>
            <w:gridSpan w:val="2"/>
          </w:tcPr>
          <w:p>
            <w:pPr>
              <w:spacing w:after="0" w:line="145" w:lineRule="exact"/>
              <w:rPr>
                <w:sz w:val="20"/>
                <w:szCs w:val="20"/>
                <w:color w:val="auto"/>
              </w:rPr>
            </w:pPr>
            <w:r>
              <w:rPr>
                <w:rFonts w:ascii="Times New Roman" w:cs="Times New Roman" w:eastAsia="Times New Roman" w:hAnsi="Times New Roman"/>
                <w:sz w:val="16"/>
                <w:szCs w:val="16"/>
                <w:color w:val="0000FF"/>
              </w:rPr>
              <w:t>Data File because its XBRL tags are</w:t>
            </w:r>
          </w:p>
        </w:tc>
        <w:tc>
          <w:tcPr>
            <w:tcW w:w="16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101"/>
        <w:spacing w:after="0"/>
        <w:rPr>
          <w:sz w:val="20"/>
          <w:szCs w:val="20"/>
          <w:color w:val="auto"/>
        </w:rPr>
      </w:pPr>
      <w:r>
        <w:rPr>
          <w:rFonts w:ascii="Times New Roman" w:cs="Times New Roman" w:eastAsia="Times New Roman" w:hAnsi="Times New Roman"/>
          <w:sz w:val="17"/>
          <w:szCs w:val="17"/>
          <w:u w:val="single" w:color="auto"/>
          <w:color w:val="0000FF"/>
        </w:rPr>
        <w:t>embedded within the Inline XBRL document</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2"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6"/>
          <w:szCs w:val="16"/>
          <w:color w:val="auto"/>
        </w:rPr>
        <w:t>10-Q</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1"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6"/>
          <w:szCs w:val="16"/>
          <w:color w:val="auto"/>
        </w:rPr>
        <w:t>10-Q</w:t>
      </w:r>
    </w:p>
    <w:p>
      <w:pPr>
        <w:spacing w:after="0" w:line="211"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S-8</w:t>
      </w:r>
    </w:p>
    <w:p>
      <w:pPr>
        <w:spacing w:after="0" w:line="19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S-8</w:t>
      </w:r>
    </w:p>
    <w:p>
      <w:pPr>
        <w:spacing w:after="0" w:line="365"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6"/>
          <w:szCs w:val="16"/>
          <w:color w:val="auto"/>
        </w:rPr>
        <w:t>10-K</w:t>
      </w:r>
    </w:p>
    <w:p>
      <w:pPr>
        <w:spacing w:after="0" w:line="376"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6"/>
          <w:szCs w:val="16"/>
          <w:color w:val="auto"/>
        </w:rPr>
        <w:t>10-K</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50"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6"/>
          <w:szCs w:val="16"/>
          <w:color w:val="auto"/>
        </w:rPr>
        <w:t>10-K</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4"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6"/>
          <w:szCs w:val="16"/>
          <w:color w:val="auto"/>
        </w:rPr>
        <w:t>10-K</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22" w:lineRule="exact"/>
        <w:rPr>
          <w:rFonts w:ascii="Times New Roman" w:cs="Times New Roman" w:eastAsia="Times New Roman" w:hAnsi="Times New Roman"/>
          <w:sz w:val="17"/>
          <w:szCs w:val="17"/>
          <w:color w:val="auto"/>
        </w:rPr>
      </w:pPr>
    </w:p>
    <w:p>
      <w:pPr>
        <w:ind w:left="80"/>
        <w:spacing w:after="0"/>
        <w:rPr>
          <w:sz w:val="20"/>
          <w:szCs w:val="20"/>
          <w:color w:val="auto"/>
        </w:rPr>
      </w:pPr>
      <w:r>
        <w:rPr>
          <w:rFonts w:ascii="Times New Roman" w:cs="Times New Roman" w:eastAsia="Times New Roman" w:hAnsi="Times New Roman"/>
          <w:sz w:val="17"/>
          <w:szCs w:val="17"/>
          <w:color w:val="auto"/>
        </w:rPr>
        <w:t>08/04/2022</w:t>
      </w: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4" w:lineRule="exact"/>
        <w:rPr>
          <w:rFonts w:ascii="Times New Roman" w:cs="Times New Roman" w:eastAsia="Times New Roman" w:hAnsi="Times New Roman"/>
          <w:sz w:val="17"/>
          <w:szCs w:val="17"/>
          <w:color w:val="auto"/>
        </w:rPr>
      </w:pPr>
    </w:p>
    <w:p>
      <w:pPr>
        <w:ind w:left="80"/>
        <w:spacing w:after="0"/>
        <w:rPr>
          <w:sz w:val="20"/>
          <w:szCs w:val="20"/>
          <w:color w:val="auto"/>
        </w:rPr>
      </w:pPr>
      <w:r>
        <w:rPr>
          <w:rFonts w:ascii="Times New Roman" w:cs="Times New Roman" w:eastAsia="Times New Roman" w:hAnsi="Times New Roman"/>
          <w:sz w:val="17"/>
          <w:szCs w:val="17"/>
          <w:color w:val="auto"/>
        </w:rPr>
        <w:t>08/07/2024</w:t>
      </w: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4"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05/24/2023</w:t>
      </w:r>
    </w:p>
    <w:p>
      <w:pPr>
        <w:jc w:val="center"/>
        <w:spacing w:after="0"/>
        <w:rPr>
          <w:sz w:val="20"/>
          <w:szCs w:val="20"/>
          <w:color w:val="auto"/>
        </w:rPr>
      </w:pPr>
      <w:r>
        <w:rPr>
          <w:rFonts w:ascii="Times New Roman" w:cs="Times New Roman" w:eastAsia="Times New Roman" w:hAnsi="Times New Roman"/>
          <w:sz w:val="16"/>
          <w:szCs w:val="16"/>
          <w:color w:val="auto"/>
        </w:rPr>
        <w:t>(333-272172)</w:t>
      </w:r>
    </w:p>
    <w:p>
      <w:pPr>
        <w:spacing w:after="0" w:line="15"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05/24/2023</w:t>
      </w:r>
    </w:p>
    <w:p>
      <w:pPr>
        <w:jc w:val="center"/>
        <w:spacing w:after="0"/>
        <w:rPr>
          <w:sz w:val="20"/>
          <w:szCs w:val="20"/>
          <w:color w:val="auto"/>
        </w:rPr>
      </w:pPr>
      <w:r>
        <w:rPr>
          <w:rFonts w:ascii="Times New Roman" w:cs="Times New Roman" w:eastAsia="Times New Roman" w:hAnsi="Times New Roman"/>
          <w:sz w:val="16"/>
          <w:szCs w:val="16"/>
          <w:color w:val="auto"/>
        </w:rPr>
        <w:t>(333-272172)</w:t>
      </w:r>
    </w:p>
    <w:p>
      <w:pPr>
        <w:spacing w:after="0" w:line="181" w:lineRule="exact"/>
        <w:rPr>
          <w:rFonts w:ascii="Times New Roman" w:cs="Times New Roman" w:eastAsia="Times New Roman" w:hAnsi="Times New Roman"/>
          <w:sz w:val="17"/>
          <w:szCs w:val="17"/>
          <w:color w:val="auto"/>
        </w:rPr>
      </w:pPr>
    </w:p>
    <w:p>
      <w:pPr>
        <w:ind w:left="80"/>
        <w:spacing w:after="0"/>
        <w:rPr>
          <w:sz w:val="20"/>
          <w:szCs w:val="20"/>
          <w:color w:val="auto"/>
        </w:rPr>
      </w:pPr>
      <w:r>
        <w:rPr>
          <w:rFonts w:ascii="Times New Roman" w:cs="Times New Roman" w:eastAsia="Times New Roman" w:hAnsi="Times New Roman"/>
          <w:sz w:val="17"/>
          <w:szCs w:val="17"/>
          <w:color w:val="auto"/>
        </w:rPr>
        <w:t>02/13/2024</w:t>
      </w: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169" w:lineRule="exact"/>
        <w:rPr>
          <w:rFonts w:ascii="Times New Roman" w:cs="Times New Roman" w:eastAsia="Times New Roman" w:hAnsi="Times New Roman"/>
          <w:sz w:val="17"/>
          <w:szCs w:val="17"/>
          <w:color w:val="auto"/>
        </w:rPr>
      </w:pPr>
    </w:p>
    <w:p>
      <w:pPr>
        <w:ind w:left="80"/>
        <w:spacing w:after="0"/>
        <w:rPr>
          <w:sz w:val="20"/>
          <w:szCs w:val="20"/>
          <w:color w:val="auto"/>
        </w:rPr>
      </w:pPr>
      <w:r>
        <w:rPr>
          <w:rFonts w:ascii="Times New Roman" w:cs="Times New Roman" w:eastAsia="Times New Roman" w:hAnsi="Times New Roman"/>
          <w:sz w:val="17"/>
          <w:szCs w:val="17"/>
          <w:color w:val="auto"/>
        </w:rPr>
        <w:t>02/13/2024</w:t>
      </w: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43" w:lineRule="exact"/>
        <w:rPr>
          <w:rFonts w:ascii="Times New Roman" w:cs="Times New Roman" w:eastAsia="Times New Roman" w:hAnsi="Times New Roman"/>
          <w:sz w:val="17"/>
          <w:szCs w:val="17"/>
          <w:color w:val="auto"/>
        </w:rPr>
      </w:pPr>
    </w:p>
    <w:p>
      <w:pPr>
        <w:ind w:left="80"/>
        <w:spacing w:after="0"/>
        <w:rPr>
          <w:sz w:val="20"/>
          <w:szCs w:val="20"/>
          <w:color w:val="auto"/>
        </w:rPr>
      </w:pPr>
      <w:r>
        <w:rPr>
          <w:rFonts w:ascii="Times New Roman" w:cs="Times New Roman" w:eastAsia="Times New Roman" w:hAnsi="Times New Roman"/>
          <w:sz w:val="17"/>
          <w:szCs w:val="17"/>
          <w:color w:val="auto"/>
        </w:rPr>
        <w:t>02/26/2025</w:t>
      </w: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7" w:lineRule="exact"/>
        <w:rPr>
          <w:rFonts w:ascii="Times New Roman" w:cs="Times New Roman" w:eastAsia="Times New Roman" w:hAnsi="Times New Roman"/>
          <w:sz w:val="17"/>
          <w:szCs w:val="17"/>
          <w:color w:val="auto"/>
        </w:rPr>
      </w:pPr>
    </w:p>
    <w:p>
      <w:pPr>
        <w:ind w:left="80"/>
        <w:spacing w:after="0"/>
        <w:rPr>
          <w:sz w:val="20"/>
          <w:szCs w:val="20"/>
          <w:color w:val="auto"/>
        </w:rPr>
      </w:pPr>
      <w:r>
        <w:rPr>
          <w:rFonts w:ascii="Times New Roman" w:cs="Times New Roman" w:eastAsia="Times New Roman" w:hAnsi="Times New Roman"/>
          <w:sz w:val="17"/>
          <w:szCs w:val="17"/>
          <w:color w:val="auto"/>
        </w:rPr>
        <w:t>02/13/2024</w:t>
      </w:r>
    </w:p>
    <w:p>
      <w:pPr>
        <w:ind w:left="40"/>
        <w:spacing w:after="0"/>
        <w:rPr>
          <w:sz w:val="20"/>
          <w:szCs w:val="20"/>
          <w:color w:val="auto"/>
        </w:rPr>
      </w:pPr>
      <w:r>
        <w:rPr>
          <w:rFonts w:ascii="Times New Roman" w:cs="Times New Roman" w:eastAsia="Times New Roman" w:hAnsi="Times New Roman"/>
          <w:sz w:val="17"/>
          <w:szCs w:val="17"/>
          <w:color w:val="auto"/>
        </w:rPr>
        <w:t>(001-34460)</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27" w:lineRule="exact"/>
        <w:rPr>
          <w:rFonts w:ascii="Times New Roman" w:cs="Times New Roman" w:eastAsia="Times New Roman" w:hAnsi="Times New Roman"/>
          <w:sz w:val="17"/>
          <w:szCs w:val="17"/>
          <w:color w:val="auto"/>
        </w:rPr>
      </w:pPr>
    </w:p>
    <w:p>
      <w:pPr>
        <w:ind w:left="6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-3490595</wp:posOffset>
            </wp:positionH>
            <wp:positionV relativeFrom="paragraph">
              <wp:posOffset>67945</wp:posOffset>
            </wp:positionV>
            <wp:extent cx="716534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2" w:lineRule="exact"/>
        <w:rPr>
          <w:rFonts w:ascii="Times New Roman" w:cs="Times New Roman" w:eastAsia="Times New Roman" w:hAnsi="Times New Roman"/>
          <w:sz w:val="17"/>
          <w:szCs w:val="17"/>
          <w:color w:val="auto"/>
        </w:rPr>
      </w:pPr>
    </w:p>
    <w:p>
      <w:pPr>
        <w:ind w:left="4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0" w:lineRule="exact"/>
        <w:rPr>
          <w:rFonts w:ascii="Times New Roman" w:cs="Times New Roman" w:eastAsia="Times New Roman" w:hAnsi="Times New Roman"/>
          <w:sz w:val="17"/>
          <w:szCs w:val="17"/>
          <w:color w:val="auto"/>
        </w:rPr>
      </w:pPr>
    </w:p>
    <w:p>
      <w:pPr>
        <w:ind w:left="40"/>
        <w:spacing w:after="0"/>
        <w:rPr>
          <w:sz w:val="20"/>
          <w:szCs w:val="20"/>
          <w:color w:val="auto"/>
        </w:rPr>
      </w:pPr>
      <w:r>
        <w:rPr>
          <w:rFonts w:ascii="Times New Roman" w:cs="Times New Roman" w:eastAsia="Times New Roman" w:hAnsi="Times New Roman"/>
          <w:sz w:val="17"/>
          <w:szCs w:val="17"/>
          <w:color w:val="auto"/>
        </w:rPr>
        <w:t>10.1</w:t>
      </w:r>
    </w:p>
    <w:p>
      <w:pPr>
        <w:spacing w:after="0" w:line="199" w:lineRule="exact"/>
        <w:rPr>
          <w:rFonts w:ascii="Times New Roman" w:cs="Times New Roman" w:eastAsia="Times New Roman" w:hAnsi="Times New Roman"/>
          <w:sz w:val="17"/>
          <w:szCs w:val="17"/>
          <w:color w:val="auto"/>
        </w:rPr>
      </w:pPr>
    </w:p>
    <w:p>
      <w:pPr>
        <w:ind w:left="40"/>
        <w:spacing w:after="0"/>
        <w:rPr>
          <w:sz w:val="20"/>
          <w:szCs w:val="20"/>
          <w:color w:val="auto"/>
        </w:rPr>
      </w:pPr>
      <w:r>
        <w:rPr>
          <w:rFonts w:ascii="Times New Roman" w:cs="Times New Roman" w:eastAsia="Times New Roman" w:hAnsi="Times New Roman"/>
          <w:sz w:val="17"/>
          <w:szCs w:val="17"/>
          <w:color w:val="auto"/>
        </w:rPr>
        <w:t>99.1</w:t>
      </w:r>
    </w:p>
    <w:p>
      <w:pPr>
        <w:spacing w:after="0" w:line="199" w:lineRule="exact"/>
        <w:rPr>
          <w:rFonts w:ascii="Times New Roman" w:cs="Times New Roman" w:eastAsia="Times New Roman" w:hAnsi="Times New Roman"/>
          <w:sz w:val="17"/>
          <w:szCs w:val="17"/>
          <w:color w:val="auto"/>
        </w:rPr>
      </w:pPr>
    </w:p>
    <w:p>
      <w:pPr>
        <w:ind w:left="40"/>
        <w:spacing w:after="0"/>
        <w:rPr>
          <w:sz w:val="20"/>
          <w:szCs w:val="20"/>
          <w:color w:val="auto"/>
        </w:rPr>
      </w:pPr>
      <w:r>
        <w:rPr>
          <w:rFonts w:ascii="Times New Roman" w:cs="Times New Roman" w:eastAsia="Times New Roman" w:hAnsi="Times New Roman"/>
          <w:sz w:val="17"/>
          <w:szCs w:val="17"/>
          <w:color w:val="auto"/>
        </w:rPr>
        <w:t>99.2</w:t>
      </w:r>
    </w:p>
    <w:p>
      <w:pPr>
        <w:spacing w:after="0" w:line="365"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10.22</w:t>
      </w:r>
    </w:p>
    <w:p>
      <w:pPr>
        <w:spacing w:after="0" w:line="365"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10.23</w:t>
      </w:r>
    </w:p>
    <w:p>
      <w:pPr>
        <w:spacing w:after="0" w:line="200" w:lineRule="exact"/>
        <w:rPr>
          <w:rFonts w:ascii="Times New Roman" w:cs="Times New Roman" w:eastAsia="Times New Roman" w:hAnsi="Times New Roman"/>
          <w:sz w:val="17"/>
          <w:szCs w:val="17"/>
          <w:color w:val="auto"/>
        </w:rPr>
      </w:pPr>
    </w:p>
    <w:p>
      <w:pPr>
        <w:spacing w:after="0" w:line="330" w:lineRule="exact"/>
        <w:rPr>
          <w:rFonts w:ascii="Times New Roman" w:cs="Times New Roman" w:eastAsia="Times New Roman" w:hAnsi="Times New Roman"/>
          <w:sz w:val="17"/>
          <w:szCs w:val="17"/>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8" w:lineRule="exact"/>
        <w:rPr>
          <w:rFonts w:ascii="Times New Roman" w:cs="Times New Roman" w:eastAsia="Times New Roman" w:hAnsi="Times New Roman"/>
          <w:sz w:val="17"/>
          <w:szCs w:val="17"/>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199" w:lineRule="exact"/>
        <w:rPr>
          <w:rFonts w:ascii="Times New Roman" w:cs="Times New Roman" w:eastAsia="Times New Roman" w:hAnsi="Times New Roman"/>
          <w:sz w:val="17"/>
          <w:szCs w:val="17"/>
          <w:color w:val="auto"/>
        </w:rPr>
      </w:pPr>
    </w:p>
    <w:p>
      <w:pPr>
        <w:ind w:left="40"/>
        <w:spacing w:after="0"/>
        <w:rPr>
          <w:sz w:val="20"/>
          <w:szCs w:val="20"/>
          <w:color w:val="auto"/>
        </w:rPr>
      </w:pPr>
      <w:r>
        <w:rPr>
          <w:rFonts w:ascii="Times New Roman" w:cs="Times New Roman" w:eastAsia="Times New Roman" w:hAnsi="Times New Roman"/>
          <w:sz w:val="17"/>
          <w:szCs w:val="17"/>
          <w:color w:val="auto"/>
        </w:rPr>
        <w:t>19.1</w:t>
      </w:r>
    </w:p>
    <w:p>
      <w:pPr>
        <w:spacing w:after="0" w:line="24" w:lineRule="exact"/>
        <w:rPr>
          <w:rFonts w:ascii="Times New Roman" w:cs="Times New Roman" w:eastAsia="Times New Roman" w:hAnsi="Times New Roman"/>
          <w:sz w:val="17"/>
          <w:szCs w:val="17"/>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197" w:lineRule="exact"/>
        <w:rPr>
          <w:rFonts w:ascii="Times New Roman" w:cs="Times New Roman" w:eastAsia="Times New Roman" w:hAnsi="Times New Roman"/>
          <w:sz w:val="17"/>
          <w:szCs w:val="17"/>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365" w:lineRule="exact"/>
        <w:rPr>
          <w:rFonts w:ascii="Times New Roman" w:cs="Times New Roman" w:eastAsia="Times New Roman" w:hAnsi="Times New Roman"/>
          <w:sz w:val="17"/>
          <w:szCs w:val="17"/>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365" w:lineRule="exact"/>
        <w:rPr>
          <w:rFonts w:ascii="Times New Roman" w:cs="Times New Roman" w:eastAsia="Times New Roman" w:hAnsi="Times New Roman"/>
          <w:sz w:val="17"/>
          <w:szCs w:val="17"/>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color w:val="auto"/>
        </w:rPr>
      </w:pPr>
    </w:p>
    <w:p>
      <w:pPr>
        <w:spacing w:after="0" w:line="330" w:lineRule="exact"/>
        <w:rPr>
          <w:rFonts w:ascii="Times New Roman" w:cs="Times New Roman" w:eastAsia="Times New Roman" w:hAnsi="Times New Roman"/>
          <w:sz w:val="17"/>
          <w:szCs w:val="17"/>
          <w:color w:val="auto"/>
        </w:rPr>
      </w:pPr>
    </w:p>
    <w:p>
      <w:pPr>
        <w:jc w:val="right"/>
        <w:ind w:right="2279"/>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color w:val="auto"/>
        </w:rPr>
      </w:pPr>
    </w:p>
    <w:p>
      <w:pPr>
        <w:spacing w:after="0" w:line="330" w:lineRule="exact"/>
        <w:rPr>
          <w:rFonts w:ascii="Times New Roman" w:cs="Times New Roman" w:eastAsia="Times New Roman" w:hAnsi="Times New Roman"/>
          <w:sz w:val="17"/>
          <w:szCs w:val="17"/>
          <w:color w:val="auto"/>
        </w:rPr>
      </w:pPr>
    </w:p>
    <w:p>
      <w:pPr>
        <w:jc w:val="right"/>
        <w:ind w:right="2279"/>
        <w:spacing w:after="0"/>
        <w:rPr>
          <w:sz w:val="20"/>
          <w:szCs w:val="20"/>
          <w:color w:val="auto"/>
        </w:rPr>
      </w:pPr>
      <w:r>
        <w:rPr>
          <w:rFonts w:ascii="Times New Roman" w:cs="Times New Roman" w:eastAsia="Times New Roman" w:hAnsi="Times New Roman"/>
          <w:sz w:val="17"/>
          <w:szCs w:val="17"/>
          <w:color w:val="auto"/>
        </w:rPr>
        <w:t>**</w:t>
      </w:r>
    </w:p>
    <w:p>
      <w:pPr>
        <w:spacing w:after="0" w:line="199" w:lineRule="exact"/>
        <w:rPr>
          <w:rFonts w:ascii="Times New Roman" w:cs="Times New Roman" w:eastAsia="Times New Roman" w:hAnsi="Times New Roman"/>
          <w:sz w:val="17"/>
          <w:szCs w:val="17"/>
          <w:color w:val="auto"/>
        </w:rPr>
      </w:pPr>
    </w:p>
    <w:p>
      <w:pPr>
        <w:ind w:left="100"/>
        <w:spacing w:after="0"/>
        <w:rPr>
          <w:sz w:val="20"/>
          <w:szCs w:val="20"/>
          <w:color w:val="auto"/>
        </w:rPr>
      </w:pPr>
      <w:r>
        <w:rPr>
          <w:rFonts w:ascii="Times New Roman" w:cs="Times New Roman" w:eastAsia="Times New Roman" w:hAnsi="Times New Roman"/>
          <w:sz w:val="17"/>
          <w:szCs w:val="17"/>
          <w:color w:val="auto"/>
        </w:rPr>
        <w:t>97</w:t>
      </w:r>
    </w:p>
    <w:p>
      <w:pPr>
        <w:spacing w:after="0" w:line="24" w:lineRule="exact"/>
        <w:rPr>
          <w:rFonts w:ascii="Times New Roman" w:cs="Times New Roman" w:eastAsia="Times New Roman" w:hAnsi="Times New Roman"/>
          <w:sz w:val="17"/>
          <w:szCs w:val="17"/>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4">
            <w:col w:w="4201" w:space="440"/>
            <w:col w:w="340" w:space="480"/>
            <w:col w:w="920" w:space="480"/>
            <w:col w:w="3259"/>
          </w:cols>
          <w:pgMar w:left="339" w:top="963" w:right="1440" w:bottom="1440" w:gutter="0" w:footer="0" w:header="0"/>
        </w:sectPr>
      </w:pPr>
    </w:p>
    <w:bookmarkStart w:id="72" w:name="page73"/>
    <w:bookmarkEnd w:id="72"/>
    <w:tbl>
      <w:tblPr>
        <w:tblLayout w:type="fixed"/>
        <w:tblInd w:w="20" w:type="dxa"/>
        <w:tblCellMar>
          <w:top w:w="0" w:type="dxa"/>
          <w:left w:w="0" w:type="dxa"/>
          <w:bottom w:w="0" w:type="dxa"/>
          <w:right w:w="0" w:type="dxa"/>
        </w:tblCellMar>
      </w:tblPr>
      <w:tr>
        <w:trPr>
          <w:trHeight w:val="19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47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Inline XBRL Taxonomy Extension Schema</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6"/>
        </w:trPr>
        <w:tc>
          <w:tcPr>
            <w:tcW w:w="1100" w:type="dxa"/>
            <w:vAlign w:val="bottom"/>
          </w:tcPr>
          <w:p>
            <w:pPr>
              <w:spacing w:after="0"/>
              <w:rPr>
                <w:sz w:val="12"/>
                <w:szCs w:val="12"/>
                <w:color w:val="auto"/>
              </w:rPr>
            </w:pPr>
          </w:p>
        </w:tc>
        <w:tc>
          <w:tcPr>
            <w:tcW w:w="2960" w:type="dxa"/>
            <w:vAlign w:val="bottom"/>
            <w:tcBorders>
              <w:top w:val="single" w:sz="8" w:color="0000FF"/>
            </w:tcBorders>
            <w:gridSpan w:val="8"/>
          </w:tcPr>
          <w:p>
            <w:pPr>
              <w:spacing w:after="0" w:line="145" w:lineRule="exact"/>
              <w:rPr>
                <w:sz w:val="20"/>
                <w:szCs w:val="20"/>
                <w:color w:val="auto"/>
              </w:rPr>
            </w:pPr>
            <w:r>
              <w:rPr>
                <w:rFonts w:ascii="Times New Roman" w:cs="Times New Roman" w:eastAsia="Times New Roman" w:hAnsi="Times New Roman"/>
                <w:sz w:val="16"/>
                <w:szCs w:val="16"/>
                <w:color w:val="0000FF"/>
              </w:rPr>
              <w:t>Document</w:t>
            </w:r>
          </w:p>
        </w:tc>
        <w:tc>
          <w:tcPr>
            <w:tcW w:w="182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47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Inline XBRL Taxonomy Extension</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6"/>
        </w:trPr>
        <w:tc>
          <w:tcPr>
            <w:tcW w:w="1100" w:type="dxa"/>
            <w:vAlign w:val="bottom"/>
          </w:tcPr>
          <w:p>
            <w:pPr>
              <w:spacing w:after="0"/>
              <w:rPr>
                <w:sz w:val="12"/>
                <w:szCs w:val="12"/>
                <w:color w:val="auto"/>
              </w:rPr>
            </w:pPr>
          </w:p>
        </w:tc>
        <w:tc>
          <w:tcPr>
            <w:tcW w:w="2200" w:type="dxa"/>
            <w:vAlign w:val="bottom"/>
            <w:tcBorders>
              <w:top w:val="single" w:sz="8" w:color="0000FF"/>
              <w:bottom w:val="single" w:sz="8" w:color="0000FF"/>
            </w:tcBorders>
            <w:gridSpan w:val="4"/>
          </w:tcPr>
          <w:p>
            <w:pPr>
              <w:spacing w:after="0" w:line="145" w:lineRule="exact"/>
              <w:rPr>
                <w:sz w:val="20"/>
                <w:szCs w:val="20"/>
                <w:color w:val="auto"/>
              </w:rPr>
            </w:pPr>
            <w:r>
              <w:rPr>
                <w:rFonts w:ascii="Times New Roman" w:cs="Times New Roman" w:eastAsia="Times New Roman" w:hAnsi="Times New Roman"/>
                <w:sz w:val="16"/>
                <w:szCs w:val="16"/>
                <w:color w:val="0000FF"/>
              </w:rPr>
              <w:t>Calculation Linkbase Document</w:t>
            </w:r>
          </w:p>
        </w:tc>
        <w:tc>
          <w:tcPr>
            <w:tcW w:w="180" w:type="dxa"/>
            <w:vAlign w:val="bottom"/>
            <w:tcBorders>
              <w:top w:val="single" w:sz="8" w:color="0000FF"/>
            </w:tcBorders>
            <w:gridSpan w:val="2"/>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47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Inline XBRL Taxonomy Extension</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6"/>
        </w:trPr>
        <w:tc>
          <w:tcPr>
            <w:tcW w:w="1100" w:type="dxa"/>
            <w:vAlign w:val="bottom"/>
          </w:tcPr>
          <w:p>
            <w:pPr>
              <w:spacing w:after="0"/>
              <w:rPr>
                <w:sz w:val="12"/>
                <w:szCs w:val="12"/>
                <w:color w:val="auto"/>
              </w:rPr>
            </w:pPr>
          </w:p>
        </w:tc>
        <w:tc>
          <w:tcPr>
            <w:tcW w:w="2380" w:type="dxa"/>
            <w:vAlign w:val="bottom"/>
            <w:tcBorders>
              <w:top w:val="single" w:sz="8" w:color="0000FF"/>
            </w:tcBorders>
            <w:gridSpan w:val="6"/>
          </w:tcPr>
          <w:p>
            <w:pPr>
              <w:spacing w:after="0" w:line="145" w:lineRule="exact"/>
              <w:rPr>
                <w:sz w:val="20"/>
                <w:szCs w:val="20"/>
                <w:color w:val="auto"/>
              </w:rPr>
            </w:pPr>
            <w:r>
              <w:rPr>
                <w:rFonts w:ascii="Times New Roman" w:cs="Times New Roman" w:eastAsia="Times New Roman" w:hAnsi="Times New Roman"/>
                <w:sz w:val="16"/>
                <w:szCs w:val="16"/>
                <w:color w:val="0000FF"/>
              </w:rPr>
              <w:t>Definition Linkbase Document</w:t>
            </w:r>
          </w:p>
        </w:tc>
        <w:tc>
          <w:tcPr>
            <w:tcW w:w="420" w:type="dxa"/>
            <w:vAlign w:val="bottom"/>
          </w:tcPr>
          <w:p>
            <w:pPr>
              <w:spacing w:after="0"/>
              <w:rPr>
                <w:sz w:val="12"/>
                <w:szCs w:val="12"/>
                <w:color w:val="auto"/>
              </w:rPr>
            </w:pPr>
          </w:p>
        </w:tc>
        <w:tc>
          <w:tcPr>
            <w:tcW w:w="198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47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Inline XBRL Taxonomy Extension Label</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6"/>
        </w:trPr>
        <w:tc>
          <w:tcPr>
            <w:tcW w:w="1100" w:type="dxa"/>
            <w:vAlign w:val="bottom"/>
          </w:tcPr>
          <w:p>
            <w:pPr>
              <w:spacing w:after="0"/>
              <w:rPr>
                <w:sz w:val="12"/>
                <w:szCs w:val="12"/>
                <w:color w:val="auto"/>
              </w:rPr>
            </w:pPr>
          </w:p>
        </w:tc>
        <w:tc>
          <w:tcPr>
            <w:tcW w:w="2800" w:type="dxa"/>
            <w:vAlign w:val="bottom"/>
            <w:tcBorders>
              <w:top w:val="single" w:sz="8" w:color="0000FF"/>
            </w:tcBorders>
            <w:gridSpan w:val="7"/>
          </w:tcPr>
          <w:p>
            <w:pPr>
              <w:spacing w:after="0" w:line="145" w:lineRule="exact"/>
              <w:rPr>
                <w:sz w:val="20"/>
                <w:szCs w:val="20"/>
                <w:color w:val="auto"/>
              </w:rPr>
            </w:pPr>
            <w:r>
              <w:rPr>
                <w:rFonts w:ascii="Times New Roman" w:cs="Times New Roman" w:eastAsia="Times New Roman" w:hAnsi="Times New Roman"/>
                <w:sz w:val="16"/>
                <w:szCs w:val="16"/>
                <w:color w:val="0000FF"/>
              </w:rPr>
              <w:t>Linkbase Document</w:t>
            </w:r>
          </w:p>
        </w:tc>
        <w:tc>
          <w:tcPr>
            <w:tcW w:w="1980" w:type="dxa"/>
            <w:vAlign w:val="bottom"/>
            <w:gridSpan w:val="2"/>
          </w:tcPr>
          <w:p>
            <w:pPr>
              <w:spacing w:after="0"/>
              <w:rPr>
                <w:sz w:val="12"/>
                <w:szCs w:val="12"/>
                <w:color w:val="auto"/>
              </w:rPr>
            </w:pPr>
          </w:p>
        </w:tc>
        <w:tc>
          <w:tcPr>
            <w:tcW w:w="186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47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Inline XBRL Taxonomy Extension</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46"/>
        </w:trPr>
        <w:tc>
          <w:tcPr>
            <w:tcW w:w="1100" w:type="dxa"/>
            <w:vAlign w:val="bottom"/>
          </w:tcPr>
          <w:p>
            <w:pPr>
              <w:spacing w:after="0"/>
              <w:rPr>
                <w:sz w:val="12"/>
                <w:szCs w:val="12"/>
                <w:color w:val="auto"/>
              </w:rPr>
            </w:pPr>
          </w:p>
        </w:tc>
        <w:tc>
          <w:tcPr>
            <w:tcW w:w="2380" w:type="dxa"/>
            <w:vAlign w:val="bottom"/>
            <w:tcBorders>
              <w:top w:val="single" w:sz="8" w:color="0000FF"/>
            </w:tcBorders>
            <w:gridSpan w:val="6"/>
          </w:tcPr>
          <w:p>
            <w:pPr>
              <w:spacing w:after="0" w:line="145" w:lineRule="exact"/>
              <w:rPr>
                <w:sz w:val="20"/>
                <w:szCs w:val="20"/>
                <w:color w:val="auto"/>
              </w:rPr>
            </w:pPr>
            <w:r>
              <w:rPr>
                <w:rFonts w:ascii="Times New Roman" w:cs="Times New Roman" w:eastAsia="Times New Roman" w:hAnsi="Times New Roman"/>
                <w:sz w:val="16"/>
                <w:szCs w:val="16"/>
                <w:color w:val="0000FF"/>
              </w:rPr>
              <w:t>Presentation Linkbase Document</w:t>
            </w:r>
          </w:p>
        </w:tc>
        <w:tc>
          <w:tcPr>
            <w:tcW w:w="2400" w:type="dxa"/>
            <w:vAlign w:val="bottom"/>
            <w:gridSpan w:val="3"/>
          </w:tcPr>
          <w:p>
            <w:pPr>
              <w:spacing w:after="0"/>
              <w:rPr>
                <w:sz w:val="12"/>
                <w:szCs w:val="12"/>
                <w:color w:val="auto"/>
              </w:rPr>
            </w:pPr>
          </w:p>
        </w:tc>
        <w:tc>
          <w:tcPr>
            <w:tcW w:w="186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47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w:t>
            </w:r>
          </w:p>
        </w:tc>
        <w:tc>
          <w:tcPr>
            <w:tcW w:w="1860" w:type="dxa"/>
            <w:vAlign w:val="bottom"/>
          </w:tcPr>
          <w:p>
            <w:pPr>
              <w:spacing w:after="0"/>
              <w:rPr>
                <w:sz w:val="17"/>
                <w:szCs w:val="17"/>
                <w:color w:val="auto"/>
              </w:rPr>
            </w:pPr>
          </w:p>
        </w:tc>
      </w:tr>
      <w:tr>
        <w:trPr>
          <w:trHeight w:val="166"/>
        </w:trPr>
        <w:tc>
          <w:tcPr>
            <w:tcW w:w="1100" w:type="dxa"/>
            <w:vAlign w:val="bottom"/>
          </w:tcPr>
          <w:p>
            <w:pPr>
              <w:spacing w:after="0"/>
              <w:rPr>
                <w:sz w:val="14"/>
                <w:szCs w:val="14"/>
                <w:color w:val="auto"/>
              </w:rPr>
            </w:pPr>
          </w:p>
        </w:tc>
        <w:tc>
          <w:tcPr>
            <w:tcW w:w="4780" w:type="dxa"/>
            <w:vAlign w:val="bottom"/>
            <w:gridSpan w:val="9"/>
          </w:tcPr>
          <w:p>
            <w:pPr>
              <w:spacing w:after="0" w:line="166" w:lineRule="exact"/>
              <w:rPr>
                <w:sz w:val="20"/>
                <w:szCs w:val="20"/>
                <w:color w:val="auto"/>
              </w:rPr>
            </w:pPr>
            <w:r>
              <w:rPr>
                <w:rFonts w:ascii="Times New Roman" w:cs="Times New Roman" w:eastAsia="Times New Roman" w:hAnsi="Times New Roman"/>
                <w:sz w:val="17"/>
                <w:szCs w:val="17"/>
                <w:color w:val="auto"/>
              </w:rPr>
              <w:t>as inline XBRL and contained in Exhibit</w:t>
            </w:r>
          </w:p>
        </w:tc>
        <w:tc>
          <w:tcPr>
            <w:tcW w:w="1860" w:type="dxa"/>
            <w:vAlign w:val="bottom"/>
          </w:tcPr>
          <w:p>
            <w:pPr>
              <w:spacing w:after="0"/>
              <w:rPr>
                <w:sz w:val="14"/>
                <w:szCs w:val="14"/>
                <w:color w:val="auto"/>
              </w:rPr>
            </w:pPr>
          </w:p>
        </w:tc>
      </w:tr>
      <w:tr>
        <w:trPr>
          <w:trHeight w:val="228"/>
        </w:trPr>
        <w:tc>
          <w:tcPr>
            <w:tcW w:w="110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24580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2458085" cy="8255"/>
                    </a:xfrm>
                    <a:prstGeom prst="rect">
                      <a:avLst/>
                    </a:prstGeom>
                    <a:noFill/>
                  </pic:spPr>
                </pic:pic>
              </a:graphicData>
            </a:graphic>
          </wp:anchor>
        </w:drawing>
      </w:r>
    </w:p>
    <w:p>
      <w:pPr>
        <w:spacing w:after="0" w:line="32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Filed herewith.</w:t>
      </w:r>
    </w:p>
    <w:p>
      <w:pPr>
        <w:spacing w:after="0" w:line="24" w:lineRule="exact"/>
        <w:rPr>
          <w:sz w:val="20"/>
          <w:szCs w:val="20"/>
          <w:color w:val="auto"/>
        </w:rPr>
      </w:pPr>
    </w:p>
    <w:p>
      <w:pPr>
        <w:ind w:right="260" w:firstLine="2"/>
        <w:spacing w:after="0" w:line="243" w:lineRule="auto"/>
        <w:tabs>
          <w:tab w:leader="none" w:pos="21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1" w:lineRule="exact"/>
        <w:rPr>
          <w:rFonts w:ascii="Times New Roman" w:cs="Times New Roman" w:eastAsia="Times New Roman" w:hAnsi="Times New Roman"/>
          <w:sz w:val="17"/>
          <w:szCs w:val="17"/>
          <w:color w:val="auto"/>
        </w:rPr>
      </w:pPr>
    </w:p>
    <w:p>
      <w:pPr>
        <w:ind w:firstLine="2"/>
        <w:spacing w:after="0"/>
        <w:tabs>
          <w:tab w:leader="none" w:pos="42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have been omitted in accordance with Regulation S-K Item 601. The Registrant agrees to furnish a copy of all omitted exhibits and schedules to the SEC upon its request.</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Management contract or compensatory plan or arrangement.</w:t>
      </w:r>
    </w:p>
    <w:p>
      <w:pPr>
        <w:spacing w:after="0" w:line="218" w:lineRule="exact"/>
        <w:rPr>
          <w:sz w:val="20"/>
          <w:szCs w:val="20"/>
          <w:color w:val="auto"/>
        </w:rPr>
      </w:pPr>
    </w:p>
    <w:p>
      <w:pPr>
        <w:ind w:left="620" w:right="8800" w:hanging="618"/>
        <w:spacing w:after="0" w:line="532" w:lineRule="auto"/>
        <w:tabs>
          <w:tab w:leader="none" w:pos="239"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Financial Statement Schedules </w:t>
      </w:r>
      <w:r>
        <w:rPr>
          <w:rFonts w:ascii="Times New Roman" w:cs="Times New Roman" w:eastAsia="Times New Roman" w:hAnsi="Times New Roman"/>
          <w:sz w:val="16"/>
          <w:szCs w:val="16"/>
          <w:color w:val="auto"/>
        </w:rPr>
        <w:t>See Item 15(a)(2) above.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16. </w:t>
      </w:r>
      <w:r>
        <w:rPr>
          <w:rFonts w:ascii="Times New Roman" w:cs="Times New Roman" w:eastAsia="Times New Roman" w:hAnsi="Times New Roman"/>
          <w:sz w:val="17"/>
          <w:szCs w:val="17"/>
          <w:b w:val="1"/>
          <w:bCs w:val="1"/>
          <w:i w:val="1"/>
          <w:iCs w:val="1"/>
          <w:color w:val="auto"/>
        </w:rPr>
        <w:t>Form 10-K Summary.</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3" w:name="page74"/>
    <w:bookmarkEnd w:id="73"/>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6" w:lineRule="exact"/>
        <w:rPr>
          <w:sz w:val="20"/>
          <w:szCs w:val="20"/>
          <w:color w:val="auto"/>
        </w:rPr>
      </w:pPr>
    </w:p>
    <w:p>
      <w:pPr>
        <w:ind w:right="420" w:firstLine="611"/>
        <w:spacing w:after="0" w:line="279"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23, 2026</w:t>
      </w:r>
    </w:p>
    <w:p>
      <w:pPr>
        <w:spacing w:after="0" w:line="25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Kratos Defense &amp; Security Solutions, Inc.</w:t>
      </w:r>
    </w:p>
    <w:p>
      <w:pPr>
        <w:spacing w:after="0" w:line="276" w:lineRule="exact"/>
        <w:rPr>
          <w:sz w:val="20"/>
          <w:szCs w:val="20"/>
          <w:color w:val="auto"/>
        </w:rPr>
      </w:pPr>
    </w:p>
    <w:p>
      <w:pPr>
        <w:ind w:left="4620"/>
        <w:spacing w:after="0"/>
        <w:tabs>
          <w:tab w:leader="none" w:pos="74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31750</wp:posOffset>
            </wp:positionV>
            <wp:extent cx="38004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3800475" cy="8255"/>
                    </a:xfrm>
                    <a:prstGeom prst="rect">
                      <a:avLst/>
                    </a:prstGeom>
                    <a:noFill/>
                  </pic:spPr>
                </pic:pic>
              </a:graphicData>
            </a:graphic>
          </wp:anchor>
        </w:drawing>
      </w:r>
    </w:p>
    <w:p>
      <w:pPr>
        <w:spacing w:after="0" w:line="3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color w:val="auto"/>
        </w:rPr>
        <w:t>Eric M. DeMarco</w:t>
      </w:r>
    </w:p>
    <w:p>
      <w:pPr>
        <w:ind w:left="6520"/>
        <w:spacing w:after="0" w:line="235" w:lineRule="auto"/>
        <w:rPr>
          <w:sz w:val="20"/>
          <w:szCs w:val="20"/>
          <w:color w:val="auto"/>
        </w:rPr>
      </w:pPr>
      <w:r>
        <w:rPr>
          <w:rFonts w:ascii="Times New Roman" w:cs="Times New Roman" w:eastAsia="Times New Roman" w:hAnsi="Times New Roman"/>
          <w:sz w:val="17"/>
          <w:szCs w:val="17"/>
          <w:i w:val="1"/>
          <w:iCs w:val="1"/>
          <w:color w:val="auto"/>
        </w:rPr>
        <w:t>President and Chief Executive Officer (Principal</w:t>
      </w:r>
    </w:p>
    <w:p>
      <w:pPr>
        <w:ind w:left="7560"/>
        <w:spacing w:after="0"/>
        <w:rPr>
          <w:sz w:val="20"/>
          <w:szCs w:val="20"/>
          <w:color w:val="auto"/>
        </w:rPr>
      </w:pPr>
      <w:r>
        <w:rPr>
          <w:rFonts w:ascii="Times New Roman" w:cs="Times New Roman" w:eastAsia="Times New Roman" w:hAnsi="Times New Roman"/>
          <w:sz w:val="17"/>
          <w:szCs w:val="17"/>
          <w:i w:val="1"/>
          <w:iCs w:val="1"/>
          <w:color w:val="auto"/>
        </w:rPr>
        <w:t>Executive Officer)</w:t>
      </w:r>
    </w:p>
    <w:p>
      <w:pPr>
        <w:spacing w:after="0" w:line="219" w:lineRule="exact"/>
        <w:rPr>
          <w:sz w:val="20"/>
          <w:szCs w:val="20"/>
          <w:color w:val="auto"/>
        </w:rPr>
      </w:pPr>
    </w:p>
    <w:p>
      <w:pPr>
        <w:ind w:right="200" w:firstLine="611"/>
        <w:spacing w:after="0" w:line="27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40"/>
          </w:cols>
          <w:pgMar w:left="320" w:top="8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color w:val="auto"/>
        </w:rPr>
        <w:t>Signature</w:t>
      </w:r>
    </w:p>
    <w:p>
      <w:pPr>
        <w:spacing w:after="0" w:line="289"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Eric M. DeMarco</w:t>
      </w:r>
    </w:p>
    <w:p>
      <w:pPr>
        <w:spacing w:after="0" w:line="14"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Eric M. DeMarco</w:t>
      </w:r>
    </w:p>
    <w:p>
      <w:pPr>
        <w:spacing w:after="0" w:line="270"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Deanna H. Lund</w:t>
      </w:r>
    </w:p>
    <w:p>
      <w:pPr>
        <w:spacing w:after="0" w:line="14"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Deanna H. Lund</w:t>
      </w:r>
    </w:p>
    <w:p>
      <w:pPr>
        <w:spacing w:after="0" w:line="270"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6"/>
          <w:szCs w:val="16"/>
          <w:u w:val="single" w:color="auto"/>
          <w:color w:val="auto"/>
        </w:rPr>
        <w:t>/s/ Maria Cervantes de Burgreen</w:t>
      </w:r>
    </w:p>
    <w:p>
      <w:pPr>
        <w:spacing w:after="0" w:line="25"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Maria Cervantes de Burgreen</w:t>
      </w:r>
    </w:p>
    <w:p>
      <w:pPr>
        <w:spacing w:after="0" w:line="270"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Scott Anderson</w:t>
      </w:r>
    </w:p>
    <w:p>
      <w:pPr>
        <w:spacing w:after="0" w:line="14"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Scott Anderson</w:t>
      </w:r>
    </w:p>
    <w:p>
      <w:pPr>
        <w:spacing w:after="0" w:line="270"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Bradley Boyd</w:t>
      </w:r>
    </w:p>
    <w:p>
      <w:pPr>
        <w:spacing w:after="0" w:line="14"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Bradley Boyd</w:t>
      </w:r>
    </w:p>
    <w:p>
      <w:pPr>
        <w:spacing w:after="0" w:line="270"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Bobbi Doorenbos</w:t>
      </w:r>
    </w:p>
    <w:p>
      <w:pPr>
        <w:spacing w:after="0" w:line="14"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Bobbi Doorenbos</w:t>
      </w:r>
    </w:p>
    <w:p>
      <w:pPr>
        <w:spacing w:after="0" w:line="270"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William Hoglund</w:t>
      </w:r>
    </w:p>
    <w:p>
      <w:pPr>
        <w:spacing w:after="0" w:line="14"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William Hoglund</w:t>
      </w:r>
    </w:p>
    <w:p>
      <w:pPr>
        <w:spacing w:after="0" w:line="270"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Scot Jarvis</w:t>
      </w:r>
    </w:p>
    <w:p>
      <w:pPr>
        <w:spacing w:after="0" w:line="14"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Scot Jarvis</w:t>
      </w:r>
    </w:p>
    <w:p>
      <w:pPr>
        <w:spacing w:after="0" w:line="258"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7"/>
          <w:szCs w:val="17"/>
          <w:u w:val="single" w:color="auto"/>
          <w:color w:val="auto"/>
        </w:rPr>
        <w:t>/s/ Amy Zegart</w:t>
      </w:r>
    </w:p>
    <w:p>
      <w:pPr>
        <w:jc w:val="center"/>
        <w:ind w:left="1320"/>
        <w:spacing w:after="0"/>
        <w:rPr>
          <w:sz w:val="20"/>
          <w:szCs w:val="20"/>
          <w:color w:val="auto"/>
        </w:rPr>
      </w:pPr>
      <w:r>
        <w:rPr>
          <w:rFonts w:ascii="Times New Roman" w:cs="Times New Roman" w:eastAsia="Times New Roman" w:hAnsi="Times New Roman"/>
          <w:sz w:val="17"/>
          <w:szCs w:val="17"/>
          <w:color w:val="auto"/>
        </w:rPr>
        <w:t>Amy Zegart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Title</w:t>
      </w:r>
    </w:p>
    <w:p>
      <w:pPr>
        <w:spacing w:after="0" w:line="301"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17"/>
          <w:szCs w:val="17"/>
          <w:color w:val="auto"/>
        </w:rPr>
        <w:t>President, Chief Executive Officer and Director (Principal Executive Officer)</w:t>
      </w:r>
    </w:p>
    <w:p>
      <w:pPr>
        <w:spacing w:after="0" w:line="29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Executive Vice President, Chief Financial Officer and Director (Principal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and Corporate Controller</w:t>
      </w:r>
    </w:p>
    <w:p>
      <w:pPr>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Date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w:t>
      </w:r>
    </w:p>
    <w:p>
      <w:pPr>
        <w:spacing w:after="0" w:line="305" w:lineRule="exact"/>
        <w:rPr>
          <w:sz w:val="20"/>
          <w:szCs w:val="20"/>
          <w:color w:val="auto"/>
        </w:rPr>
      </w:pPr>
    </w:p>
    <w:p>
      <w:pPr>
        <w:sectPr>
          <w:pgSz w:w="11900" w:h="16838" w:orient="portrait"/>
          <w:cols w:equalWidth="0" w:num="3">
            <w:col w:w="4440" w:space="720"/>
            <w:col w:w="4300" w:space="720"/>
            <w:col w:w="1160"/>
          </w:cols>
          <w:pgMar w:left="320" w:top="84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16534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845" w:right="239" w:bottom="1440" w:gutter="0" w:footer="0" w:header="0"/>
          <w:type w:val="continuous"/>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KRATOS DEFENSE &amp; SECURITY SOLUTIONS, INC.</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9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No. 34)</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F-2</w:t>
            </w:r>
          </w:p>
        </w:tc>
      </w:tr>
      <w:tr>
        <w:trPr>
          <w:trHeight w:val="20"/>
        </w:trPr>
        <w:tc>
          <w:tcPr>
            <w:tcW w:w="29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196"/>
        </w:trPr>
        <w:tc>
          <w:tcPr>
            <w:tcW w:w="5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9"/>
              </w:rPr>
              <w:t>Consolidated Balance Sheets as of December 28, 2025 and December 29, 2024</w:t>
            </w:r>
          </w:p>
        </w:tc>
        <w:tc>
          <w:tcPr>
            <w:tcW w:w="5560" w:type="dxa"/>
            <w:vAlign w:val="bottom"/>
            <w:gridSpan w:val="5"/>
          </w:tcPr>
          <w:p>
            <w:pPr>
              <w:spacing w:after="0"/>
              <w:rPr>
                <w:sz w:val="17"/>
                <w:szCs w:val="17"/>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2"/>
              </w:rPr>
              <w:t>F-4</w:t>
            </w:r>
          </w:p>
        </w:tc>
      </w:tr>
      <w:tr>
        <w:trPr>
          <w:trHeight w:val="196"/>
        </w:trPr>
        <w:tc>
          <w:tcPr>
            <w:tcW w:w="8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Consolidated Statements of Operations for the Years Ended December 28, 2025, December 29, 2024, and December 31, 2023</w:t>
            </w:r>
          </w:p>
        </w:tc>
        <w:tc>
          <w:tcPr>
            <w:tcW w:w="2400" w:type="dxa"/>
            <w:vAlign w:val="bottom"/>
            <w:gridSpan w:val="4"/>
          </w:tcPr>
          <w:p>
            <w:pPr>
              <w:spacing w:after="0"/>
              <w:rPr>
                <w:sz w:val="17"/>
                <w:szCs w:val="17"/>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2"/>
              </w:rPr>
              <w:t>F-5</w:t>
            </w:r>
          </w:p>
        </w:tc>
      </w:tr>
      <w:tr>
        <w:trPr>
          <w:trHeight w:val="196"/>
        </w:trPr>
        <w:tc>
          <w:tcPr>
            <w:tcW w:w="109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(Loss) for the Years Ended December 28, 2025, December 29, 2024, and December 31, 202</w:t>
            </w:r>
            <w:r>
              <w:rPr>
                <w:rFonts w:ascii="Times New Roman" w:cs="Times New Roman" w:eastAsia="Times New Roman" w:hAnsi="Times New Roman"/>
                <w:sz w:val="17"/>
                <w:szCs w:val="17"/>
                <w:color w:val="000000"/>
              </w:rPr>
              <w:t>3</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F-6</w:t>
            </w:r>
          </w:p>
        </w:tc>
      </w:tr>
      <w:tr>
        <w:trPr>
          <w:trHeight w:val="196"/>
        </w:trPr>
        <w:tc>
          <w:tcPr>
            <w:tcW w:w="92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9"/>
              </w:rPr>
              <w:t>Consolidated Statements of Stockholders’ Equity for the Years Ended December 28, 2025, December 29, 2024, and December 31, 2023</w:t>
            </w:r>
          </w:p>
        </w:tc>
        <w:tc>
          <w:tcPr>
            <w:tcW w:w="560" w:type="dxa"/>
            <w:vAlign w:val="bottom"/>
            <w:tcBorders>
              <w:top w:val="single" w:sz="8" w:color="0000FF"/>
            </w:tcBorders>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2"/>
              </w:rPr>
              <w:t>F-7</w:t>
            </w:r>
          </w:p>
        </w:tc>
      </w:tr>
      <w:tr>
        <w:trPr>
          <w:trHeight w:val="196"/>
        </w:trPr>
        <w:tc>
          <w:tcPr>
            <w:tcW w:w="8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Consolidated Statements of Cash Flows for the Years Ended December 28, 2025, December 29, 2024, and December 31, 2023</w:t>
            </w:r>
          </w:p>
        </w:tc>
        <w:tc>
          <w:tcPr>
            <w:tcW w:w="2340" w:type="dxa"/>
            <w:vAlign w:val="bottom"/>
            <w:gridSpan w:val="3"/>
          </w:tcPr>
          <w:p>
            <w:pPr>
              <w:spacing w:after="0"/>
              <w:rPr>
                <w:sz w:val="17"/>
                <w:szCs w:val="17"/>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2"/>
              </w:rPr>
              <w:t>F-8</w:t>
            </w:r>
          </w:p>
        </w:tc>
      </w:tr>
      <w:tr>
        <w:trPr>
          <w:trHeight w:val="196"/>
        </w:trPr>
        <w:tc>
          <w:tcPr>
            <w:tcW w:w="109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F-9</w:t>
            </w:r>
          </w:p>
        </w:tc>
      </w:tr>
      <w:tr>
        <w:trPr>
          <w:trHeight w:val="20"/>
        </w:trPr>
        <w:tc>
          <w:tcPr>
            <w:tcW w:w="29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67945</wp:posOffset>
            </wp:positionV>
            <wp:extent cx="716534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80"/>
          </w:cols>
          <w:pgMar w:left="360" w:top="1074"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the Board of Directors of Kratos Defense &amp; Security Solutions,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Opinions on the Financial Statements and Internal Control over Financial Reporting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 xml:space="preserve">We have audited the accompanying consolidated balance sheets of Kratos Defense &amp; Security Solutions, Inc. and subsidiaries (the "Company") as of December 28, 2025 and December 29, 2024, the related consolidated statements of operations, comprehensive income (loss), stockholders' equity, and cash flows, for each of the three fiscal years in the period ended December 28, 2025, and the related notes (collectively referred to as the "financial statements"). We also have audited the Company’s internal control over financial reporting as of December 28, 2025, based on criteria established in </w:t>
      </w:r>
      <w:r>
        <w:rPr>
          <w:rFonts w:ascii="Times New Roman" w:cs="Times New Roman" w:eastAsia="Times New Roman" w:hAnsi="Times New Roman"/>
          <w:sz w:val="15"/>
          <w:szCs w:val="15"/>
          <w:i w:val="1"/>
          <w:iCs w:val="1"/>
          <w:color w:val="auto"/>
        </w:rPr>
        <w:t>Internal Control - Integrated Framework (2013)</w:t>
      </w:r>
      <w:r>
        <w:rPr>
          <w:rFonts w:ascii="Times New Roman" w:cs="Times New Roman" w:eastAsia="Times New Roman" w:hAnsi="Times New Roman"/>
          <w:sz w:val="15"/>
          <w:szCs w:val="15"/>
          <w:color w:val="auto"/>
        </w:rPr>
        <w:t xml:space="preserve"> issued by the Committee of Sponsoring Organizations of the Treadway Commission (COSO).</w:t>
      </w:r>
    </w:p>
    <w:p>
      <w:pPr>
        <w:spacing w:after="0" w:line="13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5"/>
          <w:szCs w:val="15"/>
          <w:color w:val="auto"/>
        </w:rPr>
        <w:t xml:space="preserve">In our opinion, the financial statements referred to above present fairly, in all material respects, the financial position of the Company as of December 28, 2025 and December 29, 2024, and the results of its operations and its cash flows for each of the three fiscal years in the period ended December 28, 2025, in conformity with accounting principles generally accepted in the United States of America. Also, in our opinion, the Company maintained, in all material respects, effective internal control over financial reporting as of December 28, 2025, based on criteria established in </w:t>
      </w:r>
      <w:r>
        <w:rPr>
          <w:rFonts w:ascii="Times New Roman" w:cs="Times New Roman" w:eastAsia="Times New Roman" w:hAnsi="Times New Roman"/>
          <w:sz w:val="15"/>
          <w:szCs w:val="15"/>
          <w:i w:val="1"/>
          <w:iCs w:val="1"/>
          <w:color w:val="auto"/>
        </w:rPr>
        <w:t>Internal Control</w:t>
      </w:r>
      <w:r>
        <w:rPr>
          <w:rFonts w:ascii="Times New Roman" w:cs="Times New Roman" w:eastAsia="Times New Roman" w:hAnsi="Times New Roman"/>
          <w:sz w:val="15"/>
          <w:szCs w:val="15"/>
          <w:color w:val="auto"/>
        </w:rPr>
        <w:t xml:space="preserve"> </w:t>
      </w:r>
      <w:r>
        <w:rPr>
          <w:rFonts w:ascii="Arial" w:cs="Arial" w:eastAsia="Arial" w:hAnsi="Arial"/>
          <w:sz w:val="18"/>
          <w:szCs w:val="18"/>
          <w:i w:val="1"/>
          <w:i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Integrated Framework (2013)</w:t>
      </w:r>
      <w:r>
        <w:rPr>
          <w:rFonts w:ascii="Times New Roman" w:cs="Times New Roman" w:eastAsia="Times New Roman" w:hAnsi="Times New Roman"/>
          <w:sz w:val="15"/>
          <w:szCs w:val="15"/>
          <w:color w:val="auto"/>
        </w:rPr>
        <w:t xml:space="preserve"> issued by COSO.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Opinions</w:t>
      </w:r>
    </w:p>
    <w:p>
      <w:pPr>
        <w:spacing w:after="0" w:line="1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5"/>
          <w:szCs w:val="15"/>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ind w:right="160"/>
        <w:spacing w:after="0" w:line="274"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1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Definition and Limitations of Internal Control over Financial Reporting</w:t>
      </w:r>
    </w:p>
    <w:p>
      <w:pPr>
        <w:spacing w:after="0" w:line="17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Audit Matter</w:t>
      </w:r>
    </w:p>
    <w:p>
      <w:pPr>
        <w:spacing w:after="0" w:line="16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5"/>
          <w:szCs w:val="15"/>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Cost Estimates for Fixed-Price Contracts </w:t>
      </w:r>
      <w:r>
        <w:rPr>
          <w:rFonts w:ascii="Arial" w:cs="Arial" w:eastAsia="Arial" w:hAnsi="Arial"/>
          <w:sz w:val="18"/>
          <w:szCs w:val="18"/>
          <w:i w:val="1"/>
          <w:iCs w:val="1"/>
          <w:color w:val="auto"/>
        </w:rPr>
        <w:t>—</w:t>
      </w:r>
      <w:r>
        <w:rPr>
          <w:rFonts w:ascii="Times New Roman" w:cs="Times New Roman" w:eastAsia="Times New Roman" w:hAnsi="Times New Roman"/>
          <w:sz w:val="15"/>
          <w:szCs w:val="15"/>
          <w:b w:val="1"/>
          <w:bCs w:val="1"/>
          <w:i w:val="1"/>
          <w:iCs w:val="1"/>
          <w:color w:val="auto"/>
        </w:rPr>
        <w:t xml:space="preserve"> Refer to Note 1 to the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Critical Audit Matter Description</w:t>
      </w:r>
    </w:p>
    <w:p>
      <w:pPr>
        <w:spacing w:after="0" w:line="16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The Company recognizes revenue over time using the cost-to-cost method (cost incurred as products are delivered and services are rendered relative to total estimated cost at completion) for most of its fixed-price contracts. Management must make various assumptions and estimates regarding technical, schedule and cost aspects of these contracts to develop estimates of cost at completion. Margins on fixed-price contracts are inherently uncertain in that revenue is fixed while the estimates of costs required to complete these contracts are subject to significant variability. A significant change in cost estimates could affect the overall profitability and timing of revenue recognition related to one or more of its fixed-price contracts.</w:t>
      </w:r>
    </w:p>
    <w:p>
      <w:pPr>
        <w:spacing w:after="0" w:line="302"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5"/>
          <w:szCs w:val="15"/>
          <w:color w:val="auto"/>
        </w:rPr>
        <w:t>Given the complexity of fixed-price contracts at the Company, the limited amount of historical activity in certain instances, and significant judgment and estimates necessary to estimate future costs and margin at completion, auditing these estimates involved especially subjective judgment.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How the Critical Audit Matter Was Addressed in the Audit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auditing procedures related to the cost estimates for fixed-price contracts included the following:</w:t>
      </w:r>
    </w:p>
    <w:p>
      <w:pPr>
        <w:spacing w:after="0" w:line="69" w:lineRule="exact"/>
        <w:rPr>
          <w:sz w:val="20"/>
          <w:szCs w:val="20"/>
          <w:color w:val="auto"/>
        </w:rPr>
      </w:pPr>
    </w:p>
    <w:p>
      <w:pPr>
        <w:ind w:left="260" w:right="20" w:hanging="220"/>
        <w:spacing w:after="0" w:line="259" w:lineRule="auto"/>
        <w:tabs>
          <w:tab w:leader="none" w:pos="25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tested the effectiveness of internal controls over the development of cost estimates, including the underlying assumptions and key inputs into the development of the estimated cost at completion.</w:t>
      </w:r>
    </w:p>
    <w:p>
      <w:pPr>
        <w:ind w:left="260" w:hanging="220"/>
        <w:spacing w:after="0"/>
        <w:tabs>
          <w:tab w:leader="none" w:pos="2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individual risk characteristics identified, we selected certain contracts for testing and performed the following procedures.</w:t>
      </w:r>
    </w:p>
    <w:p>
      <w:pPr>
        <w:spacing w:after="0" w:line="9" w:lineRule="exact"/>
        <w:rPr>
          <w:rFonts w:ascii="Times New Roman" w:cs="Times New Roman" w:eastAsia="Times New Roman" w:hAnsi="Times New Roman"/>
          <w:sz w:val="15"/>
          <w:szCs w:val="15"/>
          <w:color w:val="auto"/>
        </w:rPr>
      </w:pPr>
    </w:p>
    <w:p>
      <w:pPr>
        <w:ind w:left="820" w:hanging="92"/>
        <w:spacing w:after="0"/>
        <w:tabs>
          <w:tab w:leader="none" w:pos="820" w:val="left"/>
        </w:tabs>
        <w:numPr>
          <w:ilvl w:val="1"/>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appropriateness of the timing and amounts of changes in select contract estimates by obtaining supporting documentation.</w:t>
      </w:r>
    </w:p>
    <w:p>
      <w:pPr>
        <w:spacing w:after="0" w:line="14" w:lineRule="exact"/>
        <w:rPr>
          <w:rFonts w:ascii="Times New Roman" w:cs="Times New Roman" w:eastAsia="Times New Roman" w:hAnsi="Times New Roman"/>
          <w:sz w:val="15"/>
          <w:szCs w:val="15"/>
          <w:color w:val="auto"/>
        </w:rPr>
      </w:pPr>
    </w:p>
    <w:p>
      <w:pPr>
        <w:ind w:left="880" w:right="180" w:hanging="152"/>
        <w:spacing w:after="0" w:line="250" w:lineRule="auto"/>
        <w:tabs>
          <w:tab w:leader="none" w:pos="816" w:val="left"/>
        </w:tabs>
        <w:numPr>
          <w:ilvl w:val="1"/>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Tested the mathematical accuracy of management’s calculation of revenue recognized during the period, including revenue adjustments recorded as a result changes in margin and estimates of cost at completion.</w:t>
      </w:r>
    </w:p>
    <w:p>
      <w:pPr>
        <w:spacing w:after="0" w:line="1" w:lineRule="exact"/>
        <w:rPr>
          <w:rFonts w:ascii="Times New Roman" w:cs="Times New Roman" w:eastAsia="Times New Roman" w:hAnsi="Times New Roman"/>
          <w:sz w:val="15"/>
          <w:szCs w:val="15"/>
          <w:color w:val="auto"/>
        </w:rPr>
      </w:pPr>
    </w:p>
    <w:p>
      <w:pPr>
        <w:ind w:left="880" w:right="500" w:hanging="152"/>
        <w:spacing w:after="0" w:line="259" w:lineRule="auto"/>
        <w:tabs>
          <w:tab w:leader="none" w:pos="816" w:val="left"/>
        </w:tabs>
        <w:numPr>
          <w:ilvl w:val="1"/>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Performed inquiries of the Company’s project managers and others directly involved with the contracts to evaluate and understand project status, engineering specifications, labor requirements, suppliers, correspondence with customers, and project challenges and opportunities, which may affect total estimated costs to complete.</w:t>
      </w:r>
    </w:p>
    <w:p>
      <w:pPr>
        <w:spacing w:after="0" w:line="1" w:lineRule="exact"/>
        <w:rPr>
          <w:rFonts w:ascii="Times New Roman" w:cs="Times New Roman" w:eastAsia="Times New Roman" w:hAnsi="Times New Roman"/>
          <w:sz w:val="15"/>
          <w:szCs w:val="15"/>
          <w:color w:val="auto"/>
        </w:rPr>
      </w:pPr>
    </w:p>
    <w:p>
      <w:pPr>
        <w:ind w:left="260" w:hanging="220"/>
        <w:spacing w:after="0" w:line="234" w:lineRule="auto"/>
        <w:tabs>
          <w:tab w:leader="none" w:pos="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We performed retrospective reviews on selected contracts, comparing actual performance to estimated performance, when evaluating management’s ability to estimate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/s/ </w:t>
      </w:r>
      <w:r>
        <w:rPr>
          <w:rFonts w:ascii="Times New Roman" w:cs="Times New Roman" w:eastAsia="Times New Roman" w:hAnsi="Times New Roman"/>
          <w:sz w:val="15"/>
          <w:szCs w:val="15"/>
          <w:color w:val="auto"/>
        </w:rPr>
        <w:t>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Diego,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23,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KRATOS DEFENSE &amp; SECURITY SOLUTIONS,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December 28, 2025 and December 29, 2024</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(in millions, except par value and number of shares)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60" w:type="dxa"/>
            <w:vAlign w:val="bottom"/>
          </w:tcPr>
          <w:p>
            <w:pPr>
              <w:spacing w:after="0"/>
              <w:rPr>
                <w:sz w:val="15"/>
                <w:szCs w:val="15"/>
                <w:color w:val="auto"/>
              </w:rPr>
            </w:pP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67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7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60" w:type="dxa"/>
            <w:vAlign w:val="bottom"/>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560.6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329.3</w:t>
            </w:r>
          </w:p>
        </w:tc>
        <w:tc>
          <w:tcPr>
            <w:tcW w:w="0" w:type="dxa"/>
            <w:vAlign w:val="bottom"/>
          </w:tcPr>
          <w:p>
            <w:pPr>
              <w:spacing w:after="0"/>
              <w:rPr>
                <w:sz w:val="1"/>
                <w:szCs w:val="1"/>
                <w:color w:val="auto"/>
              </w:rPr>
            </w:pPr>
          </w:p>
        </w:tc>
      </w:tr>
      <w:tr>
        <w:trPr>
          <w:trHeight w:val="183"/>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6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117.5</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Unbilled receivables, net</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292.4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206.3</w:t>
            </w:r>
          </w:p>
        </w:tc>
        <w:tc>
          <w:tcPr>
            <w:tcW w:w="0" w:type="dxa"/>
            <w:vAlign w:val="bottom"/>
          </w:tcPr>
          <w:p>
            <w:pPr>
              <w:spacing w:after="0"/>
              <w:rPr>
                <w:sz w:val="1"/>
                <w:szCs w:val="1"/>
                <w:color w:val="auto"/>
              </w:rPr>
            </w:pPr>
          </w:p>
        </w:tc>
      </w:tr>
      <w:tr>
        <w:trPr>
          <w:trHeight w:val="183"/>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Inventoried costs, net</w:t>
            </w:r>
          </w:p>
        </w:tc>
        <w:tc>
          <w:tcPr>
            <w:tcW w:w="146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162.1</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1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current assets</w:t>
            </w:r>
          </w:p>
        </w:tc>
        <w:tc>
          <w:tcPr>
            <w:tcW w:w="14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1,262.9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872.1</w:t>
            </w:r>
          </w:p>
        </w:tc>
        <w:tc>
          <w:tcPr>
            <w:tcW w:w="0" w:type="dxa"/>
            <w:vAlign w:val="bottom"/>
          </w:tcPr>
          <w:p>
            <w:pPr>
              <w:spacing w:after="0"/>
              <w:rPr>
                <w:sz w:val="1"/>
                <w:szCs w:val="1"/>
                <w:color w:val="auto"/>
              </w:rPr>
            </w:pPr>
          </w:p>
        </w:tc>
      </w:tr>
      <w:tr>
        <w:trPr>
          <w:trHeight w:val="183"/>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46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361.9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288.2</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83"/>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6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595.7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568.9</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83"/>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6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130.3</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joint venture</w:t>
            </w:r>
          </w:p>
        </w:tc>
        <w:tc>
          <w:tcPr>
            <w:tcW w:w="14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760" w:type="dxa"/>
            <w:vAlign w:val="bottom"/>
          </w:tcPr>
          <w:p>
            <w:pPr>
              <w:ind w:left="32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460" w:type="dxa"/>
            <w:vAlign w:val="bottom"/>
            <w:tcBorders>
              <w:bottom w:val="single" w:sz="8" w:color="auto"/>
            </w:tcBorders>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2,467.2</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1,950.9</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6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460" w:type="dxa"/>
            <w:vAlign w:val="bottom"/>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83"/>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146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compensation</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83"/>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Billings in excess of costs and earnings on uncompleted contracts</w:t>
            </w:r>
          </w:p>
        </w:tc>
        <w:tc>
          <w:tcPr>
            <w:tcW w:w="146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83"/>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146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76"/>
        </w:trPr>
        <w:tc>
          <w:tcPr>
            <w:tcW w:w="6760" w:type="dxa"/>
            <w:vAlign w:val="bottom"/>
          </w:tcPr>
          <w:p>
            <w:pPr>
              <w:ind w:left="320"/>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146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311.0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296.7</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4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174.6</w:t>
            </w:r>
          </w:p>
        </w:tc>
        <w:tc>
          <w:tcPr>
            <w:tcW w:w="0" w:type="dxa"/>
            <w:vAlign w:val="bottom"/>
          </w:tcPr>
          <w:p>
            <w:pPr>
              <w:spacing w:after="0"/>
              <w:rPr>
                <w:sz w:val="1"/>
                <w:szCs w:val="1"/>
                <w:color w:val="auto"/>
              </w:rPr>
            </w:pPr>
          </w:p>
        </w:tc>
      </w:tr>
      <w:tr>
        <w:trPr>
          <w:trHeight w:val="183"/>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46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w:t>
            </w:r>
          </w:p>
        </w:tc>
        <w:tc>
          <w:tcPr>
            <w:tcW w:w="14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470.9</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597.7</w:t>
            </w:r>
          </w:p>
        </w:tc>
        <w:tc>
          <w:tcPr>
            <w:tcW w:w="0" w:type="dxa"/>
            <w:vAlign w:val="bottom"/>
          </w:tcPr>
          <w:p>
            <w:pPr>
              <w:spacing w:after="0"/>
              <w:rPr>
                <w:sz w:val="1"/>
                <w:szCs w:val="1"/>
                <w:color w:val="auto"/>
              </w:rPr>
            </w:pPr>
          </w:p>
        </w:tc>
      </w:tr>
      <w:tr>
        <w:trPr>
          <w:trHeight w:val="163"/>
        </w:trPr>
        <w:tc>
          <w:tcPr>
            <w:tcW w:w="67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Commitments and contingencies (Note 14)</w:t>
            </w: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676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Preferred stock, $0.001 par value, 5,000,000 authorized, 0 shares issued and outstanding at December 28, 2025 and</w:t>
            </w:r>
          </w:p>
        </w:tc>
        <w:tc>
          <w:tcPr>
            <w:tcW w:w="14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1"/>
                <w:szCs w:val="11"/>
                <w:color w:val="auto"/>
              </w:rPr>
            </w:pPr>
          </w:p>
        </w:tc>
        <w:tc>
          <w:tcPr>
            <w:tcW w:w="168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29, 2024</w:t>
            </w:r>
          </w:p>
        </w:tc>
        <w:tc>
          <w:tcPr>
            <w:tcW w:w="14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7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 $0.001 par value, 195,000,000 shares authorized; 168,875,032 and 151,092,292 shares issued and</w:t>
            </w:r>
          </w:p>
        </w:tc>
        <w:tc>
          <w:tcPr>
            <w:tcW w:w="14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28, 2025 and December 29, 2024, respectively</w:t>
            </w:r>
          </w:p>
        </w:tc>
        <w:tc>
          <w:tcPr>
            <w:tcW w:w="14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6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2,635.9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2,017.4</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(641.9)</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1,996.3</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1,353.2</w:t>
            </w:r>
          </w:p>
        </w:tc>
        <w:tc>
          <w:tcPr>
            <w:tcW w:w="0" w:type="dxa"/>
            <w:vAlign w:val="bottom"/>
          </w:tcPr>
          <w:p>
            <w:pPr>
              <w:spacing w:after="0"/>
              <w:rPr>
                <w:sz w:val="1"/>
                <w:szCs w:val="1"/>
                <w:color w:val="auto"/>
              </w:rPr>
            </w:pPr>
          </w:p>
        </w:tc>
      </w:tr>
      <w:tr>
        <w:trPr>
          <w:trHeight w:val="176"/>
        </w:trPr>
        <w:tc>
          <w:tcPr>
            <w:tcW w:w="6760" w:type="dxa"/>
            <w:vAlign w:val="bottom"/>
          </w:tcPr>
          <w:p>
            <w:pPr>
              <w:ind w:left="32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60" w:type="dxa"/>
            <w:vAlign w:val="bottom"/>
            <w:tcBorders>
              <w:bottom w:val="single" w:sz="8" w:color="auto"/>
            </w:tcBorders>
          </w:tcPr>
          <w:p>
            <w:pPr>
              <w:jc w:val="right"/>
              <w:ind w:right="131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2,467.2</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1,950.9</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67945</wp:posOffset>
            </wp:positionV>
            <wp:extent cx="716534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40" w:top="961" w:right="339" w:bottom="1440" w:gutter="0" w:footer="0" w:header="0"/>
        </w:sectPr>
      </w:pPr>
    </w:p>
    <w:bookmarkStart w:id="78" w:name="page79"/>
    <w:bookmarkEnd w:id="78"/>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KRATOS DEFENSE &amp; SECURITY SOLUTIONS,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Years ended December 28, 2025, December 29, 2024, and December 31, 2023</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80" w:type="dxa"/>
            <w:vAlign w:val="bottom"/>
          </w:tcPr>
          <w:p>
            <w:pPr>
              <w:spacing w:after="0"/>
              <w:rPr>
                <w:sz w:val="15"/>
                <w:szCs w:val="15"/>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50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50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Service revenues</w:t>
            </w:r>
          </w:p>
        </w:tc>
        <w:tc>
          <w:tcPr>
            <w:tcW w:w="132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w:t>
            </w:r>
          </w:p>
        </w:tc>
      </w:tr>
      <w:tr>
        <w:trPr>
          <w:trHeight w:val="184"/>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877.8</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634.5</w:t>
            </w:r>
          </w:p>
        </w:tc>
      </w:tr>
      <w:tr>
        <w:trPr>
          <w:trHeight w:val="191"/>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1,346.8</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1,136.3</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1,037.1</w:t>
            </w:r>
          </w:p>
        </w:tc>
      </w:tr>
      <w:tr>
        <w:trPr>
          <w:trHeight w:val="176"/>
        </w:trPr>
        <w:tc>
          <w:tcPr>
            <w:tcW w:w="50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Cost of service revenues</w:t>
            </w:r>
          </w:p>
        </w:tc>
        <w:tc>
          <w:tcPr>
            <w:tcW w:w="1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w:t>
            </w:r>
          </w:p>
        </w:tc>
      </w:tr>
      <w:tr>
        <w:trPr>
          <w:trHeight w:val="19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product sales</w:t>
            </w:r>
          </w:p>
        </w:tc>
        <w:tc>
          <w:tcPr>
            <w:tcW w:w="1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682.1</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465.3</w:t>
            </w:r>
          </w:p>
        </w:tc>
      </w:tr>
      <w:tr>
        <w:trPr>
          <w:trHeight w:val="176"/>
        </w:trPr>
        <w:tc>
          <w:tcPr>
            <w:tcW w:w="5080" w:type="dxa"/>
            <w:vAlign w:val="bottom"/>
            <w:tcBorders>
              <w:bottom w:val="single" w:sz="8" w:color="CCEEFF"/>
            </w:tcBorders>
          </w:tcPr>
          <w:p>
            <w:pPr>
              <w:ind w:left="320"/>
              <w:spacing w:after="0" w:line="155" w:lineRule="exact"/>
              <w:rPr>
                <w:sz w:val="20"/>
                <w:szCs w:val="20"/>
                <w:color w:val="auto"/>
              </w:rPr>
            </w:pPr>
            <w:r>
              <w:rPr>
                <w:rFonts w:ascii="Times New Roman" w:cs="Times New Roman" w:eastAsia="Times New Roman" w:hAnsi="Times New Roman"/>
                <w:sz w:val="14"/>
                <w:szCs w:val="14"/>
                <w:color w:val="auto"/>
              </w:rPr>
              <w:t>Total costs</w:t>
            </w: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768.5</w:t>
            </w:r>
          </w:p>
        </w:tc>
      </w:tr>
      <w:tr>
        <w:trPr>
          <w:trHeight w:val="191"/>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Gross profit</w:t>
            </w:r>
          </w:p>
        </w:tc>
        <w:tc>
          <w:tcPr>
            <w:tcW w:w="1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r>
      <w:tr>
        <w:trPr>
          <w:trHeight w:val="18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r>
      <w:tr>
        <w:trPr>
          <w:trHeight w:val="19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 and acquisition related items</w:t>
            </w:r>
          </w:p>
        </w:tc>
        <w:tc>
          <w:tcPr>
            <w:tcW w:w="1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4"/>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r>
      <w:tr>
        <w:trPr>
          <w:trHeight w:val="191"/>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 income</w:t>
            </w:r>
          </w:p>
        </w:tc>
        <w:tc>
          <w:tcPr>
            <w:tcW w:w="1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63"/>
        </w:trPr>
        <w:tc>
          <w:tcPr>
            <w:tcW w:w="50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Other income (expense):</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9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1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84"/>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91"/>
        </w:trPr>
        <w:tc>
          <w:tcPr>
            <w:tcW w:w="5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76"/>
        </w:trPr>
        <w:tc>
          <w:tcPr>
            <w:tcW w:w="50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Income before income taxes</w:t>
            </w:r>
          </w:p>
        </w:tc>
        <w:tc>
          <w:tcPr>
            <w:tcW w:w="1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9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6"/>
        </w:trPr>
        <w:tc>
          <w:tcPr>
            <w:tcW w:w="50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from consolidated operations</w:t>
            </w:r>
          </w:p>
        </w:tc>
        <w:tc>
          <w:tcPr>
            <w:tcW w:w="1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1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76"/>
        </w:trPr>
        <w:tc>
          <w:tcPr>
            <w:tcW w:w="50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(loss) attributable to Kratos</w:t>
            </w:r>
          </w:p>
        </w:tc>
        <w:tc>
          <w:tcPr>
            <w:tcW w:w="1320" w:type="dxa"/>
            <w:vAlign w:val="bottom"/>
            <w:tcBorders>
              <w:top w:val="single" w:sz="8" w:color="auto"/>
              <w:bottom w:val="single" w:sz="8" w:color="auto"/>
            </w:tcBorders>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5"/>
                <w:szCs w:val="15"/>
                <w:color w:val="auto"/>
              </w:rPr>
            </w:pPr>
          </w:p>
        </w:tc>
        <w:tc>
          <w:tcPr>
            <w:tcW w:w="1320" w:type="dxa"/>
            <w:vAlign w:val="bottom"/>
            <w:tcBorders>
              <w:top w:val="single" w:sz="8" w:color="auto"/>
              <w:bottom w:val="single" w:sz="8" w:color="auto"/>
            </w:tcBorders>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5"/>
        </w:trPr>
        <w:tc>
          <w:tcPr>
            <w:tcW w:w="5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16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income (loss) per common share attributable to Kratos</w:t>
            </w:r>
          </w:p>
        </w:tc>
        <w:tc>
          <w:tcPr>
            <w:tcW w:w="132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0"/>
        </w:trPr>
        <w:tc>
          <w:tcPr>
            <w:tcW w:w="508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Diluted income (loss) per common share attributable to Kratos:</w:t>
            </w:r>
          </w:p>
        </w:tc>
        <w:tc>
          <w:tcPr>
            <w:tcW w:w="1320" w:type="dxa"/>
            <w:vAlign w:val="bottom"/>
            <w:tcBorders>
              <w:bottom w:val="single" w:sz="8" w:color="auto"/>
            </w:tcBorders>
            <w:shd w:val="clear" w:color="auto" w:fill="CCEEFF"/>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5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1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4"/>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7"/>
        </w:trPr>
        <w:tc>
          <w:tcPr>
            <w:tcW w:w="5080" w:type="dxa"/>
            <w:vAlign w:val="bottom"/>
            <w:tcBorders>
              <w:bottom w:val="single" w:sz="8" w:color="CCEEFF"/>
            </w:tcBorders>
            <w:shd w:val="clear" w:color="auto" w:fill="CCEEFF"/>
          </w:tcPr>
          <w:p>
            <w:pPr>
              <w:ind w:left="140"/>
              <w:spacing w:after="0" w:line="155" w:lineRule="exact"/>
              <w:rPr>
                <w:sz w:val="20"/>
                <w:szCs w:val="20"/>
                <w:color w:val="auto"/>
              </w:rPr>
            </w:pPr>
            <w:r>
              <w:rPr>
                <w:rFonts w:ascii="Times New Roman" w:cs="Times New Roman" w:eastAsia="Times New Roman" w:hAnsi="Times New Roman"/>
                <w:sz w:val="14"/>
                <w:szCs w:val="14"/>
                <w:color w:val="auto"/>
              </w:rPr>
              <w:t>Diluted</w:t>
            </w:r>
          </w:p>
        </w:tc>
        <w:tc>
          <w:tcPr>
            <w:tcW w:w="1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849" w:right="37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5"/>
          <w:szCs w:val="15"/>
          <w:b w:val="1"/>
          <w:bCs w:val="1"/>
          <w:color w:val="auto"/>
        </w:rPr>
        <w:t>KRATOS DEFENSE &amp; SECURITY SOLUTIONS,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28, 2025, December 29, 2024, and December 31, 2023</w:t>
      </w: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60" w:type="dxa"/>
            <w:vAlign w:val="bottom"/>
          </w:tcPr>
          <w:p>
            <w:pPr>
              <w:spacing w:after="0"/>
              <w:rPr>
                <w:sz w:val="15"/>
                <w:szCs w:val="15"/>
                <w:color w:val="auto"/>
              </w:rPr>
            </w:pPr>
          </w:p>
        </w:tc>
        <w:tc>
          <w:tcPr>
            <w:tcW w:w="13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50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from consolidated operations</w:t>
            </w:r>
          </w:p>
        </w:tc>
        <w:tc>
          <w:tcPr>
            <w:tcW w:w="138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32"/>
        </w:trPr>
        <w:tc>
          <w:tcPr>
            <w:tcW w:w="506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w w:val="96"/>
              </w:rPr>
              <w:t>Change in unrealized cash flow hedge (net of taxes of $0.1 million, at December 28, 2025,</w:t>
            </w:r>
          </w:p>
        </w:tc>
        <w:tc>
          <w:tcPr>
            <w:tcW w:w="13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0"/>
        </w:trPr>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$0.2 million at December 29, 2024 and $0.2 million at December 31, 2023).</w:t>
            </w:r>
          </w:p>
        </w:tc>
        <w:tc>
          <w:tcPr>
            <w:tcW w:w="13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cumulative translation adjustment</w:t>
            </w:r>
          </w:p>
        </w:tc>
        <w:tc>
          <w:tcPr>
            <w:tcW w:w="1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4"/>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Postretirement benefit reserve adjustment net of tax</w:t>
            </w:r>
          </w:p>
        </w:tc>
        <w:tc>
          <w:tcPr>
            <w:tcW w:w="1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13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CEEFF"/>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Comprehensive income, net of tax</w:t>
            </w:r>
          </w:p>
        </w:tc>
        <w:tc>
          <w:tcPr>
            <w:tcW w:w="1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9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w:t>
            </w:r>
          </w:p>
        </w:tc>
        <w:tc>
          <w:tcPr>
            <w:tcW w:w="13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Comprehensive income (loss) attributable to Kratos, net of tax</w:t>
            </w:r>
          </w:p>
        </w:tc>
        <w:tc>
          <w:tcPr>
            <w:tcW w:w="138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5"/>
        </w:trPr>
        <w:tc>
          <w:tcPr>
            <w:tcW w:w="50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67945</wp:posOffset>
            </wp:positionV>
            <wp:extent cx="716534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160"/>
          </w:cols>
          <w:pgMar w:left="360" w:top="849" w:right="379" w:bottom="1440" w:gutter="0" w:footer="0" w:header="0"/>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KRATOS DEFENSE &amp; SECURITY SOLUTIONS,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28, 2025, December 29, 2024, and December 31, 2023</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39"/>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7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340" w:type="dxa"/>
            <w:vAlign w:val="bottom"/>
          </w:tcPr>
          <w:p>
            <w:pPr>
              <w:spacing w:after="0"/>
              <w:rPr>
                <w:sz w:val="9"/>
                <w:szCs w:val="9"/>
                <w:color w:val="auto"/>
              </w:rPr>
            </w:pPr>
          </w:p>
        </w:tc>
        <w:tc>
          <w:tcPr>
            <w:tcW w:w="1060" w:type="dxa"/>
            <w:vAlign w:val="bottom"/>
            <w:gridSpan w:val="3"/>
            <w:vMerge w:val="restart"/>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7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1120" w:type="dxa"/>
            <w:vAlign w:val="bottom"/>
            <w:gridSpan w:val="3"/>
            <w:vMerge w:val="restart"/>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9"/>
                <w:szCs w:val="9"/>
                <w:color w:val="auto"/>
              </w:rPr>
            </w:pPr>
          </w:p>
        </w:tc>
        <w:tc>
          <w:tcPr>
            <w:tcW w:w="960" w:type="dxa"/>
            <w:vAlign w:val="bottom"/>
            <w:gridSpan w:val="2"/>
            <w:vMerge w:val="restart"/>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900" w:type="dxa"/>
            <w:vAlign w:val="bottom"/>
            <w:vMerge w:val="restart"/>
          </w:tcPr>
          <w:p>
            <w:pPr>
              <w:jc w:val="center"/>
              <w:ind w:right="32"/>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Interest</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80" w:type="dxa"/>
            <w:vAlign w:val="bottom"/>
          </w:tcPr>
          <w:p>
            <w:pPr>
              <w:spacing w:after="0"/>
              <w:rPr>
                <w:sz w:val="15"/>
                <w:szCs w:val="15"/>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8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25,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936.3</w:t>
            </w:r>
          </w:p>
        </w:tc>
        <w:tc>
          <w:tcPr>
            <w:tcW w:w="0" w:type="dxa"/>
            <w:vAlign w:val="bottom"/>
          </w:tcPr>
          <w:p>
            <w:pPr>
              <w:spacing w:after="0"/>
              <w:rPr>
                <w:sz w:val="1"/>
                <w:szCs w:val="1"/>
                <w:color w:val="auto"/>
              </w:rPr>
            </w:pPr>
          </w:p>
        </w:tc>
      </w:tr>
      <w:tr>
        <w:trPr>
          <w:trHeight w:val="183"/>
        </w:trPr>
        <w:tc>
          <w:tcPr>
            <w:tcW w:w="4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40"/>
        </w:trPr>
        <w:tc>
          <w:tcPr>
            <w:tcW w:w="43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and stock</w:t>
            </w:r>
          </w:p>
        </w:tc>
        <w:tc>
          <w:tcPr>
            <w:tcW w:w="100" w:type="dxa"/>
            <w:vAlign w:val="bottom"/>
            <w:shd w:val="clear" w:color="auto" w:fill="CCEEFF"/>
          </w:tcPr>
          <w:p>
            <w:pPr>
              <w:spacing w:after="0"/>
              <w:rPr>
                <w:sz w:val="12"/>
                <w:szCs w:val="12"/>
                <w:color w:val="auto"/>
              </w:rPr>
            </w:pPr>
          </w:p>
        </w:tc>
        <w:tc>
          <w:tcPr>
            <w:tcW w:w="88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6"/>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interest rate swap contract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3"/>
        </w:trPr>
        <w:tc>
          <w:tcPr>
            <w:tcW w:w="4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 from consolidated operations</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83"/>
        </w:trPr>
        <w:tc>
          <w:tcPr>
            <w:tcW w:w="4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noncontrolling interest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6"/>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976.0</w:t>
            </w: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32"/>
        </w:trPr>
        <w:tc>
          <w:tcPr>
            <w:tcW w:w="434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and stock</w:t>
            </w:r>
          </w:p>
        </w:tc>
        <w:tc>
          <w:tcPr>
            <w:tcW w:w="100" w:type="dxa"/>
            <w:vAlign w:val="bottom"/>
          </w:tcPr>
          <w:p>
            <w:pPr>
              <w:spacing w:after="0"/>
              <w:rPr>
                <w:sz w:val="11"/>
                <w:szCs w:val="11"/>
                <w:color w:val="auto"/>
              </w:rPr>
            </w:pPr>
          </w:p>
        </w:tc>
        <w:tc>
          <w:tcPr>
            <w:tcW w:w="88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0"/>
        </w:trPr>
        <w:tc>
          <w:tcPr>
            <w:tcW w:w="4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awards</w:t>
            </w:r>
          </w:p>
        </w:tc>
        <w:tc>
          <w:tcPr>
            <w:tcW w:w="100" w:type="dxa"/>
            <w:vAlign w:val="bottom"/>
          </w:tcPr>
          <w:p>
            <w:pPr>
              <w:spacing w:after="0"/>
              <w:rPr>
                <w:sz w:val="15"/>
                <w:szCs w:val="15"/>
                <w:color w:val="auto"/>
              </w:rPr>
            </w:pPr>
          </w:p>
        </w:tc>
        <w:tc>
          <w:tcPr>
            <w:tcW w:w="8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3"/>
        </w:trPr>
        <w:tc>
          <w:tcPr>
            <w:tcW w:w="4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equity raise</w:t>
            </w:r>
          </w:p>
        </w:tc>
        <w:tc>
          <w:tcPr>
            <w:tcW w:w="1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330.7</w:t>
            </w: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acquisitions</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3"/>
        </w:trPr>
        <w:tc>
          <w:tcPr>
            <w:tcW w:w="4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interest rate swap contract</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from consolidated operations</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83"/>
        </w:trPr>
        <w:tc>
          <w:tcPr>
            <w:tcW w:w="4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noncontrolling interest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76"/>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29, 2024</w:t>
            </w: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1,353.2</w:t>
            </w: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132"/>
        </w:trPr>
        <w:tc>
          <w:tcPr>
            <w:tcW w:w="434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Issuance of common stock for employee stock purchase plan and stock</w:t>
            </w:r>
          </w:p>
        </w:tc>
        <w:tc>
          <w:tcPr>
            <w:tcW w:w="100" w:type="dxa"/>
            <w:vAlign w:val="bottom"/>
          </w:tcPr>
          <w:p>
            <w:pPr>
              <w:spacing w:after="0"/>
              <w:rPr>
                <w:sz w:val="11"/>
                <w:szCs w:val="11"/>
                <w:color w:val="auto"/>
              </w:rPr>
            </w:pPr>
          </w:p>
        </w:tc>
        <w:tc>
          <w:tcPr>
            <w:tcW w:w="88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0"/>
        </w:trPr>
        <w:tc>
          <w:tcPr>
            <w:tcW w:w="4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awards</w:t>
            </w:r>
          </w:p>
        </w:tc>
        <w:tc>
          <w:tcPr>
            <w:tcW w:w="100" w:type="dxa"/>
            <w:vAlign w:val="bottom"/>
          </w:tcPr>
          <w:p>
            <w:pPr>
              <w:spacing w:after="0"/>
              <w:rPr>
                <w:sz w:val="15"/>
                <w:szCs w:val="15"/>
                <w:color w:val="auto"/>
              </w:rPr>
            </w:pPr>
          </w:p>
        </w:tc>
        <w:tc>
          <w:tcPr>
            <w:tcW w:w="8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stock issued and related taxes</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3"/>
        </w:trPr>
        <w:tc>
          <w:tcPr>
            <w:tcW w:w="4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equity raise</w:t>
            </w:r>
          </w:p>
        </w:tc>
        <w:tc>
          <w:tcPr>
            <w:tcW w:w="1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acquisitions</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83"/>
        </w:trPr>
        <w:tc>
          <w:tcPr>
            <w:tcW w:w="4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interest rate swap contract</w:t>
            </w:r>
          </w:p>
        </w:tc>
        <w:tc>
          <w:tcPr>
            <w:tcW w:w="1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from consolidated operations</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84"/>
        </w:trPr>
        <w:tc>
          <w:tcPr>
            <w:tcW w:w="4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gain, net of tax</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28,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1,996.3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67945</wp:posOffset>
            </wp:positionV>
            <wp:extent cx="716534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40" w:top="849" w:right="339" w:bottom="1440" w:gutter="0" w:footer="0" w:header="0"/>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KRATOS DEFENSE &amp; SECURITY SOLUTIONS,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Years ended December 28, 2025, December 29, 2024, and December 31, 2023</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activities: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1"/>
        </w:trPr>
        <w:tc>
          <w:tcPr>
            <w:tcW w:w="7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 from consolidated operations</w:t>
            </w:r>
          </w:p>
        </w:tc>
        <w:tc>
          <w:tcPr>
            <w:tcW w:w="82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w:t>
            </w:r>
          </w:p>
        </w:tc>
      </w:tr>
      <w:tr>
        <w:trPr>
          <w:trHeight w:val="156"/>
        </w:trPr>
        <w:tc>
          <w:tcPr>
            <w:tcW w:w="7080" w:type="dxa"/>
            <w:vAlign w:val="bottom"/>
            <w:shd w:val="clear" w:color="auto" w:fill="CCEEFF"/>
          </w:tcPr>
          <w:p>
            <w:pPr>
              <w:ind w:left="320"/>
              <w:spacing w:after="0" w:line="156" w:lineRule="exact"/>
              <w:rPr>
                <w:sz w:val="20"/>
                <w:szCs w:val="20"/>
                <w:color w:val="auto"/>
              </w:rPr>
            </w:pPr>
            <w:r>
              <w:rPr>
                <w:rFonts w:ascii="Times New Roman" w:cs="Times New Roman" w:eastAsia="Times New Roman" w:hAnsi="Times New Roman"/>
                <w:sz w:val="15"/>
                <w:szCs w:val="15"/>
                <w:color w:val="auto"/>
              </w:rPr>
              <w:t>Adjustments to reconcile income from consolidated operations to net cash provided by (used in) operating</w:t>
            </w: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03"/>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activities: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1"/>
        </w:trPr>
        <w:tc>
          <w:tcPr>
            <w:tcW w:w="70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33.2</w:t>
            </w:r>
          </w:p>
        </w:tc>
      </w:tr>
      <w:tr>
        <w:trPr>
          <w:trHeight w:val="20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Deferred income taxes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w:t>
            </w:r>
          </w:p>
        </w:tc>
      </w:tr>
      <w:tr>
        <w:trPr>
          <w:trHeight w:val="201"/>
        </w:trPr>
        <w:tc>
          <w:tcPr>
            <w:tcW w:w="70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Amortization of lease right-of-use assets</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11.5</w:t>
            </w:r>
          </w:p>
        </w:tc>
      </w:tr>
      <w:tr>
        <w:trPr>
          <w:trHeight w:val="20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Stock-based compensation</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25.3</w:t>
            </w:r>
          </w:p>
        </w:tc>
      </w:tr>
      <w:tr>
        <w:trPr>
          <w:trHeight w:val="201"/>
        </w:trPr>
        <w:tc>
          <w:tcPr>
            <w:tcW w:w="70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Amortization of deferred financing costs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0.7</w:t>
            </w:r>
          </w:p>
        </w:tc>
      </w:tr>
      <w:tr>
        <w:trPr>
          <w:trHeight w:val="201"/>
        </w:trPr>
        <w:tc>
          <w:tcPr>
            <w:tcW w:w="70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Provision for doubtful accounts</w:t>
            </w:r>
          </w:p>
        </w:tc>
        <w:tc>
          <w:tcPr>
            <w:tcW w:w="8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w:t>
            </w:r>
          </w:p>
        </w:tc>
      </w:tr>
      <w:tr>
        <w:trPr>
          <w:trHeight w:val="20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Changes in assets and liabilities, net of acquisitions: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1"/>
        </w:trPr>
        <w:tc>
          <w:tcPr>
            <w:tcW w:w="70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Accounts receivable</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r>
      <w:tr>
        <w:trPr>
          <w:trHeight w:val="206"/>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Unbilled receivables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14.4</w:t>
            </w:r>
          </w:p>
        </w:tc>
      </w:tr>
      <w:tr>
        <w:trPr>
          <w:trHeight w:val="201"/>
        </w:trPr>
        <w:tc>
          <w:tcPr>
            <w:tcW w:w="70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Inventoried costs</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r>
      <w:tr>
        <w:trPr>
          <w:trHeight w:val="206"/>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Prepaid expenses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201"/>
        </w:trPr>
        <w:tc>
          <w:tcPr>
            <w:tcW w:w="70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Other assets</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206"/>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201"/>
        </w:trPr>
        <w:tc>
          <w:tcPr>
            <w:tcW w:w="70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Accounts payable</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4.4</w:t>
            </w:r>
          </w:p>
        </w:tc>
      </w:tr>
      <w:tr>
        <w:trPr>
          <w:trHeight w:val="206"/>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Accrued expenses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w:t>
            </w:r>
          </w:p>
        </w:tc>
      </w:tr>
      <w:tr>
        <w:trPr>
          <w:trHeight w:val="201"/>
        </w:trPr>
        <w:tc>
          <w:tcPr>
            <w:tcW w:w="70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Accrued compensation</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12.4</w:t>
            </w:r>
          </w:p>
        </w:tc>
      </w:tr>
      <w:tr>
        <w:trPr>
          <w:trHeight w:val="206"/>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Billings in excess of costs and earnings on uncompleted contracts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28.4</w:t>
            </w:r>
          </w:p>
        </w:tc>
      </w:tr>
      <w:tr>
        <w:trPr>
          <w:trHeight w:val="201"/>
        </w:trPr>
        <w:tc>
          <w:tcPr>
            <w:tcW w:w="70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Income tax receivable and payable</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06"/>
        </w:trPr>
        <w:tc>
          <w:tcPr>
            <w:tcW w:w="7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Other liabilities</w:t>
            </w:r>
          </w:p>
        </w:tc>
        <w:tc>
          <w:tcPr>
            <w:tcW w:w="8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94"/>
        </w:trPr>
        <w:tc>
          <w:tcPr>
            <w:tcW w:w="70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65.2</w:t>
            </w:r>
          </w:p>
        </w:tc>
      </w:tr>
      <w:tr>
        <w:trPr>
          <w:trHeight w:val="19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Investing activities: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1"/>
        </w:trPr>
        <w:tc>
          <w:tcPr>
            <w:tcW w:w="7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8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0.3</w:t>
            </w:r>
          </w:p>
        </w:tc>
      </w:tr>
      <w:tr>
        <w:trPr>
          <w:trHeight w:val="206"/>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sale of assets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8.3</w:t>
            </w:r>
          </w:p>
        </w:tc>
      </w:tr>
      <w:tr>
        <w:trPr>
          <w:trHeight w:val="216"/>
        </w:trPr>
        <w:tc>
          <w:tcPr>
            <w:tcW w:w="7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Investment in joint venture</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Capital expenditures</w:t>
            </w:r>
          </w:p>
        </w:tc>
        <w:tc>
          <w:tcPr>
            <w:tcW w:w="8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w:t>
            </w:r>
          </w:p>
        </w:tc>
      </w:tr>
      <w:tr>
        <w:trPr>
          <w:trHeight w:val="194"/>
        </w:trPr>
        <w:tc>
          <w:tcPr>
            <w:tcW w:w="70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w:t>
            </w:r>
          </w:p>
        </w:tc>
      </w:tr>
      <w:tr>
        <w:trPr>
          <w:trHeight w:val="19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Financing activities: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1"/>
        </w:trPr>
        <w:tc>
          <w:tcPr>
            <w:tcW w:w="7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the issuance of common stock, net of issuance costs</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Borrowing under credit facility</w:t>
            </w:r>
          </w:p>
        </w:tc>
        <w:tc>
          <w:tcPr>
            <w:tcW w:w="8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69.0</w:t>
            </w:r>
          </w:p>
        </w:tc>
      </w:tr>
      <w:tr>
        <w:trPr>
          <w:trHeight w:val="201"/>
        </w:trPr>
        <w:tc>
          <w:tcPr>
            <w:tcW w:w="7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Repayment under credit facility, term loan and other debt</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(101.0)</w:t>
            </w:r>
          </w:p>
        </w:tc>
      </w:tr>
      <w:tr>
        <w:trPr>
          <w:trHeight w:val="206"/>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Payments of employee taxes withheld from share-based awards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201"/>
        </w:trPr>
        <w:tc>
          <w:tcPr>
            <w:tcW w:w="7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Payments under finance leases</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6"/>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shares issued under equity plans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6.5</w:t>
            </w:r>
          </w:p>
        </w:tc>
      </w:tr>
      <w:tr>
        <w:trPr>
          <w:trHeight w:val="201"/>
        </w:trPr>
        <w:tc>
          <w:tcPr>
            <w:tcW w:w="7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state grant for capital construction</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7080" w:type="dxa"/>
            <w:vAlign w:val="bottom"/>
            <w:tcBorders>
              <w:top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w:t>
            </w:r>
          </w:p>
        </w:tc>
      </w:tr>
      <w:tr>
        <w:trPr>
          <w:trHeight w:val="194"/>
        </w:trPr>
        <w:tc>
          <w:tcPr>
            <w:tcW w:w="7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provided (used)</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r>
      <w:tr>
        <w:trPr>
          <w:trHeight w:val="20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8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0.8</w:t>
            </w:r>
          </w:p>
        </w:tc>
      </w:tr>
      <w:tr>
        <w:trPr>
          <w:trHeight w:val="194"/>
        </w:trPr>
        <w:tc>
          <w:tcPr>
            <w:tcW w:w="7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r>
      <w:tr>
        <w:trPr>
          <w:trHeight w:val="20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beginning of year</w:t>
            </w:r>
          </w:p>
        </w:tc>
        <w:tc>
          <w:tcPr>
            <w:tcW w:w="8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81.3</w:t>
            </w:r>
          </w:p>
        </w:tc>
      </w:tr>
      <w:tr>
        <w:trPr>
          <w:trHeight w:val="194"/>
        </w:trPr>
        <w:tc>
          <w:tcPr>
            <w:tcW w:w="7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end of year</w:t>
            </w:r>
          </w:p>
        </w:tc>
        <w:tc>
          <w:tcPr>
            <w:tcW w:w="82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72.8</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 of cash flow information:</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1"/>
        </w:trPr>
        <w:tc>
          <w:tcPr>
            <w:tcW w:w="7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Cash paid during the year for interest</w:t>
            </w:r>
          </w:p>
        </w:tc>
        <w:tc>
          <w:tcPr>
            <w:tcW w:w="82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19.6</w:t>
            </w:r>
          </w:p>
        </w:tc>
      </w:tr>
      <w:tr>
        <w:trPr>
          <w:trHeight w:val="206"/>
        </w:trPr>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cash paid during the year for income taxes</w:t>
            </w:r>
          </w:p>
        </w:tc>
        <w:tc>
          <w:tcPr>
            <w:tcW w:w="82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6.5</w:t>
            </w:r>
          </w:p>
        </w:tc>
      </w:tr>
      <w:tr>
        <w:trPr>
          <w:trHeight w:val="201"/>
        </w:trPr>
        <w:tc>
          <w:tcPr>
            <w:tcW w:w="7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Non-cash financing and investing activities:</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Financing lease obligations incurred</w:t>
            </w:r>
          </w:p>
        </w:tc>
        <w:tc>
          <w:tcPr>
            <w:tcW w:w="82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6.9</w:t>
            </w:r>
          </w:p>
        </w:tc>
      </w:tr>
      <w:tr>
        <w:trPr>
          <w:trHeight w:val="201"/>
        </w:trPr>
        <w:tc>
          <w:tcPr>
            <w:tcW w:w="7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Capital expenditures included in accounts payable and accrued expenses</w:t>
            </w:r>
          </w:p>
        </w:tc>
        <w:tc>
          <w:tcPr>
            <w:tcW w:w="82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0.6</w:t>
            </w:r>
          </w:p>
        </w:tc>
      </w:tr>
      <w:tr>
        <w:trPr>
          <w:trHeight w:val="206"/>
        </w:trPr>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 issuance for purchase of noncontrolling interests</w:t>
            </w:r>
          </w:p>
        </w:tc>
        <w:tc>
          <w:tcPr>
            <w:tcW w:w="82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10.7</w:t>
            </w:r>
          </w:p>
        </w:tc>
      </w:tr>
      <w:tr>
        <w:trPr>
          <w:trHeight w:val="201"/>
        </w:trPr>
        <w:tc>
          <w:tcPr>
            <w:tcW w:w="7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Common stock issuance for acquisition</w:t>
            </w:r>
          </w:p>
        </w:tc>
        <w:tc>
          <w:tcPr>
            <w:tcW w:w="82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14.8</w:t>
            </w:r>
          </w:p>
        </w:tc>
      </w:tr>
      <w:tr>
        <w:trPr>
          <w:trHeight w:val="206"/>
        </w:trPr>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 issued for contingent acquisition consideration</w:t>
            </w:r>
          </w:p>
        </w:tc>
        <w:tc>
          <w:tcPr>
            <w:tcW w:w="82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bl>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ectPr>
          <w:pgSz w:w="11900" w:h="16838" w:orient="portrait"/>
          <w:cols w:equalWidth="0" w:num="1">
            <w:col w:w="11220"/>
          </w:cols>
          <w:pgMar w:left="340" w:top="730"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67945</wp:posOffset>
            </wp:positionV>
            <wp:extent cx="716534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40" w:top="730" w:right="339" w:bottom="1440" w:gutter="0" w:footer="0" w:header="0"/>
          <w:type w:val="continuous"/>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KRATOS DEFENSE &amp; SECURITY SOLUTIONS,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Note 1.</w:t>
      </w:r>
      <w:r>
        <w:rPr>
          <w:sz w:val="20"/>
          <w:szCs w:val="20"/>
          <w:color w:val="auto"/>
        </w:rPr>
        <w:tab/>
      </w:r>
      <w:r>
        <w:rPr>
          <w:rFonts w:ascii="Times New Roman" w:cs="Times New Roman" w:eastAsia="Times New Roman" w:hAnsi="Times New Roman"/>
          <w:sz w:val="16"/>
          <w:szCs w:val="16"/>
          <w:b w:val="1"/>
          <w:bCs w:val="1"/>
          <w:color w:val="auto"/>
        </w:rPr>
        <w:t>Organization and Summary of Significant Accounting Policies</w:t>
      </w:r>
    </w:p>
    <w:p>
      <w:pPr>
        <w:spacing w:after="0" w:line="237" w:lineRule="exact"/>
        <w:rPr>
          <w:sz w:val="20"/>
          <w:szCs w:val="20"/>
          <w:color w:val="auto"/>
        </w:rPr>
      </w:pPr>
    </w:p>
    <w:p>
      <w:pPr>
        <w:ind w:right="2800"/>
        <w:spacing w:after="0" w:line="284" w:lineRule="auto"/>
        <w:rPr>
          <w:sz w:val="20"/>
          <w:szCs w:val="20"/>
          <w:color w:val="auto"/>
        </w:rPr>
      </w:pPr>
      <w:r>
        <w:rPr>
          <w:rFonts w:ascii="Times New Roman" w:cs="Times New Roman" w:eastAsia="Times New Roman" w:hAnsi="Times New Roman"/>
          <w:sz w:val="17"/>
          <w:szCs w:val="17"/>
          <w:i w:val="1"/>
          <w:iCs w:val="1"/>
          <w:color w:val="auto"/>
        </w:rPr>
        <w:t>All references to the “Company” and “Kratos” refer to Kratos Defense &amp; Security Solutions, Inc., a Delaware corporation, and its subsidiaries.</w:t>
      </w:r>
    </w:p>
    <w:p>
      <w:pPr>
        <w:spacing w:after="0" w:line="17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(a)</w:t>
        <w:tab/>
        <w:t>Description of Business</w:t>
      </w:r>
    </w:p>
    <w:p>
      <w:pPr>
        <w:spacing w:after="0" w:line="241" w:lineRule="exact"/>
        <w:rPr>
          <w:sz w:val="20"/>
          <w:szCs w:val="20"/>
          <w:color w:val="auto"/>
        </w:rPr>
      </w:pPr>
    </w:p>
    <w:p>
      <w:pPr>
        <w:ind w:firstLine="611"/>
        <w:spacing w:after="0" w:line="252" w:lineRule="auto"/>
        <w:rPr>
          <w:sz w:val="20"/>
          <w:szCs w:val="20"/>
          <w:color w:val="auto"/>
        </w:rPr>
      </w:pPr>
      <w:r>
        <w:rPr>
          <w:rFonts w:ascii="Times New Roman" w:cs="Times New Roman" w:eastAsia="Times New Roman" w:hAnsi="Times New Roman"/>
          <w:sz w:val="17"/>
          <w:szCs w:val="17"/>
          <w:color w:val="auto"/>
        </w:rPr>
        <w:t>Kratos is a technology,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the Company seeks to utilize proven, leading edge approaches and technology, not unproven bleeding edge approaches or technology, with Kratos’ approach designed to reduce cost, schedule and risk, and enable the Company to be first to market with cost effective solutions. Kratos believes that it is known as the innovative disruptive change agent in the industry, a company that is an expert in designing products and systems up front for successful rapid, large quantity, low cost future manufacturing, which is a value add competitive differentiator for the Company’s large traditional prime system integrator partners and also for the Company’s government and commercial customers. Kratos intends to pursue program and contract opportunities as the prime or lead contractor when we believe that our probability of win is high and any investment required by Kratos is within our capital resource comfort level. Kratos intends to partner and team with a large, traditional system integrator when our assessment of probability of win is greater or when the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C5ISR and microwave electronic products for missile, radar, missile defense, space, satellite, counter UAS, directed energy, communication and other systems, and virtual and augmented reality training systems for the warfighter.</w:t>
      </w:r>
    </w:p>
    <w:p>
      <w:pPr>
        <w:spacing w:after="0" w:line="208" w:lineRule="exact"/>
        <w:rPr>
          <w:sz w:val="20"/>
          <w:szCs w:val="20"/>
          <w:color w:val="auto"/>
        </w:rPr>
      </w:pPr>
    </w:p>
    <w:p>
      <w:pPr>
        <w:ind w:right="160" w:firstLine="611"/>
        <w:spacing w:after="0" w:line="264" w:lineRule="auto"/>
        <w:rPr>
          <w:sz w:val="20"/>
          <w:szCs w:val="20"/>
          <w:color w:val="auto"/>
        </w:rPr>
      </w:pPr>
      <w:r>
        <w:rPr>
          <w:rFonts w:ascii="Times New Roman" w:cs="Times New Roman" w:eastAsia="Times New Roman" w:hAnsi="Times New Roman"/>
          <w:sz w:val="17"/>
          <w:szCs w:val="17"/>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195" w:lineRule="exact"/>
        <w:rPr>
          <w:sz w:val="20"/>
          <w:szCs w:val="20"/>
          <w:color w:val="auto"/>
        </w:rPr>
      </w:pPr>
    </w:p>
    <w:p>
      <w:pPr>
        <w:ind w:right="60" w:firstLine="611"/>
        <w:spacing w:after="0" w:line="259" w:lineRule="auto"/>
        <w:rPr>
          <w:sz w:val="20"/>
          <w:szCs w:val="20"/>
          <w:color w:val="auto"/>
        </w:rPr>
      </w:pPr>
      <w:r>
        <w:rPr>
          <w:rFonts w:ascii="Times New Roman" w:cs="Times New Roman" w:eastAsia="Times New Roman" w:hAnsi="Times New Roman"/>
          <w:sz w:val="17"/>
          <w:szCs w:val="17"/>
          <w:color w:val="auto"/>
        </w:rPr>
        <w:t>The Company operates in two reportable segments. The Kratos Government Solutions (“KGS”) reportable segment is comprised of an aggregation of KGS operating segments, including its microwave electronic products, space, satellite, training and cybersecurity, C5ISR/modular systems, turbine technologies and defense and rocket support services operating segments. The Unmanned Systems (“US”) reportable segment is comprised of an aggregation of US operating segments, including its unmanned aerial system and unmanned ground and seaborne system products.</w:t>
      </w:r>
    </w:p>
    <w:p>
      <w:pPr>
        <w:spacing w:after="0" w:line="200" w:lineRule="exact"/>
        <w:rPr>
          <w:sz w:val="20"/>
          <w:szCs w:val="20"/>
          <w:color w:val="auto"/>
        </w:rPr>
      </w:pPr>
    </w:p>
    <w:p>
      <w:pPr>
        <w:ind w:right="180" w:firstLine="611"/>
        <w:spacing w:after="0" w:line="259" w:lineRule="auto"/>
        <w:rPr>
          <w:sz w:val="20"/>
          <w:szCs w:val="20"/>
          <w:color w:val="auto"/>
        </w:rPr>
      </w:pPr>
      <w:r>
        <w:rPr>
          <w:rFonts w:ascii="Times New Roman" w:cs="Times New Roman" w:eastAsia="Times New Roman" w:hAnsi="Times New Roman"/>
          <w:sz w:val="17"/>
          <w:szCs w:val="17"/>
          <w:color w:val="auto"/>
        </w:rPr>
        <w:t>The Company organizes its operating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the Company’s operating segments, see Note 13 of these Notes to Consolidated Financial Statements.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prior year items have been reclassified to be consistent with current year presentation.</w:t>
      </w:r>
    </w:p>
    <w:p>
      <w:pPr>
        <w:spacing w:after="0" w:line="2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Principles of Consolidation and Basis of Presentation</w:t>
      </w:r>
    </w:p>
    <w:p>
      <w:pPr>
        <w:spacing w:after="0" w:line="241" w:lineRule="exact"/>
        <w:rPr>
          <w:sz w:val="20"/>
          <w:szCs w:val="20"/>
          <w:color w:val="auto"/>
        </w:rPr>
      </w:pPr>
    </w:p>
    <w:p>
      <w:pPr>
        <w:ind w:right="200" w:firstLine="611"/>
        <w:spacing w:after="0" w:line="279"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Kratos and its consolidated subsidiaries, for which all intercompany transactions have been eliminated in consolidation.</w:t>
      </w:r>
    </w:p>
    <w:p>
      <w:pPr>
        <w:spacing w:after="0" w:line="178" w:lineRule="exact"/>
        <w:rPr>
          <w:sz w:val="20"/>
          <w:szCs w:val="20"/>
          <w:color w:val="auto"/>
        </w:rPr>
      </w:pPr>
    </w:p>
    <w:p>
      <w:pPr>
        <w:ind w:left="360" w:hanging="358"/>
        <w:spacing w:after="0"/>
        <w:tabs>
          <w:tab w:leader="none" w:pos="36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Fiscal Year</w:t>
      </w:r>
    </w:p>
    <w:p>
      <w:pPr>
        <w:spacing w:after="0" w:line="216" w:lineRule="exact"/>
        <w:rPr>
          <w:sz w:val="20"/>
          <w:szCs w:val="20"/>
          <w:color w:val="auto"/>
        </w:rPr>
      </w:pPr>
    </w:p>
    <w:p>
      <w:pPr>
        <w:ind w:right="120" w:firstLine="611"/>
        <w:spacing w:after="0" w:line="264" w:lineRule="auto"/>
        <w:rPr>
          <w:sz w:val="20"/>
          <w:szCs w:val="20"/>
          <w:color w:val="auto"/>
        </w:rPr>
      </w:pPr>
      <w:r>
        <w:rPr>
          <w:rFonts w:ascii="Times New Roman" w:cs="Times New Roman" w:eastAsia="Times New Roman" w:hAnsi="Times New Roman"/>
          <w:sz w:val="17"/>
          <w:szCs w:val="17"/>
          <w:color w:val="auto"/>
        </w:rPr>
        <w:t>The Company has a 52/53 week fiscal year ending on the last Sunday of the calendar year, with interim fiscal periods ending on the last Sunday of each calendar quarter. There were 52 calendar weeks in the fiscal years ending on December 28, 2025 and December 31, 2023, and 53 calendar weeks in the fiscal years ending on December 29, 2024.</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83" w:name="page84"/>
    <w:bookmarkEnd w:id="83"/>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(d)</w:t>
        <w:tab/>
        <w:t>Use of Estimates</w:t>
      </w:r>
    </w:p>
    <w:p>
      <w:pPr>
        <w:spacing w:after="0" w:line="241" w:lineRule="exact"/>
        <w:rPr>
          <w:sz w:val="20"/>
          <w:szCs w:val="20"/>
          <w:color w:val="auto"/>
        </w:rPr>
      </w:pPr>
    </w:p>
    <w:p>
      <w:pPr>
        <w:ind w:right="20" w:firstLine="611"/>
        <w:spacing w:after="0" w:line="255"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accounting principles generally accepted in the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Such estimates include revenue recognition, valuation of long-lived assets including identifiable intangibles and goodwill, accounting for income taxes including the related valuation allowance on the deferred tax asset and uncertain tax positions, contingencies and litigation, contingent acquisition consideration, and stock-based compensation.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1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(e)</w:t>
        <w:tab/>
        <w:t>Revenue Recognition</w:t>
      </w:r>
    </w:p>
    <w:p>
      <w:pPr>
        <w:spacing w:after="0" w:line="237" w:lineRule="exact"/>
        <w:rPr>
          <w:sz w:val="20"/>
          <w:szCs w:val="20"/>
          <w:color w:val="auto"/>
        </w:rPr>
      </w:pPr>
    </w:p>
    <w:p>
      <w:pPr>
        <w:ind w:right="580" w:firstLine="611"/>
        <w:spacing w:after="0" w:line="284" w:lineRule="auto"/>
        <w:rPr>
          <w:sz w:val="20"/>
          <w:szCs w:val="20"/>
          <w:color w:val="auto"/>
        </w:rPr>
      </w:pPr>
      <w:r>
        <w:rPr>
          <w:rFonts w:ascii="Times New Roman" w:cs="Times New Roman" w:eastAsia="Times New Roman" w:hAnsi="Times New Roman"/>
          <w:sz w:val="17"/>
          <w:szCs w:val="17"/>
          <w:color w:val="auto"/>
        </w:rPr>
        <w:t xml:space="preserve">Effective January 1, 2018, the Company adopted the Financial Accounting Standards Board (“FASB”) ASU 2014-09, </w:t>
      </w:r>
      <w:r>
        <w:rPr>
          <w:rFonts w:ascii="Times New Roman" w:cs="Times New Roman" w:eastAsia="Times New Roman" w:hAnsi="Times New Roman"/>
          <w:sz w:val="17"/>
          <w:szCs w:val="17"/>
          <w:i w:val="1"/>
          <w:iCs w:val="1"/>
          <w:color w:val="auto"/>
        </w:rPr>
        <w:t>Revenue from Contracts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Customers, </w:t>
      </w:r>
      <w:r>
        <w:rPr>
          <w:rFonts w:ascii="Times New Roman" w:cs="Times New Roman" w:eastAsia="Times New Roman" w:hAnsi="Times New Roman"/>
          <w:sz w:val="17"/>
          <w:szCs w:val="17"/>
          <w:color w:val="auto"/>
        </w:rPr>
        <w:t>and the related amendments, which are codified into Accounting Standards Codification (“ASC”) 606 (“ASC 606”).</w:t>
      </w:r>
    </w:p>
    <w:p>
      <w:pPr>
        <w:spacing w:after="0" w:line="178"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05" w:lineRule="exact"/>
        <w:rPr>
          <w:sz w:val="20"/>
          <w:szCs w:val="20"/>
          <w:color w:val="auto"/>
        </w:rPr>
      </w:pPr>
    </w:p>
    <w:p>
      <w:pPr>
        <w:ind w:right="140" w:firstLine="611"/>
        <w:spacing w:after="0" w:line="255"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and is the unit of account under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205" w:lineRule="exact"/>
        <w:rPr>
          <w:sz w:val="20"/>
          <w:szCs w:val="20"/>
          <w:color w:val="auto"/>
        </w:rPr>
      </w:pPr>
    </w:p>
    <w:p>
      <w:pPr>
        <w:ind w:right="140" w:firstLine="611"/>
        <w:spacing w:after="0" w:line="273" w:lineRule="auto"/>
        <w:rPr>
          <w:sz w:val="20"/>
          <w:szCs w:val="20"/>
          <w:color w:val="auto"/>
        </w:rPr>
      </w:pPr>
      <w:r>
        <w:rPr>
          <w:rFonts w:ascii="Times New Roman" w:cs="Times New Roman" w:eastAsia="Times New Roman" w:hAnsi="Times New Roman"/>
          <w:sz w:val="16"/>
          <w:szCs w:val="16"/>
          <w:color w:val="auto"/>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241" w:lineRule="exact"/>
        <w:rPr>
          <w:sz w:val="20"/>
          <w:szCs w:val="20"/>
          <w:color w:val="auto"/>
        </w:rPr>
      </w:pPr>
    </w:p>
    <w:p>
      <w:pPr>
        <w:jc w:val="both"/>
        <w:ind w:right="200" w:firstLine="611"/>
        <w:spacing w:after="0" w:line="264" w:lineRule="auto"/>
        <w:rPr>
          <w:sz w:val="20"/>
          <w:szCs w:val="20"/>
          <w:color w:val="auto"/>
        </w:rPr>
      </w:pPr>
      <w:r>
        <w:rPr>
          <w:rFonts w:ascii="Times New Roman" w:cs="Times New Roman" w:eastAsia="Times New Roman" w:hAnsi="Times New Roman"/>
          <w:sz w:val="17"/>
          <w:szCs w:val="17"/>
          <w:color w:val="auto"/>
        </w:rPr>
        <w:t>Revenues from remaining performance obligations are calculated as the dollar value of the remaining performance obligations on executed contracts. On December 28, 2025, the Company had approximately $1,573.4 million of remaining performance obligations. The Company expects to recognize approximately 54% of the remaining performance obligations as revenue in 2026, an additional 20% in 2027, and the balance thereafter.</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 Estimates</w:t>
      </w:r>
    </w:p>
    <w:p>
      <w:pPr>
        <w:spacing w:after="0" w:line="241" w:lineRule="exact"/>
        <w:rPr>
          <w:sz w:val="20"/>
          <w:szCs w:val="20"/>
          <w:color w:val="auto"/>
        </w:rPr>
      </w:pPr>
    </w:p>
    <w:p>
      <w:pPr>
        <w:ind w:right="140" w:firstLine="611"/>
        <w:spacing w:after="0" w:line="259" w:lineRule="auto"/>
        <w:rPr>
          <w:sz w:val="20"/>
          <w:szCs w:val="20"/>
          <w:color w:val="auto"/>
        </w:rPr>
      </w:pPr>
      <w:r>
        <w:rPr>
          <w:rFonts w:ascii="Times New Roman" w:cs="Times New Roman" w:eastAsia="Times New Roman" w:hAnsi="Times New Roman"/>
          <w:sz w:val="17"/>
          <w:szCs w:val="17"/>
          <w:color w:val="auto"/>
        </w:rPr>
        <w:t>Due to the nature of the work required to be performed on many performance obligations, the estimation of total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845" w:right="379" w:bottom="1440" w:gutter="0" w:footer="0" w:header="0"/>
        </w:sectPr>
      </w:pPr>
    </w:p>
    <w:bookmarkStart w:id="84" w:name="page85"/>
    <w:bookmarkEnd w:id="84"/>
    <w:p>
      <w:pPr>
        <w:ind w:right="120"/>
        <w:spacing w:after="0" w:line="255" w:lineRule="auto"/>
        <w:rPr>
          <w:sz w:val="20"/>
          <w:szCs w:val="20"/>
          <w:color w:val="auto"/>
        </w:rPr>
      </w:pPr>
      <w:r>
        <w:rPr>
          <w:rFonts w:ascii="Times New Roman" w:cs="Times New Roman" w:eastAsia="Times New Roman" w:hAnsi="Times New Roman"/>
          <w:sz w:val="17"/>
          <w:szCs w:val="17"/>
          <w:color w:val="auto"/>
        </w:rPr>
        <w:t>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05" w:lineRule="exact"/>
        <w:rPr>
          <w:sz w:val="20"/>
          <w:szCs w:val="20"/>
          <w:color w:val="auto"/>
        </w:rPr>
      </w:pPr>
    </w:p>
    <w:p>
      <w:pPr>
        <w:ind w:right="140" w:firstLine="611"/>
        <w:spacing w:after="0" w:line="255" w:lineRule="auto"/>
        <w:rPr>
          <w:sz w:val="20"/>
          <w:szCs w:val="20"/>
          <w:color w:val="auto"/>
        </w:rPr>
      </w:pPr>
      <w:r>
        <w:rPr>
          <w:rFonts w:ascii="Times New Roman" w:cs="Times New Roman" w:eastAsia="Times New Roman" w:hAnsi="Times New Roman"/>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02" w:lineRule="exact"/>
        <w:rPr>
          <w:sz w:val="20"/>
          <w:szCs w:val="20"/>
          <w:color w:val="auto"/>
        </w:rPr>
      </w:pPr>
    </w:p>
    <w:p>
      <w:pPr>
        <w:jc w:val="both"/>
        <w:ind w:right="160" w:firstLine="611"/>
        <w:spacing w:after="0" w:line="257" w:lineRule="auto"/>
        <w:rPr>
          <w:sz w:val="20"/>
          <w:szCs w:val="20"/>
          <w:color w:val="auto"/>
        </w:rPr>
      </w:pPr>
      <w:r>
        <w:rPr>
          <w:rFonts w:ascii="Times New Roman" w:cs="Times New Roman" w:eastAsia="Times New Roman" w:hAnsi="Times New Roman"/>
          <w:sz w:val="17"/>
          <w:szCs w:val="17"/>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01" w:lineRule="exact"/>
        <w:rPr>
          <w:sz w:val="20"/>
          <w:szCs w:val="20"/>
          <w:color w:val="auto"/>
        </w:rPr>
      </w:pPr>
    </w:p>
    <w:p>
      <w:pPr>
        <w:ind w:firstLine="611"/>
        <w:spacing w:after="0" w:line="252" w:lineRule="auto"/>
        <w:rPr>
          <w:sz w:val="20"/>
          <w:szCs w:val="20"/>
          <w:color w:val="auto"/>
        </w:rPr>
      </w:pPr>
      <w:r>
        <w:rPr>
          <w:rFonts w:ascii="Times New Roman" w:cs="Times New Roman" w:eastAsia="Times New Roman" w:hAnsi="Times New Roman"/>
          <w:sz w:val="17"/>
          <w:szCs w:val="17"/>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consolidated financial statements for the years ended December 28, 2025, December 29, 2024 and December 31, 2023. Likewise, total cumulative catch-up adjustments were not material for the years ended December 28, 2025, December 29, 2024 and December 31, 2023. As of December 28, 2025 and December 29, 2024, accrued expenses included the accrual for losses on contracts of $3.5 million and $2.9 million, respectively.</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 Assets and Liabilities</w:t>
      </w:r>
    </w:p>
    <w:p>
      <w:pPr>
        <w:spacing w:after="0" w:line="241" w:lineRule="exact"/>
        <w:rPr>
          <w:sz w:val="20"/>
          <w:szCs w:val="20"/>
          <w:color w:val="auto"/>
        </w:rPr>
      </w:pPr>
    </w:p>
    <w:p>
      <w:pPr>
        <w:ind w:right="80" w:firstLine="611"/>
        <w:spacing w:after="0" w:line="259" w:lineRule="auto"/>
        <w:rPr>
          <w:sz w:val="20"/>
          <w:szCs w:val="20"/>
          <w:color w:val="auto"/>
        </w:rPr>
      </w:pPr>
      <w:r>
        <w:rPr>
          <w:rFonts w:ascii="Times New Roman" w:cs="Times New Roman" w:eastAsia="Times New Roman" w:hAnsi="Times New Roman"/>
          <w:sz w:val="17"/>
          <w:szCs w:val="17"/>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00" w:lineRule="exact"/>
        <w:rPr>
          <w:sz w:val="20"/>
          <w:szCs w:val="20"/>
          <w:color w:val="auto"/>
        </w:rPr>
      </w:pPr>
    </w:p>
    <w:p>
      <w:pPr>
        <w:ind w:right="180" w:firstLine="611"/>
        <w:spacing w:after="0" w:line="255" w:lineRule="auto"/>
        <w:rPr>
          <w:sz w:val="20"/>
          <w:szCs w:val="20"/>
          <w:color w:val="auto"/>
        </w:rPr>
      </w:pPr>
      <w:r>
        <w:rPr>
          <w:rFonts w:ascii="Times New Roman" w:cs="Times New Roman" w:eastAsia="Times New Roman" w:hAnsi="Times New Roman"/>
          <w:sz w:val="17"/>
          <w:szCs w:val="17"/>
          <w:color w:val="auto"/>
        </w:rPr>
        <w:t>Contract assets are equivalent to and reflected as unbilled receivables in the consolidated balance sheets and are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849" w:right="379" w:bottom="1440" w:gutter="0" w:footer="0" w:header="0"/>
        </w:sectPr>
      </w:pPr>
    </w:p>
    <w:bookmarkStart w:id="85" w:name="page86"/>
    <w:bookmarkEnd w:id="85"/>
    <w:p>
      <w:pPr>
        <w:ind w:right="560"/>
        <w:spacing w:after="0" w:line="279" w:lineRule="auto"/>
        <w:rPr>
          <w:sz w:val="20"/>
          <w:szCs w:val="20"/>
          <w:color w:val="auto"/>
        </w:rPr>
      </w:pPr>
      <w:r>
        <w:rPr>
          <w:rFonts w:ascii="Times New Roman" w:cs="Times New Roman" w:eastAsia="Times New Roman" w:hAnsi="Times New Roman"/>
          <w:sz w:val="17"/>
          <w:szCs w:val="17"/>
          <w:color w:val="auto"/>
        </w:rPr>
        <w:t>are not considered to include a significant financing component as the payment terms are intended to protect the customer in the event the Company does not perform on its obligations under the contract.</w:t>
      </w:r>
    </w:p>
    <w:p>
      <w:pPr>
        <w:spacing w:after="0" w:line="182" w:lineRule="exact"/>
        <w:rPr>
          <w:sz w:val="20"/>
          <w:szCs w:val="20"/>
          <w:color w:val="auto"/>
        </w:rPr>
      </w:pPr>
    </w:p>
    <w:p>
      <w:pPr>
        <w:ind w:right="160" w:firstLine="611"/>
        <w:spacing w:after="0" w:line="257" w:lineRule="auto"/>
        <w:rPr>
          <w:sz w:val="20"/>
          <w:szCs w:val="20"/>
          <w:color w:val="auto"/>
        </w:rPr>
      </w:pPr>
      <w:r>
        <w:rPr>
          <w:rFonts w:ascii="Times New Roman" w:cs="Times New Roman" w:eastAsia="Times New Roman" w:hAnsi="Times New Roman"/>
          <w:sz w:val="17"/>
          <w:szCs w:val="17"/>
          <w:color w:val="auto"/>
        </w:rPr>
        <w:t>Contract liabilities include advance payments and are reflected as Billings in excess of costs and earnings on uncompleted contracts in the consolidated balance sheets.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contract assets and liabilities are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28, 2025</w:t>
            </w:r>
          </w:p>
        </w:tc>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29, 2024</w:t>
            </w:r>
          </w:p>
        </w:tc>
        <w:tc>
          <w:tcPr>
            <w:tcW w:w="220" w:type="dxa"/>
            <w:vAlign w:val="bottom"/>
          </w:tcPr>
          <w:p>
            <w:pPr>
              <w:spacing w:after="0"/>
              <w:rPr>
                <w:sz w:val="17"/>
                <w:szCs w:val="17"/>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Net Change</w:t>
            </w:r>
          </w:p>
        </w:tc>
      </w:tr>
      <w:tr>
        <w:trPr>
          <w:trHeight w:val="212"/>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86.1</w:t>
            </w:r>
          </w:p>
        </w:tc>
      </w:tr>
      <w:tr>
        <w:trPr>
          <w:trHeight w:val="20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Contract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w w:val="98"/>
              </w:rPr>
              <w:t>(2.9)</w:t>
            </w:r>
          </w:p>
        </w:tc>
      </w:tr>
      <w:tr>
        <w:trPr>
          <w:trHeight w:val="23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contract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89.0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180" w:firstLine="611"/>
        <w:spacing w:after="0" w:line="255" w:lineRule="auto"/>
        <w:rPr>
          <w:sz w:val="20"/>
          <w:szCs w:val="20"/>
          <w:color w:val="auto"/>
        </w:rPr>
      </w:pPr>
      <w:r>
        <w:rPr>
          <w:rFonts w:ascii="Times New Roman" w:cs="Times New Roman" w:eastAsia="Times New Roman" w:hAnsi="Times New Roman"/>
          <w:sz w:val="17"/>
          <w:szCs w:val="17"/>
          <w:color w:val="auto"/>
        </w:rPr>
        <w:t>The change in the balances of the Company’s contract assets and liabilities primarily results from timing differences between revenue recognition and customer billings and/or payments. Contract assets increased $86.1 million during the year ended December 28, 2025, primarily due to more unbilled receivables. There were no significant impairment losses related to any receivables or contract assets arising from the Company’s contracts with customers during the year ended December 28, 2025. Contract liabilities decreased $2.9 million during the year ended December 28, 2025, primarily due to payments received less than revenue recognized on these performance obligations. For the years ended December 28, 2025 and December 29, 2024, the Company recognized revenue of $64.7 million and $85.8 million, respectively, that was previously included in the beginning balance of contract liabilities.</w:t>
      </w:r>
    </w:p>
    <w:p>
      <w:pPr>
        <w:spacing w:after="0" w:line="20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41" w:lineRule="exact"/>
        <w:rPr>
          <w:sz w:val="20"/>
          <w:szCs w:val="20"/>
          <w:color w:val="auto"/>
        </w:rPr>
      </w:pPr>
    </w:p>
    <w:p>
      <w:pPr>
        <w:ind w:right="80" w:firstLine="167"/>
        <w:spacing w:after="0" w:line="279" w:lineRule="auto"/>
        <w:rPr>
          <w:sz w:val="20"/>
          <w:szCs w:val="20"/>
          <w:color w:val="auto"/>
        </w:rPr>
      </w:pPr>
      <w:r>
        <w:rPr>
          <w:rFonts w:ascii="Times New Roman" w:cs="Times New Roman" w:eastAsia="Times New Roman" w:hAnsi="Times New Roman"/>
          <w:sz w:val="17"/>
          <w:szCs w:val="17"/>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13"/>
                <w:szCs w:val="13"/>
                <w:color w:val="auto"/>
              </w:rPr>
            </w:pPr>
          </w:p>
        </w:tc>
        <w:tc>
          <w:tcPr>
            <w:tcW w:w="120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5"/>
        </w:trPr>
        <w:tc>
          <w:tcPr>
            <w:tcW w:w="720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December 28, 2025</w:t>
            </w:r>
          </w:p>
        </w:tc>
        <w:tc>
          <w:tcPr>
            <w:tcW w:w="10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December 29, 2024</w:t>
            </w:r>
          </w:p>
        </w:tc>
        <w:tc>
          <w:tcPr>
            <w:tcW w:w="100" w:type="dxa"/>
            <w:vAlign w:val="bottom"/>
          </w:tcPr>
          <w:p>
            <w:pPr>
              <w:spacing w:after="0"/>
              <w:rPr>
                <w:sz w:val="16"/>
                <w:szCs w:val="16"/>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5"/>
              </w:rPr>
              <w:t>December 31, 2023</w:t>
            </w:r>
          </w:p>
        </w:tc>
      </w:tr>
      <w:tr>
        <w:trPr>
          <w:trHeight w:val="20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6"/>
        </w:trPr>
        <w:tc>
          <w:tcPr>
            <w:tcW w:w="7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Fixed price</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566.3</w:t>
            </w:r>
          </w:p>
        </w:tc>
      </w:tr>
      <w:tr>
        <w:trPr>
          <w:trHeight w:val="216"/>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Cost plus fee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w:t>
            </w:r>
          </w:p>
        </w:tc>
      </w:tr>
      <w:tr>
        <w:trPr>
          <w:trHeight w:val="216"/>
        </w:trPr>
        <w:tc>
          <w:tcPr>
            <w:tcW w:w="7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Time and materials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0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Kratos Government Solutions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824.9</w:t>
            </w:r>
          </w:p>
        </w:tc>
      </w:tr>
      <w:tr>
        <w:trPr>
          <w:trHeight w:val="196"/>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Unmanned Systems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 price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w:t>
            </w:r>
          </w:p>
        </w:tc>
      </w:tr>
      <w:tr>
        <w:trPr>
          <w:trHeight w:val="216"/>
        </w:trPr>
        <w:tc>
          <w:tcPr>
            <w:tcW w:w="7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Cost plus fee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r>
      <w:tr>
        <w:trPr>
          <w:trHeight w:val="216"/>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Time and materials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09"/>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Unmanned Systems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w:t>
            </w:r>
          </w:p>
        </w:tc>
      </w:tr>
      <w:tr>
        <w:trPr>
          <w:trHeight w:val="25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t>Revenue by customer was as follows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2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00" w:type="dxa"/>
            <w:vAlign w:val="bottom"/>
          </w:tcPr>
          <w:p>
            <w:pPr>
              <w:spacing w:after="0"/>
              <w:rPr>
                <w:sz w:val="13"/>
                <w:szCs w:val="13"/>
                <w:color w:val="auto"/>
              </w:rPr>
            </w:pPr>
          </w:p>
        </w:tc>
        <w:tc>
          <w:tcPr>
            <w:tcW w:w="12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4"/>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December 28, 2025</w:t>
            </w: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December 29, 2024</w:t>
            </w:r>
          </w:p>
        </w:tc>
        <w:tc>
          <w:tcPr>
            <w:tcW w:w="100" w:type="dxa"/>
            <w:vAlign w:val="bottom"/>
          </w:tcPr>
          <w:p>
            <w:pPr>
              <w:spacing w:after="0"/>
              <w:rPr>
                <w:sz w:val="16"/>
                <w:szCs w:val="16"/>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r>
      <w:tr>
        <w:trPr>
          <w:trHeight w:val="202"/>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93"/>
        </w:trPr>
        <w:tc>
          <w:tcPr>
            <w:tcW w:w="7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U.S. Government </w:t>
            </w:r>
            <w:r>
              <w:rPr>
                <w:rFonts w:ascii="Times New Roman" w:cs="Times New Roman" w:eastAsia="Times New Roman" w:hAnsi="Times New Roman"/>
                <w:sz w:val="22"/>
                <w:szCs w:val="22"/>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512.5</w:t>
            </w:r>
          </w:p>
        </w:tc>
      </w:tr>
      <w:tr>
        <w:trPr>
          <w:trHeight w:val="293"/>
        </w:trPr>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(2)</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w:t>
            </w:r>
          </w:p>
        </w:tc>
      </w:tr>
      <w:tr>
        <w:trPr>
          <w:trHeight w:val="216"/>
        </w:trPr>
        <w:tc>
          <w:tcPr>
            <w:tcW w:w="70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U.S. Commercial and other customers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119.6</w:t>
            </w:r>
          </w:p>
        </w:tc>
      </w:tr>
      <w:tr>
        <w:trPr>
          <w:trHeight w:val="20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Kratos Government Solutions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824.9</w:t>
            </w:r>
          </w:p>
        </w:tc>
      </w:tr>
      <w:tr>
        <w:trPr>
          <w:trHeight w:val="196"/>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Unmanned Systems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93"/>
        </w:trPr>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xml:space="preserve">U.S. Government </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w:t>
            </w:r>
          </w:p>
        </w:tc>
      </w:tr>
      <w:tr>
        <w:trPr>
          <w:trHeight w:val="293"/>
        </w:trPr>
        <w:tc>
          <w:tcPr>
            <w:tcW w:w="7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6"/>
        </w:trPr>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U.S. Commercial and other customers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9"/>
        </w:trPr>
        <w:tc>
          <w:tcPr>
            <w:tcW w:w="7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Unmanned Systems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w:t>
            </w:r>
          </w:p>
        </w:tc>
      </w:tr>
      <w:tr>
        <w:trPr>
          <w:trHeight w:val="234"/>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80" w:firstLine="2"/>
        <w:spacing w:after="0" w:line="235" w:lineRule="auto"/>
        <w:tabs>
          <w:tab w:leader="none" w:pos="167"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 Revenues from U.S. Government agency customers in aggregate accounted for approximately 68%, 67% and 69% of total revenues in 2025, 2024, and 2023, respectively. Other than the U.S. Government, no sales from any customer exceeded 10% of total revenues in 2025, 2024, and 2023.</w:t>
      </w:r>
    </w:p>
    <w:p>
      <w:pPr>
        <w:spacing w:after="0" w:line="224" w:lineRule="exact"/>
        <w:rPr>
          <w:rFonts w:ascii="Times New Roman" w:cs="Times New Roman" w:eastAsia="Times New Roman" w:hAnsi="Times New Roman"/>
          <w:sz w:val="21"/>
          <w:szCs w:val="21"/>
          <w:color w:val="auto"/>
          <w:vertAlign w:val="superscript"/>
        </w:rPr>
      </w:pPr>
    </w:p>
    <w:p>
      <w:pPr>
        <w:ind w:right="60" w:firstLine="2"/>
        <w:spacing w:after="0" w:line="231" w:lineRule="auto"/>
        <w:tabs>
          <w:tab w:leader="none" w:pos="159" w:val="left"/>
        </w:tabs>
        <w:numPr>
          <w:ilvl w:val="0"/>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Geographic Area was as follows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2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00" w:type="dxa"/>
            <w:vAlign w:val="bottom"/>
          </w:tcPr>
          <w:p>
            <w:pPr>
              <w:spacing w:after="0"/>
              <w:rPr>
                <w:sz w:val="13"/>
                <w:szCs w:val="13"/>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4"/>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December 28, 2025</w:t>
            </w: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December 29, 2024</w:t>
            </w: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r>
      <w:tr>
        <w:trPr>
          <w:trHeight w:val="215"/>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830.3</w:t>
            </w:r>
          </w:p>
        </w:tc>
      </w:tr>
      <w:tr>
        <w:trPr>
          <w:trHeight w:val="29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North America</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9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Middle East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r>
      <w:tr>
        <w:trPr>
          <w:trHeight w:val="216"/>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72"/>
        </w:trPr>
        <w:tc>
          <w:tcPr>
            <w:tcW w:w="708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140" w:firstLine="611"/>
        <w:spacing w:after="0" w:line="259" w:lineRule="auto"/>
        <w:rPr>
          <w:sz w:val="20"/>
          <w:szCs w:val="20"/>
          <w:color w:val="auto"/>
        </w:rPr>
      </w:pPr>
      <w:r>
        <w:rPr>
          <w:rFonts w:ascii="Times New Roman" w:cs="Times New Roman" w:eastAsia="Times New Roman" w:hAnsi="Times New Roman"/>
          <w:sz w:val="17"/>
          <w:szCs w:val="17"/>
          <w:color w:val="auto"/>
        </w:rPr>
        <w:t>For federal contracts, the Company follows U.S. Government procurement and accounting standards in assessing the allowability and the allocability of costs to contracts. Recurring evaluations of contract cost, scheduling and technical matters are performed by management. Costs incurred and allocated to contracts with the U.S. Government are scrutinized for compliance with regulatory standards by the Company’s personnel, and are subject to audit by the Defense Contract Audit Agency (“DCAA”).</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From time to time, the Company may proceed with work based on customer direction prior to the completion and signing of formal contract documents.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a formal review process for approving any such work. Revenue associated with such work is recognized only when the criteria to establish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contract under ASC 606 are met and the obligations under the contract are legally enforceable. As of December 28, 2025 and December 29, 2024, approximately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$34.5 million and $12.4 million, respectively, of the Company’s unbilled accounts receivable balance were under an authorization to proceed or work order from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customers where a formal purchase order had not yet been received.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87" w:name="page88"/>
    <w:bookmarkEnd w:id="87"/>
    <w:p>
      <w:pPr>
        <w:ind w:left="340" w:hanging="338"/>
        <w:spacing w:after="0"/>
        <w:tabs>
          <w:tab w:leader="none" w:pos="34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Inventoried costs</w:t>
      </w:r>
    </w:p>
    <w:p>
      <w:pPr>
        <w:spacing w:after="0" w:line="241" w:lineRule="exact"/>
        <w:rPr>
          <w:sz w:val="20"/>
          <w:szCs w:val="20"/>
          <w:color w:val="auto"/>
        </w:rPr>
      </w:pPr>
    </w:p>
    <w:p>
      <w:pPr>
        <w:ind w:right="60" w:firstLine="611"/>
        <w:spacing w:after="0" w:line="255" w:lineRule="auto"/>
        <w:rPr>
          <w:sz w:val="20"/>
          <w:szCs w:val="20"/>
          <w:color w:val="auto"/>
        </w:rPr>
      </w:pPr>
      <w:r>
        <w:rPr>
          <w:rFonts w:ascii="Times New Roman" w:cs="Times New Roman" w:eastAsia="Times New Roman" w:hAnsi="Times New Roman"/>
          <w:sz w:val="17"/>
          <w:szCs w:val="17"/>
          <w:color w:val="auto"/>
        </w:rPr>
        <w:t>Inventoried costs are stated at the lower of cost or estimated net realizable value. Cost is determined using the average cost or first-in, first-out methods and the applicable method is applied consistently within an operating entity. The Company capitalizes labor, material, subcontractor and overhead costs as work-in-process for contracts where control has not yet passed to the customer. In addition, the Company capitalizes costs incurred to fulfill a contract in advance of contract award in inventories as work-in-process if it is determined that contract award is probable. Pursuant to contract provisions of U.S. Government contracts, such customers may have title to, or a security interest in inventories related to such contracts as a result of advances, performance-based payments, and progress payments.</w:t>
      </w:r>
    </w:p>
    <w:p>
      <w:pPr>
        <w:spacing w:after="0" w:line="205" w:lineRule="exact"/>
        <w:rPr>
          <w:sz w:val="20"/>
          <w:szCs w:val="20"/>
          <w:color w:val="auto"/>
        </w:rPr>
      </w:pPr>
    </w:p>
    <w:p>
      <w:pPr>
        <w:ind w:right="160" w:firstLine="611"/>
        <w:spacing w:after="0" w:line="279" w:lineRule="auto"/>
        <w:rPr>
          <w:sz w:val="20"/>
          <w:szCs w:val="20"/>
          <w:color w:val="auto"/>
        </w:rPr>
      </w:pPr>
      <w:r>
        <w:rPr>
          <w:rFonts w:ascii="Times New Roman" w:cs="Times New Roman" w:eastAsia="Times New Roman" w:hAnsi="Times New Roman"/>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7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(g)</w:t>
      </w:r>
      <w:r>
        <w:rPr>
          <w:sz w:val="20"/>
          <w:szCs w:val="20"/>
          <w:color w:val="auto"/>
        </w:rPr>
        <w:tab/>
      </w:r>
      <w:r>
        <w:rPr>
          <w:rFonts w:ascii="Times New Roman" w:cs="Times New Roman" w:eastAsia="Times New Roman" w:hAnsi="Times New Roman"/>
          <w:sz w:val="16"/>
          <w:szCs w:val="16"/>
          <w:b w:val="1"/>
          <w:bCs w:val="1"/>
          <w:color w:val="auto"/>
        </w:rPr>
        <w:t>Research and Development</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Costs incurred in research and development activities are expensed as incurred in accordance with FASB ASC Topic 730</w:t>
      </w:r>
      <w:r>
        <w:rPr>
          <w:rFonts w:ascii="Times New Roman" w:cs="Times New Roman" w:eastAsia="Times New Roman" w:hAnsi="Times New Roman"/>
          <w:sz w:val="17"/>
          <w:szCs w:val="17"/>
          <w:i w:val="1"/>
          <w:iCs w:val="1"/>
          <w:color w:val="auto"/>
        </w:rPr>
        <w:t>, Research and Development.</w:t>
      </w:r>
    </w:p>
    <w:p>
      <w:pPr>
        <w:spacing w:after="0" w:line="23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(h)</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41" w:lineRule="exact"/>
        <w:rPr>
          <w:sz w:val="20"/>
          <w:szCs w:val="20"/>
          <w:color w:val="auto"/>
        </w:rPr>
      </w:pPr>
    </w:p>
    <w:p>
      <w:pPr>
        <w:ind w:right="120" w:firstLine="611"/>
        <w:spacing w:after="0" w:line="259" w:lineRule="auto"/>
        <w:rPr>
          <w:sz w:val="20"/>
          <w:szCs w:val="20"/>
          <w:color w:val="auto"/>
        </w:rPr>
      </w:pPr>
      <w:r>
        <w:rPr>
          <w:rFonts w:ascii="Times New Roman" w:cs="Times New Roman" w:eastAsia="Times New Roman" w:hAnsi="Times New Roman"/>
          <w:sz w:val="17"/>
          <w:szCs w:val="17"/>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200" w:lineRule="exact"/>
        <w:rPr>
          <w:sz w:val="20"/>
          <w:szCs w:val="20"/>
          <w:color w:val="auto"/>
        </w:rPr>
      </w:pPr>
    </w:p>
    <w:p>
      <w:pPr>
        <w:jc w:val="both"/>
        <w:ind w:right="140" w:firstLine="611"/>
        <w:spacing w:after="0" w:line="264" w:lineRule="auto"/>
        <w:rPr>
          <w:sz w:val="20"/>
          <w:szCs w:val="20"/>
          <w:color w:val="auto"/>
        </w:rPr>
      </w:pPr>
      <w:r>
        <w:rPr>
          <w:rFonts w:ascii="Times New Roman" w:cs="Times New Roman" w:eastAsia="Times New Roman" w:hAnsi="Times New Roman"/>
          <w:sz w:val="17"/>
          <w:szCs w:val="17"/>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91" w:lineRule="exact"/>
        <w:rPr>
          <w:sz w:val="20"/>
          <w:szCs w:val="20"/>
          <w:color w:val="auto"/>
        </w:rPr>
      </w:pPr>
    </w:p>
    <w:p>
      <w:pPr>
        <w:ind w:right="40" w:firstLine="611"/>
        <w:spacing w:after="0" w:line="258" w:lineRule="auto"/>
        <w:rPr>
          <w:sz w:val="20"/>
          <w:szCs w:val="20"/>
          <w:color w:val="auto"/>
        </w:rPr>
      </w:pPr>
      <w:r>
        <w:rPr>
          <w:rFonts w:ascii="Times New Roman" w:cs="Times New Roman" w:eastAsia="Times New Roman" w:hAnsi="Times New Roman"/>
          <w:sz w:val="17"/>
          <w:szCs w:val="17"/>
          <w:color w:val="auto"/>
        </w:rPr>
        <w:t xml:space="preserve">In accordance with the recognition standards established by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(“Topic 740”),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197" w:lineRule="exact"/>
        <w:rPr>
          <w:sz w:val="20"/>
          <w:szCs w:val="20"/>
          <w:color w:val="auto"/>
        </w:rPr>
      </w:pPr>
    </w:p>
    <w:p>
      <w:pPr>
        <w:ind w:left="340" w:hanging="338"/>
        <w:spacing w:after="0"/>
        <w:tabs>
          <w:tab w:leader="none" w:pos="34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237" w:lineRule="exact"/>
        <w:rPr>
          <w:sz w:val="20"/>
          <w:szCs w:val="20"/>
          <w:color w:val="auto"/>
        </w:rPr>
      </w:pPr>
    </w:p>
    <w:p>
      <w:pPr>
        <w:ind w:right="40" w:firstLine="611"/>
        <w:spacing w:after="0" w:line="245" w:lineRule="auto"/>
        <w:rPr>
          <w:sz w:val="20"/>
          <w:szCs w:val="20"/>
          <w:color w:val="auto"/>
        </w:rPr>
      </w:pPr>
      <w:r>
        <w:rPr>
          <w:rFonts w:ascii="Times New Roman" w:cs="Times New Roman" w:eastAsia="Times New Roman" w:hAnsi="Times New Roman"/>
          <w:sz w:val="17"/>
          <w:szCs w:val="17"/>
          <w:color w:val="auto"/>
        </w:rPr>
        <w:t>The Company accounts for stock-based compensation in accordance with ASC Topic 718</w:t>
      </w:r>
      <w:r>
        <w:rPr>
          <w:rFonts w:ascii="Times New Roman" w:cs="Times New Roman" w:eastAsia="Times New Roman" w:hAnsi="Times New Roman"/>
          <w:sz w:val="17"/>
          <w:szCs w:val="17"/>
          <w:i w:val="1"/>
          <w:iCs w:val="1"/>
          <w:color w:val="auto"/>
        </w:rPr>
        <w:t>, Compensation-Stock Compensation</w:t>
      </w:r>
      <w:r>
        <w:rPr>
          <w:rFonts w:ascii="Times New Roman" w:cs="Times New Roman" w:eastAsia="Times New Roman" w:hAnsi="Times New Roman"/>
          <w:sz w:val="17"/>
          <w:szCs w:val="17"/>
          <w:color w:val="auto"/>
        </w:rPr>
        <w:t xml:space="preserve"> (“Topic 718”). All of the Company’s stock-based compensation plans are considered equity plans under </w:t>
      </w:r>
      <w:r>
        <w:rPr>
          <w:rFonts w:ascii="Times New Roman" w:cs="Times New Roman" w:eastAsia="Times New Roman" w:hAnsi="Times New Roman"/>
          <w:sz w:val="17"/>
          <w:szCs w:val="17"/>
          <w:i w:val="1"/>
          <w:iCs w:val="1"/>
          <w:color w:val="auto"/>
        </w:rPr>
        <w:t>Topic 718</w:t>
      </w:r>
      <w:r>
        <w:rPr>
          <w:rFonts w:ascii="Times New Roman" w:cs="Times New Roman" w:eastAsia="Times New Roman" w:hAnsi="Times New Roman"/>
          <w:sz w:val="17"/>
          <w:szCs w:val="17"/>
          <w:color w:val="auto"/>
        </w:rPr>
        <w:t>, and compensation expense recognized is net of estimated forfeitures over the vesting period. The Company issues stock options and stock awards under its existing plans. The fair value of stock awards is determined based on the closing market price of the Company’s common stock on the grant date and is adjusted for forfeiture estimates and number of awards expected to vest at each reporting date. Compensation expense for stock awards is expensed over the vesting period, usually five to ten years. Compensation expense for stock issued under the Company’s employee stock purchase plan is estimated at the beginning date of the offering period using a Black-Scholes option-pricing model and is expensed on a straight-line basis over the period of the offering, which is generally six months.</w:t>
      </w:r>
    </w:p>
    <w:p>
      <w:pPr>
        <w:spacing w:after="0" w:line="199" w:lineRule="exact"/>
        <w:rPr>
          <w:sz w:val="20"/>
          <w:szCs w:val="20"/>
          <w:color w:val="auto"/>
        </w:rPr>
      </w:pPr>
    </w:p>
    <w:p>
      <w:pPr>
        <w:ind w:firstLine="611"/>
        <w:spacing w:after="0" w:line="259" w:lineRule="auto"/>
        <w:rPr>
          <w:sz w:val="20"/>
          <w:szCs w:val="20"/>
          <w:color w:val="auto"/>
        </w:rPr>
      </w:pPr>
      <w:r>
        <w:rPr>
          <w:rFonts w:ascii="Times New Roman" w:cs="Times New Roman" w:eastAsia="Times New Roman" w:hAnsi="Times New Roman"/>
          <w:sz w:val="17"/>
          <w:szCs w:val="17"/>
          <w:color w:val="auto"/>
        </w:rPr>
        <w:t>When tax deductions from stock awards are greater than the cumulative book compensation expense, the tax effect of the resulting difference is a windfall. For the year ended December 28, 2025, an income tax benefit of $3.0 million was recorded for windfalls generated from stock awards exercised in 2025. For the year ended December 29, 2024, an income tax expense of $0.2 million was recorded for the shortfall generated from stock awards exercised in 2024. For the tax year ended December 31, 2023, an income tax expense of $0.4 million was recorded for the shortfall generated from stock awards exercised in 2023.</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88" w:name="page89"/>
    <w:bookmarkEnd w:id="88"/>
    <w:p>
      <w:pPr>
        <w:ind w:right="280" w:firstLine="611"/>
        <w:spacing w:after="0" w:line="279" w:lineRule="auto"/>
        <w:rPr>
          <w:sz w:val="20"/>
          <w:szCs w:val="20"/>
          <w:color w:val="auto"/>
        </w:rPr>
      </w:pPr>
      <w:r>
        <w:rPr>
          <w:rFonts w:ascii="Times New Roman" w:cs="Times New Roman" w:eastAsia="Times New Roman" w:hAnsi="Times New Roman"/>
          <w:sz w:val="17"/>
          <w:szCs w:val="17"/>
          <w:color w:val="auto"/>
        </w:rPr>
        <w:t>The following table shows the amounts recognized in the consolidated financial statements for stock-based compensation expense related to stock awards and stock offered under the Company’s employee stock purchase plan (in millions).</w:t>
      </w:r>
    </w:p>
    <w:p>
      <w:pPr>
        <w:spacing w:after="0" w:line="192"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Year ended D</w:t>
            </w:r>
          </w:p>
        </w:tc>
      </w:tr>
      <w:tr>
        <w:trPr>
          <w:trHeight w:val="195"/>
        </w:trPr>
        <w:tc>
          <w:tcPr>
            <w:tcW w:w="7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28, 2025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29, 2024</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31, 202</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r>
      <w:tr>
        <w:trPr>
          <w:trHeight w:val="166"/>
        </w:trPr>
        <w:tc>
          <w:tcPr>
            <w:tcW w:w="706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Total cost of employee stock-based compensation included in operating income from consolidated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8"/>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operations</w:t>
            </w:r>
          </w:p>
        </w:tc>
        <w:tc>
          <w:tcPr>
            <w:tcW w:w="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r>
    </w:tbl>
    <w:p>
      <w:pPr>
        <w:spacing w:after="0" w:line="299" w:lineRule="exact"/>
        <w:rPr>
          <w:sz w:val="20"/>
          <w:szCs w:val="20"/>
          <w:color w:val="auto"/>
        </w:rPr>
      </w:pPr>
    </w:p>
    <w:p>
      <w:pPr>
        <w:ind w:left="340" w:hanging="338"/>
        <w:spacing w:after="0"/>
        <w:tabs>
          <w:tab w:leader="none" w:pos="34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Allowance for Doubtful Accounts</w:t>
      </w:r>
    </w:p>
    <w:p>
      <w:pPr>
        <w:spacing w:after="0" w:line="241" w:lineRule="exact"/>
        <w:rPr>
          <w:sz w:val="20"/>
          <w:szCs w:val="20"/>
          <w:color w:val="auto"/>
        </w:rPr>
      </w:pPr>
    </w:p>
    <w:p>
      <w:pPr>
        <w:ind w:right="200" w:firstLine="611"/>
        <w:spacing w:after="0" w:line="255" w:lineRule="auto"/>
        <w:rPr>
          <w:sz w:val="20"/>
          <w:szCs w:val="20"/>
          <w:color w:val="auto"/>
        </w:rPr>
      </w:pPr>
      <w:r>
        <w:rPr>
          <w:rFonts w:ascii="Times New Roman" w:cs="Times New Roman" w:eastAsia="Times New Roman" w:hAnsi="Times New Roman"/>
          <w:sz w:val="17"/>
          <w:szCs w:val="17"/>
          <w:color w:val="auto"/>
        </w:rPr>
        <w:t>The Company maintains an allowance for doubtful accounts for estimated losses resulting from the inability of its customers to make required payments, which results in bad debt expense. The allowance for doubtful accounts is a valuation account deducted from the cost basis of the assets to present their net carrying value at the amount expected to be collected. When the Company records customer receivables and contract assets arising from revenue transactions, it records an allowance for credit losses for the current expected credit losses inherent in the asset over its expected life. The Company estimates expected credit losses based on relevant information about past events, including historical experience, current conditions, and reasonable and supportable forecasts that affect the collectability of the reported amount.</w:t>
      </w:r>
    </w:p>
    <w:p>
      <w:pPr>
        <w:spacing w:after="0" w:line="205" w:lineRule="exact"/>
        <w:rPr>
          <w:sz w:val="20"/>
          <w:szCs w:val="20"/>
          <w:color w:val="auto"/>
        </w:rPr>
      </w:pPr>
    </w:p>
    <w:p>
      <w:pPr>
        <w:ind w:right="160" w:firstLine="611"/>
        <w:spacing w:after="0" w:line="255" w:lineRule="auto"/>
        <w:rPr>
          <w:sz w:val="20"/>
          <w:szCs w:val="20"/>
          <w:color w:val="auto"/>
        </w:rPr>
      </w:pPr>
      <w:r>
        <w:rPr>
          <w:rFonts w:ascii="Times New Roman" w:cs="Times New Roman" w:eastAsia="Times New Roman" w:hAnsi="Times New Roman"/>
          <w:sz w:val="17"/>
          <w:szCs w:val="17"/>
          <w:color w:val="auto"/>
        </w:rPr>
        <w:t>Management determines the adequacy of this allowance by periodically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202" w:lineRule="exact"/>
        <w:rPr>
          <w:sz w:val="20"/>
          <w:szCs w:val="20"/>
          <w:color w:val="auto"/>
        </w:rPr>
      </w:pPr>
    </w:p>
    <w:p>
      <w:pPr>
        <w:ind w:right="440" w:firstLine="611"/>
        <w:spacing w:after="0" w:line="279" w:lineRule="auto"/>
        <w:rPr>
          <w:sz w:val="20"/>
          <w:szCs w:val="20"/>
          <w:color w:val="auto"/>
        </w:rPr>
      </w:pPr>
      <w:r>
        <w:rPr>
          <w:rFonts w:ascii="Times New Roman" w:cs="Times New Roman" w:eastAsia="Times New Roman" w:hAnsi="Times New Roman"/>
          <w:sz w:val="17"/>
          <w:szCs w:val="17"/>
          <w:color w:val="auto"/>
        </w:rPr>
        <w:t>The following table outlines the balance of the Company’s allowance for doubtful accounts for 2025, 2024 and 2023. The table identifies the additional provisions each year as well as the write-offs that utilized the allowance (in millions).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3160" w:type="dxa"/>
            <w:vAlign w:val="bottom"/>
            <w:gridSpan w:val="3"/>
          </w:tcPr>
          <w:p>
            <w:pPr>
              <w:jc w:val="center"/>
              <w:ind w:left="1539"/>
              <w:spacing w:after="0"/>
              <w:rPr>
                <w:sz w:val="20"/>
                <w:szCs w:val="20"/>
                <w:color w:val="auto"/>
              </w:rPr>
            </w:pPr>
            <w:r>
              <w:rPr>
                <w:rFonts w:ascii="Times New Roman" w:cs="Times New Roman" w:eastAsia="Times New Roman" w:hAnsi="Times New Roman"/>
                <w:sz w:val="14"/>
                <w:szCs w:val="14"/>
                <w:b w:val="1"/>
                <w:bCs w:val="1"/>
                <w:color w:val="auto"/>
                <w:w w:val="96"/>
              </w:rPr>
              <w:t>Balance at Beginning</w:t>
            </w: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20" w:type="dxa"/>
            <w:vAlign w:val="bottom"/>
          </w:tcPr>
          <w:p>
            <w:pPr>
              <w:spacing w:after="0"/>
              <w:rPr>
                <w:sz w:val="13"/>
                <w:szCs w:val="13"/>
                <w:color w:val="auto"/>
              </w:rPr>
            </w:pPr>
          </w:p>
        </w:tc>
        <w:tc>
          <w:tcPr>
            <w:tcW w:w="12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6"/>
              </w:rPr>
              <w:t>Balance at End of</w:t>
            </w:r>
          </w:p>
        </w:tc>
        <w:tc>
          <w:tcPr>
            <w:tcW w:w="0" w:type="dxa"/>
            <w:vAlign w:val="bottom"/>
          </w:tcPr>
          <w:p>
            <w:pPr>
              <w:spacing w:after="0"/>
              <w:rPr>
                <w:sz w:val="1"/>
                <w:szCs w:val="1"/>
                <w:color w:val="auto"/>
              </w:rPr>
            </w:pPr>
          </w:p>
        </w:tc>
      </w:tr>
      <w:tr>
        <w:trPr>
          <w:trHeight w:val="185"/>
        </w:trPr>
        <w:tc>
          <w:tcPr>
            <w:tcW w:w="39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3"/>
              </w:rPr>
              <w:t>of Year</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20" w:type="dxa"/>
            <w:vAlign w:val="bottom"/>
          </w:tcPr>
          <w:p>
            <w:pPr>
              <w:spacing w:after="0"/>
              <w:rPr>
                <w:sz w:val="16"/>
                <w:szCs w:val="16"/>
                <w:color w:val="auto"/>
              </w:rPr>
            </w:pPr>
          </w:p>
        </w:tc>
        <w:tc>
          <w:tcPr>
            <w:tcW w:w="12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15"/>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20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29, 2024</w:t>
            </w:r>
          </w:p>
        </w:tc>
        <w:tc>
          <w:tcPr>
            <w:tcW w:w="200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28, 2025</w:t>
            </w:r>
          </w:p>
        </w:tc>
        <w:tc>
          <w:tcPr>
            <w:tcW w:w="2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(k)</w:t>
        <w:tab/>
        <w:t>Cash and Cash Equivalents</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cash equivalents consist of its highly liquid investments with an original maturity of three months or less when purchased by the Company.</w:t>
      </w:r>
    </w:p>
    <w:p>
      <w:pPr>
        <w:spacing w:after="0" w:line="233" w:lineRule="exact"/>
        <w:rPr>
          <w:sz w:val="20"/>
          <w:szCs w:val="20"/>
          <w:color w:val="auto"/>
        </w:rPr>
      </w:pPr>
    </w:p>
    <w:p>
      <w:pPr>
        <w:ind w:left="340" w:hanging="338"/>
        <w:spacing w:after="0"/>
        <w:tabs>
          <w:tab w:leader="none" w:pos="34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 Net</w:t>
      </w:r>
    </w:p>
    <w:p>
      <w:pPr>
        <w:spacing w:after="0" w:line="241" w:lineRule="exact"/>
        <w:rPr>
          <w:sz w:val="20"/>
          <w:szCs w:val="20"/>
          <w:color w:val="auto"/>
        </w:rPr>
      </w:pPr>
    </w:p>
    <w:p>
      <w:pPr>
        <w:jc w:val="both"/>
        <w:ind w:right="200" w:firstLine="611"/>
        <w:spacing w:after="0" w:line="259" w:lineRule="auto"/>
        <w:rPr>
          <w:sz w:val="20"/>
          <w:szCs w:val="20"/>
          <w:color w:val="auto"/>
        </w:rPr>
      </w:pPr>
      <w:r>
        <w:rPr>
          <w:rFonts w:ascii="Times New Roman" w:cs="Times New Roman" w:eastAsia="Times New Roman" w:hAnsi="Times New Roman"/>
          <w:sz w:val="17"/>
          <w:szCs w:val="17"/>
          <w:color w:val="auto"/>
        </w:rPr>
        <w:t>Property and equipment, net owned by the Company is depreciated over the estimated useful lives of individual assets. Equipment acquired under finance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sectPr>
      </w:pPr>
    </w:p>
    <w:bookmarkStart w:id="89" w:name="page90"/>
    <w:bookmarkEnd w:id="89"/>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Assets are depreciated predominately using the straight-line method, with the following lives: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904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r>
      <w:tr>
        <w:trPr>
          <w:trHeight w:val="24"/>
        </w:trPr>
        <w:tc>
          <w:tcPr>
            <w:tcW w:w="90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0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15 – 39</w:t>
            </w:r>
          </w:p>
        </w:tc>
      </w:tr>
      <w:tr>
        <w:trPr>
          <w:trHeight w:val="216"/>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 – 20</w:t>
            </w:r>
          </w:p>
        </w:tc>
      </w:tr>
      <w:tr>
        <w:trPr>
          <w:trHeight w:val="216"/>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 – 10</w:t>
            </w:r>
          </w:p>
        </w:tc>
      </w:tr>
      <w:tr>
        <w:trPr>
          <w:trHeight w:val="216"/>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Vehicles, furniture, and office equipment</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166"/>
        </w:trPr>
        <w:tc>
          <w:tcPr>
            <w:tcW w:w="9040" w:type="dxa"/>
            <w:vAlign w:val="bottom"/>
            <w:shd w:val="clear" w:color="auto" w:fill="CCEEFF"/>
          </w:tcPr>
          <w:p>
            <w:pPr>
              <w:spacing w:after="0"/>
              <w:rPr>
                <w:sz w:val="14"/>
                <w:szCs w:val="14"/>
                <w:color w:val="auto"/>
              </w:rPr>
            </w:pPr>
          </w:p>
        </w:tc>
        <w:tc>
          <w:tcPr>
            <w:tcW w:w="218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7"/>
                <w:szCs w:val="17"/>
                <w:color w:val="auto"/>
                <w:w w:val="99"/>
              </w:rPr>
              <w:t>Shorter of useful life or length</w:t>
            </w: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of lease</w:t>
            </w:r>
          </w:p>
        </w:tc>
      </w:tr>
    </w:tbl>
    <w:p>
      <w:pPr>
        <w:spacing w:after="0" w:line="29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(m)</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241" w:lineRule="exact"/>
        <w:rPr>
          <w:sz w:val="20"/>
          <w:szCs w:val="20"/>
          <w:color w:val="auto"/>
        </w:rPr>
      </w:pPr>
    </w:p>
    <w:p>
      <w:pPr>
        <w:ind w:firstLine="611"/>
        <w:spacing w:after="0" w:line="254" w:lineRule="auto"/>
        <w:rPr>
          <w:sz w:val="20"/>
          <w:szCs w:val="20"/>
          <w:color w:val="auto"/>
        </w:rPr>
      </w:pPr>
      <w:r>
        <w:rPr>
          <w:rFonts w:ascii="Times New Roman" w:cs="Times New Roman" w:eastAsia="Times New Roman" w:hAnsi="Times New Roman"/>
          <w:sz w:val="17"/>
          <w:szCs w:val="17"/>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 in the calculation of the lease asset and corresponding liability.</w:t>
      </w:r>
    </w:p>
    <w:p>
      <w:pPr>
        <w:spacing w:after="0" w:line="204" w:lineRule="exact"/>
        <w:rPr>
          <w:sz w:val="20"/>
          <w:szCs w:val="20"/>
          <w:color w:val="auto"/>
        </w:rPr>
      </w:pPr>
    </w:p>
    <w:p>
      <w:pPr>
        <w:ind w:right="160" w:firstLine="611"/>
        <w:spacing w:after="0" w:line="279" w:lineRule="auto"/>
        <w:rPr>
          <w:sz w:val="20"/>
          <w:szCs w:val="20"/>
          <w:color w:val="auto"/>
        </w:rPr>
      </w:pPr>
      <w:r>
        <w:rPr>
          <w:rFonts w:ascii="Times New Roman" w:cs="Times New Roman" w:eastAsia="Times New Roman" w:hAnsi="Times New Roman"/>
          <w:sz w:val="17"/>
          <w:szCs w:val="17"/>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82" w:lineRule="exact"/>
        <w:rPr>
          <w:sz w:val="20"/>
          <w:szCs w:val="20"/>
          <w:color w:val="auto"/>
        </w:rPr>
      </w:pPr>
    </w:p>
    <w:p>
      <w:pPr>
        <w:ind w:right="240" w:firstLine="611"/>
        <w:spacing w:after="0" w:line="259" w:lineRule="auto"/>
        <w:rPr>
          <w:sz w:val="20"/>
          <w:szCs w:val="20"/>
          <w:color w:val="auto"/>
        </w:rPr>
      </w:pPr>
      <w:r>
        <w:rPr>
          <w:rFonts w:ascii="Times New Roman" w:cs="Times New Roman" w:eastAsia="Times New Roman" w:hAnsi="Times New Roman"/>
          <w:sz w:val="17"/>
          <w:szCs w:val="17"/>
          <w:color w:val="auto"/>
        </w:rPr>
        <w:t>The depreciable life of lease assets and leasehold improvements is limited by the expected lease term, unless there is a transfer of title or purchase option reasonably certain of exercise.</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6 for additional disclosures related to the Company’s lease obligations.</w:t>
      </w:r>
    </w:p>
    <w:p>
      <w:pPr>
        <w:spacing w:after="0" w:line="2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(n)</w:t>
        <w:tab/>
        <w:t>Goodwill and Other Intangible Assets, Net</w:t>
      </w:r>
    </w:p>
    <w:p>
      <w:pPr>
        <w:spacing w:after="0" w:line="237" w:lineRule="exact"/>
        <w:rPr>
          <w:sz w:val="20"/>
          <w:szCs w:val="20"/>
          <w:color w:val="auto"/>
        </w:rPr>
      </w:pPr>
    </w:p>
    <w:p>
      <w:pPr>
        <w:ind w:right="100" w:firstLine="611"/>
        <w:spacing w:after="0" w:line="258" w:lineRule="auto"/>
        <w:rPr>
          <w:sz w:val="20"/>
          <w:szCs w:val="20"/>
          <w:color w:val="auto"/>
        </w:rPr>
      </w:pPr>
      <w:r>
        <w:rPr>
          <w:rFonts w:ascii="Times New Roman" w:cs="Times New Roman" w:eastAsia="Times New Roman" w:hAnsi="Times New Roman"/>
          <w:sz w:val="17"/>
          <w:szCs w:val="17"/>
          <w:color w:val="auto"/>
        </w:rPr>
        <w:t xml:space="preserve">In accordance with the provisions of ASC Topic 350, </w:t>
      </w:r>
      <w:r>
        <w:rPr>
          <w:rFonts w:ascii="Times New Roman" w:cs="Times New Roman" w:eastAsia="Times New Roman" w:hAnsi="Times New Roman"/>
          <w:sz w:val="17"/>
          <w:szCs w:val="17"/>
          <w:i w:val="1"/>
          <w:iCs w:val="1"/>
          <w:color w:val="auto"/>
        </w:rPr>
        <w:t>Intangibles-Goodwill and Other</w:t>
      </w:r>
      <w:r>
        <w:rPr>
          <w:rFonts w:ascii="Times New Roman" w:cs="Times New Roman" w:eastAsia="Times New Roman" w:hAnsi="Times New Roman"/>
          <w:sz w:val="17"/>
          <w:szCs w:val="17"/>
          <w:color w:val="auto"/>
        </w:rPr>
        <w:t xml:space="preserve"> (“Topic 350”), the Company performs impairment tests for goodwill and indefinite lived intangibles as of the last day of its fiscal October, or when evidence of potential impairment exists. When it is determined that impairment has occurred, a charge to operations is recorded. Goodwill and other purchased intangible asset balances are included in the identifiable assets of the operating segment to which they have been assigned. Any goodwill impairment, as well as the amortization of other purchased intangible assets, is charged against the respective segments’ operating income.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 xml:space="preserve">In accordance with </w:t>
      </w:r>
      <w:r>
        <w:rPr>
          <w:rFonts w:ascii="Times New Roman" w:cs="Times New Roman" w:eastAsia="Times New Roman" w:hAnsi="Times New Roman"/>
          <w:sz w:val="16"/>
          <w:szCs w:val="16"/>
          <w:i w:val="1"/>
          <w:iCs w:val="1"/>
          <w:color w:val="auto"/>
        </w:rPr>
        <w:t>Topic 350</w:t>
      </w:r>
      <w:r>
        <w:rPr>
          <w:rFonts w:ascii="Times New Roman" w:cs="Times New Roman" w:eastAsia="Times New Roman" w:hAnsi="Times New Roman"/>
          <w:sz w:val="16"/>
          <w:szCs w:val="16"/>
          <w:color w:val="auto"/>
        </w:rPr>
        <w:t>, the Company classifies intangible assets into two categories: (1) intangible assets with finite lives subject to amortization and</w:t>
      </w:r>
    </w:p>
    <w:p>
      <w:pPr>
        <w:spacing w:after="0" w:line="39" w:lineRule="exact"/>
        <w:rPr>
          <w:sz w:val="20"/>
          <w:szCs w:val="20"/>
          <w:color w:val="auto"/>
        </w:rPr>
      </w:pPr>
    </w:p>
    <w:p>
      <w:pPr>
        <w:ind w:right="260" w:firstLine="2"/>
        <w:spacing w:after="0" w:line="253" w:lineRule="auto"/>
        <w:tabs>
          <w:tab w:leader="none" w:pos="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intangible assets with indefinite lives not subject to amortization. Separately,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204" w:lineRule="exact"/>
        <w:rPr>
          <w:sz w:val="20"/>
          <w:szCs w:val="20"/>
          <w:color w:val="auto"/>
        </w:rPr>
      </w:pPr>
    </w:p>
    <w:p>
      <w:pPr>
        <w:ind w:right="40" w:firstLine="611"/>
        <w:spacing w:after="0" w:line="257" w:lineRule="auto"/>
        <w:rPr>
          <w:sz w:val="20"/>
          <w:szCs w:val="20"/>
          <w:color w:val="auto"/>
        </w:rPr>
      </w:pPr>
      <w:r>
        <w:rPr>
          <w:rFonts w:ascii="Times New Roman" w:cs="Times New Roman" w:eastAsia="Times New Roman" w:hAnsi="Times New Roman"/>
          <w:sz w:val="17"/>
          <w:szCs w:val="17"/>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that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19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(o)</w:t>
        <w:tab/>
        <w:t>Impairment of Long-Lived Assets and Long-Lived Assets to Be Disposed Of</w:t>
      </w:r>
    </w:p>
    <w:p>
      <w:pPr>
        <w:spacing w:after="0" w:line="237" w:lineRule="exact"/>
        <w:rPr>
          <w:sz w:val="20"/>
          <w:szCs w:val="20"/>
          <w:color w:val="auto"/>
        </w:rPr>
      </w:pPr>
    </w:p>
    <w:p>
      <w:pPr>
        <w:ind w:right="100" w:firstLine="611"/>
        <w:spacing w:after="0" w:line="258" w:lineRule="auto"/>
        <w:rPr>
          <w:sz w:val="20"/>
          <w:szCs w:val="20"/>
          <w:color w:val="auto"/>
        </w:rPr>
      </w:pPr>
      <w:r>
        <w:rPr>
          <w:rFonts w:ascii="Times New Roman" w:cs="Times New Roman" w:eastAsia="Times New Roman" w:hAnsi="Times New Roman"/>
          <w:sz w:val="17"/>
          <w:szCs w:val="17"/>
          <w:color w:val="auto"/>
        </w:rPr>
        <w:t xml:space="preserve">Long-lived assets are reviewed for impairment in accordance with ASC Topic 360,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200" w:lineRule="exact"/>
        <w:rPr>
          <w:sz w:val="20"/>
          <w:szCs w:val="20"/>
          <w:color w:val="auto"/>
        </w:rPr>
      </w:pPr>
    </w:p>
    <w:p>
      <w:pPr>
        <w:spacing w:after="0" w:line="22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(p)</w:t>
      </w:r>
      <w:r>
        <w:rPr>
          <w:sz w:val="20"/>
          <w:szCs w:val="20"/>
          <w:color w:val="auto"/>
        </w:rPr>
        <w:tab/>
      </w:r>
      <w:r>
        <w:rPr>
          <w:rFonts w:ascii="Times New Roman" w:cs="Times New Roman" w:eastAsia="Times New Roman" w:hAnsi="Times New Roman"/>
          <w:sz w:val="16"/>
          <w:szCs w:val="16"/>
          <w:b w:val="1"/>
          <w:bCs w:val="1"/>
          <w:color w:val="auto"/>
        </w:rPr>
        <w:t>Fair Value of Financial Instruments</w:t>
      </w:r>
    </w:p>
    <w:p>
      <w:pPr>
        <w:spacing w:after="0" w:line="237" w:lineRule="exact"/>
        <w:rPr>
          <w:sz w:val="20"/>
          <w:szCs w:val="20"/>
          <w:color w:val="auto"/>
        </w:rPr>
      </w:pPr>
    </w:p>
    <w:p>
      <w:pPr>
        <w:ind w:right="140" w:firstLine="611"/>
        <w:spacing w:after="0" w:line="258" w:lineRule="auto"/>
        <w:rPr>
          <w:sz w:val="20"/>
          <w:szCs w:val="20"/>
          <w:color w:val="auto"/>
        </w:rPr>
      </w:pPr>
      <w:r>
        <w:rPr>
          <w:rFonts w:ascii="Times New Roman" w:cs="Times New Roman" w:eastAsia="Times New Roman" w:hAnsi="Times New Roman"/>
          <w:sz w:val="17"/>
          <w:szCs w:val="17"/>
          <w:color w:val="auto"/>
        </w:rPr>
        <w:t>ASC Topic 825</w:t>
      </w:r>
      <w:r>
        <w:rPr>
          <w:rFonts w:ascii="Times New Roman" w:cs="Times New Roman" w:eastAsia="Times New Roman" w:hAnsi="Times New Roman"/>
          <w:sz w:val="17"/>
          <w:szCs w:val="17"/>
          <w:i w:val="1"/>
          <w:iCs w:val="1"/>
          <w:color w:val="auto"/>
        </w:rPr>
        <w:t>, Financial Instruments,</w:t>
      </w:r>
      <w:r>
        <w:rPr>
          <w:rFonts w:ascii="Times New Roman" w:cs="Times New Roman" w:eastAsia="Times New Roman" w:hAnsi="Times New Roman"/>
          <w:sz w:val="17"/>
          <w:szCs w:val="17"/>
          <w:color w:val="auto"/>
        </w:rPr>
        <w:t xml:space="preserve"> requires that fair values be disclosed for the Company’s financial instruments. The carrying amounts of cash equivalents, accounts receivable, accounts payable, accrued expenses, billings in excess of costs and earnings on uncompleted contracts, and income taxes payable, approximate fair value due to the short-term nature of these instruments. The estimated fair value of the Company’s long-term debt outstanding at December 29, 2024 is disclosed at fair value. As discussed in Note 5, on July 2, 2025, the Company extinguished the then-outstanding Term Loan A under the Company’s Credit Agreement.</w:t>
      </w:r>
    </w:p>
    <w:p>
      <w:pPr>
        <w:spacing w:after="0" w:line="201"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The Company uses forward exchange contracts to manage foreign currency risk associated with our debts as well as foreign currency risks associated with certain transactions, specifically forecasted materials and salaries paid in foreign currencies. These derivative instruments are measured at fair value using observable market inputs such as forward rates. Based on these inputs, the derivative instruments are classified within Level 2 of the valuation hierarchy. At December 29, 2024, the derivative instruments were included in other current assets and other current liabilities on the Company’s Consolidated Balance Sheets. At December 28, 2025, we had no such contracts outstanding. The carrying amounts and the related fair values of the Company’s derivative instruments measured at fair value on a recurring basis at December 28, 2025 and December 29, 2024, are presented in Note 16.</w:t>
      </w:r>
    </w:p>
    <w:p>
      <w:pPr>
        <w:spacing w:after="0" w:line="20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(q)</w:t>
      </w:r>
      <w:r>
        <w:rPr>
          <w:sz w:val="20"/>
          <w:szCs w:val="20"/>
          <w:color w:val="auto"/>
        </w:rPr>
        <w:tab/>
      </w:r>
      <w:r>
        <w:rPr>
          <w:rFonts w:ascii="Times New Roman" w:cs="Times New Roman" w:eastAsia="Times New Roman" w:hAnsi="Times New Roman"/>
          <w:sz w:val="16"/>
          <w:szCs w:val="16"/>
          <w:b w:val="1"/>
          <w:bCs w:val="1"/>
          <w:color w:val="auto"/>
        </w:rPr>
        <w:t>Concentrations and Uncertainties</w:t>
      </w:r>
    </w:p>
    <w:p>
      <w:pPr>
        <w:spacing w:after="0" w:line="241" w:lineRule="exact"/>
        <w:rPr>
          <w:sz w:val="20"/>
          <w:szCs w:val="20"/>
          <w:color w:val="auto"/>
        </w:rPr>
      </w:pPr>
    </w:p>
    <w:p>
      <w:pPr>
        <w:ind w:right="260" w:firstLine="611"/>
        <w:spacing w:after="0" w:line="311" w:lineRule="auto"/>
        <w:rPr>
          <w:sz w:val="20"/>
          <w:szCs w:val="20"/>
          <w:color w:val="auto"/>
        </w:rPr>
      </w:pPr>
      <w:r>
        <w:rPr>
          <w:rFonts w:ascii="Times New Roman" w:cs="Times New Roman" w:eastAsia="Times New Roman" w:hAnsi="Times New Roman"/>
          <w:sz w:val="16"/>
          <w:szCs w:val="16"/>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w:t>
      </w:r>
    </w:p>
    <w:p>
      <w:pPr>
        <w:sectPr>
          <w:pgSz w:w="11900" w:h="16960" w:orient="portrait"/>
          <w:cols w:equalWidth="0" w:num="1">
            <w:col w:w="11240"/>
          </w:cols>
          <w:pgMar w:left="320" w:top="849" w:right="339" w:bottom="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color w:val="auto"/>
        </w:rPr>
        <w:t>significant credit risk with respect to such cash and cash equivalents.</w:t>
      </w:r>
    </w:p>
    <w:p>
      <w:pPr>
        <w:spacing w:after="0" w:line="237" w:lineRule="exact"/>
        <w:rPr>
          <w:sz w:val="20"/>
          <w:szCs w:val="20"/>
          <w:color w:val="auto"/>
        </w:rPr>
      </w:pPr>
    </w:p>
    <w:p>
      <w:pPr>
        <w:ind w:right="180" w:firstLine="611"/>
        <w:spacing w:after="0" w:line="257" w:lineRule="auto"/>
        <w:rPr>
          <w:sz w:val="20"/>
          <w:szCs w:val="20"/>
          <w:color w:val="auto"/>
        </w:rPr>
      </w:pPr>
      <w:r>
        <w:rPr>
          <w:rFonts w:ascii="Times New Roman" w:cs="Times New Roman" w:eastAsia="Times New Roman" w:hAnsi="Times New Roman"/>
          <w:sz w:val="17"/>
          <w:szCs w:val="17"/>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13 for a discussion of the Company’s significant customers.</w:t>
      </w:r>
    </w:p>
    <w:p>
      <w:pPr>
        <w:spacing w:after="0" w:line="19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(r)</w:t>
        <w:tab/>
        <w:t>Debt Issuance Costs</w:t>
      </w:r>
    </w:p>
    <w:p>
      <w:pPr>
        <w:spacing w:after="0" w:line="241" w:lineRule="exact"/>
        <w:rPr>
          <w:sz w:val="20"/>
          <w:szCs w:val="20"/>
          <w:color w:val="auto"/>
        </w:rPr>
      </w:pPr>
    </w:p>
    <w:p>
      <w:pPr>
        <w:ind w:right="100" w:firstLine="611"/>
        <w:spacing w:after="0" w:line="259" w:lineRule="auto"/>
        <w:rPr>
          <w:sz w:val="20"/>
          <w:szCs w:val="20"/>
          <w:color w:val="auto"/>
        </w:rPr>
      </w:pPr>
      <w:r>
        <w:rPr>
          <w:rFonts w:ascii="Times New Roman" w:cs="Times New Roman" w:eastAsia="Times New Roman" w:hAnsi="Times New Roman"/>
          <w:sz w:val="17"/>
          <w:szCs w:val="17"/>
          <w:color w:val="auto"/>
        </w:rPr>
        <w:t>Fees paid to obtain debt financing and revolving credit facilities or amendments under such debt financing and revolving credit facilities are treated as debt issuance costs and are capitalized and amortized over the expected term of the related debt or revolving credit facility and are shown as a financing activity in the consolidated statements of cash flows. Issuance costs related to debt are presented in the consolidated balance sheets as a direct deduction from the carrying amount of the associated debt liability. Issuance costs related to a revolving credit facility are included in other assets in the consolidated balance sheets.</w:t>
      </w:r>
    </w:p>
    <w:p>
      <w:pPr>
        <w:spacing w:after="0" w:line="19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(s)</w:t>
      </w:r>
      <w:r>
        <w:rPr>
          <w:sz w:val="20"/>
          <w:szCs w:val="20"/>
          <w:color w:val="auto"/>
        </w:rPr>
        <w:tab/>
      </w:r>
      <w:r>
        <w:rPr>
          <w:rFonts w:ascii="Times New Roman" w:cs="Times New Roman" w:eastAsia="Times New Roman" w:hAnsi="Times New Roman"/>
          <w:sz w:val="16"/>
          <w:szCs w:val="16"/>
          <w:b w:val="1"/>
          <w:bCs w:val="1"/>
          <w:color w:val="auto"/>
        </w:rPr>
        <w:t>Interest Income (Expense), Net</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income (expense), net is summarized in the following table (in millions):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Year ended December</w:t>
            </w:r>
          </w:p>
        </w:tc>
      </w:tr>
      <w:tr>
        <w:trPr>
          <w:trHeight w:val="184"/>
        </w:trPr>
        <w:tc>
          <w:tcPr>
            <w:tcW w:w="7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28, 2025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29, 2024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1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incurred primarily on indebtedness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r>
      <w:tr>
        <w:trPr>
          <w:trHeight w:val="216"/>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4"/>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 (expense), net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(t)</w:t>
      </w:r>
      <w:r>
        <w:rPr>
          <w:sz w:val="20"/>
          <w:szCs w:val="20"/>
          <w:color w:val="auto"/>
        </w:rPr>
        <w:tab/>
      </w:r>
      <w:r>
        <w:rPr>
          <w:rFonts w:ascii="Times New Roman" w:cs="Times New Roman" w:eastAsia="Times New Roman" w:hAnsi="Times New Roman"/>
          <w:sz w:val="16"/>
          <w:szCs w:val="16"/>
          <w:b w:val="1"/>
          <w:bCs w:val="1"/>
          <w:color w:val="auto"/>
        </w:rPr>
        <w:t>Foreign Currency</w:t>
      </w:r>
    </w:p>
    <w:p>
      <w:pPr>
        <w:spacing w:after="0" w:line="241" w:lineRule="exact"/>
        <w:rPr>
          <w:sz w:val="20"/>
          <w:szCs w:val="20"/>
          <w:color w:val="auto"/>
        </w:rPr>
      </w:pPr>
    </w:p>
    <w:p>
      <w:pPr>
        <w:jc w:val="both"/>
        <w:ind w:right="140" w:firstLine="611"/>
        <w:spacing w:after="0" w:line="264" w:lineRule="auto"/>
        <w:rPr>
          <w:sz w:val="20"/>
          <w:szCs w:val="20"/>
          <w:color w:val="auto"/>
        </w:rPr>
      </w:pPr>
      <w:r>
        <w:rPr>
          <w:rFonts w:ascii="Times New Roman" w:cs="Times New Roman" w:eastAsia="Times New Roman" w:hAnsi="Times New Roman"/>
          <w:sz w:val="17"/>
          <w:szCs w:val="17"/>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w:t>
      </w:r>
    </w:p>
    <w:p>
      <w:pPr>
        <w:spacing w:after="0" w:line="195" w:lineRule="exact"/>
        <w:rPr>
          <w:sz w:val="20"/>
          <w:szCs w:val="20"/>
          <w:color w:val="auto"/>
        </w:rPr>
      </w:pPr>
    </w:p>
    <w:p>
      <w:pPr>
        <w:ind w:right="100" w:firstLine="611"/>
        <w:spacing w:after="0" w:line="259" w:lineRule="auto"/>
        <w:rPr>
          <w:sz w:val="20"/>
          <w:szCs w:val="20"/>
          <w:color w:val="auto"/>
        </w:rPr>
      </w:pPr>
      <w:r>
        <w:rPr>
          <w:rFonts w:ascii="Times New Roman" w:cs="Times New Roman" w:eastAsia="Times New Roman" w:hAnsi="Times New Roman"/>
          <w:sz w:val="17"/>
          <w:szCs w:val="17"/>
          <w:color w:val="auto"/>
        </w:rPr>
        <w:t>The Company transacts with foreign customers in currencies other than the U.S. dollar. It experiences realized and unrealized foreign currency gains or losses on foreign denominated receivables. In addition, certain intercompany transactions give rise to realized and unrealized foreign currency gains or losses. Also, any other transactions between the Company or its subsidiaries and a third-party, denominated in a currency different from the functional currency, are foreign currency transactions.</w:t>
      </w:r>
    </w:p>
    <w:p>
      <w:pPr>
        <w:spacing w:after="0" w:line="200" w:lineRule="exact"/>
        <w:rPr>
          <w:sz w:val="20"/>
          <w:szCs w:val="20"/>
          <w:color w:val="auto"/>
        </w:rPr>
      </w:pPr>
    </w:p>
    <w:p>
      <w:pPr>
        <w:ind w:right="160" w:firstLine="611"/>
        <w:spacing w:after="0" w:line="264" w:lineRule="auto"/>
        <w:rPr>
          <w:sz w:val="20"/>
          <w:szCs w:val="20"/>
          <w:color w:val="auto"/>
        </w:rPr>
      </w:pPr>
      <w:r>
        <w:rPr>
          <w:rFonts w:ascii="Times New Roman" w:cs="Times New Roman" w:eastAsia="Times New Roman" w:hAnsi="Times New Roman"/>
          <w:sz w:val="17"/>
          <w:szCs w:val="17"/>
          <w:color w:val="auto"/>
        </w:rPr>
        <w:t>The aggregate foreign currency transaction loss included in determining net income from consolidated operations for the years ended December 28, 2025, December 29, 2024, and December 31, 2023 was approximately $1.1 million, $0.5 million, and $1.7 million, respectively, which is included in other income (expense), net on the accompanying consolidated statements of operations and comprehensive income (loss).</w:t>
      </w:r>
    </w:p>
    <w:p>
      <w:pPr>
        <w:spacing w:after="0" w:line="19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(u)</w:t>
      </w:r>
      <w:r>
        <w:rPr>
          <w:sz w:val="20"/>
          <w:szCs w:val="20"/>
          <w:color w:val="auto"/>
        </w:rPr>
        <w:tab/>
      </w:r>
      <w:r>
        <w:rPr>
          <w:rFonts w:ascii="Times New Roman" w:cs="Times New Roman" w:eastAsia="Times New Roman" w:hAnsi="Times New Roman"/>
          <w:sz w:val="16"/>
          <w:szCs w:val="16"/>
          <w:b w:val="1"/>
          <w:bCs w:val="1"/>
          <w:color w:val="auto"/>
        </w:rPr>
        <w:t>Recent Accounting Pronouncements</w:t>
      </w:r>
    </w:p>
    <w:p>
      <w:pPr>
        <w:spacing w:after="0" w:line="237" w:lineRule="exact"/>
        <w:rPr>
          <w:sz w:val="20"/>
          <w:szCs w:val="20"/>
          <w:color w:val="auto"/>
        </w:rPr>
      </w:pPr>
    </w:p>
    <w:p>
      <w:pPr>
        <w:ind w:right="260" w:firstLine="611"/>
        <w:spacing w:after="0" w:line="258" w:lineRule="auto"/>
        <w:rPr>
          <w:sz w:val="20"/>
          <w:szCs w:val="20"/>
          <w:color w:val="auto"/>
        </w:rPr>
      </w:pPr>
      <w:r>
        <w:rPr>
          <w:rFonts w:ascii="Times New Roman" w:cs="Times New Roman" w:eastAsia="Times New Roman" w:hAnsi="Times New Roman"/>
          <w:sz w:val="17"/>
          <w:szCs w:val="17"/>
          <w:color w:val="auto"/>
        </w:rPr>
        <w:t>In December 2023, the FASB issued ASU 2023-09</w:t>
      </w:r>
      <w:r>
        <w:rPr>
          <w:rFonts w:ascii="Times New Roman" w:cs="Times New Roman" w:eastAsia="Times New Roman" w:hAnsi="Times New Roman"/>
          <w:sz w:val="17"/>
          <w:szCs w:val="17"/>
          <w:i w:val="1"/>
          <w:iCs w:val="1"/>
          <w:color w:val="auto"/>
        </w:rPr>
        <w:t>, Income Taxes (Topic 740): Improvements to Income Tax Disclosures,</w:t>
      </w:r>
      <w:r>
        <w:rPr>
          <w:rFonts w:ascii="Times New Roman" w:cs="Times New Roman" w:eastAsia="Times New Roman" w:hAnsi="Times New Roman"/>
          <w:sz w:val="17"/>
          <w:szCs w:val="17"/>
          <w:color w:val="auto"/>
        </w:rPr>
        <w:t xml:space="preserve">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The Company has adopted ASU 2023-09 on a prospective basis effective for the period ending December 28, 2025. The adoption of this standard did not have an impact on the Company’s consolidated financial position, results of operations or cash flows.</w:t>
      </w:r>
    </w:p>
    <w:p>
      <w:pPr>
        <w:spacing w:after="0" w:line="197"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In November 2024, the FASB issued ASU 2024-03</w:t>
      </w:r>
      <w:r>
        <w:rPr>
          <w:rFonts w:ascii="Times New Roman" w:cs="Times New Roman" w:eastAsia="Times New Roman" w:hAnsi="Times New Roman"/>
          <w:sz w:val="17"/>
          <w:szCs w:val="17"/>
          <w:i w:val="1"/>
          <w:iCs w:val="1"/>
          <w:color w:val="auto"/>
        </w:rPr>
        <w:t>, Income Statement (Topic 220): Reporting Comprehensive Income – Expense Disaggregation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Disclosures, </w:t>
      </w:r>
      <w:r>
        <w:rPr>
          <w:rFonts w:ascii="Times New Roman" w:cs="Times New Roman" w:eastAsia="Times New Roman" w:hAnsi="Times New Roman"/>
          <w:sz w:val="17"/>
          <w:szCs w:val="17"/>
          <w:color w:val="auto"/>
        </w:rPr>
        <w:t>which requires the amounts of purchases of inventory, employee compensation, depreciation, and intangible asset amortization included in each relevant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 caption. It also requires companies to include certain amounts that are already required to be disclosed under current GAAP in the same disclosure. Additionally, it requires companies to disclose a qualitative description of the amounts remaining in relevant expense captions that are not separately disaggregated quantitatively, and to disclose the total amount of selling expenses and, in annual reporting periods, an entity’s definition of selling expenses. ASU 2024-03 will be effective for annual periods beginning after December 15, 2026 and interim periods beginning after December 15, 2027. with early adoption permitted and will be applied on a prospective basis with the option to apply the standard retrospectively. The Company is currently evaluating the impact of the adoption of ASU 2024-03; however, the standard is not expected to have an impact on the Company’s consolidated financial position, results of operations or cash flows.</w:t>
      </w:r>
    </w:p>
    <w:p>
      <w:pPr>
        <w:spacing w:after="0" w:line="198" w:lineRule="exact"/>
        <w:rPr>
          <w:sz w:val="20"/>
          <w:szCs w:val="20"/>
          <w:color w:val="auto"/>
        </w:rPr>
      </w:pPr>
    </w:p>
    <w:p>
      <w:pPr>
        <w:ind w:right="80" w:firstLine="611"/>
        <w:spacing w:after="0" w:line="258" w:lineRule="auto"/>
        <w:rPr>
          <w:sz w:val="20"/>
          <w:szCs w:val="20"/>
          <w:color w:val="auto"/>
        </w:rPr>
      </w:pPr>
      <w:r>
        <w:rPr>
          <w:rFonts w:ascii="Times New Roman" w:cs="Times New Roman" w:eastAsia="Times New Roman" w:hAnsi="Times New Roman"/>
          <w:sz w:val="17"/>
          <w:szCs w:val="17"/>
          <w:color w:val="auto"/>
        </w:rPr>
        <w:t xml:space="preserve">In September 2025 the FASB issued ASU No. 2025-06 </w:t>
      </w:r>
      <w:r>
        <w:rPr>
          <w:rFonts w:ascii="Times New Roman" w:cs="Times New Roman" w:eastAsia="Times New Roman" w:hAnsi="Times New Roman"/>
          <w:sz w:val="17"/>
          <w:szCs w:val="17"/>
          <w:i w:val="1"/>
          <w:iCs w:val="1"/>
          <w:color w:val="auto"/>
        </w:rPr>
        <w:t>Targeted Improvements to the Accounting for Internal-Use Software (Subtopic 350-40)</w:t>
      </w:r>
      <w:r>
        <w:rPr>
          <w:rFonts w:ascii="Times New Roman" w:cs="Times New Roman" w:eastAsia="Times New Roman" w:hAnsi="Times New Roman"/>
          <w:sz w:val="17"/>
          <w:szCs w:val="17"/>
          <w:color w:val="auto"/>
        </w:rPr>
        <w:t>. ASU 2025-06 removes references to prescriptive and sequential software development stages, requiring companies to capitalize internal-use software costs when management commits to funding the software project and it is probable the project will be completed. ASU 2025-06 will be effective for annual and interim periods beginning January 1, 2028, and can be applied on a prospective, modified prospective, or retrospective basis. The Company is currently evaluating the impact of the adoption of ASU 2025-06 on the Company’s consolidated financial position, results of operations and cash flows.</w:t>
      </w:r>
    </w:p>
    <w:p>
      <w:pPr>
        <w:spacing w:after="0" w:line="197" w:lineRule="exact"/>
        <w:rPr>
          <w:sz w:val="20"/>
          <w:szCs w:val="20"/>
          <w:color w:val="auto"/>
        </w:rPr>
      </w:pPr>
    </w:p>
    <w:p>
      <w:pPr>
        <w:ind w:right="60" w:firstLine="611"/>
        <w:spacing w:after="0" w:line="258" w:lineRule="auto"/>
        <w:rPr>
          <w:sz w:val="20"/>
          <w:szCs w:val="20"/>
          <w:color w:val="auto"/>
        </w:rPr>
      </w:pPr>
      <w:r>
        <w:rPr>
          <w:rFonts w:ascii="Times New Roman" w:cs="Times New Roman" w:eastAsia="Times New Roman" w:hAnsi="Times New Roman"/>
          <w:sz w:val="17"/>
          <w:szCs w:val="17"/>
          <w:color w:val="auto"/>
        </w:rPr>
        <w:t xml:space="preserve">In December 2025, the FASB issued ASU No.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ASU 2025-11 clarifies the applicability of Topic 270 and the form and content of interim financial statements. In addition, ASU 2025-11 requires entities to disclose material events occurring since the last annual reporting period. ASU 2025-11 will be effective for annual and interim periods beginning January 1, 2028, and can be applied on a prospective, or retrospective basis. The Company is currently evaluating the disclosure impact of the adoption of ASU 2025-11: however, the standard is not expected to have an impact on the Company’s consolidated financial position, results of operations or cash flows.</w:t>
      </w:r>
    </w:p>
    <w:p>
      <w:pPr>
        <w:spacing w:after="0" w:line="19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(v)</w:t>
      </w:r>
      <w:r>
        <w:rPr>
          <w:sz w:val="20"/>
          <w:szCs w:val="20"/>
          <w:color w:val="auto"/>
        </w:rPr>
        <w:tab/>
      </w:r>
      <w:r>
        <w:rPr>
          <w:rFonts w:ascii="Times New Roman" w:cs="Times New Roman" w:eastAsia="Times New Roman" w:hAnsi="Times New Roman"/>
          <w:sz w:val="16"/>
          <w:szCs w:val="16"/>
          <w:b w:val="1"/>
          <w:bCs w:val="1"/>
          <w:color w:val="auto"/>
        </w:rPr>
        <w:t>Joint Venture Arrangements</w:t>
      </w:r>
    </w:p>
    <w:p>
      <w:pPr>
        <w:spacing w:after="0" w:line="241" w:lineRule="exact"/>
        <w:rPr>
          <w:sz w:val="20"/>
          <w:szCs w:val="20"/>
          <w:color w:val="auto"/>
        </w:rPr>
      </w:pPr>
    </w:p>
    <w:p>
      <w:pPr>
        <w:ind w:right="100" w:firstLine="611"/>
        <w:spacing w:after="0" w:line="255" w:lineRule="auto"/>
        <w:rPr>
          <w:sz w:val="20"/>
          <w:szCs w:val="20"/>
          <w:color w:val="auto"/>
        </w:rPr>
      </w:pPr>
      <w:r>
        <w:rPr>
          <w:rFonts w:ascii="Times New Roman" w:cs="Times New Roman" w:eastAsia="Times New Roman" w:hAnsi="Times New Roman"/>
          <w:sz w:val="17"/>
          <w:szCs w:val="17"/>
          <w:color w:val="auto"/>
        </w:rPr>
        <w:t>The Company accounts for its investments in joint ventures and affiliates in which it has the ability to exercise significant influence, but does not have a controlling financial interest, using the equity method of accounting. Under the equity method, the investment is initially recorded at cost and subsequently adjusted for the Company’s share of net income or loss and cash contributions and distributions. The Company’s share of the joint venture's earnings or losses is reported in the Consolidated Statements of Operations within "Other income (expense), net. The Company has a remaining contractual commitment to contribute $82.3 million to the joint venture. The Company expects to fund approximately $55.0 million in 2026, with the remainder thereafter, in accordance with the joint venture agreement.</w:t>
      </w:r>
    </w:p>
    <w:p>
      <w:pPr>
        <w:sectPr>
          <w:pgSz w:w="11900" w:h="16838" w:orient="portrait"/>
          <w:cols w:equalWidth="0" w:num="1">
            <w:col w:w="11240"/>
          </w:cols>
          <w:pgMar w:left="320" w:top="123" w:right="339" w:bottom="0" w:gutter="0" w:footer="0" w:header="0"/>
        </w:sectPr>
      </w:pPr>
    </w:p>
    <w:bookmarkStart w:id="91" w:name="page92"/>
    <w:bookmarkEnd w:id="91"/>
    <w:p>
      <w:pPr>
        <w:ind w:right="60" w:firstLine="611"/>
        <w:spacing w:after="0" w:line="255" w:lineRule="auto"/>
        <w:rPr>
          <w:sz w:val="20"/>
          <w:szCs w:val="20"/>
          <w:color w:val="auto"/>
        </w:rPr>
      </w:pPr>
      <w:r>
        <w:rPr>
          <w:rFonts w:ascii="Times New Roman" w:cs="Times New Roman" w:eastAsia="Times New Roman" w:hAnsi="Times New Roman"/>
          <w:sz w:val="17"/>
          <w:szCs w:val="17"/>
          <w:color w:val="auto"/>
        </w:rPr>
        <w:t>On February 26, 2025, the Company and RAFAEL Advanced Defense Systems, Ltd. (“RAFAEL”) announced an approximate 50/50 joint venture for the establishment of a U.S.-based merchant supplier of solid rocket motors (“SRMs”) and other energetics. The new joint venture, named Prometheus Energetics (“Prometheus”), is headquartered on an approximately 500-acre site near the U.S. Navy and Army facility in Crane, Indiana. Kratos and RAFAEL (through its U.S. based subsidiary RAFAEL USA) have jointly committed up to $175 million in capital for the establishment of Prometheus and required property, plant, equipment and personnel needed for the new, state-of-the-art energetics manufacturing campus and facilities. After construction of the plant and once RAFAEL’s technology transfer is completed and certified for operations, Prometheus is expected to begin production of SRMs in 2027. As of December 28, 2025, the carrying value of the investment was $5.0 million and is included in "Investment in joint venture" on the Consolidated Balance Sheets.</w:t>
      </w:r>
    </w:p>
    <w:p>
      <w:pPr>
        <w:spacing w:after="0" w:line="200" w:lineRule="exact"/>
        <w:rPr>
          <w:sz w:val="20"/>
          <w:szCs w:val="20"/>
          <w:color w:val="auto"/>
        </w:rPr>
      </w:pPr>
    </w:p>
    <w:p>
      <w:pPr>
        <w:spacing w:after="0" w:line="2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Acquisitions</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Norden Millimeter, Inc.</w:t>
      </w:r>
    </w:p>
    <w:p>
      <w:pPr>
        <w:spacing w:after="0" w:line="229" w:lineRule="exact"/>
        <w:rPr>
          <w:sz w:val="20"/>
          <w:szCs w:val="20"/>
          <w:color w:val="auto"/>
        </w:rPr>
      </w:pPr>
    </w:p>
    <w:p>
      <w:pPr>
        <w:ind w:firstLine="611"/>
        <w:spacing w:after="0" w:line="253" w:lineRule="auto"/>
        <w:rPr>
          <w:sz w:val="20"/>
          <w:szCs w:val="20"/>
          <w:color w:val="auto"/>
        </w:rPr>
      </w:pPr>
      <w:r>
        <w:rPr>
          <w:rFonts w:ascii="Times New Roman" w:cs="Times New Roman" w:eastAsia="Times New Roman" w:hAnsi="Times New Roman"/>
          <w:sz w:val="17"/>
          <w:szCs w:val="17"/>
          <w:color w:val="auto"/>
        </w:rPr>
        <w:t>On January 27, 2025, the Company and Kratos Microwave, Inc., a subsidiary of the Company (“Kratos Microwave”), entered into an Asset Purchase Agreement (the “Purchase Agreement”) to acquire certain of the assets (the “Purchased Assets”) of Norden Millimeter, Inc. (“Norden”) and assume certain liabilities (the “Assumed Liabilities”) of Norden. Norden focuses on microwave and millimeter wave products. Pursuant to the Purchase Agreement, on February 4, 2025, the acquisition was completed following the satisfaction of all closing conditions and (a) the Company issued 1,095,674 shares of its common stock, with a deemed value of $32.2 million, to Norden in a private placement, (b) the Company agreed to issue up to $6 million worth of additional shares of its common stock to Norden in the future upon release of certain holdback amounts, and (c) Kratos Microwave agreed to assume the Assumed Liabilities, in each case, in exchange for the Purchased Assets. Included in these Assumed Liabilities is contingent bonus liability of $5.0 million payable to certain former employees of Norden. Kratos granted Norden certain registration rights under the Asset Purchase Agreement and registered the 1,095,674 shares with the SEC on February 7, 2025. The Purchased Assets and Assumed Liabilities are included in the KGS segment.</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operating results of this acquisition have been included in the Company’s results of operations from the effective acquisition date.</w:t>
      </w:r>
    </w:p>
    <w:p>
      <w:pPr>
        <w:spacing w:after="0" w:line="237" w:lineRule="exact"/>
        <w:rPr>
          <w:sz w:val="20"/>
          <w:szCs w:val="20"/>
          <w:color w:val="auto"/>
        </w:rPr>
      </w:pPr>
    </w:p>
    <w:p>
      <w:pPr>
        <w:jc w:val="both"/>
        <w:ind w:right="100" w:firstLine="611"/>
        <w:spacing w:after="0" w:line="264" w:lineRule="auto"/>
        <w:rPr>
          <w:sz w:val="20"/>
          <w:szCs w:val="20"/>
          <w:color w:val="auto"/>
        </w:rPr>
      </w:pPr>
      <w:r>
        <w:rPr>
          <w:rFonts w:ascii="Times New Roman" w:cs="Times New Roman" w:eastAsia="Times New Roman" w:hAnsi="Times New Roman"/>
          <w:sz w:val="17"/>
          <w:szCs w:val="17"/>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the acquired Norden assets with Kratos’ related products and customers.</w:t>
      </w:r>
    </w:p>
    <w:p>
      <w:pPr>
        <w:spacing w:after="0" w:line="195" w:lineRule="exact"/>
        <w:rPr>
          <w:sz w:val="20"/>
          <w:szCs w:val="20"/>
          <w:color w:val="auto"/>
        </w:rPr>
      </w:pPr>
    </w:p>
    <w:p>
      <w:pPr>
        <w:ind w:right="40" w:firstLine="611"/>
        <w:spacing w:after="0" w:line="264" w:lineRule="auto"/>
        <w:rPr>
          <w:sz w:val="20"/>
          <w:szCs w:val="20"/>
          <w:color w:val="auto"/>
        </w:rPr>
      </w:pPr>
      <w:r>
        <w:rPr>
          <w:rFonts w:ascii="Times New Roman" w:cs="Times New Roman" w:eastAsia="Times New Roman" w:hAnsi="Times New Roman"/>
          <w:sz w:val="17"/>
          <w:szCs w:val="17"/>
          <w:color w:val="auto"/>
        </w:rPr>
        <w:t>The acquisition has been accounted for using the acquisition method of accounting, which requires, among other things, that the identifiable assets acquired and the liabilities assumed be recognized at their fair values as of the acquisition date. These fair value measurements are based primarily on significant inputs not observable in the marketplace and thus represent Level 3 measurements.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2" w:name="page93"/>
    <w:bookmarkEnd w:id="92"/>
    <w:p>
      <w:pPr>
        <w:ind w:right="100" w:firstLine="611"/>
        <w:spacing w:after="0" w:line="279" w:lineRule="auto"/>
        <w:rPr>
          <w:sz w:val="20"/>
          <w:szCs w:val="20"/>
          <w:color w:val="auto"/>
        </w:rPr>
      </w:pPr>
      <w:r>
        <w:rPr>
          <w:rFonts w:ascii="Times New Roman" w:cs="Times New Roman" w:eastAsia="Times New Roman" w:hAnsi="Times New Roman"/>
          <w:sz w:val="17"/>
          <w:szCs w:val="17"/>
          <w:color w:val="auto"/>
        </w:rPr>
        <w:t>The following table summarizes the allocation of the purchase price over the estimated fair values of the Norden assets acquired and liabilities assumed (in millions):</w:t>
      </w:r>
    </w:p>
    <w:p>
      <w:pPr>
        <w:sectPr>
          <w:pgSz w:w="11900" w:h="16838" w:orient="portrait"/>
          <w:cols w:equalWidth="0" w:num="1">
            <w:col w:w="11240"/>
          </w:cols>
          <w:pgMar w:left="320" w:top="849" w:right="339" w:bottom="1440" w:gutter="0" w:footer="0" w:header="0"/>
        </w:sect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13994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7139940" cy="13716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Inventory</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3994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139940" cy="13716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Property and equipment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3994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39940" cy="13716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94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39940" cy="145415"/>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Total assets acquired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13994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7139940" cy="137160"/>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220" w:hanging="1212"/>
        <w:spacing w:after="0"/>
        <w:tabs>
          <w:tab w:leader="none" w:pos="12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w:t>
      </w:r>
    </w:p>
    <w:p>
      <w:pPr>
        <w:spacing w:after="0" w:line="23"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w:t>
      </w:r>
    </w:p>
    <w:p>
      <w:pPr>
        <w:spacing w:after="0" w:line="20"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0.1</w:t>
      </w:r>
    </w:p>
    <w:p>
      <w:pPr>
        <w:spacing w:after="0" w:line="20"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w:t>
      </w:r>
    </w:p>
    <w:p>
      <w:pPr>
        <w:spacing w:after="0" w:line="20"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9.7</w:t>
      </w:r>
    </w:p>
    <w:p>
      <w:pPr>
        <w:spacing w:after="0" w:line="20"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20.4</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(10.1)</w:t>
      </w:r>
    </w:p>
    <w:p>
      <w:pPr>
        <w:spacing w:after="0" w:line="2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9620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spacing w:after="0" w:line="11" w:lineRule="exact"/>
        <w:rPr>
          <w:sz w:val="20"/>
          <w:szCs w:val="20"/>
          <w:color w:val="auto"/>
        </w:rPr>
      </w:pPr>
    </w:p>
    <w:p>
      <w:pPr>
        <w:ind w:left="1140" w:hanging="1132"/>
        <w:spacing w:after="0"/>
        <w:tabs>
          <w:tab w:leader="none" w:pos="11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9620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9620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9620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9020" w:space="720"/>
            <w:col w:w="1500"/>
          </w:cols>
          <w:pgMar w:left="320" w:top="849" w:right="339" w:bottom="1440" w:gutter="0" w:footer="0" w:header="0"/>
          <w:type w:val="continuous"/>
        </w:sectPr>
      </w:pPr>
    </w:p>
    <w:p>
      <w:pPr>
        <w:spacing w:after="0" w:line="152" w:lineRule="exact"/>
        <w:rPr>
          <w:sz w:val="20"/>
          <w:szCs w:val="20"/>
          <w:color w:val="auto"/>
        </w:rPr>
      </w:pPr>
    </w:p>
    <w:p>
      <w:pPr>
        <w:ind w:firstLine="611"/>
        <w:spacing w:after="0" w:line="288" w:lineRule="auto"/>
        <w:rPr>
          <w:sz w:val="20"/>
          <w:szCs w:val="20"/>
          <w:color w:val="auto"/>
        </w:rPr>
      </w:pPr>
      <w:r>
        <w:rPr>
          <w:rFonts w:ascii="Times New Roman" w:cs="Times New Roman" w:eastAsia="Times New Roman" w:hAnsi="Times New Roman"/>
          <w:sz w:val="16"/>
          <w:szCs w:val="16"/>
          <w:color w:val="auto"/>
        </w:rPr>
        <w:t>The identifiable intangible assets as of February 4, 2025 included customer relationships of $5.8 million with a useful life of 10 years, contracts and backlog of $1.4 million with a useful life of 2 years, developed technology of $1.4 million with a useful life of 5 years, trade names of $0.6 million with a useful life of 7 years, and a non-compete agreement valued at $0.5 million with a useful life of 5 years. The goodwill recorded in this transaction is expected to be tax-deductible.</w:t>
      </w:r>
    </w:p>
    <w:p>
      <w:pPr>
        <w:spacing w:after="0" w:line="178" w:lineRule="exact"/>
        <w:rPr>
          <w:sz w:val="20"/>
          <w:szCs w:val="20"/>
          <w:color w:val="auto"/>
        </w:rPr>
      </w:pPr>
    </w:p>
    <w:p>
      <w:pPr>
        <w:ind w:right="20" w:firstLine="611"/>
        <w:spacing w:after="0" w:line="253" w:lineRule="auto"/>
        <w:rPr>
          <w:sz w:val="20"/>
          <w:szCs w:val="20"/>
          <w:color w:val="auto"/>
        </w:rPr>
      </w:pPr>
      <w:r>
        <w:rPr>
          <w:rFonts w:ascii="Times New Roman" w:cs="Times New Roman" w:eastAsia="Times New Roman" w:hAnsi="Times New Roman"/>
          <w:sz w:val="17"/>
          <w:szCs w:val="17"/>
          <w:color w:val="auto"/>
        </w:rPr>
        <w:t>The value of customer relationships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customer relationships, which were discounted at a rate of 7.5% to determine the fair value referred to above. The value of contracts and backlog referred to above was also estimated using MPEEM. The value of developed technology referred to above was estimated using the relief-from royalty method, an income approach (Level 3), which estimates the cost savings that accrue to the owner of the intangible asset that would otherwise be payable as royalties or license fees on revenues earned through the use of the asset. A royalty rate was applied to the projected revenues associated with the developed technology intangible asset to determine the amount of savings, which was discounted at a rate of 8.8% to determine the fair value. The value of trade names referred to above was also estimated using the relief-from royalty method. A royalty rate was applied to the projected revenues associated with the trade names intangible asset to determine the amount of savings, which was discounted at a rate of 8.8% to determine the fair value referred to above. Quantitative information about significant unobservable inputs utilized to measure the fair value of Level 3 assets includes a range of discount rates from 6% to 12% and a weighted average discount rate of 8.8%.</w:t>
      </w:r>
    </w:p>
    <w:p>
      <w:pPr>
        <w:spacing w:after="0" w:line="204" w:lineRule="exact"/>
        <w:rPr>
          <w:sz w:val="20"/>
          <w:szCs w:val="20"/>
          <w:color w:val="auto"/>
        </w:rPr>
      </w:pPr>
    </w:p>
    <w:p>
      <w:pPr>
        <w:ind w:right="780" w:firstLine="611"/>
        <w:spacing w:after="0" w:line="279" w:lineRule="auto"/>
        <w:rPr>
          <w:sz w:val="20"/>
          <w:szCs w:val="20"/>
          <w:color w:val="auto"/>
        </w:rPr>
      </w:pPr>
      <w:r>
        <w:rPr>
          <w:rFonts w:ascii="Times New Roman" w:cs="Times New Roman" w:eastAsia="Times New Roman" w:hAnsi="Times New Roman"/>
          <w:sz w:val="17"/>
          <w:szCs w:val="17"/>
          <w:color w:val="auto"/>
        </w:rPr>
        <w:t>The amounts of revenue and operating income of the acquired Norden assets included in the Company’s consolidated statement of operations for December 28, 2025 were $22.3 million and $2.6 million,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 summary of the consideration paid for the acquired assets is as follows (in millions):</w:t>
            </w: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6"/>
        </w:trPr>
        <w:tc>
          <w:tcPr>
            <w:tcW w:w="9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6"/>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issued and cash paid</w:t>
            </w:r>
          </w:p>
        </w:tc>
        <w:tc>
          <w:tcPr>
            <w:tcW w:w="62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r>
      <w:tr>
        <w:trPr>
          <w:trHeight w:val="216"/>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Holdback, net of $1.1 million purchase price adjustment</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34"/>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consideration</w:t>
            </w: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Pro Forma Financial Information (Unaudited)</w:t>
      </w:r>
    </w:p>
    <w:p>
      <w:pPr>
        <w:spacing w:after="0" w:line="229" w:lineRule="exact"/>
        <w:rPr>
          <w:sz w:val="20"/>
          <w:szCs w:val="20"/>
          <w:color w:val="auto"/>
        </w:rPr>
      </w:pPr>
    </w:p>
    <w:p>
      <w:pPr>
        <w:ind w:right="20" w:firstLine="611"/>
        <w:spacing w:after="0" w:line="257" w:lineRule="auto"/>
        <w:rPr>
          <w:sz w:val="20"/>
          <w:szCs w:val="20"/>
          <w:color w:val="auto"/>
        </w:rPr>
      </w:pPr>
      <w:r>
        <w:rPr>
          <w:rFonts w:ascii="Times New Roman" w:cs="Times New Roman" w:eastAsia="Times New Roman" w:hAnsi="Times New Roman"/>
          <w:sz w:val="17"/>
          <w:szCs w:val="17"/>
          <w:color w:val="auto"/>
        </w:rPr>
        <w:t>The following tables summarize the supplemental condensed consolidated statements of operations information on an unaudited pro forma basis as if the acquisition of the Norden assets occurred on December 30, 2024 and include adjustments that were directly attributable to the Norden acquisition transaction. There are no material, nonrecurring pro forma adjustments directly attributable to the business combination included in the reported pro forma revenue and income (loss).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type w:val="continuous"/>
        </w:sectPr>
      </w:pPr>
    </w:p>
    <w:bookmarkStart w:id="93" w:name="page94"/>
    <w:bookmarkEnd w:id="93"/>
    <w:p>
      <w:pPr>
        <w:ind w:left="620"/>
        <w:spacing w:after="0"/>
        <w:rPr>
          <w:sz w:val="20"/>
          <w:szCs w:val="20"/>
          <w:color w:val="auto"/>
        </w:rPr>
      </w:pPr>
      <w:r>
        <w:rPr>
          <w:rFonts w:ascii="Times New Roman" w:cs="Times New Roman" w:eastAsia="Times New Roman" w:hAnsi="Times New Roman"/>
          <w:sz w:val="17"/>
          <w:szCs w:val="17"/>
          <w:color w:val="auto"/>
        </w:rPr>
        <w:t>For the year-ended December 28, 2025 (all amounts, except per share amounts, are in millions):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8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5"/>
                <w:szCs w:val="15"/>
                <w:b w:val="1"/>
                <w:bCs w:val="1"/>
                <w:color w:val="auto"/>
              </w:rPr>
              <w:t>December 28, 2025</w:t>
            </w:r>
          </w:p>
        </w:tc>
      </w:tr>
      <w:tr>
        <w:trPr>
          <w:trHeight w:val="186"/>
        </w:trPr>
        <w:tc>
          <w:tcPr>
            <w:tcW w:w="88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Pro forma revenues</w:t>
            </w:r>
          </w:p>
        </w:tc>
        <w:tc>
          <w:tcPr>
            <w:tcW w:w="320" w:type="dxa"/>
            <w:vAlign w:val="bottom"/>
            <w:shd w:val="clear" w:color="auto" w:fill="CCEEFF"/>
          </w:tcPr>
          <w:p>
            <w:pPr>
              <w:jc w:val="right"/>
              <w:ind w:right="135"/>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1,348.4</w:t>
            </w:r>
          </w:p>
        </w:tc>
      </w:tr>
      <w:tr>
        <w:trPr>
          <w:trHeight w:val="191"/>
        </w:trPr>
        <w:tc>
          <w:tcPr>
            <w:tcW w:w="88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Pro forma net income before tax</w:t>
            </w:r>
          </w:p>
        </w:tc>
        <w:tc>
          <w:tcPr>
            <w:tcW w:w="320" w:type="dxa"/>
            <w:vAlign w:val="bottom"/>
          </w:tcPr>
          <w:p>
            <w:pPr>
              <w:jc w:val="right"/>
              <w:ind w:right="135"/>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33.8</w:t>
            </w:r>
          </w:p>
        </w:tc>
      </w:tr>
      <w:tr>
        <w:trPr>
          <w:trHeight w:val="191"/>
        </w:trPr>
        <w:tc>
          <w:tcPr>
            <w:tcW w:w="88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Pro forma net income</w:t>
            </w:r>
          </w:p>
        </w:tc>
        <w:tc>
          <w:tcPr>
            <w:tcW w:w="320" w:type="dxa"/>
            <w:vAlign w:val="bottom"/>
            <w:shd w:val="clear" w:color="auto" w:fill="CCEEFF"/>
          </w:tcPr>
          <w:p>
            <w:pPr>
              <w:jc w:val="right"/>
              <w:ind w:right="135"/>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21.8</w:t>
            </w:r>
          </w:p>
        </w:tc>
      </w:tr>
      <w:tr>
        <w:trPr>
          <w:trHeight w:val="255"/>
        </w:trPr>
        <w:tc>
          <w:tcPr>
            <w:tcW w:w="8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191"/>
        </w:trPr>
        <w:tc>
          <w:tcPr>
            <w:tcW w:w="88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Basic pro forma income per share</w:t>
            </w:r>
          </w:p>
        </w:tc>
        <w:tc>
          <w:tcPr>
            <w:tcW w:w="320" w:type="dxa"/>
            <w:vAlign w:val="bottom"/>
            <w:shd w:val="clear" w:color="auto" w:fill="CCEEFF"/>
          </w:tcPr>
          <w:p>
            <w:pPr>
              <w:jc w:val="right"/>
              <w:ind w:right="135"/>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0.13</w:t>
            </w:r>
          </w:p>
        </w:tc>
      </w:tr>
      <w:tr>
        <w:trPr>
          <w:trHeight w:val="219"/>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pro forma income per share</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r>
    </w:tbl>
    <w:p>
      <w:pPr>
        <w:spacing w:after="0" w:line="3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Sierra Technical Services, Inc.</w:t>
      </w:r>
    </w:p>
    <w:p>
      <w:pPr>
        <w:spacing w:after="0" w:line="216" w:lineRule="exact"/>
        <w:rPr>
          <w:sz w:val="20"/>
          <w:szCs w:val="20"/>
          <w:color w:val="auto"/>
        </w:rPr>
      </w:pPr>
    </w:p>
    <w:p>
      <w:pPr>
        <w:ind w:right="620" w:firstLine="611"/>
        <w:spacing w:after="0" w:line="259" w:lineRule="auto"/>
        <w:rPr>
          <w:sz w:val="20"/>
          <w:szCs w:val="20"/>
          <w:color w:val="auto"/>
        </w:rPr>
      </w:pPr>
      <w:r>
        <w:rPr>
          <w:rFonts w:ascii="Times New Roman" w:cs="Times New Roman" w:eastAsia="Times New Roman" w:hAnsi="Times New Roman"/>
          <w:sz w:val="17"/>
          <w:szCs w:val="17"/>
          <w:color w:val="auto"/>
        </w:rPr>
        <w:t>On October 3, 2023, the Company entered into an agreement to acquire all of the outstanding equity securities of aerial target drone designer Sierra Technical Services, Inc. (“STS”) pursuant to which the Company (i) issued 866,026 shares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Kratos common stock valued at $12.8 million on October 3, 2023 and (ii) an additional 42,523 shares of</w:t>
      </w:r>
    </w:p>
    <w:p>
      <w:pPr>
        <w:spacing w:after="0" w:line="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color w:val="auto"/>
        </w:rPr>
        <w:t>Kratos common stock valued at $1.1 million on October 3, 2024 pursuant to certain holdback and earn-out provisions, in each case, to the former stockholders of STS. The Company recorded net assets of $12.6 million and goodwill of $10.7 million related to the STS acquisition. Significant assets of STS acquired by the Company included accounts receivable of $11.0 million, and identified intangibles (contracts and backlog) of $14.0 million. Significant liabilities of STS assumed by the Company included deferred revenue of $11.4 million. The operating results of the acquisition have been included in the Company’s results of operations from the effective date of the acquisition. The amount of net sales and earnings of STS included in the consolidated statement of operations for the year ended December 29, 2024 are not material. Had the acquisition occurred as of December 26, 2022, net sales, net income from consolidated operations, net income attributable to Kratos, and basic and diluted net income per share attributable to Kratos on a pro forma basis for the year ended December 31, 2023 would not have been materially different than the reported amounts. STS is included in the US segment.</w:t>
      </w:r>
    </w:p>
    <w:p>
      <w:pPr>
        <w:spacing w:after="0" w:line="2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Note 3.</w:t>
        <w:tab/>
        <w:t>Goodwill and Other Intangible Assets</w:t>
      </w:r>
    </w:p>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(a)</w:t>
      </w:r>
      <w:r>
        <w:rPr>
          <w:sz w:val="20"/>
          <w:szCs w:val="20"/>
          <w:color w:val="auto"/>
        </w:rPr>
        <w:tab/>
      </w:r>
      <w:r>
        <w:rPr>
          <w:rFonts w:ascii="Times New Roman" w:cs="Times New Roman" w:eastAsia="Times New Roman" w:hAnsi="Times New Roman"/>
          <w:sz w:val="16"/>
          <w:szCs w:val="16"/>
          <w:b w:val="1"/>
          <w:bCs w:val="1"/>
          <w:color w:val="auto"/>
        </w:rPr>
        <w:t>Goodwill</w:t>
      </w:r>
    </w:p>
    <w:p>
      <w:pPr>
        <w:spacing w:after="0" w:line="212" w:lineRule="exact"/>
        <w:rPr>
          <w:sz w:val="20"/>
          <w:szCs w:val="20"/>
          <w:color w:val="auto"/>
        </w:rPr>
      </w:pPr>
    </w:p>
    <w:p>
      <w:pPr>
        <w:ind w:right="300" w:firstLine="611"/>
        <w:spacing w:after="0" w:line="284" w:lineRule="auto"/>
        <w:rPr>
          <w:sz w:val="20"/>
          <w:szCs w:val="20"/>
          <w:color w:val="auto"/>
        </w:rPr>
      </w:pPr>
      <w:r>
        <w:rPr>
          <w:rFonts w:ascii="Times New Roman" w:cs="Times New Roman" w:eastAsia="Times New Roman" w:hAnsi="Times New Roman"/>
          <w:sz w:val="17"/>
          <w:szCs w:val="17"/>
          <w:color w:val="auto"/>
        </w:rPr>
        <w:t xml:space="preserve">The Company performs its annual impairment test for goodwill in accordance with </w:t>
      </w:r>
      <w:r>
        <w:rPr>
          <w:rFonts w:ascii="Times New Roman" w:cs="Times New Roman" w:eastAsia="Times New Roman" w:hAnsi="Times New Roman"/>
          <w:sz w:val="17"/>
          <w:szCs w:val="17"/>
          <w:i w:val="1"/>
          <w:iCs w:val="1"/>
          <w:color w:val="auto"/>
        </w:rPr>
        <w:t>Topic 350</w:t>
      </w:r>
      <w:r>
        <w:rPr>
          <w:rFonts w:ascii="Times New Roman" w:cs="Times New Roman" w:eastAsia="Times New Roman" w:hAnsi="Times New Roman"/>
          <w:sz w:val="17"/>
          <w:szCs w:val="17"/>
          <w:color w:val="auto"/>
        </w:rPr>
        <w:t xml:space="preserve"> as of the last day of its fiscal October or when evidence of potential impairment exists.</w:t>
      </w:r>
    </w:p>
    <w:p>
      <w:pPr>
        <w:spacing w:after="0" w:line="178" w:lineRule="exact"/>
        <w:rPr>
          <w:sz w:val="20"/>
          <w:szCs w:val="20"/>
          <w:color w:val="auto"/>
        </w:rPr>
      </w:pPr>
    </w:p>
    <w:p>
      <w:pPr>
        <w:ind w:right="440" w:firstLine="611"/>
        <w:spacing w:after="0" w:line="259" w:lineRule="auto"/>
        <w:rPr>
          <w:sz w:val="20"/>
          <w:szCs w:val="20"/>
          <w:color w:val="auto"/>
        </w:rPr>
      </w:pPr>
      <w:r>
        <w:rPr>
          <w:rFonts w:ascii="Times New Roman" w:cs="Times New Roman" w:eastAsia="Times New Roman" w:hAnsi="Times New Roman"/>
          <w:sz w:val="17"/>
          <w:szCs w:val="17"/>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w:t>
      </w:r>
    </w:p>
    <w:p>
      <w:pPr>
        <w:spacing w:after="0" w:line="200" w:lineRule="exact"/>
        <w:rPr>
          <w:sz w:val="20"/>
          <w:szCs w:val="20"/>
          <w:color w:val="auto"/>
        </w:rPr>
      </w:pPr>
    </w:p>
    <w:p>
      <w:pPr>
        <w:ind w:right="140" w:firstLine="611"/>
        <w:spacing w:after="0" w:line="257" w:lineRule="auto"/>
        <w:rPr>
          <w:sz w:val="20"/>
          <w:szCs w:val="20"/>
          <w:color w:val="auto"/>
        </w:rPr>
      </w:pPr>
      <w:r>
        <w:rPr>
          <w:rFonts w:ascii="Times New Roman" w:cs="Times New Roman" w:eastAsia="Times New Roman" w:hAnsi="Times New Roman"/>
          <w:sz w:val="17"/>
          <w:szCs w:val="17"/>
          <w:color w:val="auto"/>
        </w:rPr>
        <w:t>The KGS reportable segment has five operating businesses: Defense and Rocket Support Systems (“DRSS”), Microwave Electronics (“ME”), Space, Training and Cybersecurity Solutions (“ST&amp;C”), C5ISR/Modular Systems (“MS”), and Kratos Turbine Technologies (“KTT”). All of the KGS operating segments provide technology based defense solutions, involving products and services, primarily for mission critical U.S. National Security priorities, with the primary focus relating to the nation’s C5ISR requirements. The US reportable segment consists of its unmanned aerial system, unmanned ground, and unmanned seaborne system products.</w:t>
      </w:r>
    </w:p>
    <w:p>
      <w:pPr>
        <w:spacing w:after="0" w:line="201" w:lineRule="exact"/>
        <w:rPr>
          <w:sz w:val="20"/>
          <w:szCs w:val="20"/>
          <w:color w:val="auto"/>
        </w:rPr>
      </w:pPr>
    </w:p>
    <w:p>
      <w:pPr>
        <w:ind w:right="20" w:firstLine="611"/>
        <w:spacing w:after="0" w:line="254" w:lineRule="auto"/>
        <w:rPr>
          <w:sz w:val="20"/>
          <w:szCs w:val="20"/>
          <w:color w:val="auto"/>
        </w:rPr>
      </w:pPr>
      <w:r>
        <w:rPr>
          <w:rFonts w:ascii="Times New Roman" w:cs="Times New Roman" w:eastAsia="Times New Roman" w:hAnsi="Times New Roman"/>
          <w:sz w:val="17"/>
          <w:szCs w:val="17"/>
          <w:color w:val="auto"/>
        </w:rPr>
        <w:t>The Company identified its reporting units to be the DRSS, ME, ST&amp;C, MS, KTT and US operating segments. The Company tests goodwill for impairment by first performing a qualitative assessment. If, based on its qualitative assessment management determines it is not more likely than not that the fair value of the reporting unit exceeds its carrying value, a quantitative assessment is then performed. For operations where a quantitative assessment is performed, the identification and measurement of impairment involves the estimation of the fair value of reporting units. If the fair value is determined to be less than the carrying value, a charge to operations is recorded for the amount that the carrying value exceeds fair value. As part of its quantitative assessment, the Company estimates the fair value of each of the reporting units based on a comparison and weighting of the income approach, specifically the discounted cash flow method and the market approach, which estimates the fair value of the reporting units based upon comparable market prices and recent transactions and also validates the reasonableness of the implied multiples from the income approach.</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94" w:name="page95"/>
    <w:bookmarkEnd w:id="94"/>
    <w:p>
      <w:pPr>
        <w:ind w:right="320" w:firstLine="611"/>
        <w:spacing w:after="0" w:line="311" w:lineRule="auto"/>
        <w:rPr>
          <w:sz w:val="20"/>
          <w:szCs w:val="20"/>
          <w:color w:val="auto"/>
        </w:rPr>
      </w:pPr>
      <w:r>
        <w:rPr>
          <w:rFonts w:ascii="Times New Roman" w:cs="Times New Roman" w:eastAsia="Times New Roman" w:hAnsi="Times New Roman"/>
          <w:sz w:val="16"/>
          <w:szCs w:val="16"/>
          <w:color w:val="auto"/>
        </w:rPr>
        <w:t>In determining the fair value for the reporting units, where a quantitative assessment is performed, there are key assumptions relating to future expected cash flows, terminal growth rates, appropriate discount rates, market multiples, and the control premium a controlling shareholder could be expected to pay.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carrying amounts of goodwill as of December 28, 2025 and December 29, 2024 by reportable segment are as follows (in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As of December 28, 2025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78"/>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KGS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r>
      <w:tr>
        <w:trPr>
          <w:trHeight w:val="215"/>
        </w:trPr>
        <w:tc>
          <w:tcPr>
            <w:tcW w:w="7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value</w:t>
            </w:r>
          </w:p>
        </w:tc>
        <w:tc>
          <w:tcPr>
            <w:tcW w:w="820" w:type="dxa"/>
            <w:vAlign w:val="bottom"/>
            <w:tcBorders>
              <w:top w:val="single" w:sz="8" w:color="auto"/>
            </w:tcBorders>
            <w:gridSpan w:val="2"/>
            <w:shd w:val="clear" w:color="auto" w:fill="CCEEFF"/>
          </w:tcPr>
          <w:p>
            <w:pPr>
              <w:jc w:val="right"/>
              <w:ind w:right="62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849.0</w:t>
            </w:r>
          </w:p>
        </w:tc>
        <w:tc>
          <w:tcPr>
            <w:tcW w:w="40" w:type="dxa"/>
            <w:vAlign w:val="bottom"/>
          </w:tcPr>
          <w:p>
            <w:pPr>
              <w:spacing w:after="0"/>
              <w:rPr>
                <w:sz w:val="18"/>
                <w:szCs w:val="18"/>
                <w:color w:val="auto"/>
              </w:rPr>
            </w:pPr>
          </w:p>
        </w:tc>
      </w:tr>
      <w:tr>
        <w:trPr>
          <w:trHeight w:val="216"/>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accumulated impairment</w:t>
            </w: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253.3</w:t>
            </w:r>
          </w:p>
        </w:tc>
        <w:tc>
          <w:tcPr>
            <w:tcW w:w="40" w:type="dxa"/>
            <w:vAlign w:val="bottom"/>
          </w:tcPr>
          <w:p>
            <w:pPr>
              <w:spacing w:after="0"/>
              <w:rPr>
                <w:sz w:val="18"/>
                <w:szCs w:val="18"/>
                <w:color w:val="auto"/>
              </w:rPr>
            </w:pP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820" w:type="dxa"/>
            <w:vAlign w:val="bottom"/>
            <w:gridSpan w:val="2"/>
            <w:shd w:val="clear" w:color="auto" w:fill="CCEEFF"/>
          </w:tcPr>
          <w:p>
            <w:pPr>
              <w:jc w:val="right"/>
              <w:ind w:right="62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420" w:type="dxa"/>
            <w:vAlign w:val="bottom"/>
            <w:gridSpan w:val="4"/>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595.7</w:t>
            </w:r>
          </w:p>
        </w:tc>
        <w:tc>
          <w:tcPr>
            <w:tcW w:w="40" w:type="dxa"/>
            <w:vAlign w:val="bottom"/>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9"/>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 December 29, 2024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78"/>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KGS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value</w:t>
            </w: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822.2</w:t>
            </w:r>
          </w:p>
        </w:tc>
        <w:tc>
          <w:tcPr>
            <w:tcW w:w="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impairment</w:t>
            </w: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253.3</w:t>
            </w:r>
          </w:p>
        </w:tc>
        <w:tc>
          <w:tcPr>
            <w:tcW w:w="40" w:type="dxa"/>
            <w:vAlign w:val="bottom"/>
            <w:tcBorders>
              <w:bottom w:val="single" w:sz="8" w:color="auto"/>
            </w:tcBorders>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420" w:type="dxa"/>
            <w:vAlign w:val="bottom"/>
            <w:gridSpan w:val="4"/>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568.9</w:t>
            </w:r>
          </w:p>
        </w:tc>
        <w:tc>
          <w:tcPr>
            <w:tcW w:w="4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Purchased Intangible Assets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information for acquired finite-lived and indefinite-lived intangible assets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gridSpan w:val="6"/>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7"/>
              </w:rPr>
              <w:t>As of December 28, 2025</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60" w:type="dxa"/>
            <w:vAlign w:val="bottom"/>
            <w:gridSpan w:val="6"/>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6"/>
              </w:rPr>
              <w:t>As of December 29, 2024</w:t>
            </w:r>
          </w:p>
        </w:tc>
        <w:tc>
          <w:tcPr>
            <w:tcW w:w="880" w:type="dxa"/>
            <w:vAlign w:val="bottom"/>
          </w:tcPr>
          <w:p>
            <w:pPr>
              <w:spacing w:after="0"/>
              <w:rPr>
                <w:sz w:val="15"/>
                <w:szCs w:val="15"/>
                <w:color w:val="auto"/>
              </w:rPr>
            </w:pPr>
          </w:p>
        </w:tc>
      </w:tr>
      <w:tr>
        <w:trPr>
          <w:trHeight w:val="24"/>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21"/>
        </w:trPr>
        <w:tc>
          <w:tcPr>
            <w:tcW w:w="38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58"/>
              <w:spacing w:after="0" w:line="121"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60"/>
              <w:spacing w:after="0" w:line="121"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178"/>
              <w:spacing w:after="0" w:line="12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58"/>
              <w:spacing w:after="0" w:line="121"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20"/>
              <w:spacing w:after="0" w:line="121"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378"/>
              <w:spacing w:after="0" w:line="121"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84"/>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4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82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6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Acquired finite-lived intangible assets: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relationships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1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16"/>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Contracts and backlog</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16"/>
        </w:trPr>
        <w:tc>
          <w:tcPr>
            <w:tcW w:w="3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Non-compete Agreements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Developed technology and technical know-how</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6"/>
        </w:trPr>
        <w:tc>
          <w:tcPr>
            <w:tcW w:w="3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Trade names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6"/>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finite-lived intangible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trade names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195.2</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w:t>
            </w:r>
          </w:p>
        </w:tc>
      </w:tr>
      <w:tr>
        <w:trPr>
          <w:trHeight w:val="20"/>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both"/>
        <w:ind w:right="340" w:firstLine="611"/>
        <w:spacing w:after="0" w:line="311" w:lineRule="auto"/>
        <w:rPr>
          <w:sz w:val="20"/>
          <w:szCs w:val="20"/>
          <w:color w:val="auto"/>
        </w:rPr>
      </w:pPr>
      <w:r>
        <w:rPr>
          <w:rFonts w:ascii="Times New Roman" w:cs="Times New Roman" w:eastAsia="Times New Roman" w:hAnsi="Times New Roman"/>
          <w:sz w:val="16"/>
          <w:szCs w:val="16"/>
          <w:color w:val="auto"/>
        </w:rPr>
        <w:t>The aggregate amortization expense for finite-lived intangible assets was $9.6 million, $8.6 million and $6.8 million, for the years ended December 28, 2025, December 29, 2024, and December 31, 2023, respectively. The Company records all amortization expense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95" w:name="page96"/>
    <w:bookmarkEnd w:id="95"/>
    <w:p>
      <w:pPr>
        <w:ind w:left="620"/>
        <w:spacing w:after="0"/>
        <w:rPr>
          <w:sz w:val="20"/>
          <w:szCs w:val="20"/>
          <w:color w:val="auto"/>
        </w:rPr>
      </w:pPr>
      <w:r>
        <w:rPr>
          <w:rFonts w:ascii="Times New Roman" w:cs="Times New Roman" w:eastAsia="Times New Roman" w:hAnsi="Times New Roman"/>
          <w:sz w:val="17"/>
          <w:szCs w:val="17"/>
          <w:color w:val="auto"/>
        </w:rPr>
        <w:t>The estimated future amortization expense of acquired intangible assets with finite lives as of December 28, 2025 is as follows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Pr>
          <w:p>
            <w:pPr>
              <w:spacing w:after="0"/>
              <w:rPr>
                <w:sz w:val="15"/>
                <w:szCs w:val="15"/>
                <w:color w:val="auto"/>
              </w:rPr>
            </w:pPr>
          </w:p>
        </w:tc>
        <w:tc>
          <w:tcPr>
            <w:tcW w:w="12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
        </w:trPr>
        <w:tc>
          <w:tcPr>
            <w:tcW w:w="9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16"/>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16"/>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6"/>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6"/>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6"/>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34"/>
        </w:trPr>
        <w:tc>
          <w:tcPr>
            <w:tcW w:w="9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Note 4.</w:t>
        <w:tab/>
        <w:t>Balance Sheet Details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detail of certain assets in the consolidated balance sheets consists of the following: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241" w:lineRule="exact"/>
        <w:rPr>
          <w:sz w:val="20"/>
          <w:szCs w:val="20"/>
          <w:color w:val="auto"/>
        </w:rPr>
      </w:pPr>
    </w:p>
    <w:p>
      <w:pPr>
        <w:ind w:right="280" w:firstLine="611"/>
        <w:spacing w:after="0" w:line="279" w:lineRule="auto"/>
        <w:rPr>
          <w:sz w:val="20"/>
          <w:szCs w:val="20"/>
          <w:color w:val="auto"/>
        </w:rPr>
      </w:pPr>
      <w:r>
        <w:rPr>
          <w:rFonts w:ascii="Times New Roman" w:cs="Times New Roman" w:eastAsia="Times New Roman" w:hAnsi="Times New Roman"/>
          <w:sz w:val="17"/>
          <w:szCs w:val="17"/>
          <w:color w:val="auto"/>
        </w:rPr>
        <w:t>The Company’s cash equivalents consist of overnight cash sweep accounts that are invested on a daily basis. Cash and cash equivalents at December 28, 2025 and December 29, 2024 were $560.6 million and $329.3 million, respectively, and approximated their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net and Unbilled receivables, net</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Receivables including amounts due under long-term contracts are summarized as follows </w:t>
      </w:r>
      <w:r>
        <w:rPr>
          <w:rFonts w:ascii="Times New Roman" w:cs="Times New Roman" w:eastAsia="Times New Roman" w:hAnsi="Times New Roman"/>
          <w:sz w:val="17"/>
          <w:szCs w:val="17"/>
          <w:i w:val="1"/>
          <w:iCs w:val="1"/>
          <w:color w:val="auto"/>
        </w:rPr>
        <w:t>(in millions)</w:t>
      </w:r>
      <w:r>
        <w:rPr>
          <w:rFonts w:ascii="Times New Roman" w:cs="Times New Roman" w:eastAsia="Times New Roman" w:hAnsi="Times New Roman"/>
          <w:sz w:val="17"/>
          <w:szCs w:val="17"/>
          <w:color w:val="auto"/>
        </w:rPr>
        <w:t>:</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8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00" w:type="dxa"/>
            <w:vAlign w:val="bottom"/>
          </w:tcPr>
          <w:p>
            <w:pPr>
              <w:spacing w:after="0"/>
              <w:rPr>
                <w:sz w:val="15"/>
                <w:szCs w:val="15"/>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5"/>
              </w:rPr>
              <w:t>December 29, 2024</w:t>
            </w:r>
          </w:p>
        </w:tc>
      </w:tr>
      <w:tr>
        <w:trPr>
          <w:trHeight w:val="24"/>
        </w:trPr>
        <w:tc>
          <w:tcPr>
            <w:tcW w:w="8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Billed, current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w:t>
            </w:r>
          </w:p>
        </w:tc>
      </w:tr>
      <w:tr>
        <w:trPr>
          <w:trHeight w:val="21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Unbilled, current</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w:t>
            </w: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accounts receivable</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324.9</w:t>
            </w:r>
          </w:p>
        </w:tc>
      </w:tr>
      <w:tr>
        <w:trPr>
          <w:trHeight w:val="21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accounts receivable and unbilled receivables,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60" w:firstLine="611"/>
        <w:spacing w:after="0" w:line="279" w:lineRule="auto"/>
        <w:rPr>
          <w:sz w:val="20"/>
          <w:szCs w:val="20"/>
          <w:color w:val="auto"/>
        </w:rPr>
      </w:pPr>
      <w:r>
        <w:rPr>
          <w:rFonts w:ascii="Times New Roman" w:cs="Times New Roman" w:eastAsia="Times New Roman" w:hAnsi="Times New Roman"/>
          <w:sz w:val="17"/>
          <w:szCs w:val="17"/>
          <w:color w:val="auto"/>
        </w:rPr>
        <w:t>Substantially all accounts receivable at December 28, 2025, are expected to be collected in 2026. The Company does not believe it has significant exposure to credit risk, as accounts receivable and the related unbilled amounts are primarily from contracts associated with the U.S. Government.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Government contract receivables where the Company is the prime contractor included in accounts receivable, net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66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00" w:type="dxa"/>
            <w:vAlign w:val="bottom"/>
          </w:tcPr>
          <w:p>
            <w:pPr>
              <w:spacing w:after="0"/>
              <w:rPr>
                <w:sz w:val="15"/>
                <w:szCs w:val="15"/>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5"/>
              </w:rPr>
              <w:t>December 29, 2024</w:t>
            </w:r>
          </w:p>
        </w:tc>
      </w:tr>
      <w:tr>
        <w:trPr>
          <w:trHeight w:val="24"/>
        </w:trPr>
        <w:tc>
          <w:tcPr>
            <w:tcW w:w="86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Billed</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16"/>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Unbilled</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234"/>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U.S. Government contract receivables</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i w:val="1"/>
          <w:iCs w:val="1"/>
          <w:color w:val="auto"/>
        </w:rPr>
        <w:t>Inventoried costs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5"/>
              </w:rPr>
              <w:t>December 29,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CCEEFF"/>
            </w:tcBorders>
          </w:tcPr>
          <w:p>
            <w:pPr>
              <w:spacing w:after="0"/>
              <w:rPr>
                <w:sz w:val="16"/>
                <w:szCs w:val="16"/>
                <w:color w:val="auto"/>
              </w:rPr>
            </w:pPr>
          </w:p>
        </w:tc>
        <w:tc>
          <w:tcPr>
            <w:tcW w:w="84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inventoried costs</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i w:val="1"/>
                <w:iCs w:val="1"/>
                <w:color w:val="auto"/>
              </w:rPr>
              <w:t>Property, plant and equipment, net (in millions)</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8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December 28, 2025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29, 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right of use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and buildings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office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(186.5)</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288.2</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200" w:firstLine="611"/>
        <w:spacing w:after="0" w:line="279" w:lineRule="auto"/>
        <w:rPr>
          <w:sz w:val="20"/>
          <w:szCs w:val="20"/>
          <w:color w:val="auto"/>
        </w:rPr>
      </w:pPr>
      <w:r>
        <w:rPr>
          <w:rFonts w:ascii="Times New Roman" w:cs="Times New Roman" w:eastAsia="Times New Roman" w:hAnsi="Times New Roman"/>
          <w:sz w:val="17"/>
          <w:szCs w:val="17"/>
          <w:color w:val="auto"/>
        </w:rPr>
        <w:t>Depreciation expense was $37.5 million, $31.7 million and $26.4 million for the years ended December 28, 2025, December 29, 2024, and December 31, 2023, respectively.</w:t>
      </w:r>
    </w:p>
    <w:p>
      <w:pPr>
        <w:spacing w:after="0" w:line="17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Note 5.</w:t>
      </w:r>
      <w:r>
        <w:rPr>
          <w:sz w:val="20"/>
          <w:szCs w:val="20"/>
          <w:color w:val="auto"/>
        </w:rPr>
        <w:tab/>
      </w:r>
      <w:r>
        <w:rPr>
          <w:rFonts w:ascii="Times New Roman" w:cs="Times New Roman" w:eastAsia="Times New Roman" w:hAnsi="Times New Roman"/>
          <w:sz w:val="16"/>
          <w:szCs w:val="16"/>
          <w:b w:val="1"/>
          <w:bCs w:val="1"/>
          <w:color w:val="auto"/>
        </w:rPr>
        <w:t>Debt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2022 Credit Facility</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February 18, 2022, the Company completed the refinancing of its then-outstanding $90 million revolving credit facility and $300 million 6.5% Senior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Secured Notes due November 2025 (the “Senior Secured Notes”), with a 5-year $200 million Revolving Credit Facility and 5-year $200 million Term Loan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(collectively, the “2022 Credit Facility”). The Company incurred debt issuance costs of $3.3 million associated with the 2022 Credit Facility. On July 2, 2025,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extinguished all outstanding Term Loan A debt under the 2022 Credit Facility. The then-outstanding Term Loan A aggregate principal balance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$177.5 million, plus accrued interest, was paid in full utilizing a portion of the proceeds received from the June 27, 2025 public equity offering, which is described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 in Note 10. The Company incurred a loss on the extinguishment of the debt of $0.5 million during the three months ended September 28, 2025 related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write-off of unamortized debt issuance costs. This loss is included in Other income (expense) in the consolidated statement of operations.</w:t>
      </w:r>
    </w:p>
    <w:p>
      <w:pPr>
        <w:spacing w:after="0" w:line="222" w:lineRule="exact"/>
        <w:rPr>
          <w:sz w:val="20"/>
          <w:szCs w:val="20"/>
          <w:color w:val="auto"/>
        </w:rPr>
      </w:pPr>
    </w:p>
    <w:p>
      <w:pPr>
        <w:ind w:right="60" w:firstLine="611"/>
        <w:spacing w:after="0" w:line="255" w:lineRule="auto"/>
        <w:rPr>
          <w:sz w:val="20"/>
          <w:szCs w:val="20"/>
          <w:color w:val="auto"/>
        </w:rPr>
      </w:pPr>
      <w:r>
        <w:rPr>
          <w:rFonts w:ascii="Times New Roman" w:cs="Times New Roman" w:eastAsia="Times New Roman" w:hAnsi="Times New Roman"/>
          <w:sz w:val="17"/>
          <w:szCs w:val="17"/>
          <w:color w:val="auto"/>
        </w:rPr>
        <w:t>The 2022 Credit Facility is governed by a Credit Agreement (the “Credit Agreement”), which established a five-year senior secured credit facility which is comprised of a $200 million revolving credit facility (the “Revolving Credit Facility”) (which includes sub-facilities for the incurrence of up to $10.0 million of swingline loans and the issuance of up to $50.0 million of Letters of Credit) and a $200 million term loan (the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spacing w:after="0" w:line="205" w:lineRule="exact"/>
        <w:rPr>
          <w:sz w:val="20"/>
          <w:szCs w:val="20"/>
          <w:color w:val="auto"/>
        </w:rPr>
      </w:pPr>
    </w:p>
    <w:p>
      <w:pPr>
        <w:ind w:firstLine="611"/>
        <w:spacing w:after="0" w:line="259" w:lineRule="auto"/>
        <w:rPr>
          <w:sz w:val="20"/>
          <w:szCs w:val="20"/>
          <w:color w:val="auto"/>
        </w:rPr>
      </w:pPr>
      <w:r>
        <w:rPr>
          <w:rFonts w:ascii="Times New Roman" w:cs="Times New Roman" w:eastAsia="Times New Roman" w:hAnsi="Times New Roman"/>
          <w:sz w:val="17"/>
          <w:szCs w:val="17"/>
          <w:color w:val="auto"/>
        </w:rPr>
        <w:t>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97" w:name="page98"/>
    <w:bookmarkEnd w:id="97"/>
    <w:p>
      <w:pPr>
        <w:ind w:right="100"/>
        <w:spacing w:after="0" w:line="259" w:lineRule="auto"/>
        <w:rPr>
          <w:sz w:val="20"/>
          <w:szCs w:val="20"/>
          <w:color w:val="auto"/>
        </w:rPr>
      </w:pPr>
      <w:r>
        <w:rPr>
          <w:rFonts w:ascii="Times New Roman" w:cs="Times New Roman" w:eastAsia="Times New Roman" w:hAnsi="Times New Roman"/>
          <w:sz w:val="17"/>
          <w:szCs w:val="17"/>
          <w:color w:val="auto"/>
        </w:rPr>
        <w:t>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w:t>
      </w:r>
    </w:p>
    <w:p>
      <w:pPr>
        <w:spacing w:after="0" w:line="200" w:lineRule="exact"/>
        <w:rPr>
          <w:sz w:val="20"/>
          <w:szCs w:val="20"/>
          <w:color w:val="auto"/>
        </w:rPr>
      </w:pPr>
    </w:p>
    <w:p>
      <w:pPr>
        <w:ind w:right="100" w:firstLine="611"/>
        <w:spacing w:after="0" w:line="264" w:lineRule="auto"/>
        <w:rPr>
          <w:sz w:val="20"/>
          <w:szCs w:val="20"/>
          <w:color w:val="auto"/>
        </w:rPr>
      </w:pPr>
      <w:r>
        <w:rPr>
          <w:rFonts w:ascii="Times New Roman" w:cs="Times New Roman" w:eastAsia="Times New Roman" w:hAnsi="Times New Roman"/>
          <w:sz w:val="17"/>
          <w:szCs w:val="17"/>
          <w:color w:val="auto"/>
        </w:rPr>
        <w:t>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December 28, 2025.</w:t>
      </w:r>
    </w:p>
    <w:p>
      <w:pPr>
        <w:spacing w:after="0" w:line="195"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was at a fixed rate of one-month term SOFR of 3.721% and settled monthly on the last day of each calendar month. The swap had an effective date of May 1, 2023 and was scheduled to terminate on May 1, 2026. Refer to Note 16 for further discussion of the accounting treatment of the swap arrangement. On June 30, 2025, in anticipation of the extinguishment of Term Loan A, the Company terminated the swap. The Company received a payment of approximately $0.3 million representing the termination value of the swap. Refer to Note 16 for further discussion of the accounting treatment of the swap arrangement.</w:t>
      </w:r>
    </w:p>
    <w:p>
      <w:pPr>
        <w:spacing w:after="0" w:line="205" w:lineRule="exact"/>
        <w:rPr>
          <w:sz w:val="20"/>
          <w:szCs w:val="20"/>
          <w:color w:val="auto"/>
        </w:rPr>
      </w:pPr>
    </w:p>
    <w:p>
      <w:pPr>
        <w:ind w:right="460" w:firstLine="611"/>
        <w:spacing w:after="0" w:line="279" w:lineRule="auto"/>
        <w:rPr>
          <w:sz w:val="20"/>
          <w:szCs w:val="20"/>
          <w:color w:val="auto"/>
        </w:rPr>
      </w:pPr>
      <w:r>
        <w:rPr>
          <w:rFonts w:ascii="Times New Roman" w:cs="Times New Roman" w:eastAsia="Times New Roman" w:hAnsi="Times New Roman"/>
          <w:sz w:val="17"/>
          <w:szCs w:val="17"/>
          <w:color w:val="auto"/>
        </w:rPr>
        <w:t>On February 20, 2026, the 2022 Credit Facility was terminated in connection with the execution of the 2026 Credit Agreement. Please see “Note 18 – Subsequent Events” for more information regarding the 2026 Credit Agreement.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Term Loan and Revolving Credit Debt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loan and revolving credit debt and the current period interest rates are as follows (in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20" w:type="dxa"/>
            <w:vAlign w:val="bottom"/>
          </w:tcPr>
          <w:p>
            <w:pPr>
              <w:spacing w:after="0"/>
              <w:rPr>
                <w:sz w:val="15"/>
                <w:szCs w:val="15"/>
                <w:color w:val="auto"/>
              </w:rPr>
            </w:pPr>
          </w:p>
        </w:tc>
        <w:tc>
          <w:tcPr>
            <w:tcW w:w="15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24"/>
        </w:trPr>
        <w:tc>
          <w:tcPr>
            <w:tcW w:w="7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A</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185.0</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185.0</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less current portion</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175.0</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long-term unamortized debt issuance costs - term loans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34"/>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net of unamortized debt issuance costs - term loans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174.6</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 - revolving credit facility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80" w:type="dxa"/>
            <w:vAlign w:val="bottom"/>
            <w:vMerge w:val="continue"/>
          </w:tcPr>
          <w:p>
            <w:pPr>
              <w:spacing w:after="0"/>
              <w:rPr>
                <w:sz w:val="16"/>
                <w:szCs w:val="16"/>
                <w:color w:val="auto"/>
              </w:rPr>
            </w:pPr>
          </w:p>
        </w:tc>
        <w:tc>
          <w:tcPr>
            <w:tcW w:w="220" w:type="dxa"/>
            <w:vAlign w:val="bottom"/>
          </w:tcPr>
          <w:p>
            <w:pPr>
              <w:jc w:val="right"/>
              <w:ind w:right="35"/>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ind w:right="37"/>
              <w:spacing w:after="0" w:line="188" w:lineRule="exact"/>
              <w:rPr>
                <w:sz w:val="20"/>
                <w:szCs w:val="20"/>
                <w:color w:val="auto"/>
              </w:rPr>
            </w:pPr>
            <w:r>
              <w:rPr>
                <w:rFonts w:ascii="Times New Roman" w:cs="Times New Roman" w:eastAsia="Times New Roman" w:hAnsi="Times New Roman"/>
                <w:sz w:val="17"/>
                <w:szCs w:val="17"/>
                <w:color w:val="auto"/>
              </w:rPr>
              <w:t>0.4</w:t>
            </w:r>
          </w:p>
        </w:tc>
        <w:tc>
          <w:tcPr>
            <w:tcW w:w="220" w:type="dxa"/>
            <w:vAlign w:val="bottom"/>
          </w:tcPr>
          <w:p>
            <w:pPr>
              <w:jc w:val="right"/>
              <w:ind w:right="35"/>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ind w:right="37"/>
              <w:spacing w:after="0" w:line="188" w:lineRule="exact"/>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period interest rate</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Note 6.</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expense for the years ended December 28, 2025, December 29, 2024, and December 31, 2023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60" w:type="dxa"/>
            <w:vAlign w:val="bottom"/>
          </w:tcPr>
          <w:p>
            <w:pPr>
              <w:spacing w:after="0"/>
              <w:rPr>
                <w:sz w:val="15"/>
                <w:szCs w:val="15"/>
                <w:color w:val="auto"/>
              </w:rPr>
            </w:pP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6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right of use assets - finance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on lease liabilities - finance leases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 (expense resulting from amortization of total lease payments)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 (cost excluded from lease payments)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6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98" w:name="page99"/>
    <w:bookmarkEnd w:id="98"/>
    <w:p>
      <w:pPr>
        <w:ind w:left="620"/>
        <w:spacing w:after="0"/>
        <w:rPr>
          <w:sz w:val="20"/>
          <w:szCs w:val="20"/>
          <w:color w:val="auto"/>
        </w:rPr>
      </w:pPr>
      <w:r>
        <w:rPr>
          <w:rFonts w:ascii="Times New Roman" w:cs="Times New Roman" w:eastAsia="Times New Roman" w:hAnsi="Times New Roman"/>
          <w:sz w:val="17"/>
          <w:szCs w:val="17"/>
          <w:color w:val="auto"/>
        </w:rPr>
        <w:t>The components of leases on the balance sheet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Pr>
          <w:p>
            <w:pPr>
              <w:spacing w:after="0"/>
              <w:rPr>
                <w:sz w:val="15"/>
                <w:szCs w:val="15"/>
                <w:color w:val="auto"/>
              </w:rPr>
            </w:pPr>
          </w:p>
        </w:tc>
        <w:tc>
          <w:tcPr>
            <w:tcW w:w="136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4"/>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6"/>
        </w:trPr>
        <w:tc>
          <w:tcPr>
            <w:tcW w:w="8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r>
      <w:tr>
        <w:trPr>
          <w:trHeight w:val="216"/>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6"/>
        </w:trPr>
        <w:tc>
          <w:tcPr>
            <w:tcW w:w="8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8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16"/>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8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w:t>
            </w:r>
          </w:p>
        </w:tc>
      </w:tr>
    </w:tbl>
    <w:p>
      <w:pPr>
        <w:spacing w:after="0" w:line="299" w:lineRule="exact"/>
        <w:rPr>
          <w:sz w:val="20"/>
          <w:szCs w:val="20"/>
          <w:color w:val="auto"/>
        </w:rPr>
      </w:pPr>
    </w:p>
    <w:p>
      <w:pPr>
        <w:jc w:val="both"/>
        <w:ind w:right="20" w:firstLine="611"/>
        <w:spacing w:after="0" w:line="279" w:lineRule="auto"/>
        <w:rPr>
          <w:sz w:val="20"/>
          <w:szCs w:val="20"/>
          <w:color w:val="auto"/>
        </w:rPr>
      </w:pPr>
      <w:r>
        <w:rPr>
          <w:rFonts w:ascii="Times New Roman" w:cs="Times New Roman" w:eastAsia="Times New Roman" w:hAnsi="Times New Roman"/>
          <w:sz w:val="17"/>
          <w:szCs w:val="17"/>
          <w:color w:val="auto"/>
        </w:rPr>
        <w:t>Cash paid for amounts included in the measurement of lease liabilities for the years ended December 28, 2025, December 29, 2024, and December 31, 2023 were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December 29, 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6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 cash paid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 financing cash flows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40" w:type="dxa"/>
            <w:vAlign w:val="bottom"/>
          </w:tcPr>
          <w:p>
            <w:pPr>
              <w:spacing w:after="0"/>
              <w:rPr>
                <w:sz w:val="18"/>
                <w:szCs w:val="18"/>
                <w:color w:val="auto"/>
              </w:rPr>
            </w:pPr>
          </w:p>
        </w:tc>
        <w:tc>
          <w:tcPr>
            <w:tcW w:w="2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1.5</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 operating cash flows (fixed payments)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14.1</w:t>
            </w:r>
          </w:p>
        </w:tc>
      </w:tr>
      <w:tr>
        <w:trPr>
          <w:trHeight w:val="521"/>
        </w:trPr>
        <w:tc>
          <w:tcPr>
            <w:tcW w:w="64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supplemental noncash information (in millions):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08"/>
        </w:trPr>
        <w:tc>
          <w:tcPr>
            <w:tcW w:w="6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December 29, 2024</w:t>
            </w:r>
          </w:p>
        </w:tc>
      </w:tr>
      <w:tr>
        <w:trPr>
          <w:trHeight w:val="24"/>
        </w:trPr>
        <w:tc>
          <w:tcPr>
            <w:tcW w:w="6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liabilities arising from obtaining right-of-use assets</w:t>
            </w:r>
          </w:p>
        </w:tc>
        <w:tc>
          <w:tcPr>
            <w:tcW w:w="140" w:type="dxa"/>
            <w:vAlign w:val="bottom"/>
          </w:tcPr>
          <w:p>
            <w:pPr>
              <w:spacing w:after="0"/>
              <w:rPr>
                <w:sz w:val="18"/>
                <w:szCs w:val="18"/>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34.8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15.4</w:t>
            </w:r>
          </w:p>
        </w:tc>
      </w:tr>
      <w:tr>
        <w:trPr>
          <w:trHeight w:val="153"/>
        </w:trPr>
        <w:tc>
          <w:tcPr>
            <w:tcW w:w="6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 leases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4.03</w:t>
            </w:r>
          </w:p>
        </w:tc>
      </w:tr>
      <w:tr>
        <w:trPr>
          <w:trHeight w:val="216"/>
        </w:trPr>
        <w:tc>
          <w:tcPr>
            <w:tcW w:w="64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Finance leases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13.81</w:t>
            </w:r>
          </w:p>
        </w:tc>
      </w:tr>
      <w:tr>
        <w:trPr>
          <w:trHeight w:val="153"/>
        </w:trPr>
        <w:tc>
          <w:tcPr>
            <w:tcW w:w="6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 leases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4.99 %</w:t>
            </w:r>
          </w:p>
        </w:tc>
      </w:tr>
      <w:tr>
        <w:trPr>
          <w:trHeight w:val="219"/>
        </w:trPr>
        <w:tc>
          <w:tcPr>
            <w:tcW w:w="64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Finance leases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6.17 %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6.35 %</w:t>
            </w:r>
          </w:p>
        </w:tc>
      </w:tr>
      <w:tr>
        <w:trPr>
          <w:trHeight w:val="518"/>
        </w:trPr>
        <w:tc>
          <w:tcPr>
            <w:tcW w:w="64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maturity of lease liabilities is (in millions):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81"/>
        </w:trPr>
        <w:tc>
          <w:tcPr>
            <w:tcW w:w="6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4"/>
              </w:rPr>
              <w:t>Finance Leases</w:t>
            </w:r>
          </w:p>
        </w:tc>
      </w:tr>
      <w:tr>
        <w:trPr>
          <w:trHeight w:val="31"/>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9.1</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9.6</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9.8</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9.8</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9.3</w:t>
            </w:r>
          </w:p>
        </w:tc>
      </w:tr>
      <w:tr>
        <w:trPr>
          <w:trHeight w:val="21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105.7</w:t>
            </w:r>
          </w:p>
        </w:tc>
      </w:tr>
      <w:tr>
        <w:trPr>
          <w:trHeight w:val="209"/>
        </w:trPr>
        <w:tc>
          <w:tcPr>
            <w:tcW w:w="6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Total lease payments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153.3</w:t>
            </w:r>
          </w:p>
        </w:tc>
      </w:tr>
      <w:tr>
        <w:trPr>
          <w:trHeight w:val="21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(6.2)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(54.1)</w:t>
            </w:r>
          </w:p>
        </w:tc>
      </w:tr>
      <w:tr>
        <w:trPr>
          <w:trHeight w:val="229"/>
        </w:trPr>
        <w:tc>
          <w:tcPr>
            <w:tcW w:w="6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Total present value of lease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99.2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99" w:name="page100"/>
    <w:bookmarkEnd w:id="99"/>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Note 7.</w:t>
      </w:r>
      <w:r>
        <w:rPr>
          <w:sz w:val="20"/>
          <w:szCs w:val="20"/>
          <w:color w:val="auto"/>
        </w:rPr>
        <w:tab/>
      </w:r>
      <w:r>
        <w:rPr>
          <w:rFonts w:ascii="Times New Roman" w:cs="Times New Roman" w:eastAsia="Times New Roman" w:hAnsi="Times New Roman"/>
          <w:sz w:val="16"/>
          <w:szCs w:val="16"/>
          <w:b w:val="1"/>
          <w:bCs w:val="1"/>
          <w:color w:val="auto"/>
        </w:rPr>
        <w:t>Net Income (Loss) Per Common Share</w:t>
      </w:r>
    </w:p>
    <w:p>
      <w:pPr>
        <w:spacing w:after="0" w:line="212" w:lineRule="exact"/>
        <w:rPr>
          <w:sz w:val="20"/>
          <w:szCs w:val="20"/>
          <w:color w:val="auto"/>
        </w:rPr>
      </w:pPr>
    </w:p>
    <w:p>
      <w:pPr>
        <w:ind w:right="100" w:firstLine="611"/>
        <w:spacing w:after="0" w:line="267" w:lineRule="auto"/>
        <w:rPr>
          <w:sz w:val="20"/>
          <w:szCs w:val="20"/>
          <w:color w:val="auto"/>
        </w:rPr>
      </w:pPr>
      <w:r>
        <w:rPr>
          <w:rFonts w:ascii="Times New Roman" w:cs="Times New Roman" w:eastAsia="Times New Roman" w:hAnsi="Times New Roman"/>
          <w:sz w:val="17"/>
          <w:szCs w:val="17"/>
          <w:color w:val="auto"/>
        </w:rPr>
        <w:t xml:space="preserve">The Company calculates net income (loss) per common share in accordance with FASB ASC Topic 260,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xml:space="preserve"> (“Topic 260”).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92" w:lineRule="exact"/>
        <w:rPr>
          <w:sz w:val="20"/>
          <w:szCs w:val="20"/>
          <w:color w:val="auto"/>
        </w:rPr>
      </w:pPr>
    </w:p>
    <w:p>
      <w:pPr>
        <w:ind w:right="620"/>
        <w:spacing w:after="0" w:line="279" w:lineRule="auto"/>
        <w:rPr>
          <w:sz w:val="20"/>
          <w:szCs w:val="20"/>
          <w:color w:val="auto"/>
        </w:rPr>
      </w:pPr>
      <w:r>
        <w:rPr>
          <w:rFonts w:ascii="Times New Roman" w:cs="Times New Roman" w:eastAsia="Times New Roman" w:hAnsi="Times New Roman"/>
          <w:sz w:val="17"/>
          <w:szCs w:val="17"/>
          <w:color w:val="auto"/>
        </w:rPr>
        <w:t>The following shares were excluded from the calculation of diluted income (loss) per common share because their inclusion would have been anti-dilutive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320" w:type="dxa"/>
            <w:vAlign w:val="bottom"/>
          </w:tcPr>
          <w:p>
            <w:pPr>
              <w:spacing w:after="0"/>
              <w:rPr>
                <w:sz w:val="15"/>
                <w:szCs w:val="15"/>
                <w:color w:val="auto"/>
              </w:rPr>
            </w:pPr>
          </w:p>
        </w:tc>
      </w:tr>
      <w:tr>
        <w:trPr>
          <w:trHeight w:val="29"/>
        </w:trPr>
        <w:tc>
          <w:tcPr>
            <w:tcW w:w="66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5"/>
        </w:trPr>
        <w:tc>
          <w:tcPr>
            <w:tcW w:w="668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December 29, 2024</w:t>
            </w: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5"/>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from stock options and awards</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2.5</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1.9</w:t>
            </w: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bl>
    <w:p>
      <w:pPr>
        <w:spacing w:after="0" w:line="29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Note 8.</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income (loss) from consolidated operations before income taxes are comprised of the following (in millions):</w:t>
      </w:r>
    </w:p>
    <w:p>
      <w:pPr>
        <w:spacing w:after="0" w:line="30"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5"/>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1"/>
              <w:spacing w:after="0"/>
              <w:rPr>
                <w:sz w:val="20"/>
                <w:szCs w:val="20"/>
                <w:color w:val="auto"/>
              </w:rPr>
            </w:pPr>
            <w:r>
              <w:rPr>
                <w:rFonts w:ascii="Times New Roman" w:cs="Times New Roman" w:eastAsia="Times New Roman" w:hAnsi="Times New Roman"/>
                <w:sz w:val="17"/>
                <w:szCs w:val="17"/>
                <w:color w:val="auto"/>
                <w:w w:val="93"/>
              </w:rPr>
              <w:t>$</w:t>
            </w:r>
          </w:p>
        </w:tc>
      </w:tr>
      <w:tr>
        <w:trPr>
          <w:trHeight w:val="216"/>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3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provision for income taxes from consolidated operations are comprised of the following (in millions):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7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
        </w:trPr>
        <w:tc>
          <w:tcPr>
            <w:tcW w:w="7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8"/>
        </w:trPr>
        <w:tc>
          <w:tcPr>
            <w:tcW w:w="7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29, 2024</w:t>
            </w:r>
          </w:p>
        </w:tc>
        <w:tc>
          <w:tcPr>
            <w:tcW w:w="100" w:type="dxa"/>
            <w:vAlign w:val="bottom"/>
          </w:tcPr>
          <w:p>
            <w:pPr>
              <w:spacing w:after="0"/>
              <w:rPr>
                <w:sz w:val="15"/>
                <w:szCs w:val="15"/>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5"/>
              </w:rPr>
              <w:t>December 31, 2023</w:t>
            </w:r>
          </w:p>
        </w:tc>
      </w:tr>
      <w:tr>
        <w:trPr>
          <w:trHeight w:val="203"/>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income taxes:</w:t>
            </w: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9"/>
        </w:trPr>
        <w:tc>
          <w:tcPr>
            <w:tcW w:w="7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Federal</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19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and local income taxes: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09"/>
        </w:trPr>
        <w:tc>
          <w:tcPr>
            <w:tcW w:w="7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State and local</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19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income taxes: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09"/>
        </w:trPr>
        <w:tc>
          <w:tcPr>
            <w:tcW w:w="7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Foreign</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34"/>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845" w:right="239" w:bottom="1440" w:gutter="0" w:footer="0" w:header="0"/>
        </w:sectPr>
      </w:pPr>
    </w:p>
    <w:bookmarkStart w:id="100" w:name="page101"/>
    <w:bookmarkEnd w:id="100"/>
    <w:p>
      <w:pPr>
        <w:ind w:right="160" w:firstLine="611"/>
        <w:spacing w:after="0" w:line="279" w:lineRule="auto"/>
        <w:rPr>
          <w:sz w:val="20"/>
          <w:szCs w:val="20"/>
          <w:color w:val="auto"/>
        </w:rPr>
      </w:pPr>
      <w:r>
        <w:rPr>
          <w:rFonts w:ascii="Times New Roman" w:cs="Times New Roman" w:eastAsia="Times New Roman" w:hAnsi="Times New Roman"/>
          <w:sz w:val="17"/>
          <w:szCs w:val="17"/>
          <w:color w:val="auto"/>
        </w:rPr>
        <w:t>The reconciliation from the statutory federal income tax rate of 21% to the Company’s effective income tax rate, applying ASU 2023-09 prospectively for the years ended December 28, 2025, is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4"/>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1"/>
        </w:trPr>
        <w:tc>
          <w:tcPr>
            <w:tcW w:w="78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28, 2025</w:t>
            </w: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(benefit) at federal statutory rate</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7.1</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taxes (benefit), net of federal tax benefit</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1.1</w:t>
            </w:r>
          </w:p>
        </w:tc>
        <w:tc>
          <w:tcPr>
            <w:tcW w:w="1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3.2</w:t>
            </w:r>
          </w:p>
        </w:tc>
      </w:tr>
      <w:tr>
        <w:trPr>
          <w:trHeight w:val="21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Foreign tax effects: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Israel tax expense (benefit)</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(0.6)</w:t>
            </w:r>
          </w:p>
        </w:tc>
        <w:tc>
          <w:tcPr>
            <w:tcW w:w="1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(1.9)</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foreign jurisdictions tax expense (benefit)</w:t>
            </w:r>
          </w:p>
        </w:tc>
        <w:tc>
          <w:tcPr>
            <w:tcW w:w="200" w:type="dxa"/>
            <w:vAlign w:val="bottom"/>
          </w:tcPr>
          <w:p>
            <w:pPr>
              <w:spacing w:after="0"/>
              <w:rPr>
                <w:sz w:val="18"/>
                <w:szCs w:val="18"/>
                <w:color w:val="auto"/>
              </w:rPr>
            </w:pPr>
          </w:p>
        </w:tc>
        <w:tc>
          <w:tcPr>
            <w:tcW w:w="160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1.2</w:t>
            </w:r>
          </w:p>
        </w:tc>
        <w:tc>
          <w:tcPr>
            <w:tcW w:w="16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3.4</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Effects of cross-border tax laws: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Global intangible low-taxed income</w:t>
            </w:r>
          </w:p>
        </w:tc>
        <w:tc>
          <w:tcPr>
            <w:tcW w:w="200" w:type="dxa"/>
            <w:vAlign w:val="bottom"/>
          </w:tcPr>
          <w:p>
            <w:pPr>
              <w:spacing w:after="0"/>
              <w:rPr>
                <w:sz w:val="18"/>
                <w:szCs w:val="18"/>
                <w:color w:val="auto"/>
              </w:rPr>
            </w:pPr>
          </w:p>
        </w:tc>
        <w:tc>
          <w:tcPr>
            <w:tcW w:w="160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3.2</w:t>
            </w:r>
          </w:p>
        </w:tc>
        <w:tc>
          <w:tcPr>
            <w:tcW w:w="16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9.5</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Tax credits: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&amp; development tax credits</w:t>
            </w:r>
          </w:p>
        </w:tc>
        <w:tc>
          <w:tcPr>
            <w:tcW w:w="200" w:type="dxa"/>
            <w:vAlign w:val="bottom"/>
          </w:tcPr>
          <w:p>
            <w:pPr>
              <w:spacing w:after="0"/>
              <w:rPr>
                <w:sz w:val="18"/>
                <w:szCs w:val="18"/>
                <w:color w:val="auto"/>
              </w:rPr>
            </w:pPr>
          </w:p>
        </w:tc>
        <w:tc>
          <w:tcPr>
            <w:tcW w:w="160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(0.5)</w:t>
            </w:r>
          </w:p>
        </w:tc>
        <w:tc>
          <w:tcPr>
            <w:tcW w:w="16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(1.6)</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federal valuation allowance</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(0.2)</w:t>
            </w:r>
          </w:p>
        </w:tc>
        <w:tc>
          <w:tcPr>
            <w:tcW w:w="16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(0.7)</w:t>
            </w:r>
          </w:p>
        </w:tc>
      </w:tr>
      <w:tr>
        <w:trPr>
          <w:trHeight w:val="21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Nondeductible items: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0.3</w:t>
            </w:r>
          </w:p>
        </w:tc>
        <w:tc>
          <w:tcPr>
            <w:tcW w:w="1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0.9</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Officer’s compensation 162(m) limitation</w:t>
            </w:r>
          </w:p>
        </w:tc>
        <w:tc>
          <w:tcPr>
            <w:tcW w:w="200" w:type="dxa"/>
            <w:vAlign w:val="bottom"/>
          </w:tcPr>
          <w:p>
            <w:pPr>
              <w:spacing w:after="0"/>
              <w:rPr>
                <w:sz w:val="18"/>
                <w:szCs w:val="18"/>
                <w:color w:val="auto"/>
              </w:rPr>
            </w:pPr>
          </w:p>
        </w:tc>
        <w:tc>
          <w:tcPr>
            <w:tcW w:w="160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0.8</w:t>
            </w:r>
          </w:p>
        </w:tc>
        <w:tc>
          <w:tcPr>
            <w:tcW w:w="16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2.5</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nondeductible items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0.7</w:t>
            </w:r>
          </w:p>
        </w:tc>
        <w:tc>
          <w:tcPr>
            <w:tcW w:w="1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2.0</w:t>
            </w:r>
          </w:p>
        </w:tc>
      </w:tr>
      <w:tr>
        <w:trPr>
          <w:trHeight w:val="21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unrecognized tax benefits</w:t>
            </w:r>
          </w:p>
        </w:tc>
        <w:tc>
          <w:tcPr>
            <w:tcW w:w="200" w:type="dxa"/>
            <w:vAlign w:val="bottom"/>
          </w:tcPr>
          <w:p>
            <w:pPr>
              <w:spacing w:after="0"/>
              <w:rPr>
                <w:sz w:val="18"/>
                <w:szCs w:val="18"/>
                <w:color w:val="auto"/>
              </w:rPr>
            </w:pPr>
          </w:p>
        </w:tc>
        <w:tc>
          <w:tcPr>
            <w:tcW w:w="160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(1.0)</w:t>
            </w:r>
          </w:p>
        </w:tc>
        <w:tc>
          <w:tcPr>
            <w:tcW w:w="16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(2.9)</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adjustments</w:t>
            </w: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(0.1)</w:t>
            </w:r>
          </w:p>
        </w:tc>
        <w:tc>
          <w:tcPr>
            <w:tcW w:w="16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(0.2)</w:t>
            </w: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12.0</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35.2 %</w:t>
            </w: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right="60" w:firstLine="611"/>
        <w:spacing w:after="0" w:line="268" w:lineRule="auto"/>
        <w:rPr>
          <w:sz w:val="20"/>
          <w:szCs w:val="20"/>
          <w:color w:val="auto"/>
        </w:rPr>
      </w:pPr>
      <w:r>
        <w:rPr>
          <w:rFonts w:ascii="Times New Roman" w:cs="Times New Roman" w:eastAsia="Times New Roman" w:hAnsi="Times New Roman"/>
          <w:sz w:val="17"/>
          <w:szCs w:val="17"/>
          <w:color w:val="auto"/>
        </w:rPr>
        <w:t>The reconciliation from the statutory federal income tax rate to our effective income tax rate, applying ASC 740 prior to the adoption of ASU 2023-09 is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4"/>
          </w:tcPr>
          <w:p>
            <w:pPr>
              <w:ind w:left="11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4"/>
        </w:trPr>
        <w:tc>
          <w:tcPr>
            <w:tcW w:w="7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78"/>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20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at federal statutory rate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center"/>
              <w:ind w:left="1017"/>
              <w:spacing w:after="0"/>
              <w:rPr>
                <w:sz w:val="20"/>
                <w:szCs w:val="20"/>
                <w:color w:val="auto"/>
              </w:rPr>
            </w:pPr>
            <w:r>
              <w:rPr>
                <w:rFonts w:ascii="Times New Roman" w:cs="Times New Roman" w:eastAsia="Times New Roman" w:hAnsi="Times New Roman"/>
                <w:sz w:val="17"/>
                <w:szCs w:val="17"/>
                <w:color w:val="auto"/>
              </w:rPr>
              <w:t>2.3</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taxes (benefit), net of federal tax benefit and valuation allowance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1017"/>
              <w:spacing w:after="0"/>
              <w:rPr>
                <w:sz w:val="20"/>
                <w:szCs w:val="20"/>
                <w:color w:val="auto"/>
              </w:rPr>
            </w:pPr>
            <w:r>
              <w:rPr>
                <w:rFonts w:ascii="Times New Roman" w:cs="Times New Roman" w:eastAsia="Times New Roman" w:hAnsi="Times New Roman"/>
                <w:sz w:val="17"/>
                <w:szCs w:val="17"/>
                <w:color w:val="auto"/>
              </w:rPr>
              <w:t>3.7</w:t>
            </w: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Difference in tax rates between U.S. and foreign</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1017"/>
              <w:spacing w:after="0"/>
              <w:rPr>
                <w:sz w:val="20"/>
                <w:szCs w:val="20"/>
                <w:color w:val="auto"/>
              </w:rPr>
            </w:pPr>
            <w:r>
              <w:rPr>
                <w:rFonts w:ascii="Times New Roman" w:cs="Times New Roman" w:eastAsia="Times New Roman" w:hAnsi="Times New Roman"/>
                <w:sz w:val="17"/>
                <w:szCs w:val="17"/>
                <w:color w:val="auto"/>
              </w:rPr>
              <w:t>1.7</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valuation allowance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997"/>
              <w:spacing w:after="0"/>
              <w:rPr>
                <w:sz w:val="20"/>
                <w:szCs w:val="20"/>
                <w:color w:val="auto"/>
              </w:rPr>
            </w:pPr>
            <w:r>
              <w:rPr>
                <w:rFonts w:ascii="Times New Roman" w:cs="Times New Roman" w:eastAsia="Times New Roman" w:hAnsi="Times New Roman"/>
                <w:sz w:val="17"/>
                <w:szCs w:val="17"/>
                <w:color w:val="auto"/>
                <w:w w:val="98"/>
              </w:rPr>
              <w:t>(2.0)</w:t>
            </w: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Nondeductible expense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1017"/>
              <w:spacing w:after="0"/>
              <w:rPr>
                <w:sz w:val="20"/>
                <w:szCs w:val="20"/>
                <w:color w:val="auto"/>
              </w:rPr>
            </w:pPr>
            <w:r>
              <w:rPr>
                <w:rFonts w:ascii="Times New Roman" w:cs="Times New Roman" w:eastAsia="Times New Roman" w:hAnsi="Times New Roman"/>
                <w:sz w:val="17"/>
                <w:szCs w:val="17"/>
                <w:color w:val="auto"/>
              </w:rPr>
              <w:t>0.5</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reserve for uncertain tax positions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1017"/>
              <w:spacing w:after="0"/>
              <w:rPr>
                <w:sz w:val="20"/>
                <w:szCs w:val="20"/>
                <w:color w:val="auto"/>
              </w:rPr>
            </w:pPr>
            <w:r>
              <w:rPr>
                <w:rFonts w:ascii="Times New Roman" w:cs="Times New Roman" w:eastAsia="Times New Roman" w:hAnsi="Times New Roman"/>
                <w:sz w:val="17"/>
                <w:szCs w:val="17"/>
                <w:color w:val="auto"/>
              </w:rPr>
              <w:t>0.3</w:t>
            </w: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1017"/>
              <w:spacing w:after="0"/>
              <w:rPr>
                <w:sz w:val="20"/>
                <w:szCs w:val="20"/>
                <w:color w:val="auto"/>
              </w:rPr>
            </w:pPr>
            <w:r>
              <w:rPr>
                <w:rFonts w:ascii="Times New Roman" w:cs="Times New Roman" w:eastAsia="Times New Roman" w:hAnsi="Times New Roman"/>
                <w:sz w:val="17"/>
                <w:szCs w:val="17"/>
                <w:color w:val="auto"/>
              </w:rPr>
              <w:t>0.1</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Officer’s compensation 162(m) limitation</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1017"/>
              <w:spacing w:after="0"/>
              <w:rPr>
                <w:sz w:val="20"/>
                <w:szCs w:val="20"/>
                <w:color w:val="auto"/>
              </w:rPr>
            </w:pPr>
            <w:r>
              <w:rPr>
                <w:rFonts w:ascii="Times New Roman" w:cs="Times New Roman" w:eastAsia="Times New Roman" w:hAnsi="Times New Roman"/>
                <w:sz w:val="17"/>
                <w:szCs w:val="17"/>
                <w:color w:val="auto"/>
              </w:rPr>
              <w:t>0.5</w:t>
            </w: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R&amp;D tax credit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997"/>
              <w:spacing w:after="0"/>
              <w:rPr>
                <w:sz w:val="20"/>
                <w:szCs w:val="20"/>
                <w:color w:val="auto"/>
              </w:rPr>
            </w:pPr>
            <w:r>
              <w:rPr>
                <w:rFonts w:ascii="Times New Roman" w:cs="Times New Roman" w:eastAsia="Times New Roman" w:hAnsi="Times New Roman"/>
                <w:sz w:val="17"/>
                <w:szCs w:val="17"/>
                <w:color w:val="auto"/>
                <w:w w:val="98"/>
              </w:rPr>
              <w:t>(0.9)</w:t>
            </w:r>
          </w:p>
        </w:tc>
      </w:tr>
      <w:tr>
        <w:trPr>
          <w:trHeight w:val="216"/>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1017"/>
              <w:spacing w:after="0"/>
              <w:rPr>
                <w:sz w:val="20"/>
                <w:szCs w:val="20"/>
                <w:color w:val="auto"/>
              </w:rPr>
            </w:pPr>
            <w:r>
              <w:rPr>
                <w:rFonts w:ascii="Times New Roman" w:cs="Times New Roman" w:eastAsia="Times New Roman" w:hAnsi="Times New Roman"/>
                <w:sz w:val="17"/>
                <w:szCs w:val="17"/>
                <w:color w:val="auto"/>
              </w:rPr>
              <w:t>2.5</w:t>
            </w:r>
          </w:p>
        </w:tc>
      </w:tr>
      <w:tr>
        <w:trPr>
          <w:trHeight w:val="23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center"/>
              <w:ind w:left="1017"/>
              <w:spacing w:after="0"/>
              <w:rPr>
                <w:sz w:val="20"/>
                <w:szCs w:val="20"/>
                <w:color w:val="auto"/>
              </w:rPr>
            </w:pPr>
            <w:r>
              <w:rPr>
                <w:rFonts w:ascii="Times New Roman" w:cs="Times New Roman" w:eastAsia="Times New Roman" w:hAnsi="Times New Roman"/>
                <w:sz w:val="17"/>
                <w:szCs w:val="17"/>
                <w:color w:val="auto"/>
              </w:rPr>
              <w:t>8.7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101" w:name="page102"/>
    <w:bookmarkEnd w:id="101"/>
    <w:p>
      <w:pPr>
        <w:ind w:right="180" w:firstLine="611"/>
        <w:spacing w:after="0" w:line="279" w:lineRule="auto"/>
        <w:rPr>
          <w:sz w:val="20"/>
          <w:szCs w:val="20"/>
          <w:color w:val="auto"/>
        </w:rPr>
      </w:pPr>
      <w:r>
        <w:rPr>
          <w:rFonts w:ascii="Times New Roman" w:cs="Times New Roman" w:eastAsia="Times New Roman" w:hAnsi="Times New Roman"/>
          <w:sz w:val="17"/>
          <w:szCs w:val="17"/>
          <w:color w:val="auto"/>
        </w:rPr>
        <w:t>For the fiscal year ending December 28, 2025, California comprises the majority (i.e., greater than 50%) of the Company’s domestic state and local income taxes, net of the federal effect category.</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amount of income taxes paid, net of refunds received, by jurisdiction are as follows (in millions) :</w:t>
      </w:r>
    </w:p>
    <w:p>
      <w:pPr>
        <w:spacing w:after="0" w:line="46"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9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None</w:t>
            </w:r>
          </w:p>
        </w:tc>
      </w:tr>
      <w:tr>
        <w:trPr>
          <w:trHeight w:val="217"/>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92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92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bl>
    <w:p>
      <w:pPr>
        <w:spacing w:after="0" w:line="299" w:lineRule="exact"/>
        <w:rPr>
          <w:sz w:val="20"/>
          <w:szCs w:val="20"/>
          <w:color w:val="auto"/>
        </w:rPr>
      </w:pPr>
    </w:p>
    <w:p>
      <w:pPr>
        <w:ind w:right="120" w:firstLine="611"/>
        <w:spacing w:after="0" w:line="279" w:lineRule="auto"/>
        <w:rPr>
          <w:sz w:val="20"/>
          <w:szCs w:val="20"/>
          <w:color w:val="auto"/>
        </w:rPr>
      </w:pPr>
      <w:r>
        <w:rPr>
          <w:rFonts w:ascii="Times New Roman" w:cs="Times New Roman" w:eastAsia="Times New Roman" w:hAnsi="Times New Roman"/>
          <w:sz w:val="17"/>
          <w:szCs w:val="17"/>
          <w:color w:val="auto"/>
        </w:rPr>
        <w:t>Furthermore, the amount of income taxes paid (net of refunds received) disaggregated by individual jurisdictions in which income taxes paid (net of refunds received) is equal to or greater than 5% of the total income taxes paid (net of refunds received) are as follows (in millions):</w:t>
      </w:r>
    </w:p>
    <w:p>
      <w:pPr>
        <w:spacing w:after="0" w:line="220"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Israel:</w:t>
            </w:r>
          </w:p>
        </w:tc>
        <w:tc>
          <w:tcPr>
            <w:tcW w:w="98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France:</w:t>
            </w:r>
          </w:p>
        </w:tc>
        <w:tc>
          <w:tcPr>
            <w:tcW w:w="98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98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6"/>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Japan:</w:t>
            </w:r>
          </w:p>
        </w:tc>
        <w:tc>
          <w:tcPr>
            <w:tcW w:w="98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bl>
    <w:p>
      <w:pPr>
        <w:spacing w:after="0" w:line="2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tax effects of temporary differences that give rise to deferred tax assets and deferred tax liabilities are as follows (in millions):</w:t>
      </w:r>
    </w:p>
    <w:p>
      <w:pPr>
        <w:spacing w:after="0" w:line="30" w:lineRule="exact"/>
        <w:rPr>
          <w:sz w:val="20"/>
          <w:szCs w:val="20"/>
          <w:color w:val="auto"/>
        </w:rPr>
      </w:pPr>
    </w:p>
    <w:tbl>
      <w:tblPr>
        <w:tblLayout w:type="fixed"/>
        <w:tblInd w:w="620" w:type="dxa"/>
        <w:tblCellMar>
          <w:top w:w="0" w:type="dxa"/>
          <w:left w:w="0" w:type="dxa"/>
          <w:bottom w:w="0" w:type="dxa"/>
          <w:right w:w="0" w:type="dxa"/>
        </w:tblCellMar>
      </w:tblPr>
      <w:tr>
        <w:trPr>
          <w:trHeight w:val="198"/>
        </w:trPr>
        <w:tc>
          <w:tcPr>
            <w:tcW w:w="77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4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 2</w:t>
            </w:r>
          </w:p>
        </w:tc>
      </w:tr>
      <w:tr>
        <w:trPr>
          <w:trHeight w:val="20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tcPr>
          <w:p>
            <w:pPr>
              <w:spacing w:after="0"/>
              <w:rPr>
                <w:sz w:val="18"/>
                <w:szCs w:val="18"/>
                <w:color w:val="auto"/>
              </w:rPr>
            </w:pPr>
          </w:p>
        </w:tc>
        <w:tc>
          <w:tcPr>
            <w:tcW w:w="1160" w:type="dxa"/>
            <w:vAlign w:val="bottom"/>
          </w:tcPr>
          <w:p>
            <w:pPr>
              <w:jc w:val="right"/>
              <w:ind w:right="961"/>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related accruals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accruals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credit carryforwards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expenses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9"/>
        </w:trPr>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deferred taxes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9"/>
        </w:trPr>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deferred tax assets, net of valuation allowance</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Unearned revenue</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principally due to differences in depreciation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r>
      <w:tr>
        <w:trPr>
          <w:trHeight w:val="209"/>
        </w:trPr>
        <w:tc>
          <w:tcPr>
            <w:tcW w:w="7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r>
      <w:tr>
        <w:trPr>
          <w:trHeight w:val="23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100" w:firstLine="611"/>
        <w:spacing w:after="0" w:line="255" w:lineRule="auto"/>
        <w:rPr>
          <w:sz w:val="20"/>
          <w:szCs w:val="20"/>
          <w:color w:val="auto"/>
        </w:rPr>
      </w:pPr>
      <w:r>
        <w:rPr>
          <w:rFonts w:ascii="Times New Roman" w:cs="Times New Roman" w:eastAsia="Times New Roman" w:hAnsi="Times New Roman"/>
          <w:sz w:val="17"/>
          <w:szCs w:val="17"/>
          <w:color w:val="auto"/>
        </w:rPr>
        <w:t>During the fourth quarter of 2025, the Company evaluated all available evidence, both positive and negative, to determine whether based on the weight of that evidence, a valuation allowance for deferred tax assets was needed. Evidence evaluated by the Company included but was not limited to, its three-year cumulative results, and its forecast of taxable income. As a result, the Company determined that the majority of the Company’s U.S. net deferred tax assets were more likely than not to be realized and that a valuation allowance with respect to a majority of the Company’s net deferred tax assets was not required. The valuation allowance on the Company’s deferred tax assets as of December 28, 2025 relates primarily to state net operating loss carryforwards, capital loss carryforwards and research and development tax credit carryforwards the Company estimates it may not be able to utilize in future periods. During fiscal 2025, the Company recorded a net decrease in its valuation allowance of $0.2 million.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sectPr>
      </w:pPr>
    </w:p>
    <w:bookmarkStart w:id="102" w:name="page103"/>
    <w:bookmarkEnd w:id="102"/>
    <w:p>
      <w:pPr>
        <w:ind w:right="160" w:firstLine="611"/>
        <w:spacing w:after="0" w:line="279" w:lineRule="auto"/>
        <w:rPr>
          <w:sz w:val="20"/>
          <w:szCs w:val="20"/>
          <w:color w:val="auto"/>
        </w:rPr>
      </w:pPr>
      <w:r>
        <w:rPr>
          <w:rFonts w:ascii="Times New Roman" w:cs="Times New Roman" w:eastAsia="Times New Roman" w:hAnsi="Times New Roman"/>
          <w:sz w:val="17"/>
          <w:szCs w:val="17"/>
          <w:color w:val="auto"/>
        </w:rPr>
        <w:t>At December 28, 2025, the Company had federal tax loss carryforwards of $116.4 million and various state tax loss carryforwards of $204.4 million. The federal tax loss carryforwards will begin to expire in 2034 and state tax loss carryforwards begin to expire in 2026 in certain states.</w:t>
      </w:r>
    </w:p>
    <w:p>
      <w:pPr>
        <w:spacing w:after="0" w:line="157" w:lineRule="exact"/>
        <w:rPr>
          <w:sz w:val="20"/>
          <w:szCs w:val="20"/>
          <w:color w:val="auto"/>
        </w:rPr>
      </w:pPr>
    </w:p>
    <w:p>
      <w:pPr>
        <w:ind w:right="180" w:firstLine="611"/>
        <w:spacing w:after="0" w:line="279" w:lineRule="auto"/>
        <w:rPr>
          <w:sz w:val="20"/>
          <w:szCs w:val="20"/>
          <w:color w:val="auto"/>
        </w:rPr>
      </w:pPr>
      <w:r>
        <w:rPr>
          <w:rFonts w:ascii="Times New Roman" w:cs="Times New Roman" w:eastAsia="Times New Roman" w:hAnsi="Times New Roman"/>
          <w:sz w:val="17"/>
          <w:szCs w:val="17"/>
          <w:color w:val="auto"/>
        </w:rPr>
        <w:t>At December 28, 2025, the Company had federal tax credit carryforwards of $15.2 million and various state tax credit carryforwards of $1.3 million. The federal tax credit carryforwards will begin to expire in 2026 and the state tax credit carryforwards do not have an expiration.</w:t>
      </w:r>
    </w:p>
    <w:p>
      <w:pPr>
        <w:spacing w:after="0" w:line="157" w:lineRule="exact"/>
        <w:rPr>
          <w:sz w:val="20"/>
          <w:szCs w:val="20"/>
          <w:color w:val="auto"/>
        </w:rPr>
      </w:pPr>
    </w:p>
    <w:p>
      <w:pPr>
        <w:ind w:right="180" w:firstLine="611"/>
        <w:spacing w:after="0" w:line="279" w:lineRule="auto"/>
        <w:rPr>
          <w:sz w:val="20"/>
          <w:szCs w:val="20"/>
          <w:color w:val="auto"/>
        </w:rPr>
      </w:pPr>
      <w:r>
        <w:rPr>
          <w:rFonts w:ascii="Times New Roman" w:cs="Times New Roman" w:eastAsia="Times New Roman" w:hAnsi="Times New Roman"/>
          <w:sz w:val="17"/>
          <w:szCs w:val="17"/>
          <w:color w:val="auto"/>
        </w:rPr>
        <w:t>Federal and state income tax laws impose restrictions on the utilization of net operating losses (“NOLs”) and tax credit carryforwards in the event that an “ownership change” occurs for tax purposes, as defined by Section 382 of the Internal Revenue Code of 1986, as amended (“Section 382”).</w:t>
      </w:r>
    </w:p>
    <w:p>
      <w:pPr>
        <w:spacing w:after="0" w:line="157" w:lineRule="exact"/>
        <w:rPr>
          <w:sz w:val="20"/>
          <w:szCs w:val="20"/>
          <w:color w:val="auto"/>
        </w:rPr>
      </w:pPr>
    </w:p>
    <w:p>
      <w:pPr>
        <w:ind w:right="140" w:firstLine="611"/>
        <w:spacing w:after="0" w:line="255" w:lineRule="auto"/>
        <w:rPr>
          <w:sz w:val="20"/>
          <w:szCs w:val="20"/>
          <w:color w:val="auto"/>
        </w:rPr>
      </w:pPr>
      <w:r>
        <w:rPr>
          <w:rFonts w:ascii="Times New Roman" w:cs="Times New Roman" w:eastAsia="Times New Roman" w:hAnsi="Times New Roman"/>
          <w:sz w:val="17"/>
          <w:szCs w:val="17"/>
          <w:color w:val="auto"/>
        </w:rPr>
        <w:t>In tax year 2010 the Company experienced a Section 382 “ownership change” that will limit the utilization of NOL carryforwards generated before the “ownership change” date. Additionally, the Company has acquired corporations with NOL carryforwards at the date of acquisition (“Acquired NOLs”). The Acquired NOLs are subject to separate limitations that may further restrict the use of Acquired NOLs. For the year ended December 28, 2025, there was no impact of such Section 382 limitations on the income tax provision since the amount of taxable income did not exceed NOLs available for utilization.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80" w:lineRule="exact"/>
        <w:rPr>
          <w:sz w:val="20"/>
          <w:szCs w:val="20"/>
          <w:color w:val="auto"/>
        </w:rPr>
      </w:pPr>
    </w:p>
    <w:p>
      <w:pPr>
        <w:ind w:right="40" w:firstLine="611"/>
        <w:spacing w:after="0" w:line="281" w:lineRule="auto"/>
        <w:rPr>
          <w:sz w:val="20"/>
          <w:szCs w:val="20"/>
          <w:color w:val="auto"/>
        </w:rPr>
      </w:pPr>
      <w:r>
        <w:rPr>
          <w:rFonts w:ascii="Times New Roman" w:cs="Times New Roman" w:eastAsia="Times New Roman" w:hAnsi="Times New Roman"/>
          <w:sz w:val="16"/>
          <w:szCs w:val="16"/>
          <w:color w:val="auto"/>
        </w:rPr>
        <w:t>As of December 31, 2017, all accumulated undistributed earnings of our foreign subsidiaries were subject to the one-time transition tax on foreign earnings required by the 2017 Tax Cuts and Jobs Act. It is the Company’s intention to permanently reinvest undistributed earnings of its foreign subsidiaries. As such, the Company has not provided deferred U.S. income taxes or foreign withholding taxes of approximately $7.8 million on temporary differences relating to the outside basis in its investment in foreign subsidiaries. As of December 28, 2025, the Company has $30.3 million of cash and cash equivalents available for distribution.</w:t>
      </w:r>
    </w:p>
    <w:p>
      <w:pPr>
        <w:spacing w:after="0" w:line="183" w:lineRule="exact"/>
        <w:rPr>
          <w:sz w:val="20"/>
          <w:szCs w:val="20"/>
          <w:color w:val="auto"/>
        </w:rPr>
      </w:pPr>
    </w:p>
    <w:p>
      <w:pPr>
        <w:ind w:right="120" w:firstLine="611"/>
        <w:spacing w:after="0" w:line="264" w:lineRule="auto"/>
        <w:rPr>
          <w:sz w:val="20"/>
          <w:szCs w:val="20"/>
          <w:color w:val="auto"/>
        </w:rPr>
      </w:pPr>
      <w:r>
        <w:rPr>
          <w:rFonts w:ascii="Times New Roman" w:cs="Times New Roman" w:eastAsia="Times New Roman" w:hAnsi="Times New Roman"/>
          <w:sz w:val="17"/>
          <w:szCs w:val="17"/>
          <w:color w:val="auto"/>
        </w:rPr>
        <w:t>The Company is subject to taxation in the U.S., various state tax jurisdictions and various foreign tax jurisdictions. The Company’s tax years for 2005 and later are subject to examination by the U.S. and state tax authorities due to the existence of NOL carryforwards. Generally, the Company’s tax years for 2020 and later are subject to examination by various foreign tax authorities as well.</w:t>
      </w:r>
    </w:p>
    <w:p>
      <w:pPr>
        <w:sectPr>
          <w:pgSz w:w="11900" w:h="16838" w:orient="portrait"/>
          <w:cols w:equalWidth="0" w:num="1">
            <w:col w:w="11200"/>
          </w:cols>
          <w:pgMar w:left="320" w:top="849" w:right="37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activity related to the Company’s unrecognized tax benefits (in millions):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-121285</wp:posOffset>
            </wp:positionV>
            <wp:extent cx="712406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24065" cy="13716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prior periods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-123190</wp:posOffset>
            </wp:positionV>
            <wp:extent cx="712406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7124065" cy="13716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Expiration of applicable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wp:posOffset>
            </wp:positionV>
            <wp:extent cx="7124065"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24065" cy="14541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31, 2023</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prior periods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-123190</wp:posOffset>
            </wp:positionV>
            <wp:extent cx="712406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24065" cy="13716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Expiration of applicable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wp:posOffset>
            </wp:positionV>
            <wp:extent cx="7124065"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24065" cy="14541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29, 2024</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prior periods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Decreases related to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-123190</wp:posOffset>
            </wp:positionV>
            <wp:extent cx="712406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24065" cy="13716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Expiration of applicable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-123190</wp:posOffset>
            </wp:positionV>
            <wp:extent cx="712406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24065" cy="137160"/>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Balance as of December 28,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09" w:hanging="909"/>
        <w:spacing w:after="0"/>
        <w:tabs>
          <w:tab w:leader="none" w:pos="90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w:t>
      </w:r>
    </w:p>
    <w:p>
      <w:pPr>
        <w:spacing w:after="0" w:line="23" w:lineRule="exact"/>
        <w:rPr>
          <w:rFonts w:ascii="Times New Roman" w:cs="Times New Roman" w:eastAsia="Times New Roman" w:hAnsi="Times New Roman"/>
          <w:sz w:val="17"/>
          <w:szCs w:val="17"/>
          <w:color w:val="auto"/>
        </w:rPr>
      </w:pPr>
    </w:p>
    <w:p>
      <w:pPr>
        <w:ind w:left="100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0.2</w:t>
      </w:r>
    </w:p>
    <w:p>
      <w:pPr>
        <w:spacing w:after="0" w:line="20" w:lineRule="exact"/>
        <w:rPr>
          <w:rFonts w:ascii="Times New Roman" w:cs="Times New Roman" w:eastAsia="Times New Roman" w:hAnsi="Times New Roman"/>
          <w:sz w:val="17"/>
          <w:szCs w:val="17"/>
          <w:color w:val="auto"/>
        </w:rPr>
      </w:pPr>
    </w:p>
    <w:p>
      <w:pPr>
        <w:ind w:left="100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(0.1)</w:t>
      </w:r>
    </w:p>
    <w:p>
      <w:pPr>
        <w:spacing w:after="0" w:line="31" w:lineRule="exact"/>
        <w:rPr>
          <w:sz w:val="20"/>
          <w:szCs w:val="20"/>
          <w:color w:val="auto"/>
        </w:rPr>
      </w:pPr>
    </w:p>
    <w:p>
      <w:pPr>
        <w:ind w:left="909"/>
        <w:spacing w:after="0"/>
        <w:rPr>
          <w:sz w:val="20"/>
          <w:szCs w:val="20"/>
          <w:color w:val="auto"/>
        </w:rPr>
      </w:pPr>
      <w:r>
        <w:rPr>
          <w:rFonts w:ascii="Times New Roman" w:cs="Times New Roman" w:eastAsia="Times New Roman" w:hAnsi="Times New Roman"/>
          <w:sz w:val="17"/>
          <w:szCs w:val="17"/>
          <w:color w:val="auto"/>
        </w:rPr>
        <w:t>25.3</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0.1</w:t>
      </w:r>
    </w:p>
    <w:p>
      <w:pPr>
        <w:spacing w:after="0" w:line="2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0.2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(0.2)</w:t>
      </w:r>
    </w:p>
    <w:p>
      <w:pPr>
        <w:spacing w:after="0" w:line="3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25.4</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1.8</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(1.2)</w:t>
      </w:r>
    </w:p>
    <w:p>
      <w:pPr>
        <w:spacing w:after="0" w:line="2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0.2</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8248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11" w:lineRule="exact"/>
        <w:rPr>
          <w:sz w:val="20"/>
          <w:szCs w:val="20"/>
          <w:color w:val="auto"/>
        </w:rPr>
      </w:pPr>
    </w:p>
    <w:p>
      <w:pPr>
        <w:ind w:left="909" w:hanging="909"/>
        <w:spacing w:after="0"/>
        <w:tabs>
          <w:tab w:leader="none" w:pos="90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wp:posOffset>
            </wp:positionV>
            <wp:extent cx="8248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82486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40005</wp:posOffset>
            </wp:positionV>
            <wp:extent cx="8248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9231" w:space="720"/>
            <w:col w:w="1249"/>
          </w:cols>
          <w:pgMar w:left="320" w:top="849" w:right="379" w:bottom="1440" w:gutter="0" w:footer="0" w:header="0"/>
          <w:type w:val="continuous"/>
        </w:sectPr>
      </w:pPr>
    </w:p>
    <w:p>
      <w:pPr>
        <w:spacing w:after="0" w:line="152" w:lineRule="exact"/>
        <w:rPr>
          <w:sz w:val="20"/>
          <w:szCs w:val="20"/>
          <w:color w:val="auto"/>
        </w:rPr>
      </w:pPr>
    </w:p>
    <w:p>
      <w:pPr>
        <w:ind w:right="20" w:firstLine="611"/>
        <w:spacing w:after="0" w:line="259" w:lineRule="auto"/>
        <w:rPr>
          <w:sz w:val="20"/>
          <w:szCs w:val="20"/>
          <w:color w:val="auto"/>
        </w:rPr>
      </w:pPr>
      <w:r>
        <w:rPr>
          <w:rFonts w:ascii="Times New Roman" w:cs="Times New Roman" w:eastAsia="Times New Roman" w:hAnsi="Times New Roman"/>
          <w:sz w:val="17"/>
          <w:szCs w:val="17"/>
          <w:color w:val="auto"/>
        </w:rPr>
        <w:t>Included in the balance of unrecognized tax benefits at December 28, 2025, are $22.9 million of tax benefits that, if recognized, would impact the effective tax rate. Included in this amount is $11.3 million that would become a deferred tax asset if the tax benefit were recognized. As such, this benefit may be impacted by a corresponding change in valuation allowance depending upon the Company’s assessment of the realizability of the deferred tax asset at the time the benefits are recognized.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00"/>
          </w:cols>
          <w:pgMar w:left="320" w:top="849" w:right="379" w:bottom="1440" w:gutter="0" w:footer="0" w:header="0"/>
          <w:type w:val="continuous"/>
        </w:sectPr>
      </w:pPr>
    </w:p>
    <w:bookmarkStart w:id="103" w:name="page104"/>
    <w:bookmarkEnd w:id="103"/>
    <w:p>
      <w:pPr>
        <w:ind w:right="160" w:firstLine="611"/>
        <w:spacing w:after="0" w:line="257" w:lineRule="auto"/>
        <w:rPr>
          <w:sz w:val="20"/>
          <w:szCs w:val="20"/>
          <w:color w:val="auto"/>
        </w:rPr>
      </w:pPr>
      <w:r>
        <w:rPr>
          <w:rFonts w:ascii="Times New Roman" w:cs="Times New Roman" w:eastAsia="Times New Roman" w:hAnsi="Times New Roman"/>
          <w:sz w:val="17"/>
          <w:szCs w:val="17"/>
          <w:color w:val="auto"/>
        </w:rPr>
        <w:t>The Company recognizes interest and penalties related to unrecognized tax benefits in its provision for income taxes. For the years ended December 28, 2025, December 29, 2024 and December 31, 2023, the Company recorded $0.2 million, $0.3 million, and $0.3 million in interest and penalties expense each year, respectively. These amounts are netted by a benefit for interest and penalties related to the reversal of prior positions of $2.5 million, $0.1 million, and $0.1 million for the years ended December 28, 2025, December 29, 2024, and December 31, 2023, respectively. As of December 28, 2025, December 29, 2024, and December 31, 2023, the Company had accrued total interest and penalties of $3.3 million, $5.6 million and $5.3 million, respectively.</w:t>
      </w:r>
    </w:p>
    <w:p>
      <w:pPr>
        <w:spacing w:after="0" w:line="201" w:lineRule="exact"/>
        <w:rPr>
          <w:sz w:val="20"/>
          <w:szCs w:val="20"/>
          <w:color w:val="auto"/>
        </w:rPr>
      </w:pPr>
    </w:p>
    <w:p>
      <w:pPr>
        <w:ind w:right="20" w:firstLine="611"/>
        <w:spacing w:after="0" w:line="246" w:lineRule="auto"/>
        <w:rPr>
          <w:sz w:val="20"/>
          <w:szCs w:val="20"/>
          <w:color w:val="auto"/>
        </w:rPr>
      </w:pPr>
      <w:r>
        <w:rPr>
          <w:rFonts w:ascii="Times New Roman" w:cs="Times New Roman" w:eastAsia="Times New Roman" w:hAnsi="Times New Roman"/>
          <w:sz w:val="17"/>
          <w:szCs w:val="17"/>
          <w:color w:val="auto"/>
        </w:rPr>
        <w:t>The Organization for Economic Co-operation and Development (OECD) has issued Pillar Two model rules, introducing a new global minimum tax of 15%. While the United States has not adopted Pillar Two, other countries have enacted such legislation or are considering implementation. Given our limited operations in low-tax jurisdictions, Pillar Two has not materially increased our global tax costs. On January 5, 2026, the OECD released a comprehensive package for a “side-by-side arrangement” with respect to Pillar Two. Notably, once adopted, this new guidance will prevent other countries from imposing tax on the U.S. profits of American companies. We will continue to monitor U.S. and international legislative developments, including further announcements on the Side-by-Side package, to assess any potential impacts on our operations.</w:t>
      </w:r>
    </w:p>
    <w:p>
      <w:pPr>
        <w:spacing w:after="0" w:line="199"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color w:val="auto"/>
        </w:rPr>
        <w:t>On July 4, 2025, the President signed into law the One Big Beautiful Bill Act (OBBBA). The OBBBA maintains the 21 percent corporate tax rate and makes permanent many of the beneficial expired and expiring tax provisions originally enacted in the Tax Cuts and Jobs Act of 2017, including the immediate expensing of domestic research and development expenditures, more favorable interest deductibility and 100 percent bonus depreciation with effective dates in 2025. Revisions to the international tax framework are effective in 2026. In the third quarter of 2025, we recorded impacts of the OBBBA, which were not material. In the fourth quarter of 2025, we elected to take 100 percent bonus depreciation on the Company’s eligible fixed assets placed in service during the year ended December 28, 2025.</w:t>
      </w:r>
    </w:p>
    <w:p>
      <w:pPr>
        <w:spacing w:after="0" w:line="3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Note 9.</w:t>
      </w:r>
      <w:r>
        <w:rPr>
          <w:sz w:val="20"/>
          <w:szCs w:val="20"/>
          <w:color w:val="auto"/>
        </w:rPr>
        <w:tab/>
      </w:r>
      <w:r>
        <w:rPr>
          <w:rFonts w:ascii="Times New Roman" w:cs="Times New Roman" w:eastAsia="Times New Roman" w:hAnsi="Times New Roman"/>
          <w:sz w:val="16"/>
          <w:szCs w:val="16"/>
          <w:b w:val="1"/>
          <w:bCs w:val="1"/>
          <w:color w:val="auto"/>
        </w:rPr>
        <w:t>Fair Value Measurement</w:t>
      </w:r>
    </w:p>
    <w:p>
      <w:pPr>
        <w:spacing w:after="0" w:line="212" w:lineRule="exact"/>
        <w:rPr>
          <w:sz w:val="20"/>
          <w:szCs w:val="20"/>
          <w:color w:val="auto"/>
        </w:rPr>
      </w:pPr>
    </w:p>
    <w:p>
      <w:pPr>
        <w:ind w:right="220" w:firstLine="611"/>
        <w:spacing w:after="0" w:line="256" w:lineRule="auto"/>
        <w:rPr>
          <w:sz w:val="20"/>
          <w:szCs w:val="20"/>
          <w:color w:val="auto"/>
        </w:rPr>
      </w:pPr>
      <w:r>
        <w:rPr>
          <w:rFonts w:ascii="Times New Roman" w:cs="Times New Roman" w:eastAsia="Times New Roman" w:hAnsi="Times New Roman"/>
          <w:sz w:val="17"/>
          <w:szCs w:val="17"/>
          <w:color w:val="auto"/>
        </w:rPr>
        <w:t>ASC Topic 820</w:t>
      </w:r>
      <w:r>
        <w:rPr>
          <w:rFonts w:ascii="Times New Roman" w:cs="Times New Roman" w:eastAsia="Times New Roman" w:hAnsi="Times New Roman"/>
          <w:sz w:val="17"/>
          <w:szCs w:val="17"/>
          <w:i w:val="1"/>
          <w:iCs w:val="1"/>
          <w:color w:val="auto"/>
        </w:rPr>
        <w:t>, Fair Value Measurement,</w:t>
      </w:r>
      <w:r>
        <w:rPr>
          <w:rFonts w:ascii="Times New Roman" w:cs="Times New Roman" w:eastAsia="Times New Roman" w:hAnsi="Times New Roman"/>
          <w:sz w:val="17"/>
          <w:szCs w:val="17"/>
          <w:color w:val="auto"/>
        </w:rPr>
        <w:t xml:space="preserve">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201" w:lineRule="exact"/>
        <w:rPr>
          <w:sz w:val="20"/>
          <w:szCs w:val="20"/>
          <w:color w:val="auto"/>
        </w:rPr>
      </w:pPr>
    </w:p>
    <w:p>
      <w:pPr>
        <w:ind w:firstLine="611"/>
        <w:spacing w:after="0" w:line="258" w:lineRule="auto"/>
        <w:rPr>
          <w:sz w:val="20"/>
          <w:szCs w:val="20"/>
          <w:color w:val="auto"/>
        </w:rPr>
      </w:pPr>
      <w:r>
        <w:rPr>
          <w:rFonts w:ascii="Times New Roman" w:cs="Times New Roman" w:eastAsia="Times New Roman" w:hAnsi="Times New Roman"/>
          <w:sz w:val="17"/>
          <w:szCs w:val="17"/>
          <w:color w:val="auto"/>
        </w:rPr>
        <w:t xml:space="preserve">As more fully described in Note 16, </w:t>
      </w:r>
      <w:r>
        <w:rPr>
          <w:rFonts w:ascii="Times New Roman" w:cs="Times New Roman" w:eastAsia="Times New Roman" w:hAnsi="Times New Roman"/>
          <w:sz w:val="17"/>
          <w:szCs w:val="17"/>
          <w:i w:val="1"/>
          <w:iCs w:val="1"/>
          <w:color w:val="auto"/>
        </w:rPr>
        <w:t>Derivative Financial Instruments</w:t>
      </w:r>
      <w:r>
        <w:rPr>
          <w:rFonts w:ascii="Times New Roman" w:cs="Times New Roman" w:eastAsia="Times New Roman" w:hAnsi="Times New Roman"/>
          <w:sz w:val="17"/>
          <w:szCs w:val="17"/>
          <w:color w:val="auto"/>
        </w:rPr>
        <w:t>, our forward exchange contracts used to manage foreign currency risks and an interest rate swap contract to hedge U.S. dollar-one month Term SOFR in order to mitigate the exposure to interest rate movements associated with the Company’s Term Loan A are recognized on the Consolidated Balance Sheets as either assets or liabilities and are measured at fair value. On June 30, 2025, in anticipation of the extinguishment of all outstanding Term Loan A debt under the 2022 Credit Facility, the Company terminated the interest rate swap contract referred to above. As of December 28, 2025, we had no derivative assets or liabilities recorded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104" w:name="page105"/>
    <w:bookmarkEnd w:id="104"/>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Note 10.</w:t>
        <w:tab/>
        <w:t>Stockholders’ Equity</w:t>
      </w:r>
    </w:p>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(a)</w:t>
        <w:tab/>
        <w:t>Common Stock</w:t>
      </w:r>
    </w:p>
    <w:p>
      <w:pPr>
        <w:spacing w:after="0" w:line="241" w:lineRule="exact"/>
        <w:rPr>
          <w:sz w:val="20"/>
          <w:szCs w:val="20"/>
          <w:color w:val="auto"/>
        </w:rPr>
      </w:pPr>
    </w:p>
    <w:p>
      <w:pPr>
        <w:ind w:right="220" w:firstLine="611"/>
        <w:spacing w:after="0" w:line="253" w:lineRule="auto"/>
        <w:rPr>
          <w:sz w:val="20"/>
          <w:szCs w:val="20"/>
          <w:color w:val="auto"/>
        </w:rPr>
      </w:pPr>
      <w:r>
        <w:rPr>
          <w:rFonts w:ascii="Times New Roman" w:cs="Times New Roman" w:eastAsia="Times New Roman" w:hAnsi="Times New Roman"/>
          <w:sz w:val="17"/>
          <w:szCs w:val="17"/>
          <w:color w:val="auto"/>
        </w:rPr>
        <w:t>On February 27, 2024, the Company sold 19,166,667 shares of its common stock at a public offering price of $18.00 per share in an underwritten offering. The Company received gross proceeds of approximately $345.0 million. After deducting underwriting fees and other offering expenses, the Company received approximately $331.2 million in net proceeds. The Company has used and expects to continue to use the net proceeds of this public equity offering to facilitate its long-term strategy, including potential investment in facilities, expanding manufacturing capacity, anticipated capital expenditures for expansion of current sole source/single award programs and high probability pipeline opportunities, initiate or accelerate production or integration of unmanned drone, hypersonic or other systems in anticipation of customer contract awards, further strengthen its balance sheet in anticipation of upcoming customer and partner decisions and source selection on additional large, new program and contract opportunities, for general corporate purposes, including paydown of debt, and to pay fees and expenses in connection with this public equity offering. During the three months ended March 31, 2024, the Company used $45 million of the proceeds from this public equity offering to pay down amounts outstanding under its Revolving Credit Facility.</w:t>
      </w:r>
    </w:p>
    <w:p>
      <w:pPr>
        <w:spacing w:after="0" w:line="208" w:lineRule="exact"/>
        <w:rPr>
          <w:sz w:val="20"/>
          <w:szCs w:val="20"/>
          <w:color w:val="auto"/>
        </w:rPr>
      </w:pPr>
    </w:p>
    <w:p>
      <w:pPr>
        <w:ind w:right="220" w:firstLine="611"/>
        <w:spacing w:after="0" w:line="254" w:lineRule="auto"/>
        <w:rPr>
          <w:sz w:val="20"/>
          <w:szCs w:val="20"/>
          <w:color w:val="auto"/>
        </w:rPr>
      </w:pPr>
      <w:r>
        <w:rPr>
          <w:rFonts w:ascii="Times New Roman" w:cs="Times New Roman" w:eastAsia="Times New Roman" w:hAnsi="Times New Roman"/>
          <w:sz w:val="17"/>
          <w:szCs w:val="17"/>
          <w:color w:val="auto"/>
        </w:rPr>
        <w:t>On June 27, 2025, the Company sold 14,935,065 shares of its common stock at a public offering price of $38.50 per share in an underwritten offering. The Company received gross proceeds of approximately $575.0 million. After deducting underwriting fees and other offering expenses, the Company received approximately $555.9 million in net proceeds. The Company has used and expects to continue to use the net proceeds of this public equity offering to (i) fund investments and capital expenditures to scale and successfully execute on large, mission critical National Security priorities related to existing programs, recent program awards and significant high-probability pipeline opportunities; (ii) to finance important customer and program targeted acquisitions; (iii) and for general corporate purposes, including pay-down of debt and to pay fees and expenses in connection with this public equity offering. On July 2, 2025, the Company used a portion of the proceeds of the June 2025 public equity offering to pay off the then-outstanding $177.5 million aggregate principal amount of the Term Loan A debt, plus accrued interest, under the 2022 Credit Facility.</w:t>
      </w:r>
    </w:p>
    <w:p>
      <w:pPr>
        <w:spacing w:after="0" w:line="200" w:lineRule="exact"/>
        <w:rPr>
          <w:sz w:val="20"/>
          <w:szCs w:val="20"/>
          <w:color w:val="auto"/>
        </w:rPr>
      </w:pPr>
    </w:p>
    <w:p>
      <w:pPr>
        <w:spacing w:after="0" w:line="22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Equity Incentive Plans</w:t>
      </w:r>
    </w:p>
    <w:p>
      <w:pPr>
        <w:spacing w:after="0" w:line="241" w:lineRule="exact"/>
        <w:rPr>
          <w:sz w:val="20"/>
          <w:szCs w:val="20"/>
          <w:color w:val="auto"/>
        </w:rPr>
      </w:pPr>
    </w:p>
    <w:p>
      <w:pPr>
        <w:ind w:right="120" w:firstLine="611"/>
        <w:spacing w:after="0" w:line="254" w:lineRule="auto"/>
        <w:rPr>
          <w:sz w:val="20"/>
          <w:szCs w:val="20"/>
          <w:color w:val="auto"/>
        </w:rPr>
      </w:pPr>
      <w:r>
        <w:rPr>
          <w:rFonts w:ascii="Times New Roman" w:cs="Times New Roman" w:eastAsia="Times New Roman" w:hAnsi="Times New Roman"/>
          <w:sz w:val="17"/>
          <w:szCs w:val="17"/>
          <w:color w:val="auto"/>
        </w:rPr>
        <w:t>In May 2023, the Company’s board of directors (the “Board”) and stockholders approved the 2023 Equity Incentive Plan (the “2023 Equity Plan”). The 2023 Equity Plan is the successor to the Amended and Restated Kratos Defense &amp; Security Systems, Inc. 2014 Equity Incentive Plan (the “2014 Plan”), the Kratos Defense &amp; Security Solutions, Inc. 2011 Equity Incentive Plan (the “2011 Plan”), and the Kratos Defense &amp; Security Solutions, Inc. Amended and Restated 2005 Equity Incentive Plan (the “2005 Plan”), (collectively, the “Prior Plans”). The 2023 Equity Plan became effective May 24, 2023 and no additional stock awards were granted under the Prior Plans as of May 24, 2023. All outstanding stock awards granted subject to the terms of the Prior Plans will continue to be subject to the terms and conditions as set forth in the agreements evidencing such stock awards and the terms of the respective Prior Plans. As of May 23, 2023, there were 2,280,707 shares remaining available for issuance under the Prior Plans. The 2023 Equity Plan increased the number of shares remaining available for issuance under its equity compensation plans by 2,466,983 shares to 4,747,690 shares.</w:t>
      </w:r>
    </w:p>
    <w:p>
      <w:pPr>
        <w:spacing w:after="0" w:line="204" w:lineRule="exact"/>
        <w:rPr>
          <w:sz w:val="20"/>
          <w:szCs w:val="20"/>
          <w:color w:val="auto"/>
        </w:rPr>
      </w:pPr>
    </w:p>
    <w:p>
      <w:pPr>
        <w:ind w:right="280" w:firstLine="611"/>
        <w:spacing w:after="0" w:line="255" w:lineRule="auto"/>
        <w:rPr>
          <w:sz w:val="20"/>
          <w:szCs w:val="20"/>
          <w:color w:val="auto"/>
        </w:rPr>
      </w:pPr>
      <w:r>
        <w:rPr>
          <w:rFonts w:ascii="Times New Roman" w:cs="Times New Roman" w:eastAsia="Times New Roman" w:hAnsi="Times New Roman"/>
          <w:sz w:val="17"/>
          <w:szCs w:val="17"/>
          <w:color w:val="auto"/>
        </w:rPr>
        <w:t>The Board may grant equity-based awards to selected employees, directors and consultants of the Company pursuant to its 2023 Equity Plan. As of December 28, 2025, there were 1,639,427 shares reserved for issuance for future grant under the 2023 Equity Plan. The Board may amend or terminate the 2023 Equity Plan at any time. Certain amendments, including an increase in the share reserve, require stockholder approval. Generally, restricted stock units outstanding vest over periods not exceeding ten years. The Company records compensation expense for employee restricted stock unit awards based on the market value of the awards on the date of grant. There were no stock options granted or related expenses for stock options in 2025, 2024 or 2023. There were no stock options outstanding as of December 29, 2024 and December 28, 2025.</w:t>
      </w:r>
    </w:p>
    <w:p>
      <w:pPr>
        <w:spacing w:after="0" w:line="205" w:lineRule="exact"/>
        <w:rPr>
          <w:sz w:val="20"/>
          <w:szCs w:val="20"/>
          <w:color w:val="auto"/>
        </w:rPr>
      </w:pPr>
    </w:p>
    <w:p>
      <w:pPr>
        <w:ind w:right="180" w:firstLine="611"/>
        <w:spacing w:after="0" w:line="279" w:lineRule="auto"/>
        <w:rPr>
          <w:sz w:val="20"/>
          <w:szCs w:val="20"/>
          <w:color w:val="auto"/>
        </w:rPr>
      </w:pPr>
      <w:r>
        <w:rPr>
          <w:rFonts w:ascii="Times New Roman" w:cs="Times New Roman" w:eastAsia="Times New Roman" w:hAnsi="Times New Roman"/>
          <w:sz w:val="17"/>
          <w:szCs w:val="17"/>
          <w:color w:val="auto"/>
        </w:rPr>
        <w:t>During the years ended December 28, 2025, December 29, 2024, and December 31, 2023, the following values relate to the exercises under the Company’s option plans:</w:t>
      </w:r>
    </w:p>
    <w:p>
      <w:pPr>
        <w:spacing w:after="0" w:line="213" w:lineRule="exact"/>
        <w:rPr>
          <w:sz w:val="20"/>
          <w:szCs w:val="20"/>
          <w:color w:val="auto"/>
        </w:rPr>
      </w:pPr>
    </w:p>
    <w:tbl>
      <w:tblPr>
        <w:tblLayout w:type="fixed"/>
        <w:tblInd w:w="620" w:type="dxa"/>
        <w:tblCellMar>
          <w:top w:w="0" w:type="dxa"/>
          <w:left w:w="0" w:type="dxa"/>
          <w:bottom w:w="0" w:type="dxa"/>
          <w:right w:w="0" w:type="dxa"/>
        </w:tblCellMar>
      </w:tblPr>
      <w:tr>
        <w:trPr>
          <w:trHeight w:val="179"/>
        </w:trPr>
        <w:tc>
          <w:tcPr>
            <w:tcW w:w="706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intrinsic value of options exercised (in thousands)</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845" w:right="239" w:bottom="1440" w:gutter="0" w:footer="0" w:header="0"/>
        </w:sectPr>
      </w:pPr>
    </w:p>
    <w:bookmarkStart w:id="105" w:name="page106"/>
    <w:bookmarkEnd w:id="105"/>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Company’s Restricted Stock Unit activity:</w:t>
      </w:r>
    </w:p>
    <w:p>
      <w:pPr>
        <w:spacing w:after="0" w:line="24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w:t>
            </w:r>
          </w:p>
        </w:tc>
        <w:tc>
          <w:tcPr>
            <w:tcW w:w="0" w:type="dxa"/>
            <w:vAlign w:val="bottom"/>
          </w:tcPr>
          <w:p>
            <w:pPr>
              <w:spacing w:after="0"/>
              <w:rPr>
                <w:sz w:val="1"/>
                <w:szCs w:val="1"/>
                <w:color w:val="auto"/>
              </w:rPr>
            </w:pPr>
          </w:p>
        </w:tc>
      </w:tr>
      <w:tr>
        <w:trPr>
          <w:trHeight w:val="139"/>
        </w:trPr>
        <w:tc>
          <w:tcPr>
            <w:tcW w:w="8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Ave</w:t>
            </w:r>
          </w:p>
        </w:tc>
        <w:tc>
          <w:tcPr>
            <w:tcW w:w="0" w:type="dxa"/>
            <w:vAlign w:val="bottom"/>
          </w:tcPr>
          <w:p>
            <w:pPr>
              <w:spacing w:after="0"/>
              <w:rPr>
                <w:sz w:val="1"/>
                <w:szCs w:val="1"/>
                <w:color w:val="auto"/>
              </w:rPr>
            </w:pPr>
          </w:p>
        </w:tc>
      </w:tr>
      <w:tr>
        <w:trPr>
          <w:trHeight w:val="128"/>
        </w:trPr>
        <w:tc>
          <w:tcPr>
            <w:tcW w:w="8080" w:type="dxa"/>
            <w:vAlign w:val="bottom"/>
          </w:tcPr>
          <w:p>
            <w:pPr>
              <w:spacing w:after="0"/>
              <w:rPr>
                <w:sz w:val="11"/>
                <w:szCs w:val="11"/>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Rem</w:t>
            </w:r>
          </w:p>
        </w:tc>
        <w:tc>
          <w:tcPr>
            <w:tcW w:w="0" w:type="dxa"/>
            <w:vAlign w:val="bottom"/>
          </w:tcPr>
          <w:p>
            <w:pPr>
              <w:spacing w:after="0"/>
              <w:rPr>
                <w:sz w:val="1"/>
                <w:szCs w:val="1"/>
                <w:color w:val="auto"/>
              </w:rPr>
            </w:pPr>
          </w:p>
        </w:tc>
      </w:tr>
      <w:tr>
        <w:trPr>
          <w:trHeight w:val="140"/>
        </w:trPr>
        <w:tc>
          <w:tcPr>
            <w:tcW w:w="80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Cont</w:t>
            </w:r>
          </w:p>
        </w:tc>
        <w:tc>
          <w:tcPr>
            <w:tcW w:w="0" w:type="dxa"/>
            <w:vAlign w:val="bottom"/>
          </w:tcPr>
          <w:p>
            <w:pPr>
              <w:spacing w:after="0"/>
              <w:rPr>
                <w:sz w:val="1"/>
                <w:szCs w:val="1"/>
                <w:color w:val="auto"/>
              </w:rPr>
            </w:pPr>
          </w:p>
        </w:tc>
      </w:tr>
      <w:tr>
        <w:trPr>
          <w:trHeight w:val="139"/>
        </w:trPr>
        <w:tc>
          <w:tcPr>
            <w:tcW w:w="8080" w:type="dxa"/>
            <w:vAlign w:val="bottom"/>
          </w:tcPr>
          <w:p>
            <w:pPr>
              <w:spacing w:after="0"/>
              <w:rPr>
                <w:sz w:val="12"/>
                <w:szCs w:val="12"/>
                <w:color w:val="auto"/>
              </w:rPr>
            </w:pPr>
          </w:p>
        </w:tc>
        <w:tc>
          <w:tcPr>
            <w:tcW w:w="118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5"/>
              </w:rPr>
              <w:t>Stock Units</w:t>
            </w:r>
          </w:p>
        </w:tc>
        <w:tc>
          <w:tcPr>
            <w:tcW w:w="1020" w:type="dxa"/>
            <w:vAlign w:val="bottom"/>
            <w:gridSpan w:val="3"/>
          </w:tcPr>
          <w:p>
            <w:pPr>
              <w:jc w:val="center"/>
              <w:ind w:right="80"/>
              <w:spacing w:after="0" w:line="139" w:lineRule="exact"/>
              <w:rPr>
                <w:sz w:val="20"/>
                <w:szCs w:val="20"/>
                <w:color w:val="auto"/>
              </w:rPr>
            </w:pPr>
            <w:r>
              <w:rPr>
                <w:rFonts w:ascii="Times New Roman" w:cs="Times New Roman" w:eastAsia="Times New Roman" w:hAnsi="Times New Roman"/>
                <w:sz w:val="14"/>
                <w:szCs w:val="14"/>
                <w:b w:val="1"/>
                <w:bCs w:val="1"/>
                <w:color w:val="auto"/>
                <w:w w:val="95"/>
              </w:rPr>
              <w:t>Average Grant</w:t>
            </w:r>
          </w:p>
        </w:tc>
        <w:tc>
          <w:tcPr>
            <w:tcW w:w="4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Te</w:t>
            </w:r>
          </w:p>
        </w:tc>
        <w:tc>
          <w:tcPr>
            <w:tcW w:w="0" w:type="dxa"/>
            <w:vAlign w:val="bottom"/>
          </w:tcPr>
          <w:p>
            <w:pPr>
              <w:spacing w:after="0"/>
              <w:rPr>
                <w:sz w:val="1"/>
                <w:szCs w:val="1"/>
                <w:color w:val="auto"/>
              </w:rPr>
            </w:pPr>
          </w:p>
        </w:tc>
      </w:tr>
      <w:tr>
        <w:trPr>
          <w:trHeight w:val="185"/>
        </w:trPr>
        <w:tc>
          <w:tcPr>
            <w:tcW w:w="808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(000’s)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y</w:t>
            </w:r>
          </w:p>
        </w:tc>
        <w:tc>
          <w:tcPr>
            <w:tcW w:w="0" w:type="dxa"/>
            <w:vAlign w:val="bottom"/>
          </w:tcPr>
          <w:p>
            <w:pPr>
              <w:spacing w:after="0"/>
              <w:rPr>
                <w:sz w:val="1"/>
                <w:szCs w:val="1"/>
                <w:color w:val="auto"/>
              </w:rPr>
            </w:pPr>
          </w:p>
        </w:tc>
      </w:tr>
      <w:tr>
        <w:trPr>
          <w:trHeight w:val="215"/>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balance at December 25,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 or expired</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but not released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balance at December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4,935</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 or expired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Vested but not released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balance at December 29,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 or expired</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but not released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balance at December 28, 2025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180" w:firstLine="611"/>
        <w:spacing w:after="0" w:line="264" w:lineRule="auto"/>
        <w:rPr>
          <w:sz w:val="20"/>
          <w:szCs w:val="20"/>
          <w:color w:val="auto"/>
        </w:rPr>
      </w:pPr>
      <w:r>
        <w:rPr>
          <w:rFonts w:ascii="Times New Roman" w:cs="Times New Roman" w:eastAsia="Times New Roman" w:hAnsi="Times New Roman"/>
          <w:sz w:val="17"/>
          <w:szCs w:val="17"/>
          <w:color w:val="auto"/>
        </w:rPr>
        <w:t>As of December 28, 2025, there was $41.8 million of total unrecognized stock-based compensation expense related to nonvested restricted stock units which is expected to be recognized over a remaining weighted-average vesting period of 1.9 years. The fair value of restricted stock unit awards that vested in 2025, 2024, and 2023 was $32.5 million, $44.3 million, and $9.8 million, respectively.</w:t>
      </w:r>
    </w:p>
    <w:p>
      <w:pPr>
        <w:spacing w:after="0" w:line="191" w:lineRule="exact"/>
        <w:rPr>
          <w:sz w:val="20"/>
          <w:szCs w:val="20"/>
          <w:color w:val="auto"/>
        </w:rPr>
      </w:pPr>
    </w:p>
    <w:p>
      <w:pPr>
        <w:ind w:left="360" w:hanging="358"/>
        <w:spacing w:after="0"/>
        <w:tabs>
          <w:tab w:leader="none" w:pos="36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 Stock Purchase Plans</w:t>
      </w:r>
    </w:p>
    <w:p>
      <w:pPr>
        <w:spacing w:after="0" w:line="229" w:lineRule="exact"/>
        <w:rPr>
          <w:sz w:val="20"/>
          <w:szCs w:val="20"/>
          <w:color w:val="auto"/>
        </w:rPr>
      </w:pPr>
    </w:p>
    <w:p>
      <w:pPr>
        <w:ind w:right="240" w:firstLine="611"/>
        <w:spacing w:after="0" w:line="239" w:lineRule="auto"/>
        <w:rPr>
          <w:sz w:val="20"/>
          <w:szCs w:val="20"/>
          <w:color w:val="auto"/>
        </w:rPr>
      </w:pPr>
      <w:r>
        <w:rPr>
          <w:rFonts w:ascii="Times New Roman" w:cs="Times New Roman" w:eastAsia="Times New Roman" w:hAnsi="Times New Roman"/>
          <w:sz w:val="17"/>
          <w:szCs w:val="17"/>
          <w:color w:val="auto"/>
        </w:rPr>
        <w:t>In May 2023, the Board approved the 2023 Employee Stock Purchase Plan (as amended from time to time, the “2023 Purchase Plan”). The 2023 Purchase Plan is the successor to the 1999 Employee Stock Purchase Plan (as amended from time to time, the “1999 Purchase Plan”). The total number of shares of our common stock that were authorized for issuance under the 2023 Purchase Plan is equal to the sum of (1) 3,500,000 shares, plus (2) 766,586 shares, which is the number of shares that remained available for issuance under the 1999 Purchase Plan as of its termination on June 30, 2023 (after giving effect to the purchases</w:t>
      </w:r>
    </w:p>
    <w:p>
      <w:pPr>
        <w:spacing w:after="0" w:line="11"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7"/>
          <w:szCs w:val="17"/>
          <w:color w:val="auto"/>
        </w:rPr>
        <w:t>pursuant to the offering period ending on such date under the Existing ESPP). The 2023 Purchase Plan qualifies as an employee stock purchase plan within the meaning of Section 423 of the Internal Revenue Service Code. Unless otherwise determined by the Compensation Committee of the Board, all U.S. employees are eligible to participate in the 2023 Purchase Plan, so long as they are employed by the Company (or a subsidiary designated by the Board) for at least 20 hours per week and were customarily employed by the Company (or a subsidiary designated by the Board) for at least 5 months per calendar year. The 2023 Plan also allows the Board to extend the employee stock purchase program to eligible employees outside of the U.S. In 2023, Kratos employees in Canada and the United Kingdom have been allowed to participate in the 2023 Purchase Plan.</w:t>
      </w:r>
    </w:p>
    <w:p>
      <w:pPr>
        <w:spacing w:after="0" w:line="202" w:lineRule="exact"/>
        <w:rPr>
          <w:sz w:val="20"/>
          <w:szCs w:val="20"/>
          <w:color w:val="auto"/>
        </w:rPr>
      </w:pPr>
    </w:p>
    <w:p>
      <w:pPr>
        <w:ind w:right="100" w:firstLine="611"/>
        <w:spacing w:after="0" w:line="237" w:lineRule="auto"/>
        <w:rPr>
          <w:sz w:val="20"/>
          <w:szCs w:val="20"/>
          <w:color w:val="auto"/>
        </w:rPr>
      </w:pPr>
      <w:r>
        <w:rPr>
          <w:rFonts w:ascii="Times New Roman" w:cs="Times New Roman" w:eastAsia="Times New Roman" w:hAnsi="Times New Roman"/>
          <w:sz w:val="17"/>
          <w:szCs w:val="17"/>
          <w:color w:val="auto"/>
        </w:rPr>
        <w:t>Employees who actively participate in the 2023 Purchase Plan are eligible to have up to 15% of their earnings for each purchase period withheld pursuant to the 2023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At December 28, 2025, the cumulative number of shares of common stock that have been issued under the 2023 Purchase Plan and predecessor plans is 8.5 million and approximately 3.2 million shares are available for future issuance under the Plan. During 2025, approximately 507,000 shares were issued under the 2023 Purchase Plan at an average price of $19.40 per share.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sectPr>
      </w:pPr>
    </w:p>
    <w:bookmarkStart w:id="106" w:name="page107"/>
    <w:bookmarkEnd w:id="106"/>
    <w:p>
      <w:pPr>
        <w:ind w:right="300" w:firstLine="611"/>
        <w:spacing w:after="0" w:line="279" w:lineRule="auto"/>
        <w:rPr>
          <w:sz w:val="20"/>
          <w:szCs w:val="20"/>
          <w:color w:val="auto"/>
        </w:rPr>
      </w:pPr>
      <w:r>
        <w:rPr>
          <w:rFonts w:ascii="Times New Roman" w:cs="Times New Roman" w:eastAsia="Times New Roman" w:hAnsi="Times New Roman"/>
          <w:sz w:val="17"/>
          <w:szCs w:val="17"/>
          <w:color w:val="auto"/>
        </w:rPr>
        <w:t>The fair value of shares issued under the 2023 Purchase Plan for 2025 was estimated using the Black-Scholes option pricing model. The assumptions and resulting fair values of options granted for 2025, 2024 and 2023 were as follows:</w:t>
      </w:r>
    </w:p>
    <w:p>
      <w:pPr>
        <w:spacing w:after="0" w:line="192"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180" w:type="dxa"/>
            <w:vAlign w:val="bottom"/>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w w:val="93"/>
              </w:rPr>
              <w:t>Offering</w:t>
            </w:r>
          </w:p>
        </w:tc>
      </w:tr>
      <w:tr>
        <w:trPr>
          <w:trHeight w:val="139"/>
        </w:trPr>
        <w:tc>
          <w:tcPr>
            <w:tcW w:w="6020" w:type="dxa"/>
            <w:vAlign w:val="bottom"/>
          </w:tcPr>
          <w:p>
            <w:pPr>
              <w:spacing w:after="0"/>
              <w:rPr>
                <w:sz w:val="12"/>
                <w:szCs w:val="12"/>
                <w:color w:val="auto"/>
              </w:rPr>
            </w:pPr>
          </w:p>
        </w:tc>
        <w:tc>
          <w:tcPr>
            <w:tcW w:w="176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7"/>
              </w:rPr>
              <w:t>Periods</w:t>
            </w:r>
          </w:p>
        </w:tc>
        <w:tc>
          <w:tcPr>
            <w:tcW w:w="176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7"/>
              </w:rPr>
              <w:t>Periods</w:t>
            </w:r>
          </w:p>
        </w:tc>
        <w:tc>
          <w:tcPr>
            <w:tcW w:w="1180" w:type="dxa"/>
            <w:vAlign w:val="bottom"/>
          </w:tcPr>
          <w:p>
            <w:pPr>
              <w:jc w:val="center"/>
              <w:ind w:left="384"/>
              <w:spacing w:after="0" w:line="139" w:lineRule="exact"/>
              <w:rPr>
                <w:sz w:val="20"/>
                <w:szCs w:val="20"/>
                <w:color w:val="auto"/>
              </w:rPr>
            </w:pPr>
            <w:r>
              <w:rPr>
                <w:rFonts w:ascii="Times New Roman" w:cs="Times New Roman" w:eastAsia="Times New Roman" w:hAnsi="Times New Roman"/>
                <w:sz w:val="14"/>
                <w:szCs w:val="14"/>
                <w:b w:val="1"/>
                <w:bCs w:val="1"/>
                <w:color w:val="auto"/>
                <w:w w:val="97"/>
              </w:rPr>
              <w:t>Periods</w:t>
            </w:r>
          </w:p>
        </w:tc>
      </w:tr>
      <w:tr>
        <w:trPr>
          <w:trHeight w:val="128"/>
        </w:trPr>
        <w:tc>
          <w:tcPr>
            <w:tcW w:w="6020" w:type="dxa"/>
            <w:vAlign w:val="bottom"/>
          </w:tcPr>
          <w:p>
            <w:pPr>
              <w:spacing w:after="0"/>
              <w:rPr>
                <w:sz w:val="11"/>
                <w:szCs w:val="11"/>
                <w:color w:val="auto"/>
              </w:rPr>
            </w:pPr>
          </w:p>
        </w:tc>
        <w:tc>
          <w:tcPr>
            <w:tcW w:w="176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5"/>
              </w:rPr>
              <w:t>January 1 to</w:t>
            </w:r>
          </w:p>
        </w:tc>
        <w:tc>
          <w:tcPr>
            <w:tcW w:w="176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5"/>
              </w:rPr>
              <w:t>January 1 to</w:t>
            </w:r>
          </w:p>
        </w:tc>
        <w:tc>
          <w:tcPr>
            <w:tcW w:w="1180" w:type="dxa"/>
            <w:vAlign w:val="bottom"/>
          </w:tcPr>
          <w:p>
            <w:pPr>
              <w:jc w:val="center"/>
              <w:ind w:left="384"/>
              <w:spacing w:after="0" w:line="129" w:lineRule="exact"/>
              <w:rPr>
                <w:sz w:val="20"/>
                <w:szCs w:val="20"/>
                <w:color w:val="auto"/>
              </w:rPr>
            </w:pPr>
            <w:r>
              <w:rPr>
                <w:rFonts w:ascii="Times New Roman" w:cs="Times New Roman" w:eastAsia="Times New Roman" w:hAnsi="Times New Roman"/>
                <w:sz w:val="14"/>
                <w:szCs w:val="14"/>
                <w:b w:val="1"/>
                <w:bCs w:val="1"/>
                <w:color w:val="auto"/>
                <w:w w:val="95"/>
              </w:rPr>
              <w:t>January 1 to</w:t>
            </w:r>
          </w:p>
        </w:tc>
      </w:tr>
      <w:tr>
        <w:trPr>
          <w:trHeight w:val="140"/>
        </w:trPr>
        <w:tc>
          <w:tcPr>
            <w:tcW w:w="6020" w:type="dxa"/>
            <w:vAlign w:val="bottom"/>
          </w:tcPr>
          <w:p>
            <w:pPr>
              <w:spacing w:after="0"/>
              <w:rPr>
                <w:sz w:val="12"/>
                <w:szCs w:val="12"/>
                <w:color w:val="auto"/>
              </w:rPr>
            </w:pPr>
          </w:p>
        </w:tc>
        <w:tc>
          <w:tcPr>
            <w:tcW w:w="17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76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80" w:type="dxa"/>
            <w:vAlign w:val="bottom"/>
          </w:tcPr>
          <w:p>
            <w:pPr>
              <w:jc w:val="center"/>
              <w:ind w:left="364"/>
              <w:spacing w:after="0" w:line="140" w:lineRule="exact"/>
              <w:rPr>
                <w:sz w:val="20"/>
                <w:szCs w:val="20"/>
                <w:color w:val="auto"/>
              </w:rPr>
            </w:pPr>
            <w:r>
              <w:rPr>
                <w:rFonts w:ascii="Times New Roman" w:cs="Times New Roman" w:eastAsia="Times New Roman" w:hAnsi="Times New Roman"/>
                <w:sz w:val="14"/>
                <w:szCs w:val="14"/>
                <w:b w:val="1"/>
                <w:bCs w:val="1"/>
                <w:color w:val="auto"/>
                <w:w w:val="94"/>
              </w:rPr>
              <w:t>December 31</w:t>
            </w:r>
          </w:p>
        </w:tc>
      </w:tr>
      <w:tr>
        <w:trPr>
          <w:trHeight w:val="184"/>
        </w:trPr>
        <w:tc>
          <w:tcPr>
            <w:tcW w:w="60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years)(1)</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384"/>
              <w:spacing w:after="0"/>
              <w:rPr>
                <w:sz w:val="20"/>
                <w:szCs w:val="20"/>
                <w:color w:val="auto"/>
              </w:rPr>
            </w:pPr>
            <w:r>
              <w:rPr>
                <w:rFonts w:ascii="Times New Roman" w:cs="Times New Roman" w:eastAsia="Times New Roman" w:hAnsi="Times New Roman"/>
                <w:sz w:val="17"/>
                <w:szCs w:val="17"/>
                <w:color w:val="auto"/>
                <w:w w:val="93"/>
              </w:rPr>
              <w:t>0.5</w:t>
            </w: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rate(2)</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4.24% - 4.29%</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5.26% - 5.33%</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 - 5.47</w:t>
            </w: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volatility(3)</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40.41% - 51.95%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40.15% - 40.68%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41.65% - 45.7</w:t>
            </w: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yield(4)</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center"/>
              <w:ind w:left="384"/>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grant-date fair value per share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$9.30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$5.40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364"/>
              <w:spacing w:after="0"/>
              <w:rPr>
                <w:sz w:val="20"/>
                <w:szCs w:val="20"/>
                <w:color w:val="auto"/>
              </w:rPr>
            </w:pPr>
            <w:r>
              <w:rPr>
                <w:rFonts w:ascii="Times New Roman" w:cs="Times New Roman" w:eastAsia="Times New Roman" w:hAnsi="Times New Roman"/>
                <w:sz w:val="17"/>
                <w:szCs w:val="17"/>
                <w:color w:val="auto"/>
                <w:w w:val="99"/>
              </w:rPr>
              <w:t>$3.30</w:t>
            </w:r>
          </w:p>
        </w:tc>
      </w:tr>
    </w:tbl>
    <w:p>
      <w:pPr>
        <w:spacing w:after="0" w:line="302" w:lineRule="exact"/>
        <w:rPr>
          <w:sz w:val="20"/>
          <w:szCs w:val="20"/>
          <w:color w:val="auto"/>
        </w:rPr>
      </w:pPr>
    </w:p>
    <w:p>
      <w:pPr>
        <w:ind w:left="480" w:hanging="249"/>
        <w:spacing w:after="0"/>
        <w:tabs>
          <w:tab w:leader="none" w:pos="4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term is equivalent to the offering period.</w:t>
      </w:r>
    </w:p>
    <w:p>
      <w:pPr>
        <w:spacing w:after="0" w:line="23" w:lineRule="exact"/>
        <w:rPr>
          <w:rFonts w:ascii="Times New Roman" w:cs="Times New Roman" w:eastAsia="Times New Roman" w:hAnsi="Times New Roman"/>
          <w:sz w:val="17"/>
          <w:szCs w:val="17"/>
          <w:color w:val="auto"/>
        </w:rPr>
      </w:pPr>
    </w:p>
    <w:p>
      <w:pPr>
        <w:ind w:left="480" w:hanging="249"/>
        <w:spacing w:after="0"/>
        <w:tabs>
          <w:tab w:leader="none" w:pos="4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 is based on U.S. Treasury yields in effect at the time of grant with a term equal to the expected term.</w:t>
      </w:r>
    </w:p>
    <w:p>
      <w:pPr>
        <w:spacing w:after="0" w:line="8" w:lineRule="exact"/>
        <w:rPr>
          <w:rFonts w:ascii="Times New Roman" w:cs="Times New Roman" w:eastAsia="Times New Roman" w:hAnsi="Times New Roman"/>
          <w:sz w:val="17"/>
          <w:szCs w:val="17"/>
          <w:color w:val="auto"/>
        </w:rPr>
      </w:pPr>
    </w:p>
    <w:p>
      <w:pPr>
        <w:ind w:left="480" w:hanging="249"/>
        <w:spacing w:after="0"/>
        <w:tabs>
          <w:tab w:leader="none" w:pos="4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estimated implied volatility based upon trailing volatility.</w:t>
      </w:r>
    </w:p>
    <w:p>
      <w:pPr>
        <w:spacing w:after="0" w:line="8" w:lineRule="exact"/>
        <w:rPr>
          <w:rFonts w:ascii="Times New Roman" w:cs="Times New Roman" w:eastAsia="Times New Roman" w:hAnsi="Times New Roman"/>
          <w:sz w:val="17"/>
          <w:szCs w:val="17"/>
          <w:color w:val="auto"/>
        </w:rPr>
      </w:pPr>
    </w:p>
    <w:p>
      <w:pPr>
        <w:ind w:left="480" w:hanging="249"/>
        <w:spacing w:after="0"/>
        <w:tabs>
          <w:tab w:leader="none" w:pos="4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 history or expectation of paying dividends on its common stock.</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December 28, 2025, there was no material unrecognized compensation expense related to the 2023 Purchase Plan or the 1999 Purchase Plan.</w:t>
      </w:r>
    </w:p>
    <w:p>
      <w:pPr>
        <w:spacing w:after="0" w:line="23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Note 11.</w:t>
      </w:r>
      <w:r>
        <w:rPr>
          <w:sz w:val="20"/>
          <w:szCs w:val="20"/>
          <w:color w:val="auto"/>
        </w:rPr>
        <w:tab/>
      </w:r>
      <w:r>
        <w:rPr>
          <w:rFonts w:ascii="Times New Roman" w:cs="Times New Roman" w:eastAsia="Times New Roman" w:hAnsi="Times New Roman"/>
          <w:sz w:val="16"/>
          <w:szCs w:val="16"/>
          <w:b w:val="1"/>
          <w:bCs w:val="1"/>
          <w:color w:val="auto"/>
        </w:rPr>
        <w:t>Retirement Plans</w:t>
      </w:r>
    </w:p>
    <w:p>
      <w:pPr>
        <w:spacing w:after="0" w:line="241" w:lineRule="exact"/>
        <w:rPr>
          <w:sz w:val="20"/>
          <w:szCs w:val="20"/>
          <w:color w:val="auto"/>
        </w:rPr>
      </w:pPr>
    </w:p>
    <w:p>
      <w:pPr>
        <w:ind w:right="200" w:firstLine="611"/>
        <w:spacing w:after="0" w:line="259" w:lineRule="auto"/>
        <w:rPr>
          <w:sz w:val="20"/>
          <w:szCs w:val="20"/>
          <w:color w:val="auto"/>
        </w:rPr>
      </w:pPr>
      <w:r>
        <w:rPr>
          <w:rFonts w:ascii="Times New Roman" w:cs="Times New Roman" w:eastAsia="Times New Roman" w:hAnsi="Times New Roman"/>
          <w:sz w:val="17"/>
          <w:szCs w:val="17"/>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matching contributions to these defined-contribution savings plans totaled $13.3 million in 2025, $11.8 million in 2024, and $10.7 million in 2023.</w:t>
      </w:r>
    </w:p>
    <w:p>
      <w:pPr>
        <w:spacing w:after="0" w:line="19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Note 12.</w:t>
        <w:tab/>
        <w:t>Significant Customers</w:t>
      </w:r>
    </w:p>
    <w:p>
      <w:pPr>
        <w:spacing w:after="0" w:line="216" w:lineRule="exact"/>
        <w:rPr>
          <w:sz w:val="20"/>
          <w:szCs w:val="20"/>
          <w:color w:val="auto"/>
        </w:rPr>
      </w:pPr>
    </w:p>
    <w:p>
      <w:pPr>
        <w:ind w:right="100" w:firstLine="170"/>
        <w:spacing w:after="0" w:line="259" w:lineRule="auto"/>
        <w:rPr>
          <w:sz w:val="20"/>
          <w:szCs w:val="20"/>
          <w:color w:val="auto"/>
        </w:rPr>
      </w:pPr>
      <w:r>
        <w:rPr>
          <w:rFonts w:ascii="Times New Roman" w:cs="Times New Roman" w:eastAsia="Times New Roman" w:hAnsi="Times New Roman"/>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$917.1 million, $762.0 million, and $712.7 million or 68%, 67%, and 69%, of total revenue for the years ended December 28, 2025, December 29, 2024, and December 31, 2023, respectively.</w:t>
      </w:r>
    </w:p>
    <w:p>
      <w:pPr>
        <w:spacing w:after="0" w:line="19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Note 13.</w:t>
        <w:tab/>
        <w:t>Segment Information</w:t>
      </w:r>
    </w:p>
    <w:p>
      <w:pPr>
        <w:spacing w:after="0" w:line="216" w:lineRule="exact"/>
        <w:rPr>
          <w:sz w:val="20"/>
          <w:szCs w:val="20"/>
          <w:color w:val="auto"/>
        </w:rPr>
      </w:pPr>
    </w:p>
    <w:p>
      <w:pPr>
        <w:ind w:right="260" w:firstLine="611"/>
        <w:spacing w:after="0" w:line="257" w:lineRule="auto"/>
        <w:rPr>
          <w:sz w:val="20"/>
          <w:szCs w:val="20"/>
          <w:color w:val="auto"/>
        </w:rPr>
      </w:pPr>
      <w:r>
        <w:rPr>
          <w:rFonts w:ascii="Times New Roman" w:cs="Times New Roman" w:eastAsia="Times New Roman" w:hAnsi="Times New Roman"/>
          <w:sz w:val="17"/>
          <w:szCs w:val="17"/>
          <w:color w:val="auto"/>
        </w:rPr>
        <w:t>The Company operates in two reportable segments. The KGS reportable segment is comprised of an aggregation of KGS operating segments, including DRSS, ME, ST&amp;C, MS, and KTT. The US reportable segment consists of the Company’s unmanned aerial, unmanned ground, unmanned seaborne and command, control and communications system products. The KGS and US segments provide products, solutions and services for mission critical National Security programs. KGS and US customers primarily include National Security related agencies, the DoW, intelligence agencies and classified agencies, and to a lesser degree, international government agencies and domestic and international commercial customers.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not any significant intersegment sales, cost of sales and profit for the years ended December 28, 2025, December 29, 2024, and December 31,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w:t>
      </w:r>
    </w:p>
    <w:p>
      <w:pPr>
        <w:spacing w:after="0" w:line="222" w:lineRule="exact"/>
        <w:rPr>
          <w:sz w:val="20"/>
          <w:szCs w:val="20"/>
          <w:color w:val="auto"/>
        </w:rPr>
      </w:pPr>
    </w:p>
    <w:p>
      <w:pPr>
        <w:ind w:right="200" w:firstLine="611"/>
        <w:spacing w:after="0" w:line="257" w:lineRule="auto"/>
        <w:rPr>
          <w:sz w:val="20"/>
          <w:szCs w:val="20"/>
          <w:color w:val="auto"/>
        </w:rPr>
      </w:pPr>
      <w:r>
        <w:rPr>
          <w:rFonts w:ascii="Times New Roman" w:cs="Times New Roman" w:eastAsia="Times New Roman" w:hAnsi="Times New Roman"/>
          <w:sz w:val="17"/>
          <w:szCs w:val="17"/>
          <w:color w:val="auto"/>
        </w:rPr>
        <w:t>The Company’s chief operating decision maker is the President and Chief Executive Officer. The chief operating decision maker uses segment operating income (loss) predominantly in the annual budget and forecasting process. The chief operating decision maker considers budget-to-actual variances on a quarterly basis when making decisions about the allocation of operating and capital resources to each segment. The chief operating decision maker also uses segment operating income (loss) to assess the performance of each segment by comparing the results of each segment with one another and in determining the compensation of certain employees.</w:t>
      </w: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sectPr>
      </w:pPr>
    </w:p>
    <w:bookmarkStart w:id="107" w:name="page108"/>
    <w:bookmarkEnd w:id="107"/>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(a)</w:t>
        <w:tab/>
        <w:t>Summary Operating Results</w:t>
      </w:r>
    </w:p>
    <w:p>
      <w:pPr>
        <w:spacing w:after="0" w:line="241" w:lineRule="exact"/>
        <w:rPr>
          <w:sz w:val="20"/>
          <w:szCs w:val="20"/>
          <w:color w:val="auto"/>
        </w:rPr>
      </w:pPr>
    </w:p>
    <w:p>
      <w:pPr>
        <w:ind w:right="160" w:firstLine="611"/>
        <w:spacing w:after="0" w:line="257" w:lineRule="auto"/>
        <w:rPr>
          <w:sz w:val="20"/>
          <w:szCs w:val="20"/>
          <w:color w:val="auto"/>
        </w:rPr>
      </w:pPr>
      <w:r>
        <w:rPr>
          <w:rFonts w:ascii="Times New Roman" w:cs="Times New Roman" w:eastAsia="Times New Roman" w:hAnsi="Times New Roman"/>
          <w:sz w:val="17"/>
          <w:szCs w:val="17"/>
          <w:color w:val="auto"/>
        </w:rPr>
        <w:t>The tables below provide information about the Company’s reportable segments. In these tables total segment operating income (loss) of the reportable business segments is reconciled to the corresponding consolidated amount. “Unallocated amounts” includes costs for merger and acquisition expenses, stock-based compensation expenses, interest income (expense), net, and other income (expense) items not considered part of management’s evaluation of segment operating income (loss). See footnote 1(e) for segment revenues disaggregated by contract type, customer and geographic region. The summary operating results for the Company’s reportable segments for the years ended December 28, 2025, December 29, 2024, and December 31, 2023, are as follows (in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28, 2025</w:t>
            </w:r>
          </w:p>
        </w:tc>
        <w:tc>
          <w:tcPr>
            <w:tcW w:w="18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Kratos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2"/>
        </w:trPr>
        <w:tc>
          <w:tcPr>
            <w:tcW w:w="6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Government</w:t>
            </w:r>
          </w:p>
        </w:tc>
        <w:tc>
          <w:tcPr>
            <w:tcW w:w="2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Unmanned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6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2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Systems</w:t>
            </w:r>
          </w:p>
        </w:tc>
        <w:tc>
          <w:tcPr>
            <w:tcW w:w="280" w:type="dxa"/>
            <w:vAlign w:val="bottom"/>
          </w:tcPr>
          <w:p>
            <w:pPr>
              <w:spacing w:after="0"/>
              <w:rPr>
                <w:sz w:val="17"/>
                <w:szCs w:val="17"/>
                <w:color w:val="auto"/>
              </w:rPr>
            </w:pPr>
          </w:p>
        </w:tc>
        <w:tc>
          <w:tcPr>
            <w:tcW w:w="1080" w:type="dxa"/>
            <w:vAlign w:val="bottom"/>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Totals</w:t>
            </w:r>
          </w:p>
        </w:tc>
      </w:tr>
      <w:tr>
        <w:trPr>
          <w:trHeight w:val="212"/>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469.0</w:t>
            </w:r>
          </w:p>
        </w:tc>
      </w:tr>
      <w:tr>
        <w:trPr>
          <w:trHeight w:val="216"/>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Product sales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877.8</w:t>
            </w:r>
          </w:p>
        </w:tc>
      </w:tr>
      <w:tr>
        <w:trPr>
          <w:trHeight w:val="209"/>
        </w:trPr>
        <w:tc>
          <w:tcPr>
            <w:tcW w:w="68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1,346.8</w:t>
            </w: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service revenue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356.8</w:t>
            </w: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234.5</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682.1</w:t>
            </w:r>
          </w:p>
        </w:tc>
      </w:tr>
      <w:tr>
        <w:trPr>
          <w:trHeight w:val="209"/>
        </w:trPr>
        <w:tc>
          <w:tcPr>
            <w:tcW w:w="684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7"/>
                <w:szCs w:val="17"/>
                <w:color w:val="auto"/>
              </w:rPr>
              <w:t>Total cost of sales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1,038.9</w:t>
            </w:r>
          </w:p>
        </w:tc>
      </w:tr>
      <w:tr>
        <w:trPr>
          <w:trHeight w:val="20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w:t>
            </w:r>
          </w:p>
        </w:tc>
      </w:tr>
      <w:tr>
        <w:trPr>
          <w:trHeight w:val="216"/>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Research &amp; development expenses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09"/>
        </w:trPr>
        <w:tc>
          <w:tcPr>
            <w:tcW w:w="68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b w:val="1"/>
                <w:bCs w:val="1"/>
                <w:color w:val="auto"/>
              </w:rPr>
              <w:t>Total segment operating income</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w:t>
            </w:r>
          </w:p>
        </w:tc>
      </w:tr>
      <w:tr>
        <w:trPr>
          <w:trHeight w:val="196"/>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segment operating income</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Unallocated amounts: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8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Merger and acquisition related expenses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6"/>
        </w:trPr>
        <w:tc>
          <w:tcPr>
            <w:tcW w:w="68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16"/>
        </w:trPr>
        <w:tc>
          <w:tcPr>
            <w:tcW w:w="68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Interest income (expense), net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6"/>
        </w:trPr>
        <w:tc>
          <w:tcPr>
            <w:tcW w:w="68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9"/>
        </w:trPr>
        <w:tc>
          <w:tcPr>
            <w:tcW w:w="684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w:t>
            </w:r>
          </w:p>
        </w:tc>
      </w:tr>
      <w:tr>
        <w:trPr>
          <w:trHeight w:val="20"/>
        </w:trPr>
        <w:tc>
          <w:tcPr>
            <w:tcW w:w="6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right="160" w:firstLine="611"/>
        <w:spacing w:after="0" w:line="249" w:lineRule="auto"/>
        <w:rPr>
          <w:sz w:val="20"/>
          <w:szCs w:val="20"/>
          <w:color w:val="auto"/>
        </w:rPr>
      </w:pPr>
      <w:r>
        <w:rPr>
          <w:rFonts w:ascii="Times New Roman" w:cs="Times New Roman" w:eastAsia="Times New Roman" w:hAnsi="Times New Roman"/>
          <w:sz w:val="17"/>
          <w:szCs w:val="17"/>
          <w:color w:val="auto"/>
        </w:rPr>
        <w:t>Revenues from foreign customers were approximately $267.7 million or 20% of total revenue for the year ended December 28, 2025. Revenues from any one foreign country did not exceed 10% of total revenues. Assets of foreign subsidiaries in the KGS segment were $300.5 million as of December 28, 2025. Assets from any one foreign country did not exceed 10% of total assets.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1"/>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29, 2024</w:t>
            </w:r>
          </w:p>
        </w:tc>
        <w:tc>
          <w:tcPr>
            <w:tcW w:w="240" w:type="dxa"/>
            <w:vAlign w:val="bottom"/>
          </w:tcPr>
          <w:p>
            <w:pPr>
              <w:spacing w:after="0"/>
              <w:rPr>
                <w:sz w:val="19"/>
                <w:szCs w:val="19"/>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Kratos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2"/>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Government</w:t>
            </w:r>
          </w:p>
        </w:tc>
        <w:tc>
          <w:tcPr>
            <w:tcW w:w="22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Unmanned</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22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Systems</w:t>
            </w:r>
          </w:p>
        </w:tc>
        <w:tc>
          <w:tcPr>
            <w:tcW w:w="300" w:type="dxa"/>
            <w:vAlign w:val="bottom"/>
          </w:tcPr>
          <w:p>
            <w:pPr>
              <w:spacing w:after="0"/>
              <w:rPr>
                <w:sz w:val="17"/>
                <w:szCs w:val="17"/>
                <w:color w:val="auto"/>
              </w:rPr>
            </w:pPr>
          </w:p>
        </w:tc>
        <w:tc>
          <w:tcPr>
            <w:tcW w:w="1100" w:type="dxa"/>
            <w:vAlign w:val="bottom"/>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Totals</w:t>
            </w:r>
          </w:p>
        </w:tc>
      </w:tr>
      <w:tr>
        <w:trPr>
          <w:trHeight w:val="212"/>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revenues</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423.4</w:t>
            </w:r>
          </w:p>
        </w:tc>
      </w:tr>
      <w:tr>
        <w:trPr>
          <w:trHeight w:val="216"/>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Product sales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449.5</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712.9</w:t>
            </w:r>
          </w:p>
        </w:tc>
      </w:tr>
      <w:tr>
        <w:trPr>
          <w:trHeight w:val="209"/>
        </w:trPr>
        <w:tc>
          <w:tcPr>
            <w:tcW w:w="65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Total revenues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1,136.3</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service revenue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310.0</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539.1</w:t>
            </w:r>
          </w:p>
        </w:tc>
      </w:tr>
      <w:tr>
        <w:trPr>
          <w:trHeight w:val="209"/>
        </w:trPr>
        <w:tc>
          <w:tcPr>
            <w:tcW w:w="65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Total cost of sales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849.1</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w:t>
            </w:r>
          </w:p>
        </w:tc>
      </w:tr>
      <w:tr>
        <w:trPr>
          <w:trHeight w:val="216"/>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Research &amp; development expenses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209"/>
        </w:trPr>
        <w:tc>
          <w:tcPr>
            <w:tcW w:w="65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b w:val="1"/>
                <w:bCs w:val="1"/>
                <w:color w:val="auto"/>
              </w:rPr>
              <w:t>Total segment 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r>
      <w:tr>
        <w:trPr>
          <w:trHeight w:val="196"/>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segment operating income</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Unallocated amounts: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5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Merger and acquisition related expenses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6"/>
        </w:trPr>
        <w:tc>
          <w:tcPr>
            <w:tcW w:w="65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r>
      <w:tr>
        <w:trPr>
          <w:trHeight w:val="216"/>
        </w:trPr>
        <w:tc>
          <w:tcPr>
            <w:tcW w:w="65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Interest income (expense), net</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6"/>
        </w:trPr>
        <w:tc>
          <w:tcPr>
            <w:tcW w:w="65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09"/>
        </w:trPr>
        <w:tc>
          <w:tcPr>
            <w:tcW w:w="650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right="160" w:firstLine="611"/>
        <w:spacing w:after="0" w:line="249" w:lineRule="auto"/>
        <w:rPr>
          <w:sz w:val="20"/>
          <w:szCs w:val="20"/>
          <w:color w:val="auto"/>
        </w:rPr>
      </w:pPr>
      <w:r>
        <w:rPr>
          <w:rFonts w:ascii="Times New Roman" w:cs="Times New Roman" w:eastAsia="Times New Roman" w:hAnsi="Times New Roman"/>
          <w:sz w:val="17"/>
          <w:szCs w:val="17"/>
          <w:color w:val="auto"/>
        </w:rPr>
        <w:t>Revenues from foreign customers were approximately $226.6 million or 20% of total revenue for the year ended December 29, 2024. Revenues from any one foreign country did not exceed 10% of total revenues. Assets of foreign subsidiaries in the KGS segment were $223.2 million as of December 29, 2024. Assets from any one foreign country did not exceed 10% of total assets.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Kratos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2"/>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Government</w:t>
            </w:r>
          </w:p>
        </w:tc>
        <w:tc>
          <w:tcPr>
            <w:tcW w:w="2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Unmanned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6"/>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2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Systems</w:t>
            </w:r>
          </w:p>
        </w:tc>
        <w:tc>
          <w:tcPr>
            <w:tcW w:w="300" w:type="dxa"/>
            <w:vAlign w:val="bottom"/>
          </w:tcPr>
          <w:p>
            <w:pPr>
              <w:spacing w:after="0"/>
              <w:rPr>
                <w:sz w:val="17"/>
                <w:szCs w:val="17"/>
                <w:color w:val="auto"/>
              </w:rPr>
            </w:pPr>
          </w:p>
        </w:tc>
        <w:tc>
          <w:tcPr>
            <w:tcW w:w="1060" w:type="dxa"/>
            <w:vAlign w:val="bottom"/>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Totals</w:t>
            </w:r>
          </w:p>
        </w:tc>
      </w:tr>
      <w:tr>
        <w:trPr>
          <w:trHeight w:val="212"/>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revenues</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402.6</w:t>
            </w:r>
          </w:p>
        </w:tc>
      </w:tr>
      <w:tr>
        <w:trPr>
          <w:trHeight w:val="21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Product sales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634.5</w:t>
            </w:r>
          </w:p>
        </w:tc>
      </w:tr>
      <w:tr>
        <w:trPr>
          <w:trHeight w:val="209"/>
        </w:trPr>
        <w:tc>
          <w:tcPr>
            <w:tcW w:w="6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1,037.1</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service revenue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303.2</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465.3</w:t>
            </w:r>
          </w:p>
        </w:tc>
      </w:tr>
      <w:tr>
        <w:trPr>
          <w:trHeight w:val="209"/>
        </w:trPr>
        <w:tc>
          <w:tcPr>
            <w:tcW w:w="660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7"/>
                <w:szCs w:val="17"/>
                <w:color w:val="auto"/>
              </w:rPr>
              <w:t>Total cost of sales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768.5</w:t>
            </w:r>
          </w:p>
        </w:tc>
      </w:tr>
      <w:tr>
        <w:trPr>
          <w:trHeight w:val="20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w:t>
            </w:r>
          </w:p>
        </w:tc>
      </w:tr>
      <w:tr>
        <w:trPr>
          <w:trHeight w:val="21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Research &amp; development expenses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w:t>
            </w:r>
          </w:p>
        </w:tc>
      </w:tr>
      <w:tr>
        <w:trPr>
          <w:trHeight w:val="209"/>
        </w:trPr>
        <w:tc>
          <w:tcPr>
            <w:tcW w:w="6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b w:val="1"/>
                <w:bCs w:val="1"/>
                <w:color w:val="auto"/>
              </w:rPr>
              <w:t>Total segment operating income (loss)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r>
      <w:tr>
        <w:trPr>
          <w:trHeight w:val="196"/>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segment operating income (loss)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Unallocated amounts: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6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Merger and acquisition related expenses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6"/>
        </w:trPr>
        <w:tc>
          <w:tcPr>
            <w:tcW w:w="6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16"/>
        </w:trPr>
        <w:tc>
          <w:tcPr>
            <w:tcW w:w="66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Interest income (expense), net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16"/>
        </w:trPr>
        <w:tc>
          <w:tcPr>
            <w:tcW w:w="66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09"/>
        </w:trPr>
        <w:tc>
          <w:tcPr>
            <w:tcW w:w="660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right="160" w:firstLine="611"/>
        <w:spacing w:after="0" w:line="249" w:lineRule="auto"/>
        <w:rPr>
          <w:sz w:val="20"/>
          <w:szCs w:val="20"/>
          <w:color w:val="auto"/>
        </w:rPr>
      </w:pPr>
      <w:r>
        <w:rPr>
          <w:rFonts w:ascii="Times New Roman" w:cs="Times New Roman" w:eastAsia="Times New Roman" w:hAnsi="Times New Roman"/>
          <w:sz w:val="17"/>
          <w:szCs w:val="17"/>
          <w:color w:val="auto"/>
        </w:rPr>
        <w:t>Revenues from foreign customers were approximately $202.0 million or 19% of total revenue for the year ended December 31, 2023. Revenues from any one foreign country did not exceed 10% of total revenues. Assets of foreign subsidiaries in the KGS segment were $204.6 million as of December 31, 2023. Assets from any one foreign country did not exceed 10% of total assets.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09" w:name="page110"/>
    <w:bookmarkEnd w:id="109"/>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Capital Expenditures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4"/>
        </w:trPr>
        <w:tc>
          <w:tcPr>
            <w:tcW w:w="6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78"/>
        </w:trPr>
        <w:tc>
          <w:tcPr>
            <w:tcW w:w="6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December 29, 2024</w:t>
            </w:r>
          </w:p>
        </w:tc>
        <w:tc>
          <w:tcPr>
            <w:tcW w:w="160" w:type="dxa"/>
            <w:vAlign w:val="bottom"/>
          </w:tcPr>
          <w:p>
            <w:pPr>
              <w:spacing w:after="0"/>
              <w:rPr>
                <w:sz w:val="15"/>
                <w:szCs w:val="15"/>
                <w:color w:val="auto"/>
              </w:rPr>
            </w:pPr>
          </w:p>
        </w:tc>
        <w:tc>
          <w:tcPr>
            <w:tcW w:w="13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5"/>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1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Unmanned Systems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09"/>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reportable segment capital expenditures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r>
      <w:tr>
        <w:trPr>
          <w:trHeight w:val="216"/>
        </w:trPr>
        <w:tc>
          <w:tcPr>
            <w:tcW w:w="6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Corporate capital expenditures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34"/>
        </w:trPr>
        <w:tc>
          <w:tcPr>
            <w:tcW w:w="6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400" w:hanging="398"/>
        <w:spacing w:after="0"/>
        <w:tabs>
          <w:tab w:leader="none" w:pos="40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Depreciation and Amortization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
        </w:trPr>
        <w:tc>
          <w:tcPr>
            <w:tcW w:w="6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8"/>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December 29, 2024</w:t>
            </w:r>
          </w:p>
        </w:tc>
        <w:tc>
          <w:tcPr>
            <w:tcW w:w="160" w:type="dxa"/>
            <w:vAlign w:val="bottom"/>
          </w:tcPr>
          <w:p>
            <w:pPr>
              <w:spacing w:after="0"/>
              <w:rPr>
                <w:sz w:val="15"/>
                <w:szCs w:val="15"/>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r>
      <w:tr>
        <w:trPr>
          <w:trHeight w:val="215"/>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Unmanned Systems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34"/>
        </w:trPr>
        <w:tc>
          <w:tcPr>
            <w:tcW w:w="6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(d)</w:t>
      </w:r>
      <w:r>
        <w:rPr>
          <w:sz w:val="20"/>
          <w:szCs w:val="20"/>
          <w:color w:val="auto"/>
        </w:rPr>
        <w:tab/>
      </w:r>
      <w:r>
        <w:rPr>
          <w:rFonts w:ascii="Times New Roman" w:cs="Times New Roman" w:eastAsia="Times New Roman" w:hAnsi="Times New Roman"/>
          <w:sz w:val="16"/>
          <w:szCs w:val="16"/>
          <w:b w:val="1"/>
          <w:bCs w:val="1"/>
          <w:color w:val="auto"/>
        </w:rPr>
        <w:t>Reportable Segment Assets are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180" w:type="dxa"/>
            <w:vAlign w:val="bottom"/>
          </w:tcPr>
          <w:p>
            <w:pPr>
              <w:spacing w:after="0"/>
              <w:rPr>
                <w:sz w:val="15"/>
                <w:szCs w:val="15"/>
                <w:color w:val="auto"/>
              </w:rPr>
            </w:pPr>
          </w:p>
        </w:tc>
        <w:tc>
          <w:tcPr>
            <w:tcW w:w="14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4"/>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Kratos Government Solutions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1,250.4</w:t>
            </w:r>
          </w:p>
        </w:tc>
      </w:tr>
      <w:tr>
        <w:trPr>
          <w:trHeight w:val="216"/>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Unmanned Systems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385.7</w:t>
            </w:r>
          </w:p>
        </w:tc>
      </w:tr>
      <w:tr>
        <w:trPr>
          <w:trHeight w:val="209"/>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reportable segment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1,636.1</w:t>
            </w:r>
          </w:p>
        </w:tc>
      </w:tr>
      <w:tr>
        <w:trPr>
          <w:trHeight w:val="216"/>
        </w:trPr>
        <w:tc>
          <w:tcPr>
            <w:tcW w:w="7800" w:type="dxa"/>
            <w:vAlign w:val="bottom"/>
            <w:tcBorders>
              <w:bottom w:val="single" w:sz="8" w:color="CCEEFF"/>
            </w:tcBorders>
          </w:tcPr>
          <w:p>
            <w:pPr>
              <w:ind w:left="180"/>
              <w:spacing w:after="0" w:line="217" w:lineRule="exact"/>
              <w:rPr>
                <w:sz w:val="20"/>
                <w:szCs w:val="20"/>
                <w:color w:val="auto"/>
              </w:rPr>
            </w:pPr>
            <w:r>
              <w:rPr>
                <w:rFonts w:ascii="Times New Roman" w:cs="Times New Roman" w:eastAsia="Times New Roman" w:hAnsi="Times New Roman"/>
                <w:sz w:val="17"/>
                <w:szCs w:val="17"/>
                <w:color w:val="auto"/>
              </w:rPr>
              <w:t>Corporate assets</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314.8</w:t>
            </w:r>
          </w:p>
        </w:tc>
      </w:tr>
      <w:tr>
        <w:trPr>
          <w:trHeight w:val="234"/>
        </w:trPr>
        <w:tc>
          <w:tcPr>
            <w:tcW w:w="7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vertAlign w:val="superscript"/>
        </w:rPr>
        <w:t>(1)</w:t>
      </w:r>
      <w:r>
        <w:rPr>
          <w:rFonts w:ascii="Times New Roman" w:cs="Times New Roman" w:eastAsia="Times New Roman" w:hAnsi="Times New Roman"/>
          <w:sz w:val="14"/>
          <w:szCs w:val="14"/>
          <w:i w:val="1"/>
          <w:iCs w:val="1"/>
          <w:color w:val="auto"/>
        </w:rPr>
        <w:t>Corporate assets primarily include cash and cash equivalents, deferred income tax assets, and property, plant and equipment used in our corporate operations.</w:t>
      </w:r>
    </w:p>
    <w:p>
      <w:pPr>
        <w:spacing w:after="0" w:line="182" w:lineRule="exact"/>
        <w:rPr>
          <w:sz w:val="20"/>
          <w:szCs w:val="20"/>
          <w:color w:val="auto"/>
        </w:rPr>
      </w:pPr>
    </w:p>
    <w:p>
      <w:pPr>
        <w:ind w:right="200" w:firstLine="611"/>
        <w:spacing w:after="0" w:line="279" w:lineRule="auto"/>
        <w:rPr>
          <w:sz w:val="20"/>
          <w:szCs w:val="20"/>
          <w:color w:val="auto"/>
        </w:rPr>
      </w:pPr>
      <w:r>
        <w:rPr>
          <w:rFonts w:ascii="Times New Roman" w:cs="Times New Roman" w:eastAsia="Times New Roman" w:hAnsi="Times New Roman"/>
          <w:sz w:val="17"/>
          <w:szCs w:val="17"/>
          <w:color w:val="auto"/>
        </w:rPr>
        <w:t>Assets of foreign subsidiaries in the KGS segment were $300.5 million, $223.2 million and $204.6 million as of December 28, 2025, December 29, 2024 and December 31, 2023, respectively.</w:t>
      </w:r>
    </w:p>
    <w:p>
      <w:pPr>
        <w:spacing w:after="0" w:line="200" w:lineRule="exact"/>
        <w:rPr>
          <w:sz w:val="20"/>
          <w:szCs w:val="20"/>
          <w:color w:val="auto"/>
        </w:rPr>
      </w:pPr>
    </w:p>
    <w:p>
      <w:pPr>
        <w:spacing w:after="0" w:line="20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Note 14.</w:t>
      </w:r>
      <w:r>
        <w:rPr>
          <w:sz w:val="20"/>
          <w:szCs w:val="20"/>
          <w:color w:val="auto"/>
        </w:rPr>
        <w:tab/>
      </w:r>
      <w:r>
        <w:rPr>
          <w:rFonts w:ascii="Times New Roman" w:cs="Times New Roman" w:eastAsia="Times New Roman" w:hAnsi="Times New Roman"/>
          <w:sz w:val="16"/>
          <w:szCs w:val="16"/>
          <w:b w:val="1"/>
          <w:bCs w:val="1"/>
          <w:color w:val="auto"/>
        </w:rPr>
        <w:t>Commitments and Contingencies</w:t>
      </w:r>
    </w:p>
    <w:p>
      <w:pPr>
        <w:spacing w:after="0" w:line="241" w:lineRule="exact"/>
        <w:rPr>
          <w:sz w:val="20"/>
          <w:szCs w:val="20"/>
          <w:color w:val="auto"/>
        </w:rPr>
      </w:pPr>
    </w:p>
    <w:p>
      <w:pPr>
        <w:ind w:firstLine="170"/>
        <w:spacing w:after="0" w:line="252" w:lineRule="auto"/>
        <w:rPr>
          <w:sz w:val="20"/>
          <w:szCs w:val="20"/>
          <w:color w:val="auto"/>
        </w:rPr>
      </w:pPr>
      <w:r>
        <w:rPr>
          <w:rFonts w:ascii="Times New Roman" w:cs="Times New Roman" w:eastAsia="Times New Roman" w:hAnsi="Times New Roman"/>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1074" w:right="359" w:bottom="1440" w:gutter="0" w:footer="0" w:header="0"/>
        </w:sectPr>
      </w:pPr>
    </w:p>
    <w:bookmarkStart w:id="110" w:name="page111"/>
    <w:bookmarkEnd w:id="110"/>
    <w:p>
      <w:pPr>
        <w:jc w:val="both"/>
        <w:ind w:right="140"/>
        <w:spacing w:after="0" w:line="264" w:lineRule="auto"/>
        <w:rPr>
          <w:sz w:val="20"/>
          <w:szCs w:val="20"/>
          <w:color w:val="auto"/>
        </w:rPr>
      </w:pPr>
      <w:r>
        <w:rPr>
          <w:rFonts w:ascii="Times New Roman" w:cs="Times New Roman" w:eastAsia="Times New Roman" w:hAnsi="Times New Roman"/>
          <w:sz w:val="17"/>
          <w:szCs w:val="17"/>
          <w:color w:val="auto"/>
        </w:rPr>
        <w:t>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consolidated financial statements; and the unique facts and circumstances of the particular matter that may give rise to additional factors.</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Legal and Regulatory Matters.</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U.S. Government Cost Claims</w:t>
      </w:r>
    </w:p>
    <w:p>
      <w:pPr>
        <w:spacing w:after="0" w:line="241" w:lineRule="exact"/>
        <w:rPr>
          <w:sz w:val="20"/>
          <w:szCs w:val="20"/>
          <w:color w:val="auto"/>
        </w:rPr>
      </w:pPr>
    </w:p>
    <w:p>
      <w:pPr>
        <w:ind w:right="100" w:firstLine="611"/>
        <w:spacing w:after="0" w:line="254" w:lineRule="auto"/>
        <w:rPr>
          <w:sz w:val="20"/>
          <w:szCs w:val="20"/>
          <w:color w:val="auto"/>
        </w:rPr>
      </w:pPr>
      <w:r>
        <w:rPr>
          <w:rFonts w:ascii="Times New Roman" w:cs="Times New Roman" w:eastAsia="Times New Roman" w:hAnsi="Times New Roman"/>
          <w:sz w:val="17"/>
          <w:szCs w:val="17"/>
          <w:color w:val="auto"/>
        </w:rPr>
        <w:t>The Company’s contracts with the DoW are subject to audit by the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Costs incurred and allocated to contracts with the U.S. Government are regularly scrutinized for compliance with regulatory standards by the Company’s personnel.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Litigation Matters</w:t>
      </w:r>
    </w:p>
    <w:p>
      <w:pPr>
        <w:spacing w:after="0" w:line="241" w:lineRule="exact"/>
        <w:rPr>
          <w:sz w:val="20"/>
          <w:szCs w:val="20"/>
          <w:color w:val="auto"/>
        </w:rPr>
      </w:pPr>
    </w:p>
    <w:p>
      <w:pPr>
        <w:ind w:right="140" w:firstLine="611"/>
        <w:spacing w:after="0" w:line="281" w:lineRule="auto"/>
        <w:rPr>
          <w:sz w:val="20"/>
          <w:szCs w:val="20"/>
          <w:color w:val="auto"/>
        </w:rPr>
      </w:pPr>
      <w:r>
        <w:rPr>
          <w:rFonts w:ascii="Times New Roman" w:cs="Times New Roman" w:eastAsia="Times New Roman" w:hAnsi="Times New Roman"/>
          <w:sz w:val="16"/>
          <w:szCs w:val="16"/>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its financial condition, results of operations or cash flows.</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Note 15.</w:t>
        <w:tab/>
        <w:t>Redeemable Noncontrolling Interest</w:t>
      </w:r>
    </w:p>
    <w:p>
      <w:pPr>
        <w:spacing w:after="0" w:line="241" w:lineRule="exact"/>
        <w:rPr>
          <w:sz w:val="20"/>
          <w:szCs w:val="20"/>
          <w:color w:val="auto"/>
        </w:rPr>
      </w:pPr>
    </w:p>
    <w:p>
      <w:pPr>
        <w:ind w:right="60" w:firstLine="611"/>
        <w:spacing w:after="0" w:line="254" w:lineRule="auto"/>
        <w:rPr>
          <w:sz w:val="20"/>
          <w:szCs w:val="20"/>
          <w:color w:val="auto"/>
        </w:rPr>
      </w:pPr>
      <w:r>
        <w:rPr>
          <w:rFonts w:ascii="Times New Roman" w:cs="Times New Roman" w:eastAsia="Times New Roman" w:hAnsi="Times New Roman"/>
          <w:sz w:val="17"/>
          <w:szCs w:val="17"/>
          <w:color w:val="auto"/>
        </w:rPr>
        <w:t>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had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w:t>
      </w:r>
    </w:p>
    <w:p>
      <w:pPr>
        <w:spacing w:after="0" w:line="204" w:lineRule="exact"/>
        <w:rPr>
          <w:sz w:val="20"/>
          <w:szCs w:val="20"/>
          <w:color w:val="auto"/>
        </w:rPr>
      </w:pPr>
    </w:p>
    <w:p>
      <w:pPr>
        <w:ind w:firstLine="611"/>
        <w:spacing w:after="0" w:line="254" w:lineRule="auto"/>
        <w:rPr>
          <w:sz w:val="20"/>
          <w:szCs w:val="20"/>
          <w:color w:val="auto"/>
        </w:rPr>
      </w:pPr>
      <w:r>
        <w:rPr>
          <w:rFonts w:ascii="Times New Roman" w:cs="Times New Roman" w:eastAsia="Times New Roman" w:hAnsi="Times New Roman"/>
          <w:sz w:val="17"/>
          <w:szCs w:val="17"/>
          <w:color w:val="auto"/>
        </w:rPr>
        <w:t>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 Equity Purchase Agreement, the Company paid consideration of $2.7 million, paid in 190,258 shares of its common stock, based upon Kratos’ trading price on the date of distribution, representing half of the aggregate estimated purchase price to be paid by the Company for the Purchased Shares. Following the closing of the transactions contemplated by the Equity Purchase Agreement, the Company owned 90.05% of KTT Core. On April 7, 2023, the final aggregate purchase price, as updated to reflect the actual 2022 operating results and to reflect the market price of Kratos common stock on the day of issuance, was determined and 828,128 shares of Kratos common stock were issued to the Holders of the minority interest with a value of $10.7 million.</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March 22, 2024, the Holders notified Kratos of their intent to sell their remaining Minority Interests through the Holders’ exercise of the Put Right. On</w:t>
      </w:r>
    </w:p>
    <w:p>
      <w:pPr>
        <w:spacing w:after="0" w:line="46"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June 21, 2024, the Company acquired the remaining 9.95% of the issued and outstanding shares of capital stock of KTT Core for an aggregate purchase price of approximately $22.5 million, which was comprised of approximately $11.25 million in cash and 583,700 shares of Kratos common stock valued at $11.25 million based on Kratos’ 90</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111" w:name="page112"/>
    <w:bookmarkEnd w:id="111"/>
    <w:p>
      <w:pPr>
        <w:ind w:right="300"/>
        <w:spacing w:after="0" w:line="279" w:lineRule="auto"/>
        <w:rPr>
          <w:sz w:val="20"/>
          <w:szCs w:val="20"/>
          <w:color w:val="auto"/>
        </w:rPr>
      </w:pPr>
      <w:r>
        <w:rPr>
          <w:rFonts w:ascii="Times New Roman" w:cs="Times New Roman" w:eastAsia="Times New Roman" w:hAnsi="Times New Roman"/>
          <w:sz w:val="17"/>
          <w:szCs w:val="17"/>
          <w:color w:val="auto"/>
        </w:rPr>
        <w:t>day average trading price ending on day immediately prior to the date of acquisition. Following the closing of the transaction the Company owned 100% of KTT Core.</w:t>
      </w:r>
    </w:p>
    <w:p>
      <w:pPr>
        <w:spacing w:after="0" w:line="169" w:lineRule="exact"/>
        <w:rPr>
          <w:sz w:val="20"/>
          <w:szCs w:val="20"/>
          <w:color w:val="auto"/>
        </w:rPr>
      </w:pPr>
    </w:p>
    <w:p>
      <w:pPr>
        <w:ind w:firstLine="611"/>
        <w:spacing w:after="0" w:line="239" w:lineRule="auto"/>
        <w:rPr>
          <w:sz w:val="20"/>
          <w:szCs w:val="20"/>
          <w:color w:val="auto"/>
        </w:rPr>
      </w:pPr>
      <w:r>
        <w:rPr>
          <w:rFonts w:ascii="Times New Roman" w:cs="Times New Roman" w:eastAsia="Times New Roman" w:hAnsi="Times New Roman"/>
          <w:sz w:val="17"/>
          <w:szCs w:val="17"/>
          <w:color w:val="auto"/>
        </w:rPr>
        <w:t>Prior to the purchase of the remaining shares of KTT Core, the Company adjusted the carrying value of the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For the year ended December 29, 2024, the Company recorded an adjustment of $9.9 million to increase the carrying value of the redeemable noncontrolling interest to the estimated Redemption Amount. As a result of the Company’s acquisition of the remaining 9.95% of the issued and outstanding shares of capital stock of KTT Core on June 21, 2024, the carrying value of the redeemable noncontrolling interest was reduced to zero.</w:t>
      </w:r>
    </w:p>
    <w:p>
      <w:pPr>
        <w:spacing w:after="0" w:line="2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Note 16.</w:t>
      </w:r>
      <w:r>
        <w:rPr>
          <w:sz w:val="20"/>
          <w:szCs w:val="20"/>
          <w:color w:val="auto"/>
        </w:rPr>
        <w:tab/>
      </w:r>
      <w:r>
        <w:rPr>
          <w:rFonts w:ascii="Times New Roman" w:cs="Times New Roman" w:eastAsia="Times New Roman" w:hAnsi="Times New Roman"/>
          <w:sz w:val="16"/>
          <w:szCs w:val="16"/>
          <w:b w:val="1"/>
          <w:bCs w:val="1"/>
          <w:color w:val="auto"/>
        </w:rPr>
        <w:t>Derivative Financial Instruments</w:t>
      </w:r>
    </w:p>
    <w:p>
      <w:pPr>
        <w:spacing w:after="0" w:line="241" w:lineRule="exact"/>
        <w:rPr>
          <w:sz w:val="20"/>
          <w:szCs w:val="20"/>
          <w:color w:val="auto"/>
        </w:rPr>
      </w:pPr>
    </w:p>
    <w:p>
      <w:pPr>
        <w:jc w:val="both"/>
        <w:ind w:right="400" w:firstLine="611"/>
        <w:spacing w:after="0" w:line="264" w:lineRule="auto"/>
        <w:rPr>
          <w:sz w:val="20"/>
          <w:szCs w:val="20"/>
          <w:color w:val="auto"/>
        </w:rPr>
      </w:pPr>
      <w:r>
        <w:rPr>
          <w:rFonts w:ascii="Times New Roman" w:cs="Times New Roman" w:eastAsia="Times New Roman" w:hAnsi="Times New Roman"/>
          <w:sz w:val="17"/>
          <w:szCs w:val="17"/>
          <w:color w:val="auto"/>
        </w:rPr>
        <w:t>The Company’s derivative portfolio consists of forward exchange contracts used to manage foreign currency risks and an interest rate swap contract to hedge U.S. dollar-one month Term SOFR in order to mitigate the exposure to interest rate movements associated with the Company’s Term Loan A. Derivative financial instruments are recognized on the Consolidated Balance Sheets as either assets or liabilities and are measured at fair value.</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Forward Exchange Contracts</w:t>
      </w:r>
    </w:p>
    <w:p>
      <w:pPr>
        <w:spacing w:after="0" w:line="241" w:lineRule="exact"/>
        <w:rPr>
          <w:sz w:val="20"/>
          <w:szCs w:val="20"/>
          <w:color w:val="auto"/>
        </w:rPr>
      </w:pPr>
    </w:p>
    <w:p>
      <w:pPr>
        <w:ind w:right="60" w:firstLine="611"/>
        <w:spacing w:after="0" w:line="255" w:lineRule="auto"/>
        <w:rPr>
          <w:sz w:val="20"/>
          <w:szCs w:val="20"/>
          <w:color w:val="auto"/>
        </w:rPr>
      </w:pPr>
      <w:r>
        <w:rPr>
          <w:rFonts w:ascii="Times New Roman" w:cs="Times New Roman" w:eastAsia="Times New Roman" w:hAnsi="Times New Roman"/>
          <w:sz w:val="17"/>
          <w:szCs w:val="17"/>
          <w:color w:val="auto"/>
        </w:rPr>
        <w:t>Changes in the fair values of foreign currency exchange contracts are recorded each period in earnings. As of December 28, 2025, the Company did not use hedge accounting for its foreign currency exchange contracts. The notional value of the Company’s foreign currency forward contracts at December 28, 2025 was $0.0 million. At December 28, 2025, the fair value amounts of the forward exchange contracts were a $0.0 million asset and a $0.0 million liability. The net gain from these derivative instruments of $1.2 million is included in other income (expense) for the year ended December 28, 2025. The notional value of the Company’s foreign currency forward contracts at December 29, 2024, was $25.4 million. At December 29, 2024, the fair value amounts of the forward exchange contracts were a $0.2 million asset and a $0.1 million liability. The net gain from these derivative instruments of $0.1 million is included in other income (expense) for the year ended December 29, 2024.</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Interest Rate Swap Contract</w:t>
      </w:r>
    </w:p>
    <w:p>
      <w:pPr>
        <w:spacing w:after="0" w:line="241" w:lineRule="exact"/>
        <w:rPr>
          <w:sz w:val="20"/>
          <w:szCs w:val="20"/>
          <w:color w:val="auto"/>
        </w:rPr>
      </w:pPr>
    </w:p>
    <w:p>
      <w:pPr>
        <w:ind w:right="20" w:firstLine="611"/>
        <w:spacing w:after="0" w:line="254" w:lineRule="auto"/>
        <w:rPr>
          <w:sz w:val="20"/>
          <w:szCs w:val="20"/>
          <w:color w:val="auto"/>
        </w:rPr>
      </w:pPr>
      <w:r>
        <w:rPr>
          <w:rFonts w:ascii="Times New Roman" w:cs="Times New Roman" w:eastAsia="Times New Roman" w:hAnsi="Times New Roman"/>
          <w:sz w:val="17"/>
          <w:szCs w:val="17"/>
          <w:color w:val="auto"/>
        </w:rPr>
        <w:t>On April 28, 2023, the Company entered into an interest rate swap contract with an initial notional amount of $195.0 million to manage the variability of cash flows associated with the Term Loan A. The interest rate swap contract matures on May 1, 2026 and requires periodic interest rate settlements. The swap is at a fixed SOFR of 3.721% and settles monthly on the last day of each calendar month. The Company has designated the interest rate swap contract as a cash flow hedge and assesses the hedge effectiveness both at the onset of the hedge and at regular intervals throughout the life of the derivative. Changes in fair value (gains and losses) related to derivative financial instruments that qualify as cash flow hedges are deferred in Accumulated Other Comprehensive Income (Loss) (“AOCI”) until the underlying transaction is reflected in earnings. The net gain reclassified from AOCI from the interest rate swap reflected in earnings was $0.9 million for the year ended December 28, 2025 and is recorded as an offset to interest expense. The net gain reclassified from AOCI from the interest rate swap reflected in earnings was $2.8 million for the year ended December 29, 2024 and is recorded as an offset to interest expense.</w:t>
      </w:r>
    </w:p>
    <w:p>
      <w:pPr>
        <w:spacing w:after="0" w:line="204" w:lineRule="exact"/>
        <w:rPr>
          <w:sz w:val="20"/>
          <w:szCs w:val="20"/>
          <w:color w:val="auto"/>
        </w:rPr>
      </w:pPr>
    </w:p>
    <w:p>
      <w:pPr>
        <w:ind w:right="140" w:firstLine="611"/>
        <w:spacing w:after="0" w:line="264" w:lineRule="auto"/>
        <w:rPr>
          <w:sz w:val="20"/>
          <w:szCs w:val="20"/>
          <w:color w:val="auto"/>
        </w:rPr>
      </w:pPr>
      <w:r>
        <w:rPr>
          <w:rFonts w:ascii="Times New Roman" w:cs="Times New Roman" w:eastAsia="Times New Roman" w:hAnsi="Times New Roman"/>
          <w:sz w:val="17"/>
          <w:szCs w:val="17"/>
          <w:color w:val="auto"/>
        </w:rPr>
        <w:t>On June 30, 2025, in anticipation of the extinguishment of all outstanding Term Loan A debt under the 2022 Credit Facility, the Company terminated the interest rate swap contract referred to above. The Company received a payment of approximately $0.3 million representing the termination value of the interest rate swap.</w:t>
      </w:r>
    </w:p>
    <w:p>
      <w:pPr>
        <w:spacing w:after="0" w:line="195" w:lineRule="exact"/>
        <w:rPr>
          <w:sz w:val="20"/>
          <w:szCs w:val="20"/>
          <w:color w:val="auto"/>
        </w:rPr>
      </w:pPr>
    </w:p>
    <w:p>
      <w:pPr>
        <w:ind w:right="600" w:firstLine="611"/>
        <w:spacing w:after="0" w:line="279" w:lineRule="auto"/>
        <w:rPr>
          <w:sz w:val="20"/>
          <w:szCs w:val="20"/>
          <w:color w:val="auto"/>
        </w:rPr>
      </w:pPr>
      <w:r>
        <w:rPr>
          <w:rFonts w:ascii="Times New Roman" w:cs="Times New Roman" w:eastAsia="Times New Roman" w:hAnsi="Times New Roman"/>
          <w:sz w:val="17"/>
          <w:szCs w:val="17"/>
          <w:color w:val="auto"/>
        </w:rPr>
        <w:t>The fair value of this derivative represents the discounted value of the expected future discounted cash flows for the interest rate swap, based on the amortization schedule and the current forward curve for the remaining term of the contract, as of the date of each reporting period (in millions):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67945</wp:posOffset>
            </wp:positionV>
            <wp:extent cx="7165340"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79"/>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3"/>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4"/>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4"/>
        </w:trPr>
        <w:tc>
          <w:tcPr>
            <w:tcW w:w="5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8"/>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220" w:type="dxa"/>
            <w:vAlign w:val="bottom"/>
          </w:tcPr>
          <w:p>
            <w:pPr>
              <w:spacing w:after="0"/>
              <w:rPr>
                <w:sz w:val="15"/>
                <w:szCs w:val="15"/>
                <w:color w:val="auto"/>
              </w:rPr>
            </w:pPr>
          </w:p>
        </w:tc>
        <w:tc>
          <w:tcPr>
            <w:tcW w:w="10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5"/>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 contract designated as a cash flow hedge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185.0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bl>
    <w:p>
      <w:pPr>
        <w:spacing w:after="0" w:line="200" w:lineRule="exact"/>
        <w:rPr>
          <w:sz w:val="20"/>
          <w:szCs w:val="20"/>
          <w:color w:val="auto"/>
        </w:rPr>
      </w:pPr>
    </w:p>
    <w:p>
      <w:pPr>
        <w:spacing w:after="0" w:line="34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Note 17.</w:t>
        <w:tab/>
        <w:t>Collaborative Arrangement</w:t>
      </w:r>
    </w:p>
    <w:p>
      <w:pPr>
        <w:spacing w:after="0" w:line="241" w:lineRule="exact"/>
        <w:rPr>
          <w:sz w:val="20"/>
          <w:szCs w:val="20"/>
          <w:color w:val="auto"/>
        </w:rPr>
      </w:pPr>
    </w:p>
    <w:p>
      <w:pPr>
        <w:ind w:right="40" w:firstLine="611"/>
        <w:spacing w:after="0" w:line="253" w:lineRule="auto"/>
        <w:rPr>
          <w:sz w:val="20"/>
          <w:szCs w:val="20"/>
          <w:color w:val="auto"/>
        </w:rPr>
      </w:pPr>
      <w:r>
        <w:rPr>
          <w:rFonts w:ascii="Times New Roman" w:cs="Times New Roman" w:eastAsia="Times New Roman" w:hAnsi="Times New Roman"/>
          <w:sz w:val="17"/>
          <w:szCs w:val="17"/>
          <w:color w:val="auto"/>
        </w:rPr>
        <w:t>On June 3, 2025, the Company and GE Aerospace (“GE”) announced a formal teaming agreement to advance the development and production of engines for the next generation of affordable unmanned aerial systems and Collaborative Combat Aircraft-type (CCA-type) aircraft. This teaming agreement supersedes an earlier letter of intent and memorandum of understanding between the Company and GE related to the development, testing and fielding of these engines. Under this arrangement, the Company and GE share in the risks and rewards of the program through various revenue, cost and profit-sharing payment structures. In accordance with FASB ASC Topic 808, Collaborative Arrangements, (“Topic 808”), the accounting for the arrangement is within the scope of ASC 606 and revenue and costs are recognized as the promised services are provided. The ASC 606 considerations and facts discussed in Note 3. Revenue Recognition apply to this arrangement. Since the signing of the memorandum of understanding between the Company and GE on July 22, 2024, the Company has recorded revenues of $31.5 million and cost of sales of $31.9 million through December 28, 2025 related to this arrangement. The Company recorded revenues of $12.9 million and cost of sales of $13.3 million for the year ended December 28, 2025 related to this arrangement.</w:t>
      </w:r>
    </w:p>
    <w:p>
      <w:pPr>
        <w:spacing w:after="0" w:line="20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Note 18.</w:t>
        <w:tab/>
        <w:t>Subsequent Events</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financial statements were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issued.</w:t>
      </w:r>
    </w:p>
    <w:p>
      <w:pPr>
        <w:spacing w:after="0" w:line="222" w:lineRule="exact"/>
        <w:rPr>
          <w:sz w:val="20"/>
          <w:szCs w:val="20"/>
          <w:color w:val="auto"/>
        </w:rPr>
      </w:pPr>
    </w:p>
    <w:p>
      <w:pPr>
        <w:ind w:firstLine="611"/>
        <w:spacing w:after="0" w:line="257" w:lineRule="auto"/>
        <w:rPr>
          <w:sz w:val="20"/>
          <w:szCs w:val="20"/>
          <w:color w:val="auto"/>
        </w:rPr>
      </w:pPr>
      <w:r>
        <w:rPr>
          <w:rFonts w:ascii="Times New Roman" w:cs="Times New Roman" w:eastAsia="Times New Roman" w:hAnsi="Times New Roman"/>
          <w:sz w:val="17"/>
          <w:szCs w:val="17"/>
          <w:color w:val="auto"/>
        </w:rPr>
        <w:t>On November 4, 2025, the Company and certain of its subsidiaries entered into a definitive merger agreement (the “Orbit Merger Agreement”) pursuant to which the Company agreed to acquire Orbit Technologies Ltd., a company organized under the laws of the State of Israel (“Orbit”). Orbit’s ordinary shares are currently publicly traded on the Tel Aviv Stock Exchange. The aggregate consideration payable by the Company pursuant to the Orbit Merger Agreement is expected to be approximately $356.3 million, which is expected to be funded via cash on the Company’s balance sheet immediately prior to closing. Consummation of the acquisition of Orbit is subject to a number of customary closing conditions. The transaction is expected to close in the first half of 2026.</w:t>
      </w:r>
    </w:p>
    <w:p>
      <w:pPr>
        <w:spacing w:after="0" w:line="201" w:lineRule="exact"/>
        <w:rPr>
          <w:sz w:val="20"/>
          <w:szCs w:val="20"/>
          <w:color w:val="auto"/>
        </w:rPr>
      </w:pPr>
    </w:p>
    <w:p>
      <w:pPr>
        <w:ind w:right="20" w:firstLine="611"/>
        <w:spacing w:after="0" w:line="253" w:lineRule="auto"/>
        <w:rPr>
          <w:sz w:val="20"/>
          <w:szCs w:val="20"/>
          <w:color w:val="auto"/>
        </w:rPr>
      </w:pPr>
      <w:r>
        <w:rPr>
          <w:rFonts w:ascii="Times New Roman" w:cs="Times New Roman" w:eastAsia="Times New Roman" w:hAnsi="Times New Roman"/>
          <w:sz w:val="17"/>
          <w:szCs w:val="17"/>
          <w:color w:val="auto"/>
        </w:rPr>
        <w:t>On February 11, 2026, the Company and the other parties thereto entered into an Agreement and Plan of Merger (“Nomad Merger Agreement”) pursuant to which the Company acquired Nomad Global Communication Solutions, Incorporated, a Montana corporation (“Nomad”). The Nomad acquisition was consummated on February 11, 2026. Nomad is a company that focuses on the design and manufacture of connected mobile operations centers. Pursuant to the Nomad Merger Agreement, the Company (i) issued 972,136 shares of Kratos common stock with a deemed value of $88.8 million on February 11, 2026 to the former Nomad shareholders in a private placement, (ii) agreed to issue up to $7 million worth of additional shares of Kratos common stock to the former Nomad shareholders in the future upon release of certain holdback amounts, (iii) agreed to pay up to $6 million in cash to the former Nomad shareholders in the future upon release of a certain holdback amount, and (iv) agreed to issue up to $10 million worth of additional shares of Kratos common stock upon achievement of certain milestones. Kratos granted the former shareholders of Nomad certain registration rights under the Nomad Merger Agreement and registered the 972,136 shares of Kratos common stock issued to the former Nomad shareholders on February 11, 2026 with the SEC on February 12, 2026.</w:t>
      </w:r>
    </w:p>
    <w:p>
      <w:pPr>
        <w:spacing w:after="0" w:line="208" w:lineRule="exact"/>
        <w:rPr>
          <w:sz w:val="20"/>
          <w:szCs w:val="20"/>
          <w:color w:val="auto"/>
        </w:rPr>
      </w:pPr>
    </w:p>
    <w:p>
      <w:pPr>
        <w:ind w:right="80" w:firstLine="611"/>
        <w:spacing w:after="0" w:line="281" w:lineRule="auto"/>
        <w:rPr>
          <w:sz w:val="20"/>
          <w:szCs w:val="20"/>
          <w:color w:val="auto"/>
        </w:rPr>
      </w:pPr>
      <w:r>
        <w:rPr>
          <w:rFonts w:ascii="Times New Roman" w:cs="Times New Roman" w:eastAsia="Times New Roman" w:hAnsi="Times New Roman"/>
          <w:sz w:val="16"/>
          <w:szCs w:val="16"/>
          <w:color w:val="auto"/>
        </w:rPr>
        <w:t>On February 20, 2026, the Company completed the refinancing of its 2022 Credit Facility, which originally consisted of a $200 million Revolving Credit Facility and a $200 million Term Loan A, with a new 5-year $300 million Revolving Credit Facility (the “2026 Credit Facility”). There are no borrowings under the 2026 Credit Facility and, as stated above, there have been no outstanding borrowings under the 2022 Credit Facility subsequent to the repayment in full of the Term Loan A under the 2022 Credit Facility on July 2, 2025. The outstanding letters of credit under the 2022 Credit Facility were transferred to the 2026 Credit Facility.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ectPr>
          <w:pgSz w:w="11900" w:h="16838" w:orient="portrait"/>
          <w:cols w:equalWidth="0" w:num="1">
            <w:col w:w="11240"/>
          </w:cols>
          <w:pgMar w:left="320" w:top="879"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9"/>
          <w:szCs w:val="19"/>
          <w:b w:val="1"/>
          <w:bCs w:val="1"/>
          <w:color w:val="auto"/>
        </w:rPr>
        <w:t>Exhibit 10.17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CREDIT AGREEMENT</w:t>
      </w:r>
    </w:p>
    <w:p>
      <w:pPr>
        <w:spacing w:after="0" w:line="216" w:lineRule="exact"/>
        <w:rPr>
          <w:sz w:val="20"/>
          <w:szCs w:val="20"/>
          <w:color w:val="auto"/>
        </w:rPr>
      </w:pPr>
    </w:p>
    <w:p>
      <w:pPr>
        <w:jc w:val="both"/>
        <w:ind w:firstLine="611"/>
        <w:spacing w:after="0" w:line="270"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FIRST AMENDMENT TO CREDIT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is made and entered into as of March 9, 2023, by and among </w:t>
      </w:r>
      <w:r>
        <w:rPr>
          <w:rFonts w:ascii="Times New Roman" w:cs="Times New Roman" w:eastAsia="Times New Roman" w:hAnsi="Times New Roman"/>
          <w:sz w:val="20"/>
          <w:szCs w:val="20"/>
          <w:b w:val="1"/>
          <w:bCs w:val="1"/>
          <w:color w:val="auto"/>
        </w:rPr>
        <w:t>KRATOS DEFENSE &amp; SECURITY SOLUTIONS,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the other Loan Parties party hereto, the Lenders (as defined below) party hereto, the Issuing Banks party hereto and </w:t>
      </w: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 in its capacity as administrative agent for the Lenders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 xml:space="preserve"> :</w:t>
      </w:r>
    </w:p>
    <w:p>
      <w:pPr>
        <w:spacing w:after="0" w:line="212" w:lineRule="exact"/>
        <w:rPr>
          <w:sz w:val="20"/>
          <w:szCs w:val="20"/>
          <w:color w:val="auto"/>
        </w:rPr>
      </w:pPr>
    </w:p>
    <w:p>
      <w:pPr>
        <w:jc w:val="both"/>
        <w:ind w:firstLine="611"/>
        <w:spacing w:after="0" w:line="27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the several banks and other financial institutions and lenders from time to time party thereto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the Issuing Banks from time to time party thereto, and the Administrative Agent have executed and delivered that certain Credit Agreement dated as of February 18, 2022 (as amended, restated, amended and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w:t>
      </w:r>
    </w:p>
    <w:p>
      <w:pPr>
        <w:spacing w:after="0" w:line="149" w:lineRule="exact"/>
        <w:rPr>
          <w:sz w:val="20"/>
          <w:szCs w:val="20"/>
          <w:color w:val="auto"/>
        </w:rPr>
      </w:pPr>
    </w:p>
    <w:p>
      <w:pPr>
        <w:jc w:val="both"/>
        <w:ind w:firstLine="611"/>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requested that the Administrative Agent, the Lenders and the Issuing Banks agree to amend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waive certain provisions of the Credit Agreement as set forth herein, and the Administrative Agent, the Lenders and the Issuing Banks party hereto have agreed to such amendments and waiver, in each case subject to the terms and conditions hereof.</w:t>
      </w:r>
    </w:p>
    <w:p>
      <w:pPr>
        <w:spacing w:after="0" w:line="145" w:lineRule="exact"/>
        <w:rPr>
          <w:sz w:val="20"/>
          <w:szCs w:val="20"/>
          <w:color w:val="auto"/>
        </w:rPr>
      </w:pPr>
    </w:p>
    <w:p>
      <w:pPr>
        <w:jc w:val="both"/>
        <w:ind w:firstLine="611"/>
        <w:spacing w:after="0" w:line="30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and in consideration of the above premises and other good and valuable consideration, the receipt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sufficiency of which is hereby acknowledged by the parties hereto, each of the parties hereto hereby covenants and agrees as follows:</w:t>
      </w:r>
    </w:p>
    <w:p>
      <w:pPr>
        <w:spacing w:after="0" w:line="91" w:lineRule="exact"/>
        <w:rPr>
          <w:sz w:val="20"/>
          <w:szCs w:val="20"/>
          <w:color w:val="auto"/>
        </w:rPr>
      </w:pPr>
    </w:p>
    <w:p>
      <w:pPr>
        <w:jc w:val="both"/>
        <w:ind w:firstLine="611"/>
        <w:spacing w:after="0" w:line="218"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Unless otherwise specifically defined herein, each term used herein (and in the recitals above) which is defined in the Credit Agreement shall have the meaning assigned to such term in the Credit Agreement. Each reference to “hereof,” “hereunder,” “herein,” and “hereby” and each other similar reference and each reference to “this Agreement” and each other similar reference contained in the Credit Agreement shall from and after the date hereof refer to the Credit Agreement as amended hereby.</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Amendments to Credit Agreement.</w:t>
      </w:r>
    </w:p>
    <w:p>
      <w:pPr>
        <w:spacing w:after="0" w:line="156" w:lineRule="exact"/>
        <w:rPr>
          <w:sz w:val="20"/>
          <w:szCs w:val="20"/>
          <w:color w:val="auto"/>
        </w:rPr>
      </w:pPr>
    </w:p>
    <w:p>
      <w:pPr>
        <w:ind w:left="1220" w:hanging="607"/>
        <w:spacing w:after="0"/>
        <w:tabs>
          <w:tab w:leader="none" w:pos="12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Section 1.1.</w:t>
      </w:r>
    </w:p>
    <w:p>
      <w:pPr>
        <w:spacing w:after="0" w:line="177" w:lineRule="exact"/>
        <w:rPr>
          <w:rFonts w:ascii="Times New Roman" w:cs="Times New Roman" w:eastAsia="Times New Roman" w:hAnsi="Times New Roman"/>
          <w:sz w:val="20"/>
          <w:szCs w:val="20"/>
          <w:color w:val="auto"/>
        </w:rPr>
      </w:pPr>
    </w:p>
    <w:p>
      <w:pPr>
        <w:ind w:left="620" w:firstLine="604"/>
        <w:spacing w:after="0" w:line="249" w:lineRule="auto"/>
        <w:tabs>
          <w:tab w:leader="none" w:pos="1831"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Credit Agreement is hereby amended by adding the following new defined term thereto in appropriate alphabetical order:</w:t>
      </w:r>
    </w:p>
    <w:p>
      <w:pPr>
        <w:spacing w:after="0" w:line="156" w:lineRule="exact"/>
        <w:rPr>
          <w:sz w:val="20"/>
          <w:szCs w:val="20"/>
          <w:color w:val="auto"/>
        </w:rPr>
      </w:pPr>
    </w:p>
    <w:p>
      <w:pPr>
        <w:jc w:val="both"/>
        <w:ind w:left="1220" w:right="600" w:firstLine="611"/>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Dollar Equivalent</w:t>
      </w:r>
      <w:r>
        <w:rPr>
          <w:rFonts w:ascii="Times New Roman" w:cs="Times New Roman" w:eastAsia="Times New Roman" w:hAnsi="Times New Roman"/>
          <w:sz w:val="17"/>
          <w:szCs w:val="17"/>
          <w:color w:val="auto"/>
        </w:rPr>
        <w:t>” means (a) as to any amount denominated in Dollars, the amount thereof and (b) as to any amount denominated in any currency other than Dollars, the amount of Dollars into which such amount could be converted using the sell rate of exchange for such currency set forth from time to time by the Administrative Agent (or if the Administrative Agent does not maintain an exchange rate for the applicable currency, any spot rate of exchange selected by the Administrative Agent in its reasonable discretion from time to time) on the date which is two (2) Business Days before the applicable date of determination.</w:t>
      </w:r>
    </w:p>
    <w:p>
      <w:pPr>
        <w:sectPr>
          <w:pgSz w:w="11900" w:h="16838" w:orient="portrait"/>
          <w:cols w:equalWidth="0" w:num="1">
            <w:col w:w="11240"/>
          </w:cols>
          <w:pgMar w:left="320" w:top="115" w:right="339" w:bottom="1440" w:gutter="0" w:footer="0" w:header="0"/>
        </w:sectPr>
      </w:pPr>
    </w:p>
    <w:bookmarkStart w:id="114" w:name="page115"/>
    <w:bookmarkEnd w:id="114"/>
    <w:p>
      <w:pPr>
        <w:ind w:left="620" w:firstLine="604"/>
        <w:spacing w:after="0" w:line="249" w:lineRule="auto"/>
        <w:tabs>
          <w:tab w:leader="none" w:pos="183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Credit Agreement is hereby amended by replacing the words “ending on” in clause (iv) of the definition of “Interest Period” with the words “ending on or before”.</w:t>
      </w:r>
    </w:p>
    <w:p>
      <w:pPr>
        <w:spacing w:after="0" w:line="129" w:lineRule="exact"/>
        <w:rPr>
          <w:rFonts w:ascii="Times New Roman" w:cs="Times New Roman" w:eastAsia="Times New Roman" w:hAnsi="Times New Roman"/>
          <w:sz w:val="20"/>
          <w:szCs w:val="20"/>
          <w:color w:val="auto"/>
        </w:rPr>
      </w:pPr>
    </w:p>
    <w:p>
      <w:pPr>
        <w:ind w:left="1220" w:hanging="607"/>
        <w:spacing w:after="0"/>
        <w:tabs>
          <w:tab w:leader="none" w:pos="12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of the Credit Agreement is hereby amended so that it reads, in its entirety, as</w:t>
      </w:r>
    </w:p>
    <w:p>
      <w:pPr>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 w:lineRule="exact"/>
        <w:rPr>
          <w:sz w:val="20"/>
          <w:szCs w:val="20"/>
          <w:color w:val="auto"/>
        </w:rPr>
      </w:pPr>
    </w:p>
    <w:p>
      <w:pPr>
        <w:jc w:val="both"/>
        <w:ind w:left="620" w:right="600" w:firstLine="611"/>
        <w:spacing w:after="0" w:line="251" w:lineRule="auto"/>
        <w:rPr>
          <w:sz w:val="20"/>
          <w:szCs w:val="20"/>
          <w:color w:val="auto"/>
        </w:rPr>
      </w:pPr>
      <w:r>
        <w:rPr>
          <w:rFonts w:ascii="Times New Roman" w:cs="Times New Roman" w:eastAsia="Times New Roman" w:hAnsi="Times New Roman"/>
          <w:sz w:val="17"/>
          <w:szCs w:val="17"/>
          <w:color w:val="auto"/>
        </w:rPr>
        <w:t xml:space="preserve">Section 1.8 </w:t>
      </w:r>
      <w:r>
        <w:rPr>
          <w:rFonts w:ascii="Times New Roman" w:cs="Times New Roman" w:eastAsia="Times New Roman" w:hAnsi="Times New Roman"/>
          <w:sz w:val="17"/>
          <w:szCs w:val="17"/>
          <w:u w:val="single" w:color="auto"/>
          <w:color w:val="auto"/>
        </w:rPr>
        <w:t>Letter of Credit Amounts</w:t>
      </w:r>
      <w:r>
        <w:rPr>
          <w:rFonts w:ascii="Times New Roman" w:cs="Times New Roman" w:eastAsia="Times New Roman" w:hAnsi="Times New Roman"/>
          <w:sz w:val="17"/>
          <w:szCs w:val="17"/>
          <w:color w:val="auto"/>
        </w:rPr>
        <w:t>. Unless otherwise specified herein, the amount of a Letter of Credit at any time shall be deemed to be the Dollar Equivalent of the amount of such Letter of Credit available to be drawn at such time; provided that with respect to any Letter of Credit that, by its terms, provides for one or more automatic increases in the available amount thereof, the amount of such Letter of Credit shall be deemed to be the Dollar Equivalent of the maximum amount of such Letter of Credit after giving effect to all such increases, whether or not such maximum amount is available to be drawn at such time. All payments, calculations and determinations hereunder (including, without limitation, with respect to participations and reimbursements by Lenders and reimbursements and cash collateralization by the Borrower) with respect to any Letter of Credit issued in a currency other than Dollars (other than with respect to the applicable Issuing Bank’s underlying obligation to make payments to the beneficiary of such Letter of Credit in such other currency) shall be made in Dollars and based on Dollar Equivalent amounts.</w:t>
      </w:r>
    </w:p>
    <w:p>
      <w:pPr>
        <w:spacing w:after="0" w:line="154" w:lineRule="exact"/>
        <w:rPr>
          <w:sz w:val="20"/>
          <w:szCs w:val="20"/>
          <w:color w:val="auto"/>
        </w:rPr>
      </w:pPr>
    </w:p>
    <w:p>
      <w:pPr>
        <w:ind w:left="1220" w:hanging="607"/>
        <w:spacing w:after="0"/>
        <w:tabs>
          <w:tab w:leader="none" w:pos="12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Article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I</w:t>
      </w:r>
      <w:r>
        <w:rPr>
          <w:rFonts w:ascii="Times New Roman" w:cs="Times New Roman" w:eastAsia="Times New Roman" w:hAnsi="Times New Roman"/>
          <w:sz w:val="20"/>
          <w:szCs w:val="20"/>
          <w:color w:val="auto"/>
        </w:rPr>
        <w:t xml:space="preserve"> of the Credit Agreement is hereby amended by adding the following new </w:t>
      </w:r>
      <w:r>
        <w:rPr>
          <w:rFonts w:ascii="Times New Roman" w:cs="Times New Roman" w:eastAsia="Times New Roman" w:hAnsi="Times New Roman"/>
          <w:sz w:val="20"/>
          <w:szCs w:val="20"/>
          <w:u w:val="single" w:color="auto"/>
          <w:color w:val="auto"/>
        </w:rPr>
        <w:t>Section 1.10</w:t>
      </w:r>
    </w:p>
    <w:p>
      <w:pPr>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thereto:</w:t>
      </w:r>
    </w:p>
    <w:p>
      <w:pPr>
        <w:spacing w:after="0" w:line="1" w:lineRule="exact"/>
        <w:rPr>
          <w:sz w:val="20"/>
          <w:szCs w:val="20"/>
          <w:color w:val="auto"/>
        </w:rPr>
      </w:pPr>
    </w:p>
    <w:p>
      <w:pPr>
        <w:jc w:val="both"/>
        <w:ind w:left="620" w:right="600" w:firstLine="611"/>
        <w:spacing w:after="0" w:line="252" w:lineRule="auto"/>
        <w:rPr>
          <w:sz w:val="20"/>
          <w:szCs w:val="20"/>
          <w:color w:val="auto"/>
        </w:rPr>
      </w:pPr>
      <w:r>
        <w:rPr>
          <w:rFonts w:ascii="Times New Roman" w:cs="Times New Roman" w:eastAsia="Times New Roman" w:hAnsi="Times New Roman"/>
          <w:sz w:val="17"/>
          <w:szCs w:val="17"/>
          <w:color w:val="auto"/>
        </w:rPr>
        <w:t xml:space="preserve">Section 1.10 </w:t>
      </w:r>
      <w:r>
        <w:rPr>
          <w:rFonts w:ascii="Times New Roman" w:cs="Times New Roman" w:eastAsia="Times New Roman" w:hAnsi="Times New Roman"/>
          <w:sz w:val="17"/>
          <w:szCs w:val="17"/>
          <w:u w:val="single" w:color="auto"/>
          <w:color w:val="auto"/>
        </w:rPr>
        <w:t>Currency Translations</w:t>
      </w:r>
      <w:r>
        <w:rPr>
          <w:rFonts w:ascii="Times New Roman" w:cs="Times New Roman" w:eastAsia="Times New Roman" w:hAnsi="Times New Roman"/>
          <w:sz w:val="17"/>
          <w:szCs w:val="17"/>
          <w:color w:val="auto"/>
        </w:rPr>
        <w:t>. Without limiting the other terms of this Agreement, the calculations and determinations under this Agreement of any amount in any currency other than Dollars shall at all times be deemed to refer to the Dollar Equivalent thereof, as the case may be, and all certificates delivered under this Agreement shall, unless otherwise consented to by the Administrative Agent, express such calculations or determinations in Dollars or the Dollar Equivalent thereof, as the case may be.</w:t>
      </w:r>
    </w:p>
    <w:p>
      <w:pPr>
        <w:spacing w:after="0" w:line="158" w:lineRule="exact"/>
        <w:rPr>
          <w:sz w:val="20"/>
          <w:szCs w:val="20"/>
          <w:color w:val="auto"/>
        </w:rPr>
      </w:pPr>
    </w:p>
    <w:p>
      <w:pPr>
        <w:ind w:firstLine="613"/>
        <w:spacing w:after="0" w:line="224" w:lineRule="auto"/>
        <w:tabs>
          <w:tab w:leader="none" w:pos="12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xml:space="preserve"> of the Credit Agreement is hereby amended by replacing the word “day” therein with the words “Business Day”.</w:t>
      </w:r>
    </w:p>
    <w:p>
      <w:pPr>
        <w:ind w:left="1220" w:hanging="607"/>
        <w:spacing w:after="0"/>
        <w:tabs>
          <w:tab w:leader="none" w:pos="12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Section 2.22.</w:t>
      </w:r>
    </w:p>
    <w:p>
      <w:pPr>
        <w:spacing w:after="0" w:line="155" w:lineRule="exact"/>
        <w:rPr>
          <w:rFonts w:ascii="Times New Roman" w:cs="Times New Roman" w:eastAsia="Times New Roman" w:hAnsi="Times New Roman"/>
          <w:sz w:val="20"/>
          <w:szCs w:val="20"/>
          <w:color w:val="auto"/>
        </w:rPr>
      </w:pPr>
    </w:p>
    <w:p>
      <w:pPr>
        <w:jc w:val="both"/>
        <w:ind w:left="620" w:firstLine="604"/>
        <w:spacing w:after="0" w:line="220" w:lineRule="auto"/>
        <w:tabs>
          <w:tab w:leader="none" w:pos="1831"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2.22(a)(i)</w:t>
      </w:r>
      <w:r>
        <w:rPr>
          <w:rFonts w:ascii="Times New Roman" w:cs="Times New Roman" w:eastAsia="Times New Roman" w:hAnsi="Times New Roman"/>
          <w:sz w:val="20"/>
          <w:szCs w:val="20"/>
          <w:color w:val="auto"/>
        </w:rPr>
        <w:t xml:space="preserve"> of the Credit Agreement is hereby amended by replacing the words “each Letter of Credit shall be in a stated amount of at least $100,000” therein with the words “each Letter of Credit shall be (A) denominated in Dollars or such other currency as shall be acceptable to the Administrative Agent and the applicable Issuing Bank in their sole discretion and</w:t>
      </w: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in a stated amount of at least $10,000 (or the Dollar Equivalent thereof)”.</w:t>
      </w:r>
    </w:p>
    <w:p>
      <w:pPr>
        <w:spacing w:after="0" w:line="155" w:lineRule="exact"/>
        <w:rPr>
          <w:rFonts w:ascii="Times New Roman" w:cs="Times New Roman" w:eastAsia="Times New Roman" w:hAnsi="Times New Roman"/>
          <w:sz w:val="20"/>
          <w:szCs w:val="20"/>
          <w:color w:val="auto"/>
        </w:rPr>
      </w:pPr>
    </w:p>
    <w:p>
      <w:pPr>
        <w:ind w:left="620" w:firstLine="604"/>
        <w:spacing w:after="0" w:line="249" w:lineRule="auto"/>
        <w:tabs>
          <w:tab w:leader="none" w:pos="183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2.22(a)(ii)</w:t>
      </w:r>
      <w:r>
        <w:rPr>
          <w:rFonts w:ascii="Times New Roman" w:cs="Times New Roman" w:eastAsia="Times New Roman" w:hAnsi="Times New Roman"/>
          <w:sz w:val="20"/>
          <w:szCs w:val="20"/>
          <w:color w:val="auto"/>
        </w:rPr>
        <w:t xml:space="preserve"> of the Credit Agreement is hereby amended by replacing the words “aggregate amount” therein with the words “aggregate Dollar Equivalent amount”.</w:t>
      </w:r>
    </w:p>
    <w:p>
      <w:pPr>
        <w:spacing w:after="0" w:line="134" w:lineRule="exact"/>
        <w:rPr>
          <w:rFonts w:ascii="Times New Roman" w:cs="Times New Roman" w:eastAsia="Times New Roman" w:hAnsi="Times New Roman"/>
          <w:sz w:val="20"/>
          <w:szCs w:val="20"/>
          <w:color w:val="auto"/>
        </w:rPr>
      </w:pPr>
    </w:p>
    <w:p>
      <w:pPr>
        <w:jc w:val="both"/>
        <w:ind w:left="620" w:firstLine="604"/>
        <w:spacing w:after="0" w:line="234" w:lineRule="auto"/>
        <w:tabs>
          <w:tab w:leader="none" w:pos="184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2.22(b)</w:t>
      </w:r>
      <w:r>
        <w:rPr>
          <w:rFonts w:ascii="Times New Roman" w:cs="Times New Roman" w:eastAsia="Times New Roman" w:hAnsi="Times New Roman"/>
          <w:sz w:val="20"/>
          <w:szCs w:val="20"/>
          <w:color w:val="auto"/>
        </w:rPr>
        <w:t xml:space="preserve"> of the Credit Agreement is hereby amended by inserting the words “the requested currency of such Letter of Credit for any request that a Letter of Credit be issued in a currency other than Dollars,” immediately after the words “the amount of such Letter of Credit,” therein.</w:t>
      </w:r>
    </w:p>
    <w:p>
      <w:pPr>
        <w:spacing w:after="0" w:line="138" w:lineRule="exact"/>
        <w:rPr>
          <w:rFonts w:ascii="Times New Roman" w:cs="Times New Roman" w:eastAsia="Times New Roman" w:hAnsi="Times New Roman"/>
          <w:sz w:val="20"/>
          <w:szCs w:val="20"/>
          <w:color w:val="auto"/>
        </w:rPr>
      </w:pPr>
    </w:p>
    <w:p>
      <w:pPr>
        <w:ind w:left="1820" w:hanging="596"/>
        <w:spacing w:after="0"/>
        <w:tabs>
          <w:tab w:leader="none" w:pos="182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fourth sentence of </w:t>
      </w:r>
      <w:r>
        <w:rPr>
          <w:rFonts w:ascii="Times New Roman" w:cs="Times New Roman" w:eastAsia="Times New Roman" w:hAnsi="Times New Roman"/>
          <w:sz w:val="20"/>
          <w:szCs w:val="20"/>
          <w:u w:val="single" w:color="auto"/>
          <w:color w:val="auto"/>
        </w:rPr>
        <w:t>Section 2.22(d)</w:t>
      </w:r>
      <w:r>
        <w:rPr>
          <w:rFonts w:ascii="Times New Roman" w:cs="Times New Roman" w:eastAsia="Times New Roman" w:hAnsi="Times New Roman"/>
          <w:sz w:val="20"/>
          <w:szCs w:val="20"/>
          <w:color w:val="auto"/>
        </w:rPr>
        <w:t xml:space="preserve"> of the Credit Agreement is hereby amended so that it reads, in its entirety,</w:t>
      </w: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follows:</w:t>
      </w:r>
    </w:p>
    <w:p>
      <w:pPr>
        <w:spacing w:after="0" w:line="177" w:lineRule="exact"/>
        <w:rPr>
          <w:sz w:val="20"/>
          <w:szCs w:val="20"/>
          <w:color w:val="auto"/>
        </w:rPr>
      </w:pPr>
    </w:p>
    <w:p>
      <w:pPr>
        <w:ind w:left="1220" w:right="620" w:firstLine="611"/>
        <w:spacing w:after="0" w:line="279" w:lineRule="auto"/>
        <w:rPr>
          <w:sz w:val="20"/>
          <w:szCs w:val="20"/>
          <w:color w:val="auto"/>
        </w:rPr>
      </w:pPr>
      <w:r>
        <w:rPr>
          <w:rFonts w:ascii="Times New Roman" w:cs="Times New Roman" w:eastAsia="Times New Roman" w:hAnsi="Times New Roman"/>
          <w:sz w:val="17"/>
          <w:szCs w:val="17"/>
          <w:color w:val="auto"/>
        </w:rPr>
        <w:t>Unless the Borrower shall have notified the applicable Issuing Bank and the Administrative Agent prior to 11:00 a.m. on the Business Day immediately prior to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24" w:right="339" w:bottom="1440" w:gutter="0" w:footer="0" w:header="0"/>
        </w:sectPr>
      </w:pPr>
    </w:p>
    <w:bookmarkStart w:id="115" w:name="page116"/>
    <w:bookmarkEnd w:id="115"/>
    <w:p>
      <w:pPr>
        <w:jc w:val="both"/>
        <w:ind w:left="1220" w:right="600"/>
        <w:spacing w:after="0" w:line="257" w:lineRule="auto"/>
        <w:rPr>
          <w:sz w:val="20"/>
          <w:szCs w:val="20"/>
          <w:color w:val="auto"/>
        </w:rPr>
      </w:pPr>
      <w:r>
        <w:rPr>
          <w:rFonts w:ascii="Times New Roman" w:cs="Times New Roman" w:eastAsia="Times New Roman" w:hAnsi="Times New Roman"/>
          <w:sz w:val="17"/>
          <w:szCs w:val="17"/>
          <w:color w:val="auto"/>
        </w:rPr>
        <w:t xml:space="preserve">date on which such drawing is honored that the Borrower intends to reimburse such Issuing Bank (in Dollars) for the Dollar Equivalent amount of such drawing in funds other than from the proceeds of Revolving Loans, the Borrower shall be deemed to have timely given a Notice of Revolving Borrowing to the Administrative Agent requesting the Lenders to make a Base Rate Borrowing (in Dollars) on the date on which such drawing is honored in an exact amount equal to the Dollar Equivalent amount due to such Issuing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solely of such Borrowing, the conditions precedent set forth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shall not be applicable.</w:t>
      </w:r>
    </w:p>
    <w:p>
      <w:pPr>
        <w:spacing w:after="0" w:line="379" w:lineRule="exact"/>
        <w:rPr>
          <w:sz w:val="20"/>
          <w:szCs w:val="20"/>
          <w:color w:val="auto"/>
        </w:rPr>
      </w:pPr>
    </w:p>
    <w:p>
      <w:pPr>
        <w:ind w:left="1840" w:hanging="616"/>
        <w:spacing w:after="0"/>
        <w:tabs>
          <w:tab w:leader="none" w:pos="18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first sentence of </w:t>
      </w:r>
      <w:r>
        <w:rPr>
          <w:rFonts w:ascii="Times New Roman" w:cs="Times New Roman" w:eastAsia="Times New Roman" w:hAnsi="Times New Roman"/>
          <w:sz w:val="20"/>
          <w:szCs w:val="20"/>
          <w:u w:val="single" w:color="auto"/>
          <w:color w:val="auto"/>
        </w:rPr>
        <w:t>Section 2.22(e)</w:t>
      </w:r>
      <w:r>
        <w:rPr>
          <w:rFonts w:ascii="Times New Roman" w:cs="Times New Roman" w:eastAsia="Times New Roman" w:hAnsi="Times New Roman"/>
          <w:sz w:val="20"/>
          <w:szCs w:val="20"/>
          <w:color w:val="auto"/>
        </w:rPr>
        <w:t xml:space="preserve"> of the Credit Agreement is hereby amended so that it reads, in its entirety, as</w:t>
      </w: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77" w:lineRule="exact"/>
        <w:rPr>
          <w:sz w:val="20"/>
          <w:szCs w:val="20"/>
          <w:color w:val="auto"/>
        </w:rPr>
      </w:pPr>
    </w:p>
    <w:p>
      <w:pPr>
        <w:jc w:val="both"/>
        <w:ind w:left="1220" w:right="600" w:firstLine="611"/>
        <w:spacing w:after="0" w:line="259" w:lineRule="auto"/>
        <w:rPr>
          <w:sz w:val="20"/>
          <w:szCs w:val="20"/>
          <w:color w:val="auto"/>
        </w:rPr>
      </w:pPr>
      <w:r>
        <w:rPr>
          <w:rFonts w:ascii="Times New Roman" w:cs="Times New Roman" w:eastAsia="Times New Roman" w:hAnsi="Times New Roman"/>
          <w:sz w:val="17"/>
          <w:szCs w:val="17"/>
          <w:color w:val="auto"/>
        </w:rPr>
        <w:t>If for any reason a Base Rate Borrowing may not be (as determined in the sole discretion of the Administrative Agent), or is not, made in accordance with the foregoing provisions, then each Lender (other than the applicable Issuing Bank) shall be obligated to fund (in Dollars) the participation that such Lender purchased pursuant to paragraph of this Section in an amount equal to its Pro Rata Share of the Dollar Equivalent of such LC Disbursement on and as of the date which such Base Rate Borrowing should have occurred.</w:t>
      </w:r>
    </w:p>
    <w:p>
      <w:pPr>
        <w:spacing w:after="0" w:line="149" w:lineRule="exact"/>
        <w:rPr>
          <w:sz w:val="20"/>
          <w:szCs w:val="20"/>
          <w:color w:val="auto"/>
        </w:rPr>
      </w:pPr>
    </w:p>
    <w:p>
      <w:pPr>
        <w:ind w:left="1820" w:hanging="596"/>
        <w:spacing w:after="0"/>
        <w:tabs>
          <w:tab w:leader="none" w:pos="18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last sentence of </w:t>
      </w:r>
      <w:r>
        <w:rPr>
          <w:rFonts w:ascii="Times New Roman" w:cs="Times New Roman" w:eastAsia="Times New Roman" w:hAnsi="Times New Roman"/>
          <w:sz w:val="20"/>
          <w:szCs w:val="20"/>
          <w:u w:val="single" w:color="auto"/>
          <w:color w:val="auto"/>
        </w:rPr>
        <w:t>Section 2.22(e)</w:t>
      </w:r>
      <w:r>
        <w:rPr>
          <w:rFonts w:ascii="Times New Roman" w:cs="Times New Roman" w:eastAsia="Times New Roman" w:hAnsi="Times New Roman"/>
          <w:sz w:val="20"/>
          <w:szCs w:val="20"/>
          <w:color w:val="auto"/>
        </w:rPr>
        <w:t xml:space="preserve"> of the Credit Agreement is hereby amended so that it reads, in its entirety, as</w:t>
      </w: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77" w:lineRule="exact"/>
        <w:rPr>
          <w:sz w:val="20"/>
          <w:szCs w:val="20"/>
          <w:color w:val="auto"/>
        </w:rPr>
      </w:pPr>
    </w:p>
    <w:p>
      <w:pPr>
        <w:jc w:val="both"/>
        <w:ind w:left="1220" w:right="600" w:firstLine="611"/>
        <w:spacing w:after="0" w:line="255" w:lineRule="auto"/>
        <w:rPr>
          <w:sz w:val="20"/>
          <w:szCs w:val="20"/>
          <w:color w:val="auto"/>
        </w:rPr>
      </w:pPr>
      <w:r>
        <w:rPr>
          <w:rFonts w:ascii="Times New Roman" w:cs="Times New Roman" w:eastAsia="Times New Roman" w:hAnsi="Times New Roman"/>
          <w:sz w:val="17"/>
          <w:szCs w:val="17"/>
          <w:color w:val="auto"/>
        </w:rPr>
        <w:t xml:space="preserve">Whenever, at any time after an Issuing Bank has received from any such Lender the funds for its participation in a LC Disbursement, such Issuing Bank (or the Administrative Agent on its behalf) receives any payment on account thereof, the Administrative Agent or such Issuing Bank, as the case may be, will distribute to such Lender (in Dollars) its Pro Rata Share of the Dollar Equivalent of such payment;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payment is required to be returned for any reason to the Borrower or to a trustee, receiver, liquidator, custodian or similar official in any bankruptcy proceeding, such Lender will return to the Administrative Agent or the applicable Issuing Bank any portion thereof previously distributed by the Administrative Agent or such Issuing Bank to it.</w:t>
      </w:r>
    </w:p>
    <w:p>
      <w:pPr>
        <w:spacing w:after="0" w:line="383" w:lineRule="exact"/>
        <w:rPr>
          <w:sz w:val="20"/>
          <w:szCs w:val="20"/>
          <w:color w:val="auto"/>
        </w:rPr>
      </w:pPr>
    </w:p>
    <w:p>
      <w:pPr>
        <w:ind w:left="1220" w:hanging="607"/>
        <w:spacing w:after="0"/>
        <w:tabs>
          <w:tab w:leader="none" w:pos="12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5.1(f)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5.1(f)</w:t>
      </w:r>
      <w:r>
        <w:rPr>
          <w:rFonts w:ascii="Times New Roman" w:cs="Times New Roman" w:eastAsia="Times New Roman" w:hAnsi="Times New Roman"/>
          <w:sz w:val="20"/>
          <w:szCs w:val="20"/>
          <w:color w:val="auto"/>
        </w:rPr>
        <w:t xml:space="preserve"> of the Credit Agreement is hereby amended so that it reads, in its entirety,</w:t>
      </w:r>
    </w:p>
    <w:p>
      <w:pPr>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follows:</w:t>
      </w:r>
    </w:p>
    <w:p>
      <w:pPr>
        <w:spacing w:after="0" w:line="1" w:lineRule="exact"/>
        <w:rPr>
          <w:sz w:val="20"/>
          <w:szCs w:val="20"/>
          <w:color w:val="auto"/>
        </w:rPr>
      </w:pPr>
    </w:p>
    <w:p>
      <w:pPr>
        <w:ind w:left="1220" w:right="600"/>
        <w:spacing w:after="0" w:line="257" w:lineRule="auto"/>
        <w:rPr>
          <w:sz w:val="20"/>
          <w:szCs w:val="20"/>
          <w:color w:val="auto"/>
        </w:rPr>
      </w:pPr>
      <w:r>
        <w:rPr>
          <w:rFonts w:ascii="Times New Roman" w:cs="Times New Roman" w:eastAsia="Times New Roman" w:hAnsi="Times New Roman"/>
          <w:sz w:val="17"/>
          <w:szCs w:val="17"/>
          <w:color w:val="auto"/>
        </w:rPr>
        <w:t>as soon as available and in any event within 60 days after the end of the calendar year, forecasts and a pro forma budget for the succeeding Fiscal Year, containing an income statement, balance sheet and statement of cash flow;</w:t>
      </w:r>
    </w:p>
    <w:p>
      <w:pPr>
        <w:spacing w:after="0" w:line="149" w:lineRule="exact"/>
        <w:rPr>
          <w:sz w:val="20"/>
          <w:szCs w:val="20"/>
          <w:color w:val="auto"/>
        </w:rPr>
      </w:pPr>
    </w:p>
    <w:p>
      <w:pPr>
        <w:ind w:left="1220" w:hanging="607"/>
        <w:spacing w:after="0"/>
        <w:tabs>
          <w:tab w:leader="none" w:pos="12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Article 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of the Credit Agreement is hereby amended by adding the following new </w:t>
      </w:r>
      <w:r>
        <w:rPr>
          <w:rFonts w:ascii="Times New Roman" w:cs="Times New Roman" w:eastAsia="Times New Roman" w:hAnsi="Times New Roman"/>
          <w:sz w:val="20"/>
          <w:szCs w:val="20"/>
          <w:u w:val="single" w:color="auto"/>
          <w:color w:val="auto"/>
        </w:rPr>
        <w:t>Section</w:t>
      </w:r>
    </w:p>
    <w:p>
      <w:pPr>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10.21</w:t>
      </w:r>
      <w:r>
        <w:rPr>
          <w:rFonts w:ascii="Times New Roman" w:cs="Times New Roman" w:eastAsia="Times New Roman" w:hAnsi="Times New Roman"/>
          <w:sz w:val="20"/>
          <w:szCs w:val="20"/>
          <w:color w:val="auto"/>
        </w:rPr>
        <w:t xml:space="preserve"> thereto:</w:t>
      </w:r>
    </w:p>
    <w:p>
      <w:pPr>
        <w:spacing w:after="0" w:line="1" w:lineRule="exact"/>
        <w:rPr>
          <w:sz w:val="20"/>
          <w:szCs w:val="20"/>
          <w:color w:val="auto"/>
        </w:rPr>
      </w:pPr>
    </w:p>
    <w:p>
      <w:pPr>
        <w:jc w:val="both"/>
        <w:ind w:left="620" w:right="600" w:firstLine="611"/>
        <w:spacing w:after="0" w:line="251" w:lineRule="auto"/>
        <w:rPr>
          <w:sz w:val="20"/>
          <w:szCs w:val="20"/>
          <w:color w:val="auto"/>
        </w:rPr>
      </w:pPr>
      <w:r>
        <w:rPr>
          <w:rFonts w:ascii="Times New Roman" w:cs="Times New Roman" w:eastAsia="Times New Roman" w:hAnsi="Times New Roman"/>
          <w:sz w:val="17"/>
          <w:szCs w:val="17"/>
          <w:color w:val="auto"/>
        </w:rPr>
        <w:t xml:space="preserve">Section 10.21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If for the purposes of obtaining judgment in any court it is necessary to convert a sum due from any Loan Party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office on the Business Day preceding that on which final, non-appealable judgment is given. The obligations of each Loan Party in respect of any sum due to any Lender or the Administrative Agent hereunder shall, notwithstanding any judgment in a currency other than the specified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45" w:right="339" w:bottom="1440" w:gutter="0" w:footer="0" w:header="0"/>
        </w:sectPr>
      </w:pPr>
    </w:p>
    <w:bookmarkStart w:id="116" w:name="page117"/>
    <w:bookmarkEnd w:id="116"/>
    <w:p>
      <w:pPr>
        <w:jc w:val="both"/>
        <w:ind w:left="620" w:right="600"/>
        <w:spacing w:after="0" w:line="253" w:lineRule="auto"/>
        <w:rPr>
          <w:sz w:val="20"/>
          <w:szCs w:val="20"/>
          <w:color w:val="auto"/>
        </w:rPr>
      </w:pPr>
      <w:r>
        <w:rPr>
          <w:rFonts w:ascii="Times New Roman" w:cs="Times New Roman" w:eastAsia="Times New Roman" w:hAnsi="Times New Roman"/>
          <w:sz w:val="17"/>
          <w:szCs w:val="17"/>
          <w:color w:val="auto"/>
        </w:rPr>
        <w:t xml:space="preserve">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Loan Party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w:t>
      </w:r>
      <w:r>
        <w:rPr>
          <w:rFonts w:ascii="Times New Roman" w:cs="Times New Roman" w:eastAsia="Times New Roman" w:hAnsi="Times New Roman"/>
          <w:sz w:val="17"/>
          <w:szCs w:val="17"/>
          <w:u w:val="single" w:color="auto"/>
          <w:color w:val="auto"/>
        </w:rPr>
        <w:t>Section 2.21(c)</w:t>
      </w:r>
      <w:r>
        <w:rPr>
          <w:rFonts w:ascii="Times New Roman" w:cs="Times New Roman" w:eastAsia="Times New Roman" w:hAnsi="Times New Roman"/>
          <w:sz w:val="17"/>
          <w:szCs w:val="17"/>
          <w:color w:val="auto"/>
        </w:rPr>
        <w:t>, such Lender or the Administrative Agent, as the case may be, agrees to remit such excess to such Loan Party.</w:t>
      </w:r>
    </w:p>
    <w:p>
      <w:pPr>
        <w:spacing w:after="0" w:line="161" w:lineRule="exact"/>
        <w:rPr>
          <w:sz w:val="20"/>
          <w:szCs w:val="20"/>
          <w:color w:val="auto"/>
        </w:rPr>
      </w:pPr>
    </w:p>
    <w:p>
      <w:pPr>
        <w:ind w:firstLine="611"/>
        <w:spacing w:after="0" w:line="224"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Agreement shall become effective only upon satisfaction or waiver of the following conditions precedent except as otherwise agreed between the Borrower and the Administrative Agent:</w:t>
      </w:r>
    </w:p>
    <w:p>
      <w:pPr>
        <w:ind w:firstLine="613"/>
        <w:spacing w:after="0" w:line="233" w:lineRule="auto"/>
        <w:tabs>
          <w:tab w:leader="none" w:pos="121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this Agreement duly executed by each of (i) the Loan Parties, (ii) the Required Lenders, (iii) the Issuing Banks, and (iv) the Administrative Agent; and</w:t>
      </w:r>
    </w:p>
    <w:p>
      <w:pPr>
        <w:spacing w:after="0" w:line="142" w:lineRule="exact"/>
        <w:rPr>
          <w:rFonts w:ascii="Times New Roman" w:cs="Times New Roman" w:eastAsia="Times New Roman" w:hAnsi="Times New Roman"/>
          <w:sz w:val="20"/>
          <w:szCs w:val="20"/>
          <w:color w:val="auto"/>
        </w:rPr>
      </w:pPr>
    </w:p>
    <w:p>
      <w:pPr>
        <w:jc w:val="both"/>
        <w:ind w:firstLine="613"/>
        <w:spacing w:after="0" w:line="234" w:lineRule="auto"/>
        <w:tabs>
          <w:tab w:leader="none" w:pos="12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all reasonable, out-of-pocket costs and expenses of the Administrative Agent due and payable on or prior to the date hereof, including, without limitation, reasonable fees, charges and disbursements of counsel for the Administrative Agent, required to be reimbursed or paid by the Borrower hereunder or under any other Loan Document.</w:t>
      </w:r>
    </w:p>
    <w:p>
      <w:pPr>
        <w:spacing w:after="0" w:line="142" w:lineRule="exact"/>
        <w:rPr>
          <w:sz w:val="20"/>
          <w:szCs w:val="20"/>
          <w:color w:val="auto"/>
        </w:rPr>
      </w:pP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Limited Waiver</w:t>
      </w:r>
      <w:r>
        <w:rPr>
          <w:rFonts w:ascii="Times New Roman" w:cs="Times New Roman" w:eastAsia="Times New Roman" w:hAnsi="Times New Roman"/>
          <w:sz w:val="20"/>
          <w:szCs w:val="20"/>
          <w:color w:val="auto"/>
        </w:rPr>
        <w:t>. The Borrower acknowledges that (i) an Event of Default has occurred as a result of the Borrower’s failure to timely deliver the forecasts and pro forma budget for the Fiscal Year commenced January 1, 2023 as required pursuant to Section 5.1(f) of the Credit Agreement (the “</w:t>
      </w:r>
      <w:r>
        <w:rPr>
          <w:rFonts w:ascii="Times New Roman" w:cs="Times New Roman" w:eastAsia="Times New Roman" w:hAnsi="Times New Roman"/>
          <w:sz w:val="20"/>
          <w:szCs w:val="20"/>
          <w:u w:val="single" w:color="auto"/>
          <w:color w:val="auto"/>
        </w:rPr>
        <w:t>Budget Event of Default</w:t>
      </w:r>
      <w:r>
        <w:rPr>
          <w:rFonts w:ascii="Times New Roman" w:cs="Times New Roman" w:eastAsia="Times New Roman" w:hAnsi="Times New Roman"/>
          <w:sz w:val="20"/>
          <w:szCs w:val="20"/>
          <w:color w:val="auto"/>
        </w:rPr>
        <w:t>”) and (ii) certain other Events of Default may have occurred under the Credit Agreement solely as a result of the Budget Event of Default (including with respect to any representation and warranty given or deemed given as if such Budget Event of Default were not in existence or any notice requirement relating to such Budget Event of Default) (collectively, and together with the Budget Event of Default, the “</w:t>
      </w:r>
      <w:r>
        <w:rPr>
          <w:rFonts w:ascii="Times New Roman" w:cs="Times New Roman" w:eastAsia="Times New Roman" w:hAnsi="Times New Roman"/>
          <w:sz w:val="20"/>
          <w:szCs w:val="20"/>
          <w:u w:val="single" w:color="auto"/>
          <w:color w:val="auto"/>
        </w:rPr>
        <w:t>Specified Events of Default</w:t>
      </w:r>
      <w:r>
        <w:rPr>
          <w:rFonts w:ascii="Times New Roman" w:cs="Times New Roman" w:eastAsia="Times New Roman" w:hAnsi="Times New Roman"/>
          <w:sz w:val="20"/>
          <w:szCs w:val="20"/>
          <w:color w:val="auto"/>
        </w:rPr>
        <w:t>”). Subject to, and in accordance with, the terms and conditions set forth herein, the Lenders hereby waive the Specified Events of Default.</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Miscellaneous Terms.</w:t>
      </w:r>
    </w:p>
    <w:p>
      <w:pPr>
        <w:spacing w:after="0" w:line="156" w:lineRule="exact"/>
        <w:rPr>
          <w:sz w:val="20"/>
          <w:szCs w:val="20"/>
          <w:color w:val="auto"/>
        </w:rPr>
      </w:pPr>
    </w:p>
    <w:p>
      <w:pPr>
        <w:ind w:firstLine="613"/>
        <w:spacing w:after="0" w:line="224" w:lineRule="auto"/>
        <w:tabs>
          <w:tab w:leader="none" w:pos="121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For avoidance of doubt, the Loan Parties, the Lenders party hereto, the Issuing Banks party hereto and the Administrative Agent each hereby acknowledges and agrees that this Agreement is a Loan Document.</w:t>
      </w:r>
    </w:p>
    <w:p>
      <w:pPr>
        <w:jc w:val="both"/>
        <w:ind w:firstLine="613"/>
        <w:spacing w:after="0" w:line="212" w:lineRule="auto"/>
        <w:tabs>
          <w:tab w:leader="none" w:pos="12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Agreement</w:t>
      </w:r>
      <w:r>
        <w:rPr>
          <w:rFonts w:ascii="Times New Roman" w:cs="Times New Roman" w:eastAsia="Times New Roman" w:hAnsi="Times New Roman"/>
          <w:sz w:val="20"/>
          <w:szCs w:val="20"/>
          <w:color w:val="auto"/>
        </w:rPr>
        <w:t>. Except as set forth expressly hereinabove, all terms of the Credit Agreement and the other Loan Documents shall be and remain in full force and effect, and shall constitute the legal, valid, binding, and enforceable obligations of the Loan Parties.</w:t>
      </w:r>
    </w:p>
    <w:p>
      <w:pPr>
        <w:spacing w:after="0" w:line="1" w:lineRule="exact"/>
        <w:rPr>
          <w:rFonts w:ascii="Times New Roman" w:cs="Times New Roman" w:eastAsia="Times New Roman" w:hAnsi="Times New Roman"/>
          <w:sz w:val="20"/>
          <w:szCs w:val="20"/>
          <w:color w:val="auto"/>
        </w:rPr>
      </w:pPr>
    </w:p>
    <w:p>
      <w:pPr>
        <w:jc w:val="both"/>
        <w:ind w:firstLine="613"/>
        <w:spacing w:after="0" w:line="218" w:lineRule="auto"/>
        <w:tabs>
          <w:tab w:leader="none" w:pos="121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Novation or Mutual Departure</w:t>
      </w:r>
      <w:r>
        <w:rPr>
          <w:rFonts w:ascii="Times New Roman" w:cs="Times New Roman" w:eastAsia="Times New Roman" w:hAnsi="Times New Roman"/>
          <w:sz w:val="20"/>
          <w:szCs w:val="20"/>
          <w:color w:val="auto"/>
        </w:rPr>
        <w:t xml:space="preserve">. The Loan Parties expressly acknowledge and agree that (i) there has not been, and this Agreement does not constitute or establish, a novation with respect to the Credit Agreement or any of the other Loan Documents, or a mutual departure from the strict terms, provisions, and conditions thereof, other than with respect to the amendments and limited waiver contained in </w:t>
      </w:r>
      <w:r>
        <w:rPr>
          <w:rFonts w:ascii="Times New Roman" w:cs="Times New Roman" w:eastAsia="Times New Roman" w:hAnsi="Times New Roman"/>
          <w:sz w:val="20"/>
          <w:szCs w:val="20"/>
          <w:u w:val="single" w:color="auto"/>
          <w:color w:val="auto"/>
        </w:rPr>
        <w:t>Sections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above, (ii) nothing in this Agreement shall affect or limit the Administrative Agent’s or any Lender’s or Issuing Bank’s right to demand payment of liabilities owing from the Borrower or any other Loan Party to the Administrative Agent or the Lenders or Issuing Banks under, or to demand strict performance of the terms, provisions, and conditions of, the Credit Agreement and the other Loan Documents, to exercise any and all rights, powers, and remedies under the Credit Agreement or the other Loan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45" w:right="339" w:bottom="1440" w:gutter="0" w:footer="0" w:header="0"/>
        </w:sectPr>
      </w:pPr>
    </w:p>
    <w:bookmarkStart w:id="117" w:name="page118"/>
    <w:bookmarkEnd w:id="117"/>
    <w:p>
      <w:pPr>
        <w:jc w:val="both"/>
        <w:spacing w:after="0" w:line="215" w:lineRule="auto"/>
        <w:rPr>
          <w:sz w:val="20"/>
          <w:szCs w:val="20"/>
          <w:color w:val="auto"/>
        </w:rPr>
      </w:pPr>
      <w:r>
        <w:rPr>
          <w:rFonts w:ascii="Times New Roman" w:cs="Times New Roman" w:eastAsia="Times New Roman" w:hAnsi="Times New Roman"/>
          <w:sz w:val="20"/>
          <w:szCs w:val="20"/>
          <w:color w:val="auto"/>
        </w:rPr>
        <w:t xml:space="preserve">Documents or at law or in equity, or to do any and all of the foregoing, immediately at any time after the occurrence of an Event of Default under the Credit Agreement or the other Loan Documents (provided that it is acknowledged and agreed (x) by the Borrower, as further set forth in </w:t>
      </w:r>
      <w:r>
        <w:rPr>
          <w:rFonts w:ascii="Times New Roman" w:cs="Times New Roman" w:eastAsia="Times New Roman" w:hAnsi="Times New Roman"/>
          <w:sz w:val="20"/>
          <w:szCs w:val="20"/>
          <w:u w:val="single" w:color="auto"/>
          <w:color w:val="auto"/>
        </w:rPr>
        <w:t>Section 5(e)</w:t>
      </w:r>
      <w:r>
        <w:rPr>
          <w:rFonts w:ascii="Times New Roman" w:cs="Times New Roman" w:eastAsia="Times New Roman" w:hAnsi="Times New Roman"/>
          <w:sz w:val="20"/>
          <w:szCs w:val="20"/>
          <w:color w:val="auto"/>
        </w:rPr>
        <w:t xml:space="preserve"> below, that as of the date hereof, and after giving effect to the terms hereof, there exists no Default or Event of Default and (y) by the Administrative Agent that as of the date hereof, it has not received written notice from the Borrower stating that a Default or Event of Default has occurred and is continuing (other than the Specified Events of Default)), and (iii) the limited waiver granted in Section 4 above applies to the Specified Events of Default but shall not apply to any other past, present, or future noncompliance with any provision of the Credit Agreement or any of the other Loan Documents and does not constitute any course of dealing between the Administrative Agent, the Lenders, and the Loan Parties.</w:t>
      </w:r>
    </w:p>
    <w:p>
      <w:pPr>
        <w:spacing w:after="0" w:line="4" w:lineRule="exact"/>
        <w:rPr>
          <w:sz w:val="20"/>
          <w:szCs w:val="20"/>
          <w:color w:val="auto"/>
        </w:rPr>
      </w:pPr>
    </w:p>
    <w:p>
      <w:pPr>
        <w:jc w:val="both"/>
        <w:ind w:firstLine="613"/>
        <w:spacing w:after="0" w:line="212" w:lineRule="auto"/>
        <w:tabs>
          <w:tab w:leader="none" w:pos="12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w:t>
      </w:r>
      <w:r>
        <w:rPr>
          <w:rFonts w:ascii="Times New Roman" w:cs="Times New Roman" w:eastAsia="Times New Roman" w:hAnsi="Times New Roman"/>
          <w:sz w:val="20"/>
          <w:szCs w:val="20"/>
          <w:color w:val="auto"/>
        </w:rPr>
        <w:t>. Each Loan Party hereby (i) restates, ratifies, and reaffirms all of its obligations and covenants set forth in the Credit Agreement and the other Loan Documents to which it is a party effective as of the date hereof and (ii) restates and renews each and every representation and warranty heretofore made by it in the Credit Agreement and the other Loan Documents as fully as if made on the date hereof, after giving effect to the terms hereof, and with specific reference to this Agreement and any other Loan Documents executed or delivered in connection herewith (except with respect to representations and warranties made as of an expressed date, in which case such representations and warranties shall be true and correct as of such date).</w:t>
      </w:r>
    </w:p>
    <w:p>
      <w:pPr>
        <w:spacing w:after="0" w:line="3" w:lineRule="exact"/>
        <w:rPr>
          <w:rFonts w:ascii="Times New Roman" w:cs="Times New Roman" w:eastAsia="Times New Roman" w:hAnsi="Times New Roman"/>
          <w:sz w:val="20"/>
          <w:szCs w:val="20"/>
          <w:color w:val="auto"/>
        </w:rPr>
      </w:pPr>
    </w:p>
    <w:p>
      <w:pPr>
        <w:jc w:val="both"/>
        <w:ind w:firstLine="613"/>
        <w:spacing w:after="0" w:line="212" w:lineRule="auto"/>
        <w:tabs>
          <w:tab w:leader="none" w:pos="1219"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To induce Lenders to enter into this Agreement, Borrower hereby acknowledges and agrees that, as of the date hereof, and after giving effect to the terms hereof, there exists (i) no Default or Event of Default and (ii) no right of offset, defense, counterclaim, claim, or objection in favor of Borrower or arising out of or with respect to any of the Loans or other obligations of Borrower owed to Lenders under the Credit Agreement or any other Loan Document.</w:t>
      </w:r>
    </w:p>
    <w:p>
      <w:pPr>
        <w:spacing w:after="0" w:line="2" w:lineRule="exact"/>
        <w:rPr>
          <w:rFonts w:ascii="Times New Roman" w:cs="Times New Roman" w:eastAsia="Times New Roman" w:hAnsi="Times New Roman"/>
          <w:sz w:val="20"/>
          <w:szCs w:val="20"/>
          <w:color w:val="auto"/>
        </w:rPr>
      </w:pPr>
    </w:p>
    <w:p>
      <w:pPr>
        <w:jc w:val="both"/>
        <w:ind w:firstLine="613"/>
        <w:spacing w:after="0" w:line="212" w:lineRule="auto"/>
        <w:tabs>
          <w:tab w:leader="none" w:pos="122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and by different parties hereto in separate counterparts, each of which when so executed and delivered shall be deemed to be an original and all of which counterparts, taken together, shall constitute but one and the same instrument.</w:t>
      </w:r>
    </w:p>
    <w:p>
      <w:pPr>
        <w:spacing w:after="0" w:line="1" w:lineRule="exact"/>
        <w:rPr>
          <w:rFonts w:ascii="Times New Roman" w:cs="Times New Roman" w:eastAsia="Times New Roman" w:hAnsi="Times New Roman"/>
          <w:sz w:val="20"/>
          <w:szCs w:val="20"/>
          <w:color w:val="auto"/>
        </w:rPr>
      </w:pPr>
    </w:p>
    <w:p>
      <w:pPr>
        <w:jc w:val="both"/>
        <w:ind w:firstLine="613"/>
        <w:spacing w:after="0" w:line="212" w:lineRule="auto"/>
        <w:tabs>
          <w:tab w:leader="none" w:pos="12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Fax or Other Transmission</w:t>
      </w:r>
      <w:r>
        <w:rPr>
          <w:rFonts w:ascii="Times New Roman" w:cs="Times New Roman" w:eastAsia="Times New Roman" w:hAnsi="Times New Roman"/>
          <w:sz w:val="20"/>
          <w:szCs w:val="20"/>
          <w:color w:val="auto"/>
        </w:rPr>
        <w:t xml:space="preserve">. Delivery by one or more parties hereto of an executed counterpart of this Agreement via facsimile, telecopy, other electronic method of transmission pursuant to which the signature of such party can be seen (including, without limitation, Adobe Corporation’s Portable Document Format) or electronic signature as permitted by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of the Credit Agreement shall have the same force and effect as the delivery of an original executed counterpart of this Agreement. Any party so delivering an executed counterpart of this Agreement by facsimile, telecopy, other electronic method of transmission or electronic signature shall also deliver an original executed counterpart, but the failure to do so shall not affect the validity, enforceability, or binding effect of this Agreement.</w:t>
      </w:r>
    </w:p>
    <w:p>
      <w:pPr>
        <w:spacing w:after="0" w:line="4" w:lineRule="exact"/>
        <w:rPr>
          <w:rFonts w:ascii="Times New Roman" w:cs="Times New Roman" w:eastAsia="Times New Roman" w:hAnsi="Times New Roman"/>
          <w:sz w:val="20"/>
          <w:szCs w:val="20"/>
          <w:color w:val="auto"/>
        </w:rPr>
      </w:pPr>
    </w:p>
    <w:p>
      <w:pPr>
        <w:ind w:left="1220" w:hanging="607"/>
        <w:spacing w:after="0" w:line="212" w:lineRule="auto"/>
        <w:tabs>
          <w:tab w:leader="none" w:pos="12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Recitals Incorporated Herein</w:t>
      </w:r>
      <w:r>
        <w:rPr>
          <w:rFonts w:ascii="Times New Roman" w:cs="Times New Roman" w:eastAsia="Times New Roman" w:hAnsi="Times New Roman"/>
          <w:sz w:val="20"/>
          <w:szCs w:val="20"/>
          <w:color w:val="auto"/>
        </w:rPr>
        <w:t>. The preamble and the recitals to this Agreement are hereby incorporated herein by this</w:t>
      </w:r>
    </w:p>
    <w:p>
      <w:pPr>
        <w:spacing w:after="0" w:line="21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w:t>
      </w:r>
    </w:p>
    <w:p>
      <w:pPr>
        <w:ind w:firstLine="613"/>
        <w:spacing w:after="0" w:line="212" w:lineRule="auto"/>
        <w:tabs>
          <w:tab w:leader="none" w:pos="121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References</w:t>
      </w:r>
      <w:r>
        <w:rPr>
          <w:rFonts w:ascii="Times New Roman" w:cs="Times New Roman" w:eastAsia="Times New Roman" w:hAnsi="Times New Roman"/>
          <w:sz w:val="20"/>
          <w:szCs w:val="20"/>
          <w:color w:val="auto"/>
        </w:rPr>
        <w:t>. Section titles and references used in this Agreement shall be without substantive meaning or content of any kind whatsoever and are not a part of the agreements among the parties hereto evidenced hereby.</w:t>
      </w:r>
    </w:p>
    <w:p>
      <w:pPr>
        <w:spacing w:after="0" w:line="1" w:lineRule="exact"/>
        <w:rPr>
          <w:rFonts w:ascii="Times New Roman" w:cs="Times New Roman" w:eastAsia="Times New Roman" w:hAnsi="Times New Roman"/>
          <w:sz w:val="20"/>
          <w:szCs w:val="20"/>
          <w:color w:val="auto"/>
        </w:rPr>
      </w:pPr>
    </w:p>
    <w:p>
      <w:pPr>
        <w:jc w:val="both"/>
        <w:ind w:firstLine="613"/>
        <w:spacing w:after="0" w:line="212" w:lineRule="auto"/>
        <w:tabs>
          <w:tab w:leader="none" w:pos="121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and interpreted in accordance with the internal laws of the State of New York but excluding any principles of conflicts of law or other rule of law that would cause the application of the law of any jurisdiction other than the laws of the State of New York.</w:t>
      </w:r>
    </w:p>
    <w:p>
      <w:pPr>
        <w:spacing w:after="0" w:line="1" w:lineRule="exact"/>
        <w:rPr>
          <w:rFonts w:ascii="Times New Roman" w:cs="Times New Roman" w:eastAsia="Times New Roman" w:hAnsi="Times New Roman"/>
          <w:sz w:val="20"/>
          <w:szCs w:val="20"/>
          <w:color w:val="auto"/>
        </w:rPr>
      </w:pPr>
    </w:p>
    <w:p>
      <w:pPr>
        <w:jc w:val="both"/>
        <w:ind w:firstLine="613"/>
        <w:spacing w:after="0" w:line="212" w:lineRule="auto"/>
        <w:tabs>
          <w:tab w:leader="none" w:pos="12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Agreement which is prohibited or unenforceable shall be ineffective to the extent of such prohibition or unenforceability without invalidating the remaining provisions hereof in that jurisdiction or affecting the validity or enforceability of such provision in any other jurisdiction.</w:t>
      </w:r>
    </w:p>
    <w:p>
      <w:pPr>
        <w:spacing w:after="0" w:line="1" w:lineRule="exact"/>
        <w:rPr>
          <w:rFonts w:ascii="Times New Roman" w:cs="Times New Roman" w:eastAsia="Times New Roman" w:hAnsi="Times New Roman"/>
          <w:sz w:val="20"/>
          <w:szCs w:val="20"/>
          <w:color w:val="auto"/>
        </w:rPr>
      </w:pPr>
    </w:p>
    <w:p>
      <w:pPr>
        <w:ind w:firstLine="613"/>
        <w:spacing w:after="0" w:line="233" w:lineRule="auto"/>
        <w:tabs>
          <w:tab w:leader="none" w:pos="121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Each Guarantor (i) consents to the execution and delivery of this Agreement, (ii) reaffirms all of its obligations and covenants under the Loan Documents to</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24" w:right="339" w:bottom="1440" w:gutter="0" w:footer="0" w:header="0"/>
        </w:sectPr>
      </w:pPr>
    </w:p>
    <w:bookmarkStart w:id="118" w:name="page119"/>
    <w:bookmarkEnd w:id="118"/>
    <w:p>
      <w:pPr>
        <w:spacing w:after="0" w:line="237" w:lineRule="auto"/>
        <w:rPr>
          <w:sz w:val="20"/>
          <w:szCs w:val="20"/>
          <w:color w:val="auto"/>
        </w:rPr>
      </w:pPr>
      <w:r>
        <w:rPr>
          <w:rFonts w:ascii="Times New Roman" w:cs="Times New Roman" w:eastAsia="Times New Roman" w:hAnsi="Times New Roman"/>
          <w:sz w:val="20"/>
          <w:szCs w:val="20"/>
          <w:color w:val="auto"/>
        </w:rPr>
        <w:t>which it is a party, and (iii) agrees that none of its respective obligations and covenants shall be reduced or limited by the execution and delivery of this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24" w:right="339" w:bottom="1440" w:gutter="0" w:footer="0" w:header="0"/>
        </w:sectPr>
      </w:pPr>
    </w:p>
    <w:bookmarkStart w:id="119" w:name="page120"/>
    <w:bookmarkEnd w:id="119"/>
    <w:p>
      <w:pPr>
        <w:ind w:firstLine="611"/>
        <w:spacing w:after="0" w:line="289" w:lineRule="auto"/>
        <w:rPr>
          <w:sz w:val="20"/>
          <w:szCs w:val="20"/>
          <w:color w:val="auto"/>
        </w:rPr>
      </w:pPr>
      <w:r>
        <w:rPr>
          <w:rFonts w:ascii="Times New Roman" w:cs="Times New Roman" w:eastAsia="Times New Roman" w:hAnsi="Times New Roman"/>
          <w:sz w:val="20"/>
          <w:szCs w:val="20"/>
          <w:color w:val="auto"/>
        </w:rPr>
        <w:t>IN WITNESS WHEREOF, each of the parties hereto has caused this Agreement to be duly executed by its duly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2"/>
          <w:szCs w:val="12"/>
          <w:color w:val="auto"/>
        </w:rPr>
        <w:t>[Kratos—First Amendment]</w:t>
      </w:r>
    </w:p>
    <w:p>
      <w:pPr>
        <w:sectPr>
          <w:pgSz w:w="11900" w:h="16838" w:orient="portrait"/>
          <w:cols w:equalWidth="0" w:num="1">
            <w:col w:w="11240"/>
          </w:cols>
          <w:pgMar w:left="320" w:top="134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KRATOS DEFENSE </w:t>
      </w:r>
      <w:r>
        <w:rPr>
          <w:rFonts w:ascii="Times New Roman" w:cs="Times New Roman" w:eastAsia="Times New Roman" w:hAnsi="Times New Roman"/>
          <w:sz w:val="20"/>
          <w:szCs w:val="20"/>
          <w:color w:val="auto"/>
        </w:rPr>
        <w:t>&amp;</w:t>
      </w:r>
      <w:r>
        <w:rPr>
          <w:rFonts w:ascii="Times New Roman" w:cs="Times New Roman" w:eastAsia="Times New Roman" w:hAnsi="Times New Roman"/>
          <w:sz w:val="20"/>
          <w:szCs w:val="20"/>
          <w:b w:val="1"/>
          <w:bCs w:val="1"/>
          <w:color w:val="auto"/>
        </w:rPr>
        <w:t xml:space="preserve"> SECURITY SOLUTIONS, INC.</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-8255</wp:posOffset>
            </wp:positionV>
            <wp:extent cx="11423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Deanna H. Lund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EVP / CFO</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GUARANTORS: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KRATOS DEFENSE &amp; SECURITY SOLUTIONS, INC.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5-D SYSTEMS,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BSC PARTNERS, LLC</w:t>
      </w:r>
    </w:p>
    <w:p>
      <w:pPr>
        <w:spacing w:after="0" w:line="23" w:lineRule="exact"/>
        <w:rPr>
          <w:sz w:val="20"/>
          <w:szCs w:val="20"/>
          <w:color w:val="auto"/>
        </w:rPr>
      </w:pPr>
    </w:p>
    <w:p>
      <w:pPr>
        <w:ind w:right="460"/>
        <w:spacing w:after="0" w:line="252" w:lineRule="auto"/>
        <w:rPr>
          <w:sz w:val="20"/>
          <w:szCs w:val="20"/>
          <w:color w:val="auto"/>
        </w:rPr>
      </w:pPr>
      <w:r>
        <w:rPr>
          <w:rFonts w:ascii="Times New Roman" w:cs="Times New Roman" w:eastAsia="Times New Roman" w:hAnsi="Times New Roman"/>
          <w:sz w:val="20"/>
          <w:szCs w:val="20"/>
          <w:b w:val="1"/>
          <w:bCs w:val="1"/>
          <w:color w:val="auto"/>
        </w:rPr>
        <w:t>CONSOLIDATED TURBINE SPECIALISTS LLC CTT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DALLASTOWN REALTY I, LLC</w:t>
      </w:r>
    </w:p>
    <w:p>
      <w:pPr>
        <w:spacing w:after="0" w:line="12" w:lineRule="exact"/>
        <w:rPr>
          <w:sz w:val="20"/>
          <w:szCs w:val="20"/>
          <w:color w:val="auto"/>
        </w:rPr>
      </w:pPr>
    </w:p>
    <w:p>
      <w:pPr>
        <w:ind w:right="1460"/>
        <w:spacing w:after="0" w:line="255" w:lineRule="auto"/>
        <w:rPr>
          <w:sz w:val="20"/>
          <w:szCs w:val="20"/>
          <w:color w:val="auto"/>
        </w:rPr>
      </w:pPr>
      <w:r>
        <w:rPr>
          <w:rFonts w:ascii="Times New Roman" w:cs="Times New Roman" w:eastAsia="Times New Roman" w:hAnsi="Times New Roman"/>
          <w:sz w:val="20"/>
          <w:szCs w:val="20"/>
          <w:b w:val="1"/>
          <w:bCs w:val="1"/>
          <w:color w:val="auto"/>
        </w:rPr>
        <w:t>DALLASTOWN REALTY II, LLC DIGITAL FUSION SOLUTIONS, INC. DIGITAL FUSION, INC. DTI ASSOCIATES,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FLORIDA TURBINE TECHNOLOGIES, INC.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FTT AMERICA, LLC</w:t>
      </w:r>
    </w:p>
    <w:p>
      <w:pPr>
        <w:spacing w:after="0" w:line="1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b w:val="1"/>
          <w:bCs w:val="1"/>
          <w:color w:val="auto"/>
        </w:rPr>
        <w:t>GENERAL MICROWAVE CORPORATION GENERAL MICROWAVE ISRAEL CORPORATION GICHNER SYSTEMS GROUP, INC. GICHNER SYSTEMS INTERNATIONAL,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HAVERSTICK CONSULTING, INC.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HGS HOLDINGS, INC.</w:t>
      </w:r>
    </w:p>
    <w:p>
      <w:pPr>
        <w:spacing w:after="0" w:line="1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b w:val="1"/>
          <w:bCs w:val="1"/>
          <w:color w:val="auto"/>
        </w:rPr>
        <w:t>KRATOS ANTENNA HOLDINGS DIVISION, INC. KRATOS ANTENNA SOLUTIONS CORPORATION KRATOS ANTENNA SOLUTIONS GLOBAL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right="660"/>
        <w:spacing w:after="0" w:line="266" w:lineRule="auto"/>
        <w:rPr>
          <w:sz w:val="20"/>
          <w:szCs w:val="20"/>
          <w:color w:val="auto"/>
        </w:rPr>
      </w:pPr>
      <w:r>
        <w:rPr>
          <w:rFonts w:ascii="Times New Roman" w:cs="Times New Roman" w:eastAsia="Times New Roman" w:hAnsi="Times New Roman"/>
          <w:sz w:val="20"/>
          <w:szCs w:val="20"/>
          <w:b w:val="1"/>
          <w:bCs w:val="1"/>
          <w:color w:val="auto"/>
        </w:rPr>
        <w:t>KRATOS ANTENNA SOLUTIONS INTERNATIONAL CORPORATION</w:t>
      </w:r>
    </w:p>
    <w:p>
      <w:pPr>
        <w:ind w:left="60"/>
        <w:spacing w:after="0"/>
        <w:rPr>
          <w:sz w:val="20"/>
          <w:szCs w:val="20"/>
          <w:color w:val="auto"/>
        </w:rPr>
      </w:pPr>
      <w:r>
        <w:rPr>
          <w:rFonts w:ascii="Times New Roman" w:cs="Times New Roman" w:eastAsia="Times New Roman" w:hAnsi="Times New Roman"/>
          <w:sz w:val="20"/>
          <w:szCs w:val="20"/>
          <w:b w:val="1"/>
          <w:bCs w:val="1"/>
          <w:color w:val="auto"/>
        </w:rPr>
        <w:t>KRATOS COMMUNICATIONS, INC.</w:t>
      </w:r>
    </w:p>
    <w:p>
      <w:pPr>
        <w:spacing w:after="0" w:line="14" w:lineRule="exact"/>
        <w:rPr>
          <w:sz w:val="20"/>
          <w:szCs w:val="20"/>
          <w:color w:val="auto"/>
        </w:rPr>
      </w:pPr>
    </w:p>
    <w:p>
      <w:pPr>
        <w:ind w:left="60" w:right="500"/>
        <w:spacing w:after="0" w:line="258" w:lineRule="auto"/>
        <w:rPr>
          <w:sz w:val="20"/>
          <w:szCs w:val="20"/>
          <w:color w:val="auto"/>
        </w:rPr>
      </w:pPr>
      <w:r>
        <w:rPr>
          <w:rFonts w:ascii="Times New Roman" w:cs="Times New Roman" w:eastAsia="Times New Roman" w:hAnsi="Times New Roman"/>
          <w:sz w:val="20"/>
          <w:szCs w:val="20"/>
          <w:b w:val="1"/>
          <w:bCs w:val="1"/>
          <w:color w:val="auto"/>
        </w:rPr>
        <w:t>KRATOS DEFENSE &amp; ROCKET SUPPORT SERVICES, INC.</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KRATOS INTEGRAL HOLDINGS, LLC</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KRATOS INTEGRAL SYSTEMS INTERNATIONAL, INC.</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KRATOS RT LOGIC, INC.</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KRATOS S2,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KRATOS SPACE &amp; MISSILE DEFENSE SYSTEMS, INC.</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KRATOS SRE, INC.</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KRATOS SYSTEMS AND SOLUTIONS, INC.</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KRATOS TECHNOLOGY &amp; TRAINING SOLUTIONS, INC.</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KRATOS UNMANNED AERIAL SYSTEMS, INC.</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KRATOS UNMANNED SYSTEMS SOLUTIONS,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KTT CORE, INC.</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MICRO SYSTEMS, INC.</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MSI ACQUISITION CORP.</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SAT CORPORATION</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SHADOW I,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SHADOW II, INC.</w:t>
      </w:r>
    </w:p>
    <w:p>
      <w:pPr>
        <w:spacing w:after="0" w:line="12" w:lineRule="exact"/>
        <w:rPr>
          <w:sz w:val="20"/>
          <w:szCs w:val="20"/>
          <w:color w:val="auto"/>
        </w:rPr>
      </w:pPr>
    </w:p>
    <w:p>
      <w:pPr>
        <w:ind w:left="60" w:right="680"/>
        <w:spacing w:after="0" w:line="266" w:lineRule="auto"/>
        <w:rPr>
          <w:sz w:val="20"/>
          <w:szCs w:val="20"/>
          <w:color w:val="auto"/>
        </w:rPr>
      </w:pPr>
      <w:r>
        <w:rPr>
          <w:rFonts w:ascii="Times New Roman" w:cs="Times New Roman" w:eastAsia="Times New Roman" w:hAnsi="Times New Roman"/>
          <w:sz w:val="20"/>
          <w:szCs w:val="20"/>
          <w:b w:val="1"/>
          <w:bCs w:val="1"/>
          <w:color w:val="auto"/>
        </w:rPr>
        <w:t>SUMMIT RESEARCH CORPORATION TECHNICAL DIRECTIONS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-8255</wp:posOffset>
            </wp:positionV>
            <wp:extent cx="11423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Name: Deanna H. Lund</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Title: EVP /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2">
            <w:col w:w="4920" w:space="640"/>
            <w:col w:w="5640"/>
          </w:cols>
          <w:pgMar w:left="340" w:top="1396" w:right="359" w:bottom="1440" w:gutter="0" w:footer="0" w:header="0"/>
        </w:sectPr>
      </w:pPr>
    </w:p>
    <w:bookmarkStart w:id="121" w:name="page122"/>
    <w:bookmarkEnd w:id="121"/>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the Administrative Agent, an Issuing Bank and a Lender</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8553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Anika Kirs</w:t>
      </w:r>
    </w:p>
    <w:p>
      <w:pPr>
        <w:spacing w:after="0" w:line="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22" w:name="page123"/>
    <w:bookmarkEnd w:id="122"/>
    <w:p>
      <w:pPr>
        <w:spacing w:after="0" w:line="18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a Lender and an Issuing Bank</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Lynn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898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89852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Lynn Braun</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23" w:name="page124"/>
    <w:bookmarkEnd w:id="123"/>
    <w:p>
      <w:pPr>
        <w:spacing w:after="0" w:line="18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a Lender and an Issuing Bank</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Eric 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11588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115887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Eric H. Williams</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24" w:name="page125"/>
    <w:bookmarkEnd w:id="124"/>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GOLDMAN SACHS BANK USA</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a Lender and an Issuing Bank</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Keshia Leday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9988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Keshia Leday</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25" w:name="page126"/>
    <w:bookmarkEnd w:id="125"/>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CITY NATIONAL BANK</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a Lender</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Katie McDowell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11499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Katie McDowell</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26" w:name="page127"/>
    <w:bookmarkEnd w:id="126"/>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MUFG UNION BANK</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a Lender</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Edmund Ozorio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11137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Edmund Ozorio</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27" w:name="page128"/>
    <w:bookmarkEnd w:id="127"/>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FIFTH THIRD BANK, NATIONAL ASSOCIATION</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a Lender</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Ira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7473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4739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Ira Allen</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28" w:name="page129"/>
    <w:bookmarkEnd w:id="128"/>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REGIONS BANK</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a Lender</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George Hunter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10541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George Hunter</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29" w:name="page130"/>
    <w:bookmarkEnd w:id="129"/>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FIRST NATIONAL BANK OF PENNSYLVANIA</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a Lender</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M. Clair Harshbarger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13919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M. Clair Harshbarger</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30" w:name="page131"/>
    <w:bookmarkEnd w:id="130"/>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U.S. BANK NATIONAL ASSOCIATION</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a Lender</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Paul F.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10966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Paul F. Johnson</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31" w:name="page132"/>
    <w:bookmarkEnd w:id="131"/>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 xml:space="preserve">CADENCE BANK </w:t>
      </w:r>
      <w:r>
        <w:rPr>
          <w:rFonts w:ascii="Times New Roman" w:cs="Times New Roman" w:eastAsia="Times New Roman" w:hAnsi="Times New Roman"/>
          <w:sz w:val="20"/>
          <w:szCs w:val="20"/>
          <w:color w:val="auto"/>
        </w:rPr>
        <w:t>(FKA, BancorpSouth Bank),</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a Lender</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Carson Thoma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10490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1049020"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Carson Thoma</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32" w:name="page133"/>
    <w:bookmarkEnd w:id="132"/>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ASSOCIATED BANK N.A.</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a Lender</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Kyle Nass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8191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Kyle Nass</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33" w:name="page134"/>
    <w:bookmarkEnd w:id="133"/>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SYNOVUS BANK</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a Lender</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Robert Haley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9772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Robert Haley</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Corporate Banker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34" w:name="page135"/>
    <w:bookmarkEnd w:id="134"/>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TRUSTMARK NATIONAL BANK</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as a Lender</w:t>
      </w:r>
    </w:p>
    <w:p>
      <w:pPr>
        <w:spacing w:after="0" w:line="3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 /s/ Robert F. Diehl,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-8255</wp:posOffset>
            </wp:positionV>
            <wp:extent cx="12655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Robert F. Diehl, Jr.</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[Kratos—First Amendment]</w:t>
      </w:r>
    </w:p>
    <w:p>
      <w:pPr>
        <w:sectPr>
          <w:pgSz w:w="11900" w:h="16838" w:orient="portrait"/>
          <w:cols w:equalWidth="0" w:num="1">
            <w:col w:w="10100"/>
          </w:cols>
          <w:pgMar w:left="1440" w:top="1440" w:right="35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AMENDMENT TO CREDIT AGREEMENT</w:t>
      </w:r>
    </w:p>
    <w:p>
      <w:pPr>
        <w:spacing w:after="0" w:line="216" w:lineRule="exact"/>
        <w:rPr>
          <w:sz w:val="20"/>
          <w:szCs w:val="20"/>
          <w:color w:val="auto"/>
        </w:rPr>
      </w:pPr>
    </w:p>
    <w:p>
      <w:pPr>
        <w:jc w:val="both"/>
        <w:ind w:firstLine="200"/>
        <w:spacing w:after="0" w:line="270"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SECOND AMENDMENT TO CREDIT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is made and entered into as of March 8, 2024, by and among </w:t>
      </w:r>
      <w:r>
        <w:rPr>
          <w:rFonts w:ascii="Times New Roman" w:cs="Times New Roman" w:eastAsia="Times New Roman" w:hAnsi="Times New Roman"/>
          <w:sz w:val="20"/>
          <w:szCs w:val="20"/>
          <w:b w:val="1"/>
          <w:bCs w:val="1"/>
          <w:color w:val="auto"/>
        </w:rPr>
        <w:t>KRATOS DEFENSE &amp; SECURITY SOLUTIONS,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the other Loan Parties party hereto, the Lenders (as defined below) party hereto and </w:t>
      </w: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 in its capacity as administrative agent for the Lenders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 xml:space="preserve"> :</w:t>
      </w:r>
    </w:p>
    <w:p>
      <w:pPr>
        <w:spacing w:after="0" w:line="212" w:lineRule="exact"/>
        <w:rPr>
          <w:sz w:val="20"/>
          <w:szCs w:val="20"/>
          <w:color w:val="auto"/>
        </w:rPr>
      </w:pPr>
    </w:p>
    <w:p>
      <w:pPr>
        <w:jc w:val="both"/>
        <w:ind w:firstLine="357"/>
        <w:spacing w:after="0" w:line="27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the several banks and other financial institutions and lenders from time to time party thereto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the Administrative Agent have executed and delivered that certain Credit Agreement dated as of February 18, 2022, as amended by that certain First Amendment to Credit Agreement dated as of March 9, 2023 (as further amended, restated, amended and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w:t>
      </w:r>
    </w:p>
    <w:p>
      <w:pPr>
        <w:spacing w:after="0" w:line="149" w:lineRule="exact"/>
        <w:rPr>
          <w:sz w:val="20"/>
          <w:szCs w:val="20"/>
          <w:color w:val="auto"/>
        </w:rPr>
      </w:pPr>
    </w:p>
    <w:p>
      <w:pPr>
        <w:jc w:val="both"/>
        <w:ind w:firstLine="293"/>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requested that the Administrative Agent and the Lenders agree to amend certain provisions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Agreement as set forth herein, and the Administrative Agent and the Lenders party hereto have agreed to such amendments, in each case subject to the terms and conditions hereof.</w:t>
      </w:r>
    </w:p>
    <w:p>
      <w:pPr>
        <w:spacing w:after="0" w:line="145" w:lineRule="exact"/>
        <w:rPr>
          <w:sz w:val="20"/>
          <w:szCs w:val="20"/>
          <w:color w:val="auto"/>
        </w:rPr>
      </w:pPr>
    </w:p>
    <w:p>
      <w:pPr>
        <w:jc w:val="both"/>
        <w:ind w:firstLine="280"/>
        <w:spacing w:after="0" w:line="30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and in consideration of the above premises and other good and valuable consideration, the receipt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sufficiency of which is hereby acknowledged by the parties hereto, each of the parties hereto hereby covenants and agrees as follows:</w:t>
      </w:r>
    </w:p>
    <w:p>
      <w:pPr>
        <w:spacing w:after="0" w:line="91" w:lineRule="exact"/>
        <w:rPr>
          <w:sz w:val="20"/>
          <w:szCs w:val="20"/>
          <w:color w:val="auto"/>
        </w:rPr>
      </w:pPr>
    </w:p>
    <w:p>
      <w:pPr>
        <w:jc w:val="both"/>
        <w:ind w:firstLine="611"/>
        <w:spacing w:after="0"/>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Unless otherwise specifically defined herein, each term used herein (and in the recitals above) which is defined in the Credit Agreement shall have the meaning assigned to such term in the Credit Agreement, as amended hereby. Each reference to “hereof,” “hereunder,” “herein,” and “hereby” and each other similar reference and each reference to “this Agreement” and each other similar reference contained in the Credit Agreement shall from and after the date hereof refer to the Credit Agreement as amended hereby.</w:t>
      </w:r>
    </w:p>
    <w:p>
      <w:pPr>
        <w:spacing w:after="0" w:line="3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Amendments to Credit Agreement</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1180" w:hanging="567"/>
        <w:spacing w:after="0"/>
        <w:tabs>
          <w:tab w:leader="none" w:pos="11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Section 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Credit Agreement is hereby amended to:</w:t>
      </w:r>
    </w:p>
    <w:p>
      <w:pPr>
        <w:spacing w:after="0" w:line="177" w:lineRule="exact"/>
        <w:rPr>
          <w:rFonts w:ascii="Times New Roman" w:cs="Times New Roman" w:eastAsia="Times New Roman" w:hAnsi="Times New Roman"/>
          <w:sz w:val="20"/>
          <w:szCs w:val="20"/>
          <w:color w:val="auto"/>
        </w:rPr>
      </w:pPr>
    </w:p>
    <w:p>
      <w:pPr>
        <w:ind w:left="1780" w:hanging="556"/>
        <w:spacing w:after="0"/>
        <w:tabs>
          <w:tab w:leader="none" w:pos="178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the definition of “Controlled Account” therefrom in its entirety.</w:t>
      </w:r>
    </w:p>
    <w:p>
      <w:pPr>
        <w:spacing w:after="0" w:line="177" w:lineRule="exact"/>
        <w:rPr>
          <w:rFonts w:ascii="Times New Roman" w:cs="Times New Roman" w:eastAsia="Times New Roman" w:hAnsi="Times New Roman"/>
          <w:sz w:val="20"/>
          <w:szCs w:val="20"/>
          <w:color w:val="auto"/>
        </w:rPr>
      </w:pPr>
    </w:p>
    <w:p>
      <w:pPr>
        <w:ind w:left="1780" w:hanging="556"/>
        <w:spacing w:after="0"/>
        <w:tabs>
          <w:tab w:leader="none" w:pos="178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 the following new defined term thereto in appropriate alphabetical order:</w:t>
      </w:r>
    </w:p>
    <w:p>
      <w:pPr>
        <w:spacing w:after="0" w:line="19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Domestic Account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ind w:left="1780" w:hanging="556"/>
        <w:spacing w:after="0"/>
        <w:tabs>
          <w:tab w:leader="none" w:pos="17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the following defined terms to read, in their entirety, as follows:</w:t>
      </w:r>
    </w:p>
    <w:p>
      <w:pPr>
        <w:spacing w:after="0" w:line="199" w:lineRule="exact"/>
        <w:rPr>
          <w:sz w:val="20"/>
          <w:szCs w:val="20"/>
          <w:color w:val="auto"/>
        </w:rPr>
      </w:pPr>
    </w:p>
    <w:p>
      <w:pPr>
        <w:ind w:left="1220" w:right="620" w:firstLine="195"/>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Funded Debt</w:t>
      </w:r>
      <w:r>
        <w:rPr>
          <w:rFonts w:ascii="Times New Roman" w:cs="Times New Roman" w:eastAsia="Times New Roman" w:hAnsi="Times New Roman"/>
          <w:sz w:val="17"/>
          <w:szCs w:val="17"/>
          <w:color w:val="auto"/>
        </w:rPr>
        <w:t>” shall mean, as of any date, all Indebtedness of the Borrower and its Subsidiaries described in clauses (i), (ii), (iii), (v), and (vi)(x) of the definition of Indebtedness herein (excluding (x) any intercompany Indebtedness and</w:t>
      </w:r>
    </w:p>
    <w:p>
      <w:pPr>
        <w:sectPr>
          <w:pgSz w:w="11900" w:h="16838" w:orient="portrait"/>
          <w:cols w:equalWidth="0" w:num="1">
            <w:col w:w="11240"/>
          </w:cols>
          <w:pgMar w:left="320" w:top="114" w:right="339" w:bottom="1440" w:gutter="0" w:footer="0" w:header="0"/>
        </w:sectPr>
      </w:pPr>
    </w:p>
    <w:bookmarkStart w:id="136" w:name="page137"/>
    <w:bookmarkEnd w:id="136"/>
    <w:p>
      <w:pPr>
        <w:spacing w:after="0" w:line="110" w:lineRule="exact"/>
        <w:rPr>
          <w:sz w:val="20"/>
          <w:szCs w:val="20"/>
          <w:color w:val="auto"/>
        </w:rPr>
      </w:pPr>
    </w:p>
    <w:p>
      <w:pPr>
        <w:jc w:val="both"/>
        <w:ind w:left="1080" w:firstLine="4"/>
        <w:spacing w:after="0" w:line="264" w:lineRule="auto"/>
        <w:tabs>
          <w:tab w:leader="none" w:pos="133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amount of letters of credit issued for the account of a Foreign Subsidiary, in each case to the extent offset by the cash and Permitted Investments held by any Foreign Subsidiary in deposit or securities accounts outside the United States), measured on a consolidated basis as of such date.</w:t>
      </w:r>
    </w:p>
    <w:p>
      <w:pPr>
        <w:spacing w:after="0" w:line="170" w:lineRule="exact"/>
        <w:rPr>
          <w:sz w:val="20"/>
          <w:szCs w:val="20"/>
          <w:color w:val="auto"/>
        </w:rPr>
      </w:pPr>
    </w:p>
    <w:p>
      <w:pPr>
        <w:jc w:val="both"/>
        <w:ind w:left="1080" w:right="20" w:firstLine="28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 Account Agreement</w:t>
      </w:r>
      <w:r>
        <w:rPr>
          <w:rFonts w:ascii="Times New Roman" w:cs="Times New Roman" w:eastAsia="Times New Roman" w:hAnsi="Times New Roman"/>
          <w:sz w:val="17"/>
          <w:szCs w:val="17"/>
          <w:color w:val="auto"/>
        </w:rPr>
        <w:t>” shall mean any tri-party agreement by and among a Loan Party, the Administrative Agent and a depositary bank or securities intermediary at which such Loan Party maintains a Domestic Account, in each case in form and substance satisfactory to the Administrative Agent.</w:t>
      </w:r>
    </w:p>
    <w:p>
      <w:pPr>
        <w:spacing w:after="0" w:line="17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Liquidity</w:t>
      </w:r>
      <w:r>
        <w:rPr>
          <w:rFonts w:ascii="Times New Roman" w:cs="Times New Roman" w:eastAsia="Times New Roman" w:hAnsi="Times New Roman"/>
          <w:sz w:val="17"/>
          <w:szCs w:val="17"/>
          <w:color w:val="auto"/>
        </w:rPr>
        <w:t xml:space="preserve">” shall mean, as of any date of determination, the sum of (i) (x) the Aggregate Revolving Commitment Amount </w:t>
      </w:r>
      <w:r>
        <w:rPr>
          <w:rFonts w:ascii="Times New Roman" w:cs="Times New Roman" w:eastAsia="Times New Roman" w:hAnsi="Times New Roman"/>
          <w:sz w:val="17"/>
          <w:szCs w:val="17"/>
          <w:u w:val="single" w:color="auto"/>
          <w:color w:val="auto"/>
        </w:rPr>
        <w:t>minus</w:t>
      </w:r>
    </w:p>
    <w:p>
      <w:pPr>
        <w:spacing w:after="0" w:line="24" w:lineRule="exact"/>
        <w:rPr>
          <w:sz w:val="20"/>
          <w:szCs w:val="20"/>
          <w:color w:val="auto"/>
        </w:rPr>
      </w:pPr>
    </w:p>
    <w:p>
      <w:pPr>
        <w:jc w:val="both"/>
        <w:ind w:left="1080" w:firstLine="4"/>
        <w:spacing w:after="0" w:line="255" w:lineRule="auto"/>
        <w:tabs>
          <w:tab w:leader="none" w:pos="133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aggregate principal amount of all Revolving Credit Exposure,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unrestricted cash and Permitted Investments of the Loan Parties held in domestic deposit or securities accounts with the Administrative Agent or any Lender and, in each case, in which the Administrative Agent has a Lien.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Investments</w:t>
      </w:r>
      <w:r>
        <w:rPr>
          <w:rFonts w:ascii="Times New Roman" w:cs="Times New Roman" w:eastAsia="Times New Roman" w:hAnsi="Times New Roman"/>
          <w:sz w:val="17"/>
          <w:szCs w:val="17"/>
          <w:color w:val="auto"/>
        </w:rPr>
        <w:t>” shall mean:</w:t>
      </w:r>
    </w:p>
    <w:p>
      <w:pPr>
        <w:spacing w:after="0" w:line="212" w:lineRule="exact"/>
        <w:rPr>
          <w:sz w:val="20"/>
          <w:szCs w:val="20"/>
          <w:color w:val="auto"/>
        </w:rPr>
      </w:pPr>
    </w:p>
    <w:p>
      <w:pPr>
        <w:jc w:val="both"/>
        <w:ind w:left="1080" w:firstLine="1227"/>
        <w:spacing w:after="0" w:line="264" w:lineRule="auto"/>
        <w:tabs>
          <w:tab w:leader="none" w:pos="290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spacing w:after="0" w:line="169" w:lineRule="exact"/>
        <w:rPr>
          <w:rFonts w:ascii="Times New Roman" w:cs="Times New Roman" w:eastAsia="Times New Roman" w:hAnsi="Times New Roman"/>
          <w:sz w:val="17"/>
          <w:szCs w:val="17"/>
          <w:color w:val="auto"/>
        </w:rPr>
      </w:pPr>
    </w:p>
    <w:p>
      <w:pPr>
        <w:ind w:left="1080" w:right="20" w:firstLine="1227"/>
        <w:spacing w:after="0" w:line="279" w:lineRule="auto"/>
        <w:tabs>
          <w:tab w:leader="none" w:pos="2905"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paper having the highest rating, at the time of acquisition thereof, of S&amp;P or Moody’s and in either case maturing within six months from the date of acquisition thereof;</w:t>
      </w:r>
    </w:p>
    <w:p>
      <w:pPr>
        <w:spacing w:after="0" w:line="156" w:lineRule="exact"/>
        <w:rPr>
          <w:rFonts w:ascii="Times New Roman" w:cs="Times New Roman" w:eastAsia="Times New Roman" w:hAnsi="Times New Roman"/>
          <w:sz w:val="17"/>
          <w:szCs w:val="17"/>
          <w:color w:val="auto"/>
        </w:rPr>
      </w:pPr>
    </w:p>
    <w:p>
      <w:pPr>
        <w:jc w:val="both"/>
        <w:ind w:left="1080" w:firstLine="1227"/>
        <w:spacing w:after="0" w:line="259" w:lineRule="auto"/>
        <w:tabs>
          <w:tab w:leader="none" w:pos="2913"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certificates of deposit, bankers’ acceptances and time deposits maturing within 180 days of the date of acquisition thereof issued or guaranteed by or placed with, and money market deposit accounts issued or offered by, any domestic office of (A) any Lender, or (B) any other commercial bank organized under the laws of the United States or any state thereof or any foreign bank, in each case under this clause (B), which has a combined capital and surplus and undivided profits of not less than $500,000,000;</w:t>
      </w:r>
    </w:p>
    <w:p>
      <w:pPr>
        <w:spacing w:after="0" w:line="174" w:lineRule="exact"/>
        <w:rPr>
          <w:rFonts w:ascii="Times New Roman" w:cs="Times New Roman" w:eastAsia="Times New Roman" w:hAnsi="Times New Roman"/>
          <w:sz w:val="17"/>
          <w:szCs w:val="17"/>
          <w:color w:val="auto"/>
        </w:rPr>
      </w:pPr>
    </w:p>
    <w:p>
      <w:pPr>
        <w:ind w:left="1080" w:right="20" w:firstLine="1227"/>
        <w:spacing w:after="0" w:line="279" w:lineRule="auto"/>
        <w:tabs>
          <w:tab w:leader="none" w:pos="2904"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fully collateralized repurchase agreements with a term of not more than 30 days for securities described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and entered into with a financial institution satisfying the criteria described in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above;</w:t>
      </w:r>
    </w:p>
    <w:p>
      <w:pPr>
        <w:spacing w:after="0" w:line="156" w:lineRule="exact"/>
        <w:rPr>
          <w:rFonts w:ascii="Times New Roman" w:cs="Times New Roman" w:eastAsia="Times New Roman" w:hAnsi="Times New Roman"/>
          <w:sz w:val="17"/>
          <w:szCs w:val="17"/>
          <w:color w:val="auto"/>
        </w:rPr>
      </w:pPr>
    </w:p>
    <w:p>
      <w:pPr>
        <w:jc w:val="both"/>
        <w:ind w:left="1080" w:firstLine="1227"/>
        <w:spacing w:after="0" w:line="264" w:lineRule="auto"/>
        <w:tabs>
          <w:tab w:leader="none" w:pos="290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marketable short-term money market and similar highly liquid funds having a rating of at least P-2 or A-2 from either Moody’s or S&amp;P, respectively (or, if at any time neither Moody’s nor S&amp;P shall be rating such obligations, an equivalent rating from another nationally recognized statistical rating agency);</w:t>
      </w:r>
    </w:p>
    <w:p>
      <w:pPr>
        <w:spacing w:after="0" w:line="169" w:lineRule="exact"/>
        <w:rPr>
          <w:rFonts w:ascii="Times New Roman" w:cs="Times New Roman" w:eastAsia="Times New Roman" w:hAnsi="Times New Roman"/>
          <w:sz w:val="17"/>
          <w:szCs w:val="17"/>
          <w:color w:val="auto"/>
        </w:rPr>
      </w:pPr>
    </w:p>
    <w:p>
      <w:pPr>
        <w:ind w:left="2900" w:hanging="593"/>
        <w:spacing w:after="0"/>
        <w:tabs>
          <w:tab w:leader="none" w:pos="290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mutual funds investing solely in any one or more of the Permitted Investments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w:t>
      </w:r>
    </w:p>
    <w:p>
      <w:pPr>
        <w:spacing w:after="0" w:line="23" w:lineRule="exact"/>
        <w:rPr>
          <w:rFonts w:ascii="Times New Roman" w:cs="Times New Roman" w:eastAsia="Times New Roman" w:hAnsi="Times New Roman"/>
          <w:sz w:val="17"/>
          <w:szCs w:val="17"/>
          <w:color w:val="auto"/>
        </w:rPr>
      </w:pPr>
    </w:p>
    <w:p>
      <w:pPr>
        <w:ind w:left="1320" w:hanging="236"/>
        <w:spacing w:after="0"/>
        <w:tabs>
          <w:tab w:leader="none" w:pos="1320" w:val="left"/>
        </w:tabs>
        <w:numPr>
          <w:ilvl w:val="0"/>
          <w:numId w:val="7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above; and</w:t>
      </w:r>
    </w:p>
    <w:p>
      <w:pPr>
        <w:spacing w:after="0" w:line="196" w:lineRule="exact"/>
        <w:rPr>
          <w:rFonts w:ascii="Times New Roman" w:cs="Times New Roman" w:eastAsia="Times New Roman" w:hAnsi="Times New Roman"/>
          <w:sz w:val="17"/>
          <w:szCs w:val="17"/>
          <w:u w:val="single" w:color="auto"/>
          <w:color w:val="auto"/>
        </w:rPr>
      </w:pPr>
    </w:p>
    <w:p>
      <w:pPr>
        <w:jc w:val="both"/>
        <w:ind w:left="1080" w:firstLine="1227"/>
        <w:spacing w:after="0" w:line="259" w:lineRule="auto"/>
        <w:tabs>
          <w:tab w:leader="none" w:pos="2913"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solely with respect to Foreign Subsidiaries, (A) investments of the types and maturities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 xml:space="preserve"> above of foreign obligors, which investments or obligors have the ratings described in such clauses or equivalent ratings from comparable foreign rating agencies and (B) other short-term investments utilized by non-US Persons in accordance with ordinary course investment practices for cash management in investments analogous to the foregoing investments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- 2-</w:t>
      </w:r>
    </w:p>
    <w:p>
      <w:pPr>
        <w:sectPr>
          <w:pgSz w:w="11900" w:h="16838" w:orient="portrait"/>
          <w:cols w:equalWidth="0" w:num="1">
            <w:col w:w="10500"/>
          </w:cols>
          <w:pgMar w:left="460" w:top="1440" w:right="939" w:bottom="1440" w:gutter="0" w:footer="0" w:header="0"/>
        </w:sectPr>
      </w:pPr>
    </w:p>
    <w:bookmarkStart w:id="137" w:name="page138"/>
    <w:bookmarkEnd w:id="137"/>
    <w:p>
      <w:pPr>
        <w:spacing w:after="0" w:line="1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Third Party Bank</w:t>
      </w:r>
      <w:r>
        <w:rPr>
          <w:rFonts w:ascii="Times New Roman" w:cs="Times New Roman" w:eastAsia="Times New Roman" w:hAnsi="Times New Roman"/>
          <w:sz w:val="17"/>
          <w:szCs w:val="17"/>
          <w:color w:val="auto"/>
        </w:rPr>
        <w:t>” shall mean any Lender with whom any Loan Party maintains a Domestic Account.</w:t>
      </w:r>
    </w:p>
    <w:p>
      <w:pPr>
        <w:spacing w:after="0" w:line="212" w:lineRule="exact"/>
        <w:rPr>
          <w:sz w:val="20"/>
          <w:szCs w:val="20"/>
          <w:color w:val="auto"/>
        </w:rPr>
      </w:pPr>
    </w:p>
    <w:p>
      <w:pPr>
        <w:jc w:val="both"/>
        <w:ind w:left="1220" w:right="600" w:firstLine="195"/>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Total Net Leverage Ratio</w:t>
      </w:r>
      <w:r>
        <w:rPr>
          <w:rFonts w:ascii="Times New Roman" w:cs="Times New Roman" w:eastAsia="Times New Roman" w:hAnsi="Times New Roman"/>
          <w:sz w:val="17"/>
          <w:szCs w:val="17"/>
          <w:color w:val="auto"/>
        </w:rPr>
        <w:t xml:space="preserve">” shall mean, as of any date, the ratio of (i) Consolidated Funded Debt as of such date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the aggregate amount, as of such date, of the unrestricted cash and Permitted Investments of the Loan Parties held in domestic deposit or securities accounts with the Administrative Agent or any Lender, to the extent such amount exceeds $20,000,000;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total amount deducted from Consolidated Funded Debt at any time shall not exceed $150,000,000, to (ii) Consolidated EBITDA for the four consecutive Fiscal Quarters ending on or immediately prior to such date for which financial statements have been (or are required to have been) delivered under this Agreement.</w:t>
      </w:r>
    </w:p>
    <w:p>
      <w:pPr>
        <w:spacing w:after="0" w:line="158" w:lineRule="exact"/>
        <w:rPr>
          <w:sz w:val="20"/>
          <w:szCs w:val="20"/>
          <w:color w:val="auto"/>
        </w:rPr>
      </w:pPr>
    </w:p>
    <w:p>
      <w:pPr>
        <w:ind w:firstLine="613"/>
        <w:spacing w:after="0" w:line="249" w:lineRule="auto"/>
        <w:tabs>
          <w:tab w:leader="none" w:pos="116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2.12(a)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is hereby amended by replacing the words “Controlled Accounts at Truist Bank” therein with the words “Domestic Accounts”.</w:t>
      </w:r>
    </w:p>
    <w:p>
      <w:pPr>
        <w:spacing w:after="0" w:line="129" w:lineRule="exact"/>
        <w:rPr>
          <w:rFonts w:ascii="Times New Roman" w:cs="Times New Roman" w:eastAsia="Times New Roman" w:hAnsi="Times New Roman"/>
          <w:sz w:val="20"/>
          <w:szCs w:val="20"/>
          <w:color w:val="auto"/>
        </w:rPr>
      </w:pPr>
    </w:p>
    <w:p>
      <w:pPr>
        <w:ind w:left="1180" w:hanging="567"/>
        <w:spacing w:after="0"/>
        <w:tabs>
          <w:tab w:leader="none" w:pos="11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Sections 5.11(a)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Credit Agreement are hereby amended to read, in their entirety,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follows:</w:t>
      </w:r>
    </w:p>
    <w:p>
      <w:pPr>
        <w:spacing w:after="0" w:line="177" w:lineRule="exact"/>
        <w:rPr>
          <w:sz w:val="20"/>
          <w:szCs w:val="20"/>
          <w:color w:val="auto"/>
        </w:rPr>
      </w:pPr>
    </w:p>
    <w:p>
      <w:pPr>
        <w:jc w:val="both"/>
        <w:ind w:left="620" w:right="620" w:firstLine="349"/>
        <w:spacing w:after="0" w:line="257" w:lineRule="auto"/>
        <w:tabs>
          <w:tab w:leader="none" w:pos="1342"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all cash management and treasury business with Truist Bank or a Permitted Third Party Bank, including, without limitation, all deposit accounts, disbursement accounts, investment accounts and lockbox accounts (other than Excluded Accounts) (each such deposit account, disbursement account, investment account and lockbox account, a “</w:t>
      </w:r>
      <w:r>
        <w:rPr>
          <w:rFonts w:ascii="Times New Roman" w:cs="Times New Roman" w:eastAsia="Times New Roman" w:hAnsi="Times New Roman"/>
          <w:sz w:val="17"/>
          <w:szCs w:val="17"/>
          <w:u w:val="single" w:color="auto"/>
          <w:color w:val="auto"/>
        </w:rPr>
        <w:t>Domestic Account</w:t>
      </w:r>
      <w:r>
        <w:rPr>
          <w:rFonts w:ascii="Times New Roman" w:cs="Times New Roman" w:eastAsia="Times New Roman" w:hAnsi="Times New Roman"/>
          <w:sz w:val="17"/>
          <w:szCs w:val="17"/>
          <w:color w:val="auto"/>
        </w:rPr>
        <w:t>”); each Domestic Account shall be a cash collateral account, with all cash, checks and other similar items of payment in such account securing payment of the Obligations, and in which the Loan Parties shall have granted a Lien to the Administrative Agent, on behalf of the Secured Parties;</w:t>
      </w:r>
    </w:p>
    <w:p>
      <w:pPr>
        <w:spacing w:after="0" w:line="175" w:lineRule="exact"/>
        <w:rPr>
          <w:rFonts w:ascii="Times New Roman" w:cs="Times New Roman" w:eastAsia="Times New Roman" w:hAnsi="Times New Roman"/>
          <w:sz w:val="17"/>
          <w:szCs w:val="17"/>
          <w:color w:val="auto"/>
        </w:rPr>
      </w:pPr>
    </w:p>
    <w:p>
      <w:pPr>
        <w:jc w:val="both"/>
        <w:ind w:left="620" w:right="600" w:firstLine="446"/>
        <w:spacing w:after="0" w:line="264" w:lineRule="auto"/>
        <w:tabs>
          <w:tab w:leader="none" w:pos="1497" w:val="left"/>
        </w:tabs>
        <w:numPr>
          <w:ilvl w:val="3"/>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promptly, and in any event no later than 10 Business Days after the date of receipt thereof, all cash, checks, drafts or other similar items of payment relating to or constituting payments made in respect of any and all accounts and other Collateral into Domestic Accounts, in each case except for cash and Permitted Investments the aggregate value of which does not exceed $500,000 at any time; and</w:t>
      </w:r>
    </w:p>
    <w:p>
      <w:pPr>
        <w:spacing w:after="0" w:line="148" w:lineRule="exact"/>
        <w:rPr>
          <w:rFonts w:ascii="Times New Roman" w:cs="Times New Roman" w:eastAsia="Times New Roman" w:hAnsi="Times New Roman"/>
          <w:sz w:val="17"/>
          <w:szCs w:val="17"/>
          <w:color w:val="auto"/>
        </w:rPr>
      </w:pPr>
    </w:p>
    <w:p>
      <w:pPr>
        <w:jc w:val="both"/>
        <w:ind w:firstLine="613"/>
        <w:spacing w:after="0" w:line="234" w:lineRule="auto"/>
        <w:tabs>
          <w:tab w:leader="none" w:pos="116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of the Credit Agreement is hereby amended by (i) deleting the word “and” at the end of subparagraph (i), (ii) renumbering subparagraph (j) as subparagraph (k), and (iii) adding a new subparagraph (j) that reads, in its entirety, as follows:</w:t>
      </w:r>
    </w:p>
    <w:p>
      <w:pPr>
        <w:spacing w:after="0" w:line="163" w:lineRule="exact"/>
        <w:rPr>
          <w:rFonts w:ascii="Times New Roman" w:cs="Times New Roman" w:eastAsia="Times New Roman" w:hAnsi="Times New Roman"/>
          <w:sz w:val="20"/>
          <w:szCs w:val="20"/>
          <w:color w:val="auto"/>
        </w:rPr>
      </w:pPr>
    </w:p>
    <w:p>
      <w:pPr>
        <w:ind w:left="1280" w:hanging="327"/>
        <w:spacing w:after="0"/>
        <w:tabs>
          <w:tab w:leader="none" w:pos="128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cash and Permitted Investments held by a Foreign Subsidiary in deposit or securities accounts outside the United States securing</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letters of credit for the account of any Foreign Subsidiary; and</w:t>
      </w:r>
    </w:p>
    <w:p>
      <w:pPr>
        <w:spacing w:after="0" w:line="175" w:lineRule="exact"/>
        <w:rPr>
          <w:sz w:val="20"/>
          <w:szCs w:val="20"/>
          <w:color w:val="auto"/>
        </w:rPr>
      </w:pPr>
    </w:p>
    <w:p>
      <w:pPr>
        <w:ind w:firstLine="613"/>
        <w:spacing w:after="0" w:line="249" w:lineRule="auto"/>
        <w:tabs>
          <w:tab w:leader="none" w:pos="116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Exhibit 5.1(d)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(entitled “Financial Covenant Calculations”) attached to </w:t>
      </w:r>
      <w:r>
        <w:rPr>
          <w:rFonts w:ascii="Times New Roman" w:cs="Times New Roman" w:eastAsia="Times New Roman" w:hAnsi="Times New Roman"/>
          <w:sz w:val="20"/>
          <w:szCs w:val="20"/>
          <w:u w:val="single" w:color="auto"/>
          <w:color w:val="auto"/>
        </w:rPr>
        <w:t>Exhibit 5.1(d)</w:t>
      </w:r>
      <w:r>
        <w:rPr>
          <w:rFonts w:ascii="Times New Roman" w:cs="Times New Roman" w:eastAsia="Times New Roman" w:hAnsi="Times New Roman"/>
          <w:sz w:val="20"/>
          <w:szCs w:val="20"/>
          <w:color w:val="auto"/>
        </w:rPr>
        <w:t xml:space="preserve"> (Form of Compliance Certificate) of the Credit Agreement is hereby amended as follows:</w:t>
      </w:r>
    </w:p>
    <w:p>
      <w:pPr>
        <w:spacing w:after="0" w:line="134" w:lineRule="exact"/>
        <w:rPr>
          <w:rFonts w:ascii="Times New Roman" w:cs="Times New Roman" w:eastAsia="Times New Roman" w:hAnsi="Times New Roman"/>
          <w:sz w:val="20"/>
          <w:szCs w:val="20"/>
          <w:color w:val="auto"/>
        </w:rPr>
      </w:pPr>
    </w:p>
    <w:p>
      <w:pPr>
        <w:ind w:left="620" w:firstLine="604"/>
        <w:spacing w:after="0" w:line="249" w:lineRule="auto"/>
        <w:tabs>
          <w:tab w:leader="none" w:pos="178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Paragraph (A)(i)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attached to </w:t>
      </w:r>
      <w:r>
        <w:rPr>
          <w:rFonts w:ascii="Times New Roman" w:cs="Times New Roman" w:eastAsia="Times New Roman" w:hAnsi="Times New Roman"/>
          <w:sz w:val="20"/>
          <w:szCs w:val="20"/>
          <w:u w:val="single" w:color="auto"/>
          <w:color w:val="auto"/>
        </w:rPr>
        <w:t>Exhibit 5.1(d)</w:t>
      </w:r>
      <w:r>
        <w:rPr>
          <w:rFonts w:ascii="Times New Roman" w:cs="Times New Roman" w:eastAsia="Times New Roman" w:hAnsi="Times New Roman"/>
          <w:sz w:val="20"/>
          <w:szCs w:val="20"/>
          <w:color w:val="auto"/>
        </w:rPr>
        <w:t xml:space="preserve"> of the Credit Agreement is hereby amended to read, in its entirety, as follows:</w:t>
      </w:r>
    </w:p>
    <w:p>
      <w:pPr>
        <w:spacing w:after="0" w:line="156" w:lineRule="exact"/>
        <w:rPr>
          <w:sz w:val="20"/>
          <w:szCs w:val="20"/>
          <w:color w:val="auto"/>
        </w:rPr>
      </w:pPr>
    </w:p>
    <w:p>
      <w:pPr>
        <w:ind w:left="1220"/>
        <w:spacing w:after="0" w:line="279" w:lineRule="auto"/>
        <w:rPr>
          <w:sz w:val="20"/>
          <w:szCs w:val="20"/>
          <w:color w:val="auto"/>
        </w:rPr>
      </w:pPr>
      <w:r>
        <w:rPr>
          <w:rFonts w:ascii="Times New Roman" w:cs="Times New Roman" w:eastAsia="Times New Roman" w:hAnsi="Times New Roman"/>
          <w:sz w:val="17"/>
          <w:szCs w:val="17"/>
          <w:color w:val="auto"/>
        </w:rPr>
        <w:t>Consolidated Funded Debt as of such date minus the aggregate amount, as of such date, of the unrestricted cash and Permitted Investments of the Loan Parties held in domestic deposit or securities accounts with the Administrative Agent or any Lender, to the extent such amount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- 3-</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06" w:lineRule="exact"/>
        <w:rPr>
          <w:sz w:val="20"/>
          <w:szCs w:val="20"/>
          <w:color w:val="auto"/>
        </w:rPr>
      </w:pPr>
    </w:p>
    <w:p>
      <w:pPr>
        <w:ind w:left="1220"/>
        <w:spacing w:after="0" w:line="284" w:lineRule="auto"/>
        <w:rPr>
          <w:sz w:val="20"/>
          <w:szCs w:val="20"/>
          <w:color w:val="auto"/>
        </w:rPr>
      </w:pPr>
      <w:r>
        <w:rPr>
          <w:rFonts w:ascii="Times New Roman" w:cs="Times New Roman" w:eastAsia="Times New Roman" w:hAnsi="Times New Roman"/>
          <w:sz w:val="17"/>
          <w:szCs w:val="17"/>
          <w:color w:val="auto"/>
        </w:rPr>
        <w:t xml:space="preserve">exceeds $20,000,000;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total amount deducted from Consolidated Funded Debt at any time shall not exceed $150,000,000 </w:t>
      </w:r>
      <w:r>
        <w:rPr>
          <w:rFonts w:ascii="Times New Roman" w:cs="Times New Roman" w:eastAsia="Times New Roman" w:hAnsi="Times New Roman"/>
          <w:sz w:val="17"/>
          <w:szCs w:val="17"/>
          <w:i w:val="1"/>
          <w:iCs w:val="1"/>
          <w:color w:val="auto"/>
        </w:rPr>
        <w:t>(with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detailed calculations attached hereto as Annex 1)</w:t>
      </w:r>
    </w:p>
    <w:p>
      <w:pPr>
        <w:spacing w:after="0" w:line="131" w:lineRule="exact"/>
        <w:rPr>
          <w:sz w:val="20"/>
          <w:szCs w:val="20"/>
          <w:color w:val="auto"/>
        </w:rPr>
      </w:pPr>
    </w:p>
    <w:p>
      <w:pPr>
        <w:ind w:left="620" w:firstLine="604"/>
        <w:spacing w:after="0" w:line="249" w:lineRule="auto"/>
        <w:tabs>
          <w:tab w:leader="none" w:pos="181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Paragraphs 1 and 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Annex 1 to Schedule 2</w:t>
      </w:r>
      <w:r>
        <w:rPr>
          <w:rFonts w:ascii="Times New Roman" w:cs="Times New Roman" w:eastAsia="Times New Roman" w:hAnsi="Times New Roman"/>
          <w:sz w:val="20"/>
          <w:szCs w:val="20"/>
          <w:color w:val="auto"/>
        </w:rPr>
        <w:t xml:space="preserve"> attached to </w:t>
      </w:r>
      <w:r>
        <w:rPr>
          <w:rFonts w:ascii="Times New Roman" w:cs="Times New Roman" w:eastAsia="Times New Roman" w:hAnsi="Times New Roman"/>
          <w:sz w:val="20"/>
          <w:szCs w:val="20"/>
          <w:u w:val="single" w:color="auto"/>
          <w:color w:val="auto"/>
        </w:rPr>
        <w:t>Exhibit 5.1(d)</w:t>
      </w:r>
      <w:r>
        <w:rPr>
          <w:rFonts w:ascii="Times New Roman" w:cs="Times New Roman" w:eastAsia="Times New Roman" w:hAnsi="Times New Roman"/>
          <w:sz w:val="20"/>
          <w:szCs w:val="20"/>
          <w:color w:val="auto"/>
        </w:rPr>
        <w:t xml:space="preserve"> of the Credit Agreement are hereby amended to read, in their entirety, as follows:</w:t>
      </w:r>
    </w:p>
    <w:p>
      <w:pPr>
        <w:spacing w:after="0" w:line="152" w:lineRule="exact"/>
        <w:rPr>
          <w:sz w:val="20"/>
          <w:szCs w:val="20"/>
          <w:color w:val="auto"/>
        </w:rPr>
      </w:pPr>
    </w:p>
    <w:p>
      <w:pPr>
        <w:ind w:left="1600" w:hanging="376"/>
        <w:spacing w:after="0"/>
        <w:tabs>
          <w:tab w:leader="none" w:pos="16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Consolidated Funded Debt</w:t>
      </w:r>
    </w:p>
    <w:p>
      <w:pPr>
        <w:spacing w:after="0" w:line="216" w:lineRule="exact"/>
        <w:rPr>
          <w:rFonts w:ascii="Times New Roman" w:cs="Times New Roman" w:eastAsia="Times New Roman" w:hAnsi="Times New Roman"/>
          <w:sz w:val="17"/>
          <w:szCs w:val="17"/>
          <w:color w:val="auto"/>
        </w:rPr>
      </w:pPr>
    </w:p>
    <w:p>
      <w:pPr>
        <w:jc w:val="both"/>
        <w:ind w:left="1840" w:right="600" w:hanging="4"/>
        <w:spacing w:after="0" w:line="257" w:lineRule="auto"/>
        <w:tabs>
          <w:tab w:leader="none" w:pos="223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Indebtedness of the Borrower and its Subsidiaries described in clauses (i), (ii), (iii), (v), and (vi)(x) of the definition of Indebtedness in the Credit Agreement (excluding (x) any intercompany Indebtedness and (y) the aggregate amount of letters of credit issued for the account of a Foreign Subsidiary, in each case to the extent offset by the cash and Permitted Investments held by any Foreign Subsidiary in deposit or securities accounts outside the United States), measured on a consolidated basis as of such date.</w:t>
      </w:r>
    </w:p>
    <w:p>
      <w:pPr>
        <w:spacing w:after="0" w:line="171" w:lineRule="exact"/>
        <w:rPr>
          <w:rFonts w:ascii="Times New Roman" w:cs="Times New Roman" w:eastAsia="Times New Roman" w:hAnsi="Times New Roman"/>
          <w:sz w:val="17"/>
          <w:szCs w:val="17"/>
          <w:color w:val="auto"/>
        </w:rPr>
      </w:pPr>
    </w:p>
    <w:p>
      <w:pPr>
        <w:ind w:left="1840" w:right="620" w:hanging="616"/>
        <w:spacing w:after="0" w:line="284" w:lineRule="auto"/>
        <w:tabs>
          <w:tab w:leader="none" w:pos="159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Unrestricted Cash and Permitted Investments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 Parties held in domestic accounts with the Administrative Agent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Lender, to the extent such amount exceeds $20,000,000, up to a maximum amount of $150,000,000.</w:t>
      </w:r>
    </w:p>
    <w:p>
      <w:pPr>
        <w:spacing w:after="0" w:line="131" w:lineRule="exact"/>
        <w:rPr>
          <w:sz w:val="20"/>
          <w:szCs w:val="20"/>
          <w:color w:val="auto"/>
        </w:rPr>
      </w:pPr>
    </w:p>
    <w:p>
      <w:pPr>
        <w:ind w:firstLine="611"/>
        <w:spacing w:after="0" w:line="249"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Agreement shall become effective only upon satisfaction or waiver of the following conditions precedent except as otherwise agreed between the Borrower and the Administrative Agent:</w:t>
      </w:r>
    </w:p>
    <w:p>
      <w:pPr>
        <w:spacing w:after="0" w:line="134" w:lineRule="exact"/>
        <w:rPr>
          <w:sz w:val="20"/>
          <w:szCs w:val="20"/>
          <w:color w:val="auto"/>
        </w:rPr>
      </w:pPr>
    </w:p>
    <w:p>
      <w:pPr>
        <w:ind w:firstLine="613"/>
        <w:spacing w:after="0" w:line="249" w:lineRule="auto"/>
        <w:tabs>
          <w:tab w:leader="none" w:pos="119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this Agreement duly executed by each of (i) the Loan Parties, (ii) the Required Lenders and (iii) the Administrative Agent; and</w:t>
      </w:r>
    </w:p>
    <w:p>
      <w:pPr>
        <w:spacing w:after="0" w:line="134" w:lineRule="exact"/>
        <w:rPr>
          <w:rFonts w:ascii="Times New Roman" w:cs="Times New Roman" w:eastAsia="Times New Roman" w:hAnsi="Times New Roman"/>
          <w:sz w:val="20"/>
          <w:szCs w:val="20"/>
          <w:color w:val="auto"/>
        </w:rPr>
      </w:pPr>
    </w:p>
    <w:p>
      <w:pPr>
        <w:jc w:val="both"/>
        <w:ind w:firstLine="613"/>
        <w:spacing w:after="0" w:line="234" w:lineRule="auto"/>
        <w:tabs>
          <w:tab w:leader="none" w:pos="116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all reasonable, out-of-pocket costs and expenses of the Administrative Agent due and payable on or prior to the date hereof, including, without limitation, reasonable fees, charges and disbursements of counsel for the Administrative Agent, required to be reimbursed or paid by the Borrower hereunder or under any other Loan Document.</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Miscellaneous Terms</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firstLine="613"/>
        <w:spacing w:after="0" w:line="249" w:lineRule="auto"/>
        <w:tabs>
          <w:tab w:leader="none" w:pos="1181"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For avoidance of doubt, the Loan Parties, the Lenders party hereto and the Administrative Agent each hereby acknowledges and agrees that this Agreement is a Loan Document.</w:t>
      </w:r>
    </w:p>
    <w:p>
      <w:pPr>
        <w:spacing w:after="0" w:line="134" w:lineRule="exact"/>
        <w:rPr>
          <w:rFonts w:ascii="Times New Roman" w:cs="Times New Roman" w:eastAsia="Times New Roman" w:hAnsi="Times New Roman"/>
          <w:sz w:val="20"/>
          <w:szCs w:val="20"/>
          <w:color w:val="auto"/>
        </w:rPr>
      </w:pPr>
    </w:p>
    <w:p>
      <w:pPr>
        <w:jc w:val="both"/>
        <w:ind w:firstLine="613"/>
        <w:spacing w:after="0" w:line="234" w:lineRule="auto"/>
        <w:tabs>
          <w:tab w:leader="none" w:pos="1193"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Agreement</w:t>
      </w:r>
      <w:r>
        <w:rPr>
          <w:rFonts w:ascii="Times New Roman" w:cs="Times New Roman" w:eastAsia="Times New Roman" w:hAnsi="Times New Roman"/>
          <w:sz w:val="20"/>
          <w:szCs w:val="20"/>
          <w:color w:val="auto"/>
        </w:rPr>
        <w:t>. Except as set forth expressly hereinabove, all terms of the Credit Agreement and the other Loan Documents shall be and remain in full force and effect, and shall constitute the legal, valid, binding, and enforceable obligations of the Loan Parties.</w:t>
      </w:r>
    </w:p>
    <w:p>
      <w:pPr>
        <w:spacing w:after="0" w:line="142" w:lineRule="exact"/>
        <w:rPr>
          <w:rFonts w:ascii="Times New Roman" w:cs="Times New Roman" w:eastAsia="Times New Roman" w:hAnsi="Times New Roman"/>
          <w:sz w:val="20"/>
          <w:szCs w:val="20"/>
          <w:color w:val="auto"/>
        </w:rPr>
      </w:pPr>
    </w:p>
    <w:p>
      <w:pPr>
        <w:jc w:val="both"/>
        <w:ind w:firstLine="613"/>
        <w:spacing w:after="0" w:line="219" w:lineRule="auto"/>
        <w:tabs>
          <w:tab w:leader="none" w:pos="116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Novation or Mutual Departure</w:t>
      </w:r>
      <w:r>
        <w:rPr>
          <w:rFonts w:ascii="Times New Roman" w:cs="Times New Roman" w:eastAsia="Times New Roman" w:hAnsi="Times New Roman"/>
          <w:sz w:val="20"/>
          <w:szCs w:val="20"/>
          <w:color w:val="auto"/>
        </w:rPr>
        <w:t xml:space="preserve">. The Loan Parties expressly acknowledge and agree that (i) there has not been, and this Agreement does not constitute or establish, a novation with respect to the Credit Agreement or any of the other Loan Documents, or a mutual departure from the strict terms, provisions, and conditions thereof, other than with respect to the amendments contained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above and (ii) nothing in this Agreement shall affect or limit the Administrative Agent’s or any Lender’s right to demand payment of liabilities owing from the Borrower or any other Loan Party to the Administrative Agent or the Lenders under, or to demand strict performance of the terms, provisions, and conditions of, the Credit Agreement and the other Loan Documents, to exercise any and all rights, powers, and remedies under the Credit Agreement or the other Loan Documents or at law or in equity, or to do any and all of the foregoing, immediately at any time after the occurrence of an Event of Default under the Credit Agreement or the other Loan Documents (provided that it is acknowledged and agreed (x) by the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85" w:lineRule="exact"/>
        <w:rPr>
          <w:rFonts w:ascii="Times New Roman" w:cs="Times New Roman" w:eastAsia="Times New Roman" w:hAnsi="Times New Roman"/>
          <w:sz w:val="20"/>
          <w:szCs w:val="20"/>
          <w:color w:val="auto"/>
        </w:rPr>
      </w:pPr>
    </w:p>
    <w:p>
      <w:pPr>
        <w:ind w:left="260" w:hanging="122"/>
        <w:spacing w:after="0"/>
        <w:tabs>
          <w:tab w:leader="none" w:pos="2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8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Borrower, as further set forth in Section 4(e) below, that as of the date hereof, and after giving effect to the terms hereof, there exists no Default or Event of Default and (y) by the Administrative Agent that as of the date hereof, it has not received written notice from the Borrower stating that a Default or Event of Default has occurred and is continuing).</w:t>
      </w:r>
    </w:p>
    <w:p>
      <w:pPr>
        <w:spacing w:after="0" w:line="142" w:lineRule="exact"/>
        <w:rPr>
          <w:sz w:val="20"/>
          <w:szCs w:val="20"/>
          <w:color w:val="auto"/>
        </w:rPr>
      </w:pPr>
    </w:p>
    <w:p>
      <w:pPr>
        <w:jc w:val="both"/>
        <w:ind w:firstLine="613"/>
        <w:spacing w:after="0" w:line="223" w:lineRule="auto"/>
        <w:tabs>
          <w:tab w:leader="none" w:pos="1167"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w:t>
      </w:r>
      <w:r>
        <w:rPr>
          <w:rFonts w:ascii="Times New Roman" w:cs="Times New Roman" w:eastAsia="Times New Roman" w:hAnsi="Times New Roman"/>
          <w:sz w:val="20"/>
          <w:szCs w:val="20"/>
          <w:color w:val="auto"/>
        </w:rPr>
        <w:t>. Each Loan Party hereby (i) restates, ratifies, and reaffirms all of its obligations and covenants set forth in the Credit Agreement and the other Loan Documents to which it is a party effective as of the date hereof and (ii) restates and renews each and every representation and warranty heretofore made by it in the Credit Agreement and the other Loan Documents as fully as if made on the date hereof and with specific reference to this Agreement and any other Loan Documents executed or delivered in connection herewith (except with respect to representations and warranties made as of an expressed date, in which case such representations and warranties shall be true and correct as of such date).</w:t>
      </w:r>
    </w:p>
    <w:p>
      <w:pPr>
        <w:spacing w:after="0" w:line="144" w:lineRule="exact"/>
        <w:rPr>
          <w:rFonts w:ascii="Times New Roman" w:cs="Times New Roman" w:eastAsia="Times New Roman" w:hAnsi="Times New Roman"/>
          <w:sz w:val="20"/>
          <w:szCs w:val="20"/>
          <w:color w:val="auto"/>
        </w:rPr>
      </w:pPr>
    </w:p>
    <w:p>
      <w:pPr>
        <w:jc w:val="both"/>
        <w:ind w:firstLine="613"/>
        <w:spacing w:after="0" w:line="228" w:lineRule="auto"/>
        <w:tabs>
          <w:tab w:leader="none" w:pos="116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To induce Lenders to enter into this Agreement, Borrower hereby acknowledges and agrees that, as of the date hereof, and after giving effect to the terms hereof, there exists (i) no Default or Event of Default and (ii) no right of offset, defense, counterclaim, claim, or objection in favor of Borrower or arising out of or with respect to any of the Loans or other obligations of Borrower owed to Lenders under the Credit Agreement or any other Loan Document.</w:t>
      </w:r>
    </w:p>
    <w:p>
      <w:pPr>
        <w:spacing w:after="0" w:line="144" w:lineRule="exact"/>
        <w:rPr>
          <w:rFonts w:ascii="Times New Roman" w:cs="Times New Roman" w:eastAsia="Times New Roman" w:hAnsi="Times New Roman"/>
          <w:sz w:val="20"/>
          <w:szCs w:val="20"/>
          <w:color w:val="auto"/>
        </w:rPr>
      </w:pPr>
    </w:p>
    <w:p>
      <w:pPr>
        <w:jc w:val="both"/>
        <w:ind w:firstLine="613"/>
        <w:spacing w:after="0" w:line="234" w:lineRule="auto"/>
        <w:tabs>
          <w:tab w:leader="none" w:pos="1184"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and by different parties hereto in separate counterparts, each of which when so executed and delivered shall be deemed to be an original and all of which counterparts, taken together, shall constitute but one and the same instrument.</w:t>
      </w:r>
    </w:p>
    <w:p>
      <w:pPr>
        <w:spacing w:after="0" w:line="142" w:lineRule="exact"/>
        <w:rPr>
          <w:rFonts w:ascii="Times New Roman" w:cs="Times New Roman" w:eastAsia="Times New Roman" w:hAnsi="Times New Roman"/>
          <w:sz w:val="20"/>
          <w:szCs w:val="20"/>
          <w:color w:val="auto"/>
        </w:rPr>
      </w:pPr>
    </w:p>
    <w:p>
      <w:pPr>
        <w:jc w:val="both"/>
        <w:ind w:firstLine="613"/>
        <w:spacing w:after="0" w:line="221" w:lineRule="auto"/>
        <w:tabs>
          <w:tab w:leader="none" w:pos="1193"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Fax or Other Transmission</w:t>
      </w:r>
      <w:r>
        <w:rPr>
          <w:rFonts w:ascii="Times New Roman" w:cs="Times New Roman" w:eastAsia="Times New Roman" w:hAnsi="Times New Roman"/>
          <w:sz w:val="20"/>
          <w:szCs w:val="20"/>
          <w:color w:val="auto"/>
        </w:rPr>
        <w:t xml:space="preserve">. Delivery by one or more parties hereto of an executed counterpart of this Agreement via facsimile, telecopy, other electronic method of transmission pursuant to which the signature of such party can be seen (including, without limitation, Adobe Corporation’s Portable Document Format) or electronic signature as permitted by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of the Credit Agreement shall have the same force and effect as the delivery of an original executed counterpart of this Agreement. Any party so delivering an executed counterpart of this Agreement by facsimile, telecopy, other electronic method of transmission or electronic signature shall also deliver an original executed counterpart, but the failure to do so shall not affect the validity, enforceability, or binding effect of this Agreement.</w:t>
      </w:r>
    </w:p>
    <w:p>
      <w:pPr>
        <w:spacing w:after="0" w:line="143" w:lineRule="exact"/>
        <w:rPr>
          <w:rFonts w:ascii="Times New Roman" w:cs="Times New Roman" w:eastAsia="Times New Roman" w:hAnsi="Times New Roman"/>
          <w:sz w:val="20"/>
          <w:szCs w:val="20"/>
          <w:color w:val="auto"/>
        </w:rPr>
      </w:pPr>
    </w:p>
    <w:p>
      <w:pPr>
        <w:ind w:left="1200" w:hanging="587"/>
        <w:spacing w:after="0"/>
        <w:tabs>
          <w:tab w:leader="none" w:pos="120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Recitals Incorporated Herein</w:t>
      </w:r>
      <w:r>
        <w:rPr>
          <w:rFonts w:ascii="Times New Roman" w:cs="Times New Roman" w:eastAsia="Times New Roman" w:hAnsi="Times New Roman"/>
          <w:sz w:val="20"/>
          <w:szCs w:val="20"/>
          <w:color w:val="auto"/>
        </w:rPr>
        <w:t>. The preamble and the recitals to this Agreement are hereby incorporated herein by this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w:t>
      </w:r>
    </w:p>
    <w:p>
      <w:pPr>
        <w:spacing w:after="0" w:line="155" w:lineRule="exact"/>
        <w:rPr>
          <w:rFonts w:ascii="Times New Roman" w:cs="Times New Roman" w:eastAsia="Times New Roman" w:hAnsi="Times New Roman"/>
          <w:sz w:val="20"/>
          <w:szCs w:val="20"/>
          <w:color w:val="auto"/>
        </w:rPr>
      </w:pPr>
    </w:p>
    <w:p>
      <w:pPr>
        <w:ind w:firstLine="613"/>
        <w:spacing w:after="0" w:line="249" w:lineRule="auto"/>
        <w:tabs>
          <w:tab w:leader="none" w:pos="116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References</w:t>
      </w:r>
      <w:r>
        <w:rPr>
          <w:rFonts w:ascii="Times New Roman" w:cs="Times New Roman" w:eastAsia="Times New Roman" w:hAnsi="Times New Roman"/>
          <w:sz w:val="20"/>
          <w:szCs w:val="20"/>
          <w:color w:val="auto"/>
        </w:rPr>
        <w:t>. Section titles and references used in this Agreement shall be without substantive meaning or content of any kind whatsoever and are not a part of the agreements among the parties hereto evidenced hereby.</w:t>
      </w:r>
    </w:p>
    <w:p>
      <w:pPr>
        <w:spacing w:after="0" w:line="134" w:lineRule="exact"/>
        <w:rPr>
          <w:rFonts w:ascii="Times New Roman" w:cs="Times New Roman" w:eastAsia="Times New Roman" w:hAnsi="Times New Roman"/>
          <w:sz w:val="20"/>
          <w:szCs w:val="20"/>
          <w:color w:val="auto"/>
        </w:rPr>
      </w:pPr>
    </w:p>
    <w:p>
      <w:pPr>
        <w:jc w:val="both"/>
        <w:ind w:firstLine="613"/>
        <w:spacing w:after="0" w:line="234" w:lineRule="auto"/>
        <w:tabs>
          <w:tab w:leader="none" w:pos="116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and interpreted in accordance with the internal laws of the State of New York but excluding any principles of conflicts of law or other rule of law that would cause the application of the law of any jurisdiction other than the laws of the State of New York.</w:t>
      </w:r>
    </w:p>
    <w:p>
      <w:pPr>
        <w:spacing w:after="0" w:line="142" w:lineRule="exact"/>
        <w:rPr>
          <w:rFonts w:ascii="Times New Roman" w:cs="Times New Roman" w:eastAsia="Times New Roman" w:hAnsi="Times New Roman"/>
          <w:sz w:val="20"/>
          <w:szCs w:val="20"/>
          <w:color w:val="auto"/>
        </w:rPr>
      </w:pPr>
    </w:p>
    <w:p>
      <w:pPr>
        <w:jc w:val="both"/>
        <w:ind w:firstLine="613"/>
        <w:spacing w:after="0" w:line="234" w:lineRule="auto"/>
        <w:tabs>
          <w:tab w:leader="none" w:pos="118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Agreement which is prohibited or unenforceable shall be ineffective to the extent of such prohibition or unenforceability without invalidating the remaining provisions hereof in that jurisdiction or affecting the validity or enforceability of such provision in any other jurisdiction.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79" w:lineRule="exact"/>
        <w:rPr>
          <w:rFonts w:ascii="Times New Roman" w:cs="Times New Roman" w:eastAsia="Times New Roman" w:hAnsi="Times New Roman"/>
          <w:sz w:val="20"/>
          <w:szCs w:val="20"/>
          <w:color w:val="auto"/>
        </w:rPr>
      </w:pPr>
    </w:p>
    <w:p>
      <w:pPr>
        <w:ind w:left="260" w:hanging="122"/>
        <w:spacing w:after="0"/>
        <w:tabs>
          <w:tab w:leader="none" w:pos="2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88" w:lineRule="exact"/>
        <w:rPr>
          <w:sz w:val="20"/>
          <w:szCs w:val="20"/>
          <w:color w:val="auto"/>
        </w:rPr>
      </w:pPr>
    </w:p>
    <w:p>
      <w:pPr>
        <w:jc w:val="both"/>
        <w:ind w:firstLine="613"/>
        <w:spacing w:after="0" w:line="234" w:lineRule="auto"/>
        <w:tabs>
          <w:tab w:leader="none" w:pos="119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Each Guarantor (i) consents to the execution and delivery of this Agreement, (ii) reaffirms all of its obligations and covenants under the Loan Documents to which it is a party, and (iii) agrees that none of its respective obligations and covenants shall be reduced or limited by the execution and delivery of this Agreement.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- 6-</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14" w:lineRule="exact"/>
        <w:rPr>
          <w:sz w:val="20"/>
          <w:szCs w:val="20"/>
          <w:color w:val="auto"/>
        </w:rPr>
      </w:pPr>
    </w:p>
    <w:p>
      <w:pPr>
        <w:ind w:firstLine="238"/>
        <w:spacing w:after="0" w:line="289" w:lineRule="auto"/>
        <w:rPr>
          <w:sz w:val="20"/>
          <w:szCs w:val="20"/>
          <w:color w:val="auto"/>
        </w:rPr>
      </w:pPr>
      <w:r>
        <w:rPr>
          <w:rFonts w:ascii="Times New Roman" w:cs="Times New Roman" w:eastAsia="Times New Roman" w:hAnsi="Times New Roman"/>
          <w:sz w:val="20"/>
          <w:szCs w:val="20"/>
          <w:color w:val="auto"/>
        </w:rPr>
        <w:t>IN WITNESS WHEREOF, each of the parties hereto has caused this Agreement to be duly executed by its duly authorized officer as of the day and year first above written.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KRATOS DEFENSE &amp; SECURITY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SOLUTIONS, INC.</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w:t>
      </w:r>
      <w:r>
        <w:rPr>
          <w:rFonts w:ascii="Times New Roman" w:cs="Times New Roman" w:eastAsia="Times New Roman" w:hAnsi="Times New Roman"/>
          <w:sz w:val="20"/>
          <w:szCs w:val="20"/>
          <w:u w:val="single" w:color="auto"/>
          <w:color w:val="auto"/>
        </w:rPr>
        <w:t>/s/ Deanna H. Lund</w:t>
      </w:r>
      <w:r>
        <w:rPr>
          <w:rFonts w:ascii="Times New Roman" w:cs="Times New Roman" w:eastAsia="Times New Roman" w:hAnsi="Times New Roman"/>
          <w:sz w:val="20"/>
          <w:szCs w:val="20"/>
          <w:color w:val="auto"/>
        </w:rPr>
        <w:t>____________________</w:t>
      </w:r>
    </w:p>
    <w:p>
      <w:pPr>
        <w:spacing w:after="0" w:line="3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Deanna H. Lund</w:t>
      </w:r>
    </w:p>
    <w:p>
      <w:pPr>
        <w:spacing w:after="0" w:line="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Title:</w:t>
        <w:tab/>
        <w:t>EVP / CFO</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[Kratos—Second Amendment]</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DEFENSE &amp; SECURITY SOLUTIONS,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5-D SYSTEMS,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BSC PARTNERS, LLC</w:t>
      </w:r>
    </w:p>
    <w:p>
      <w:pPr>
        <w:spacing w:after="0" w:line="214" w:lineRule="exact"/>
        <w:rPr>
          <w:sz w:val="20"/>
          <w:szCs w:val="20"/>
          <w:color w:val="auto"/>
        </w:rPr>
      </w:pPr>
    </w:p>
    <w:p>
      <w:pPr>
        <w:ind w:right="1080"/>
        <w:spacing w:after="0" w:line="468" w:lineRule="auto"/>
        <w:rPr>
          <w:sz w:val="20"/>
          <w:szCs w:val="20"/>
          <w:color w:val="auto"/>
        </w:rPr>
      </w:pPr>
      <w:r>
        <w:rPr>
          <w:rFonts w:ascii="Times New Roman" w:cs="Times New Roman" w:eastAsia="Times New Roman" w:hAnsi="Times New Roman"/>
          <w:sz w:val="19"/>
          <w:szCs w:val="19"/>
          <w:b w:val="1"/>
          <w:bCs w:val="1"/>
          <w:color w:val="auto"/>
        </w:rPr>
        <w:t>CONSOLIDATED TURBINE SPECIALISTS LLC CTT INC.</w:t>
      </w:r>
    </w:p>
    <w:p>
      <w:pPr>
        <w:spacing w:after="0" w:line="1" w:lineRule="exact"/>
        <w:rPr>
          <w:sz w:val="20"/>
          <w:szCs w:val="20"/>
          <w:color w:val="auto"/>
        </w:rPr>
      </w:pPr>
    </w:p>
    <w:p>
      <w:pPr>
        <w:ind w:right="2000"/>
        <w:spacing w:after="0" w:line="470" w:lineRule="auto"/>
        <w:rPr>
          <w:sz w:val="20"/>
          <w:szCs w:val="20"/>
          <w:color w:val="auto"/>
        </w:rPr>
      </w:pPr>
      <w:r>
        <w:rPr>
          <w:rFonts w:ascii="Times New Roman" w:cs="Times New Roman" w:eastAsia="Times New Roman" w:hAnsi="Times New Roman"/>
          <w:sz w:val="19"/>
          <w:szCs w:val="19"/>
          <w:b w:val="1"/>
          <w:bCs w:val="1"/>
          <w:color w:val="auto"/>
        </w:rPr>
        <w:t>DALLASTOWN REALTY I, LLC DALLASTOWN REALTY II, LLC DIGITAL FUSION SOLUTIONS, INC. DIGITAL FUSION, INC. DTI ASSOCIATES, INC.</w:t>
      </w:r>
    </w:p>
    <w:p>
      <w:pPr>
        <w:spacing w:after="0"/>
        <w:rPr>
          <w:sz w:val="20"/>
          <w:szCs w:val="20"/>
          <w:color w:val="auto"/>
        </w:rPr>
      </w:pPr>
      <w:r>
        <w:rPr>
          <w:rFonts w:ascii="Times New Roman" w:cs="Times New Roman" w:eastAsia="Times New Roman" w:hAnsi="Times New Roman"/>
          <w:sz w:val="19"/>
          <w:szCs w:val="19"/>
          <w:b w:val="1"/>
          <w:bCs w:val="1"/>
          <w:color w:val="auto"/>
        </w:rPr>
        <w:t>FLORIDA TURBINE TECHNOLOGIES,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FTT AMERICA, LLC</w:t>
      </w:r>
    </w:p>
    <w:p>
      <w:pPr>
        <w:spacing w:after="0" w:line="202" w:lineRule="exact"/>
        <w:rPr>
          <w:sz w:val="20"/>
          <w:szCs w:val="20"/>
          <w:color w:val="auto"/>
        </w:rPr>
      </w:pPr>
    </w:p>
    <w:p>
      <w:pPr>
        <w:ind w:right="820"/>
        <w:spacing w:after="0" w:line="498" w:lineRule="auto"/>
        <w:rPr>
          <w:sz w:val="20"/>
          <w:szCs w:val="20"/>
          <w:color w:val="auto"/>
        </w:rPr>
      </w:pPr>
      <w:r>
        <w:rPr>
          <w:rFonts w:ascii="Times New Roman" w:cs="Times New Roman" w:eastAsia="Times New Roman" w:hAnsi="Times New Roman"/>
          <w:sz w:val="18"/>
          <w:szCs w:val="18"/>
          <w:b w:val="1"/>
          <w:bCs w:val="1"/>
          <w:color w:val="auto"/>
        </w:rPr>
        <w:t>GENERAL MICROWAVE CORPORATION GENERAL MICROWAVE ISRAEL CORPORATION GICHNER SYSTEMS GROUP, INC. GICHNER SYSTEMS INTERNATIONAL,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HAVERSTICK CONSULTING,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HGS HOLDINGS, INC.</w:t>
      </w:r>
    </w:p>
    <w:p>
      <w:pPr>
        <w:spacing w:after="0" w:line="214" w:lineRule="exact"/>
        <w:rPr>
          <w:sz w:val="20"/>
          <w:szCs w:val="20"/>
          <w:color w:val="auto"/>
        </w:rPr>
      </w:pPr>
    </w:p>
    <w:p>
      <w:pPr>
        <w:spacing w:after="0" w:line="483" w:lineRule="auto"/>
        <w:rPr>
          <w:sz w:val="20"/>
          <w:szCs w:val="20"/>
          <w:color w:val="auto"/>
        </w:rPr>
      </w:pPr>
      <w:r>
        <w:rPr>
          <w:rFonts w:ascii="Times New Roman" w:cs="Times New Roman" w:eastAsia="Times New Roman" w:hAnsi="Times New Roman"/>
          <w:sz w:val="19"/>
          <w:szCs w:val="19"/>
          <w:b w:val="1"/>
          <w:bCs w:val="1"/>
          <w:color w:val="auto"/>
        </w:rPr>
        <w:t>KRATOS ANTENNA HOLDINGS DIVISION, INC. KRATOS ANTENNA SOLUTIONS CORPORATION KRATOS ANTENNA SOLUTIONS GLOBAL CORPORATION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100"/>
        <w:spacing w:after="0" w:line="282" w:lineRule="auto"/>
        <w:rPr>
          <w:sz w:val="20"/>
          <w:szCs w:val="20"/>
          <w:color w:val="auto"/>
        </w:rPr>
      </w:pPr>
      <w:r>
        <w:rPr>
          <w:rFonts w:ascii="Times New Roman" w:cs="Times New Roman" w:eastAsia="Times New Roman" w:hAnsi="Times New Roman"/>
          <w:sz w:val="19"/>
          <w:szCs w:val="19"/>
          <w:b w:val="1"/>
          <w:bCs w:val="1"/>
          <w:color w:val="auto"/>
        </w:rPr>
        <w:t>KRATOS ANTENNA SOLUTIONS INTERNATIONAL CORPORATION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COMMUNICATIONS, INC.</w:t>
      </w:r>
    </w:p>
    <w:p>
      <w:pPr>
        <w:spacing w:after="0" w:line="214" w:lineRule="exact"/>
        <w:rPr>
          <w:sz w:val="20"/>
          <w:szCs w:val="20"/>
          <w:color w:val="auto"/>
        </w:rPr>
      </w:pPr>
    </w:p>
    <w:p>
      <w:pPr>
        <w:ind w:right="500"/>
        <w:spacing w:after="0" w:line="468" w:lineRule="auto"/>
        <w:rPr>
          <w:sz w:val="20"/>
          <w:szCs w:val="20"/>
          <w:color w:val="auto"/>
        </w:rPr>
      </w:pPr>
      <w:r>
        <w:rPr>
          <w:rFonts w:ascii="Times New Roman" w:cs="Times New Roman" w:eastAsia="Times New Roman" w:hAnsi="Times New Roman"/>
          <w:sz w:val="19"/>
          <w:szCs w:val="19"/>
          <w:b w:val="1"/>
          <w:bCs w:val="1"/>
          <w:color w:val="auto"/>
        </w:rPr>
        <w:t>KRATOS DEFENSE &amp; ROCKET SUPPORT SERVICES, INC. KRATOS INTEGRAL HOLDINGS,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INTEGRAL SYSTEMS INTERNATIONAL,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S1,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S2,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SPACE &amp; MISSILE DEFENSE SYSTEMS,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SRE,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SYSTEMS AND SOLUTIONS,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KRATOS TECHNOLOGY &amp; TRAINING SOLUTIONS,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UNMANNED AERIAL SYSTEMS,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UNMANNED SYSTEMS SOLUTIONS,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KTT CORE,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MICRO SYSTEMS,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MSI ACQUISITION CORP.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SAT CORPORATION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SHADOW I,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SHADOW II, INC.</w:t>
      </w:r>
    </w:p>
    <w:p>
      <w:pPr>
        <w:spacing w:after="0" w:line="214" w:lineRule="exact"/>
        <w:rPr>
          <w:sz w:val="20"/>
          <w:szCs w:val="20"/>
          <w:color w:val="auto"/>
        </w:rPr>
      </w:pPr>
    </w:p>
    <w:p>
      <w:pPr>
        <w:jc w:val="both"/>
        <w:ind w:right="2260"/>
        <w:spacing w:after="0" w:line="517" w:lineRule="auto"/>
        <w:rPr>
          <w:sz w:val="20"/>
          <w:szCs w:val="20"/>
          <w:color w:val="auto"/>
        </w:rPr>
      </w:pPr>
      <w:r>
        <w:rPr>
          <w:rFonts w:ascii="Times New Roman" w:cs="Times New Roman" w:eastAsia="Times New Roman" w:hAnsi="Times New Roman"/>
          <w:sz w:val="18"/>
          <w:szCs w:val="18"/>
          <w:b w:val="1"/>
          <w:bCs w:val="1"/>
          <w:color w:val="auto"/>
        </w:rPr>
        <w:t>SIERRA TECHNICAL SERVICES, INC. SUMMIT RESEARCH CORPORATION TECHNICAL DIRECTIONS INC.</w:t>
      </w:r>
    </w:p>
    <w:p>
      <w:pPr>
        <w:spacing w:after="0" w:line="38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-11430</wp:posOffset>
            </wp:positionV>
            <wp:extent cx="12833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Name: Deanna H. Lund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EVP / CFO</w:t>
      </w:r>
    </w:p>
    <w:p>
      <w:pPr>
        <w:spacing w:after="0" w:line="200" w:lineRule="exact"/>
        <w:rPr>
          <w:sz w:val="20"/>
          <w:szCs w:val="20"/>
          <w:color w:val="auto"/>
        </w:rPr>
      </w:pPr>
    </w:p>
    <w:p>
      <w:pPr>
        <w:sectPr>
          <w:pgSz w:w="11900" w:h="16838" w:orient="portrait"/>
          <w:cols w:equalWidth="0" w:num="2">
            <w:col w:w="5180" w:space="400"/>
            <w:col w:w="5600"/>
          </w:cols>
          <w:pgMar w:left="38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2"/>
          <w:szCs w:val="12"/>
          <w:color w:val="auto"/>
        </w:rPr>
        <w:t>[Kratos—Second Amendment]</w:t>
      </w:r>
    </w:p>
    <w:p>
      <w:pPr>
        <w:sectPr>
          <w:pgSz w:w="11900" w:h="16838" w:orient="portrait"/>
          <w:cols w:equalWidth="0" w:num="1">
            <w:col w:w="11180"/>
          </w:cols>
          <w:pgMar w:left="380" w:top="1440" w:right="339" w:bottom="1440" w:gutter="0" w:footer="0" w:header="0"/>
          <w:type w:val="continuous"/>
        </w:sectPr>
      </w:pPr>
    </w:p>
    <w:bookmarkStart w:id="143" w:name="page144"/>
    <w:bookmarkEnd w:id="143"/>
    <w:p>
      <w:pPr>
        <w:ind w:left="2540"/>
        <w:spacing w:after="0"/>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as the Administrative Agent and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w:t>
      </w:r>
      <w:r>
        <w:rPr>
          <w:rFonts w:ascii="Times New Roman" w:cs="Times New Roman" w:eastAsia="Times New Roman" w:hAnsi="Times New Roman"/>
          <w:sz w:val="20"/>
          <w:szCs w:val="20"/>
          <w:u w:val="single" w:color="auto"/>
          <w:color w:val="auto"/>
        </w:rPr>
        <w:t>/s/ Anika Kirs</w:t>
      </w:r>
      <w:r>
        <w:rPr>
          <w:rFonts w:ascii="Times New Roman" w:cs="Times New Roman" w:eastAsia="Times New Roman" w:hAnsi="Times New Roman"/>
          <w:sz w:val="20"/>
          <w:szCs w:val="20"/>
          <w:color w:val="auto"/>
        </w:rPr>
        <w:t>___________________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Anika Kirs</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[Kratos—Second Amendment]</w:t>
      </w:r>
    </w:p>
    <w:p>
      <w:pPr>
        <w:sectPr>
          <w:pgSz w:w="11900" w:h="16838" w:orient="portrait"/>
          <w:cols w:equalWidth="0" w:num="1">
            <w:col w:w="10120"/>
          </w:cols>
          <w:pgMar w:left="1440" w:top="1345" w:right="339" w:bottom="1440" w:gutter="0" w:footer="0" w:header="0"/>
        </w:sectPr>
      </w:pPr>
    </w:p>
    <w:bookmarkStart w:id="144" w:name="page145"/>
    <w:bookmarkEnd w:id="144"/>
    <w:p>
      <w:pPr>
        <w:spacing w:after="0" w:line="11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By:___</w:t>
      </w:r>
      <w:r>
        <w:rPr>
          <w:rFonts w:ascii="Times New Roman" w:cs="Times New Roman" w:eastAsia="Times New Roman" w:hAnsi="Times New Roman"/>
          <w:sz w:val="20"/>
          <w:szCs w:val="20"/>
          <w:u w:val="single" w:color="auto"/>
          <w:color w:val="auto"/>
        </w:rPr>
        <w:t>/s/ Kristin Jang</w:t>
      </w:r>
      <w:r>
        <w:rPr>
          <w:rFonts w:ascii="Times New Roman" w:cs="Times New Roman" w:eastAsia="Times New Roman" w:hAnsi="Times New Roman"/>
          <w:sz w:val="20"/>
          <w:szCs w:val="20"/>
          <w:color w:val="auto"/>
        </w:rPr>
        <w:t>____________________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Kristin Jang</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[Kratos—Second Amendment]</w:t>
      </w:r>
    </w:p>
    <w:p>
      <w:pPr>
        <w:sectPr>
          <w:pgSz w:w="11900" w:h="16838" w:orient="portrait"/>
          <w:cols w:equalWidth="0" w:num="1">
            <w:col w:w="10120"/>
          </w:cols>
          <w:pgMar w:left="1440" w:top="1440" w:right="339" w:bottom="1440" w:gutter="0" w:footer="0" w:header="0"/>
        </w:sectPr>
      </w:pPr>
    </w:p>
    <w:bookmarkStart w:id="145" w:name="page146"/>
    <w:bookmarkEnd w:id="145"/>
    <w:p>
      <w:pPr>
        <w:ind w:left="254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By:___</w:t>
      </w:r>
      <w:r>
        <w:rPr>
          <w:rFonts w:ascii="Times New Roman" w:cs="Times New Roman" w:eastAsia="Times New Roman" w:hAnsi="Times New Roman"/>
          <w:sz w:val="20"/>
          <w:szCs w:val="20"/>
          <w:u w:val="single" w:color="auto"/>
          <w:color w:val="auto"/>
        </w:rPr>
        <w:t>/s/ Eric H. Williams</w:t>
      </w:r>
      <w:r>
        <w:rPr>
          <w:rFonts w:ascii="Times New Roman" w:cs="Times New Roman" w:eastAsia="Times New Roman" w:hAnsi="Times New Roman"/>
          <w:sz w:val="20"/>
          <w:szCs w:val="20"/>
          <w:color w:val="auto"/>
        </w:rPr>
        <w:t>________________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Eric H. Williams</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[Kratos—Second Amendment]</w:t>
      </w:r>
    </w:p>
    <w:p>
      <w:pPr>
        <w:sectPr>
          <w:pgSz w:w="11900" w:h="16838" w:orient="portrait"/>
          <w:cols w:equalWidth="0" w:num="1">
            <w:col w:w="10120"/>
          </w:cols>
          <w:pgMar w:left="1440" w:top="1345" w:right="339" w:bottom="1440" w:gutter="0" w:footer="0" w:header="0"/>
        </w:sectPr>
      </w:pPr>
    </w:p>
    <w:bookmarkStart w:id="146" w:name="page147"/>
    <w:bookmarkEnd w:id="146"/>
    <w:p>
      <w:pPr>
        <w:ind w:left="2540"/>
        <w:spacing w:after="0"/>
        <w:rPr>
          <w:sz w:val="20"/>
          <w:szCs w:val="20"/>
          <w:color w:val="auto"/>
        </w:rPr>
      </w:pPr>
      <w:r>
        <w:rPr>
          <w:rFonts w:ascii="Times New Roman" w:cs="Times New Roman" w:eastAsia="Times New Roman" w:hAnsi="Times New Roman"/>
          <w:sz w:val="20"/>
          <w:szCs w:val="20"/>
          <w:b w:val="1"/>
          <w:bCs w:val="1"/>
          <w:color w:val="auto"/>
        </w:rPr>
        <w:t>GOLDMAN SACHS BANK USA</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w:t>
      </w:r>
      <w:r>
        <w:rPr>
          <w:rFonts w:ascii="Times New Roman" w:cs="Times New Roman" w:eastAsia="Times New Roman" w:hAnsi="Times New Roman"/>
          <w:sz w:val="20"/>
          <w:szCs w:val="20"/>
          <w:u w:val="single" w:color="auto"/>
          <w:color w:val="auto"/>
        </w:rPr>
        <w:t>/s/ Priyankush Goswami</w:t>
      </w:r>
      <w:r>
        <w:rPr>
          <w:rFonts w:ascii="Times New Roman" w:cs="Times New Roman" w:eastAsia="Times New Roman" w:hAnsi="Times New Roman"/>
          <w:sz w:val="20"/>
          <w:szCs w:val="20"/>
          <w:color w:val="auto"/>
        </w:rPr>
        <w:t>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Priyankush Goswami</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[Kratos—Second Amendment]</w:t>
      </w:r>
    </w:p>
    <w:p>
      <w:pPr>
        <w:sectPr>
          <w:pgSz w:w="11900" w:h="16838" w:orient="portrait"/>
          <w:cols w:equalWidth="0" w:num="1">
            <w:col w:w="10120"/>
          </w:cols>
          <w:pgMar w:left="1440" w:top="1345" w:right="339" w:bottom="1440" w:gutter="0" w:footer="0" w:header="0"/>
        </w:sectPr>
      </w:pPr>
    </w:p>
    <w:bookmarkStart w:id="147" w:name="page148"/>
    <w:bookmarkEnd w:id="147"/>
    <w:p>
      <w:pPr>
        <w:ind w:left="2540"/>
        <w:spacing w:after="0"/>
        <w:rPr>
          <w:sz w:val="20"/>
          <w:szCs w:val="20"/>
          <w:color w:val="auto"/>
        </w:rPr>
      </w:pPr>
      <w:r>
        <w:rPr>
          <w:rFonts w:ascii="Times New Roman" w:cs="Times New Roman" w:eastAsia="Times New Roman" w:hAnsi="Times New Roman"/>
          <w:sz w:val="20"/>
          <w:szCs w:val="20"/>
          <w:b w:val="1"/>
          <w:bCs w:val="1"/>
          <w:color w:val="auto"/>
        </w:rPr>
        <w:t>CITY NATIONAL BANK</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By:___</w:t>
      </w:r>
      <w:r>
        <w:rPr>
          <w:rFonts w:ascii="Times New Roman" w:cs="Times New Roman" w:eastAsia="Times New Roman" w:hAnsi="Times New Roman"/>
          <w:sz w:val="20"/>
          <w:szCs w:val="20"/>
          <w:u w:val="single" w:color="auto"/>
          <w:color w:val="auto"/>
        </w:rPr>
        <w:t>/s/ Brian Myers</w:t>
      </w:r>
      <w:r>
        <w:rPr>
          <w:rFonts w:ascii="Times New Roman" w:cs="Times New Roman" w:eastAsia="Times New Roman" w:hAnsi="Times New Roman"/>
          <w:sz w:val="20"/>
          <w:szCs w:val="20"/>
          <w:color w:val="auto"/>
        </w:rPr>
        <w:t>__________________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Brian Myers</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[Kratos—Second Amendment]</w:t>
      </w:r>
    </w:p>
    <w:p>
      <w:pPr>
        <w:sectPr>
          <w:pgSz w:w="11900" w:h="16838" w:orient="portrait"/>
          <w:cols w:equalWidth="0" w:num="1">
            <w:col w:w="10120"/>
          </w:cols>
          <w:pgMar w:left="1440" w:top="1345" w:right="339" w:bottom="1440" w:gutter="0" w:footer="0" w:header="0"/>
        </w:sectPr>
      </w:pPr>
    </w:p>
    <w:bookmarkStart w:id="148" w:name="page149"/>
    <w:bookmarkEnd w:id="148"/>
    <w:p>
      <w:pPr>
        <w:ind w:left="2540"/>
        <w:spacing w:after="0"/>
        <w:rPr>
          <w:sz w:val="20"/>
          <w:szCs w:val="20"/>
          <w:color w:val="auto"/>
        </w:rPr>
      </w:pPr>
      <w:r>
        <w:rPr>
          <w:rFonts w:ascii="Times New Roman" w:cs="Times New Roman" w:eastAsia="Times New Roman" w:hAnsi="Times New Roman"/>
          <w:sz w:val="20"/>
          <w:szCs w:val="20"/>
          <w:b w:val="1"/>
          <w:bCs w:val="1"/>
          <w:color w:val="auto"/>
        </w:rPr>
        <w:t>REGIONS BANK</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By:___</w:t>
      </w:r>
      <w:r>
        <w:rPr>
          <w:rFonts w:ascii="Times New Roman" w:cs="Times New Roman" w:eastAsia="Times New Roman" w:hAnsi="Times New Roman"/>
          <w:sz w:val="20"/>
          <w:szCs w:val="20"/>
          <w:u w:val="single" w:color="auto"/>
          <w:color w:val="auto"/>
        </w:rPr>
        <w:t>/s/ George Hunter</w:t>
      </w:r>
      <w:r>
        <w:rPr>
          <w:rFonts w:ascii="Times New Roman" w:cs="Times New Roman" w:eastAsia="Times New Roman" w:hAnsi="Times New Roman"/>
          <w:sz w:val="20"/>
          <w:szCs w:val="20"/>
          <w:color w:val="auto"/>
        </w:rPr>
        <w:t>______________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George Hunter</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[Kratos—Second Amendment]</w:t>
      </w:r>
    </w:p>
    <w:p>
      <w:pPr>
        <w:sectPr>
          <w:pgSz w:w="11900" w:h="16838" w:orient="portrait"/>
          <w:cols w:equalWidth="0" w:num="1">
            <w:col w:w="10120"/>
          </w:cols>
          <w:pgMar w:left="1440" w:top="1345" w:right="339" w:bottom="1440" w:gutter="0" w:footer="0" w:header="0"/>
        </w:sectPr>
      </w:pPr>
    </w:p>
    <w:bookmarkStart w:id="149" w:name="page150"/>
    <w:bookmarkEnd w:id="149"/>
    <w:p>
      <w:pPr>
        <w:ind w:left="2540"/>
        <w:spacing w:after="0"/>
        <w:rPr>
          <w:sz w:val="20"/>
          <w:szCs w:val="20"/>
          <w:color w:val="auto"/>
        </w:rPr>
      </w:pPr>
      <w:r>
        <w:rPr>
          <w:rFonts w:ascii="Times New Roman" w:cs="Times New Roman" w:eastAsia="Times New Roman" w:hAnsi="Times New Roman"/>
          <w:sz w:val="20"/>
          <w:szCs w:val="20"/>
          <w:b w:val="1"/>
          <w:bCs w:val="1"/>
          <w:color w:val="auto"/>
        </w:rPr>
        <w:t>FIRST NATIONAL BANK OF PENNSYLVANIA</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w:t>
      </w:r>
      <w:r>
        <w:rPr>
          <w:rFonts w:ascii="Times New Roman" w:cs="Times New Roman" w:eastAsia="Times New Roman" w:hAnsi="Times New Roman"/>
          <w:sz w:val="20"/>
          <w:szCs w:val="20"/>
          <w:u w:val="single" w:color="auto"/>
          <w:color w:val="auto"/>
        </w:rPr>
        <w:t>/s/ M. Claire Harshbarger</w:t>
      </w:r>
      <w:r>
        <w:rPr>
          <w:rFonts w:ascii="Times New Roman" w:cs="Times New Roman" w:eastAsia="Times New Roman" w:hAnsi="Times New Roman"/>
          <w:sz w:val="20"/>
          <w:szCs w:val="20"/>
          <w:color w:val="auto"/>
        </w:rPr>
        <w:t>______________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M. Claire Harshbarger</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[Kratos—Second Amendment]</w:t>
      </w:r>
    </w:p>
    <w:p>
      <w:pPr>
        <w:sectPr>
          <w:pgSz w:w="11900" w:h="16838" w:orient="portrait"/>
          <w:cols w:equalWidth="0" w:num="1">
            <w:col w:w="10120"/>
          </w:cols>
          <w:pgMar w:left="1440" w:top="1345" w:right="339" w:bottom="1440" w:gutter="0" w:footer="0" w:header="0"/>
        </w:sectPr>
      </w:pPr>
    </w:p>
    <w:bookmarkStart w:id="150" w:name="page151"/>
    <w:bookmarkEnd w:id="150"/>
    <w:p>
      <w:pPr>
        <w:ind w:left="2540"/>
        <w:spacing w:after="0"/>
        <w:rPr>
          <w:sz w:val="20"/>
          <w:szCs w:val="20"/>
          <w:color w:val="auto"/>
        </w:rPr>
      </w:pPr>
      <w:r>
        <w:rPr>
          <w:rFonts w:ascii="Times New Roman" w:cs="Times New Roman" w:eastAsia="Times New Roman" w:hAnsi="Times New Roman"/>
          <w:sz w:val="20"/>
          <w:szCs w:val="20"/>
          <w:b w:val="1"/>
          <w:bCs w:val="1"/>
          <w:color w:val="auto"/>
        </w:rPr>
        <w:t>U.S. BANK NATIONAL ASSOCIATION</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By:___</w:t>
      </w:r>
      <w:r>
        <w:rPr>
          <w:rFonts w:ascii="Times New Roman" w:cs="Times New Roman" w:eastAsia="Times New Roman" w:hAnsi="Times New Roman"/>
          <w:sz w:val="20"/>
          <w:szCs w:val="20"/>
          <w:u w:val="single" w:color="auto"/>
          <w:color w:val="auto"/>
        </w:rPr>
        <w:t>/s/ Paul F. Johnson</w:t>
      </w:r>
      <w:r>
        <w:rPr>
          <w:rFonts w:ascii="Times New Roman" w:cs="Times New Roman" w:eastAsia="Times New Roman" w:hAnsi="Times New Roman"/>
          <w:sz w:val="20"/>
          <w:szCs w:val="20"/>
          <w:color w:val="auto"/>
        </w:rPr>
        <w:t>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Paul F. Johnson</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[Kratos—Second Amendment]</w:t>
      </w:r>
    </w:p>
    <w:p>
      <w:pPr>
        <w:sectPr>
          <w:pgSz w:w="11900" w:h="16838" w:orient="portrait"/>
          <w:cols w:equalWidth="0" w:num="1">
            <w:col w:w="10120"/>
          </w:cols>
          <w:pgMar w:left="1440" w:top="1345" w:right="339" w:bottom="1440" w:gutter="0" w:footer="0" w:header="0"/>
        </w:sectPr>
      </w:pPr>
    </w:p>
    <w:bookmarkStart w:id="151" w:name="page152"/>
    <w:bookmarkEnd w:id="151"/>
    <w:p>
      <w:pPr>
        <w:ind w:left="2540"/>
        <w:spacing w:after="0"/>
        <w:rPr>
          <w:sz w:val="20"/>
          <w:szCs w:val="20"/>
          <w:color w:val="auto"/>
        </w:rPr>
      </w:pPr>
      <w:r>
        <w:rPr>
          <w:rFonts w:ascii="Times New Roman" w:cs="Times New Roman" w:eastAsia="Times New Roman" w:hAnsi="Times New Roman"/>
          <w:sz w:val="20"/>
          <w:szCs w:val="20"/>
          <w:b w:val="1"/>
          <w:bCs w:val="1"/>
          <w:color w:val="auto"/>
        </w:rPr>
        <w:t xml:space="preserve">CADENCE BANK </w:t>
      </w:r>
      <w:r>
        <w:rPr>
          <w:rFonts w:ascii="Times New Roman" w:cs="Times New Roman" w:eastAsia="Times New Roman" w:hAnsi="Times New Roman"/>
          <w:sz w:val="20"/>
          <w:szCs w:val="20"/>
          <w:color w:val="auto"/>
        </w:rPr>
        <w:t>(FKA, BancorpSouth Bank),</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By:____</w:t>
      </w:r>
      <w:r>
        <w:rPr>
          <w:rFonts w:ascii="Times New Roman" w:cs="Times New Roman" w:eastAsia="Times New Roman" w:hAnsi="Times New Roman"/>
          <w:sz w:val="20"/>
          <w:szCs w:val="20"/>
          <w:u w:val="single" w:color="auto"/>
          <w:color w:val="auto"/>
        </w:rPr>
        <w:t>/s/ Carson Thoma</w:t>
      </w:r>
      <w:r>
        <w:rPr>
          <w:rFonts w:ascii="Times New Roman" w:cs="Times New Roman" w:eastAsia="Times New Roman" w:hAnsi="Times New Roman"/>
          <w:sz w:val="20"/>
          <w:szCs w:val="20"/>
          <w:color w:val="auto"/>
        </w:rPr>
        <w:t>_______________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Carson Thoma</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Sr.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[Kratos—Second Amendment]</w:t>
      </w:r>
    </w:p>
    <w:p>
      <w:pPr>
        <w:sectPr>
          <w:pgSz w:w="11900" w:h="16838" w:orient="portrait"/>
          <w:cols w:equalWidth="0" w:num="1">
            <w:col w:w="10120"/>
          </w:cols>
          <w:pgMar w:left="1440" w:top="1345" w:right="339" w:bottom="1440" w:gutter="0" w:footer="0" w:header="0"/>
        </w:sectPr>
      </w:pPr>
    </w:p>
    <w:bookmarkStart w:id="152" w:name="page153"/>
    <w:bookmarkEnd w:id="152"/>
    <w:p>
      <w:pPr>
        <w:ind w:left="2540"/>
        <w:spacing w:after="0"/>
        <w:rPr>
          <w:sz w:val="20"/>
          <w:szCs w:val="20"/>
          <w:color w:val="auto"/>
        </w:rPr>
      </w:pPr>
      <w:r>
        <w:rPr>
          <w:rFonts w:ascii="Times New Roman" w:cs="Times New Roman" w:eastAsia="Times New Roman" w:hAnsi="Times New Roman"/>
          <w:sz w:val="20"/>
          <w:szCs w:val="20"/>
          <w:b w:val="1"/>
          <w:bCs w:val="1"/>
          <w:color w:val="auto"/>
        </w:rPr>
        <w:t>ASSOCIATED BANK, N.A</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By:___</w:t>
      </w:r>
      <w:r>
        <w:rPr>
          <w:rFonts w:ascii="Times New Roman" w:cs="Times New Roman" w:eastAsia="Times New Roman" w:hAnsi="Times New Roman"/>
          <w:sz w:val="20"/>
          <w:szCs w:val="20"/>
          <w:u w:val="single" w:color="auto"/>
          <w:color w:val="auto"/>
        </w:rPr>
        <w:t>/s/ Kyle Nass</w:t>
      </w:r>
      <w:r>
        <w:rPr>
          <w:rFonts w:ascii="Times New Roman" w:cs="Times New Roman" w:eastAsia="Times New Roman" w:hAnsi="Times New Roman"/>
          <w:sz w:val="20"/>
          <w:szCs w:val="20"/>
          <w:color w:val="auto"/>
        </w:rPr>
        <w:t>_____________________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Kyle Nass</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[Kratos—Second Amendment]</w:t>
      </w:r>
    </w:p>
    <w:p>
      <w:pPr>
        <w:sectPr>
          <w:pgSz w:w="11900" w:h="16838" w:orient="portrait"/>
          <w:cols w:equalWidth="0" w:num="1">
            <w:col w:w="10120"/>
          </w:cols>
          <w:pgMar w:left="1440" w:top="1345" w:right="339" w:bottom="1440" w:gutter="0" w:footer="0" w:header="0"/>
        </w:sectPr>
      </w:pPr>
    </w:p>
    <w:bookmarkStart w:id="153" w:name="page154"/>
    <w:bookmarkEnd w:id="153"/>
    <w:p>
      <w:pPr>
        <w:spacing w:after="0" w:line="33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SYNOVUS BANK</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By:___</w:t>
      </w:r>
      <w:r>
        <w:rPr>
          <w:rFonts w:ascii="Times New Roman" w:cs="Times New Roman" w:eastAsia="Times New Roman" w:hAnsi="Times New Roman"/>
          <w:sz w:val="20"/>
          <w:szCs w:val="20"/>
          <w:u w:val="single" w:color="auto"/>
          <w:color w:val="auto"/>
        </w:rPr>
        <w:t>/s/ Robert Haley</w:t>
      </w:r>
      <w:r>
        <w:rPr>
          <w:rFonts w:ascii="Times New Roman" w:cs="Times New Roman" w:eastAsia="Times New Roman" w:hAnsi="Times New Roman"/>
          <w:sz w:val="20"/>
          <w:szCs w:val="20"/>
          <w:color w:val="auto"/>
        </w:rPr>
        <w:t>___________________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Robert Haley</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[Kratos—Second Amendment]</w:t>
      </w:r>
    </w:p>
    <w:p>
      <w:pPr>
        <w:sectPr>
          <w:pgSz w:w="11900" w:h="16838" w:orient="portrait"/>
          <w:cols w:equalWidth="0" w:num="1">
            <w:col w:w="10120"/>
          </w:cols>
          <w:pgMar w:left="1440" w:top="1440" w:right="339" w:bottom="1440" w:gutter="0" w:footer="0" w:header="0"/>
        </w:sectPr>
      </w:pPr>
    </w:p>
    <w:bookmarkStart w:id="154" w:name="page155"/>
    <w:bookmarkEnd w:id="154"/>
    <w:p>
      <w:pPr>
        <w:spacing w:after="0" w:line="10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TRUSTMARK NATIONAL BANK</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w:t>
      </w:r>
      <w:r>
        <w:rPr>
          <w:rFonts w:ascii="Times New Roman" w:cs="Times New Roman" w:eastAsia="Times New Roman" w:hAnsi="Times New Roman"/>
          <w:sz w:val="20"/>
          <w:szCs w:val="20"/>
          <w:u w:val="single" w:color="auto"/>
          <w:color w:val="auto"/>
        </w:rPr>
        <w:t>/s/ Robert F. Diehl, Jr.</w:t>
      </w:r>
      <w:r>
        <w:rPr>
          <w:rFonts w:ascii="Times New Roman" w:cs="Times New Roman" w:eastAsia="Times New Roman" w:hAnsi="Times New Roman"/>
          <w:sz w:val="20"/>
          <w:szCs w:val="20"/>
          <w:color w:val="auto"/>
        </w:rPr>
        <w:t>_______________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Robert F. Diehl, Jr.</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[Kratos—Second Amendment]</w:t>
      </w:r>
    </w:p>
    <w:p>
      <w:pPr>
        <w:sectPr>
          <w:pgSz w:w="11900" w:h="16838" w:orient="portrait"/>
          <w:cols w:equalWidth="0" w:num="1">
            <w:col w:w="10120"/>
          </w:cols>
          <w:pgMar w:left="1440" w:top="1440"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7"/>
          <w:szCs w:val="17"/>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AMENDMENT TO CREDIT AGREEMENT</w:t>
      </w:r>
    </w:p>
    <w:p>
      <w:pPr>
        <w:spacing w:after="0" w:line="216" w:lineRule="exact"/>
        <w:rPr>
          <w:sz w:val="20"/>
          <w:szCs w:val="20"/>
          <w:color w:val="auto"/>
        </w:rPr>
      </w:pPr>
    </w:p>
    <w:p>
      <w:pPr>
        <w:jc w:val="both"/>
        <w:ind w:firstLine="221"/>
        <w:spacing w:after="0" w:line="270"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THIRD AMENDMENT TO CREDIT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is made and entered into as of November 4, 2025, by and among </w:t>
      </w:r>
      <w:r>
        <w:rPr>
          <w:rFonts w:ascii="Times New Roman" w:cs="Times New Roman" w:eastAsia="Times New Roman" w:hAnsi="Times New Roman"/>
          <w:sz w:val="20"/>
          <w:szCs w:val="20"/>
          <w:b w:val="1"/>
          <w:bCs w:val="1"/>
          <w:color w:val="auto"/>
        </w:rPr>
        <w:t>KRATOS DEFENSE &amp; SECURITY SOLUTIONS,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the other Loan Parties party hereto, the Lenders (as defined below) party hereto and </w:t>
      </w: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 in its capacity as administrative agent for the Lenders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 xml:space="preserve"> :</w:t>
      </w:r>
    </w:p>
    <w:p>
      <w:pPr>
        <w:spacing w:after="0" w:line="212" w:lineRule="exact"/>
        <w:rPr>
          <w:sz w:val="20"/>
          <w:szCs w:val="20"/>
          <w:color w:val="auto"/>
        </w:rPr>
      </w:pPr>
    </w:p>
    <w:p>
      <w:pPr>
        <w:jc w:val="both"/>
        <w:ind w:firstLine="357"/>
        <w:spacing w:after="0" w:line="26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the several banks and other financial institutions and lenders from time to time party thereto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the Administrative Agent have executed and delivered that certain Credit Agreement dated as of February 18, 2022, as amended by that certain First Amendment to Credit Agreement dated as of March 9, 2023, as further amended by that certain Second Amendment to Credit Agreement, dated as of March 8, 2024 (as further amended, restated, amended and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w:t>
      </w:r>
    </w:p>
    <w:p>
      <w:pPr>
        <w:spacing w:after="0" w:line="152" w:lineRule="exact"/>
        <w:rPr>
          <w:sz w:val="20"/>
          <w:szCs w:val="20"/>
          <w:color w:val="auto"/>
        </w:rPr>
      </w:pPr>
    </w:p>
    <w:p>
      <w:pPr>
        <w:jc w:val="both"/>
        <w:ind w:firstLine="293"/>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requested that the Administrative Agent and the Lenders agree to amend certain provisions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Agreement as set forth herein, and the Administrative Agent and the Lenders party hereto have agreed to such amendments, in each case subject to the terms and conditions hereof.</w:t>
      </w:r>
    </w:p>
    <w:p>
      <w:pPr>
        <w:spacing w:after="0" w:line="158" w:lineRule="exact"/>
        <w:rPr>
          <w:sz w:val="20"/>
          <w:szCs w:val="20"/>
          <w:color w:val="auto"/>
        </w:rPr>
      </w:pPr>
    </w:p>
    <w:p>
      <w:pPr>
        <w:jc w:val="both"/>
        <w:ind w:firstLine="280"/>
        <w:spacing w:after="0" w:line="29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and in consideration of the above premises and other good and valuable consideration, the receipt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sufficiency of which is hereby acknowledged by the parties hereto, each of the parties hereto hereby covenants and agrees as follows:</w:t>
      </w:r>
    </w:p>
    <w:p>
      <w:pPr>
        <w:spacing w:after="0" w:line="105" w:lineRule="exact"/>
        <w:rPr>
          <w:sz w:val="20"/>
          <w:szCs w:val="20"/>
          <w:color w:val="auto"/>
        </w:rPr>
      </w:pPr>
    </w:p>
    <w:p>
      <w:pPr>
        <w:jc w:val="both"/>
        <w:ind w:firstLine="611"/>
        <w:spacing w:after="0"/>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Unless otherwise specifically defined herein, each term used herein (and in the recitals above) which is defined in the Credit Agreement shall have the meaning assigned to such term in the Credit Agreement, as amended hereby. Each reference to “hereof,” “hereunder,” “herein,” and “hereby” and each other similar reference and each reference to “this Agreement” and each other similar reference contained in the Credit Agreement shall from and after the date hereof refer to the Credit Agreement as amended hereby.</w:t>
      </w:r>
    </w:p>
    <w:p>
      <w:pPr>
        <w:spacing w:after="0" w:line="3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Amendments to Credit Agreement</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firstLine="613"/>
        <w:spacing w:after="0" w:line="249" w:lineRule="auto"/>
        <w:tabs>
          <w:tab w:leader="none" w:pos="118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Section 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Credit Agreement is hereby amended to add the following new defined terms thereto in appropriate alphabetical order:</w:t>
      </w:r>
    </w:p>
    <w:p>
      <w:pPr>
        <w:spacing w:after="0" w:line="15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Orbit</w:t>
      </w:r>
      <w:r>
        <w:rPr>
          <w:rFonts w:ascii="Times New Roman" w:cs="Times New Roman" w:eastAsia="Times New Roman" w:hAnsi="Times New Roman"/>
          <w:sz w:val="17"/>
          <w:szCs w:val="17"/>
          <w:color w:val="auto"/>
        </w:rPr>
        <w:t>” shall mean Orbit Technologies Ltd., a company organized under the laws of the State of Israel.</w:t>
      </w:r>
    </w:p>
    <w:p>
      <w:pPr>
        <w:spacing w:after="0" w:line="2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Orbit Acquisition</w:t>
      </w:r>
      <w:r>
        <w:rPr>
          <w:rFonts w:ascii="Times New Roman" w:cs="Times New Roman" w:eastAsia="Times New Roman" w:hAnsi="Times New Roman"/>
          <w:sz w:val="17"/>
          <w:szCs w:val="17"/>
          <w:color w:val="auto"/>
        </w:rPr>
        <w:t>” shall mean the acquisition of Orbit and its subsidiaries pursuant to the Orbit Acquisition Agreement.</w:t>
      </w:r>
    </w:p>
    <w:p>
      <w:pPr>
        <w:spacing w:after="0" w:line="212" w:lineRule="exact"/>
        <w:rPr>
          <w:sz w:val="20"/>
          <w:szCs w:val="20"/>
          <w:color w:val="auto"/>
        </w:rPr>
      </w:pPr>
    </w:p>
    <w:p>
      <w:pPr>
        <w:ind w:left="1220" w:right="120" w:firstLine="611"/>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Orbit Acquisition Agreement</w:t>
      </w:r>
      <w:r>
        <w:rPr>
          <w:rFonts w:ascii="Times New Roman" w:cs="Times New Roman" w:eastAsia="Times New Roman" w:hAnsi="Times New Roman"/>
          <w:sz w:val="17"/>
          <w:szCs w:val="17"/>
          <w:color w:val="auto"/>
        </w:rPr>
        <w:t>” shall mean that certain Agreement and Plan of Merger, dated as of November 4, 2025, by and among the Borrower, as parent, Kratos Holdings UK Limited, a private limited company incorporated under the laws of England and Wales and an indirect wholly owned subsidiary of the Borrower, as buyer, Kratos Acquisition Ltd., as merger subsidiary, and Orbit.</w:t>
      </w:r>
    </w:p>
    <w:p>
      <w:pPr>
        <w:sectPr>
          <w:pgSz w:w="11900" w:h="16838" w:orient="portrait"/>
          <w:cols w:equalWidth="0" w:num="1">
            <w:col w:w="11240"/>
          </w:cols>
          <w:pgMar w:left="320" w:top="119" w:right="339" w:bottom="1440" w:gutter="0" w:footer="0" w:header="0"/>
        </w:sectPr>
      </w:pPr>
    </w:p>
    <w:bookmarkStart w:id="156" w:name="page157"/>
    <w:bookmarkEnd w:id="156"/>
    <w:p>
      <w:pPr>
        <w:spacing w:after="0" w:line="88" w:lineRule="exact"/>
        <w:rPr>
          <w:sz w:val="20"/>
          <w:szCs w:val="20"/>
          <w:color w:val="auto"/>
        </w:rPr>
      </w:pPr>
    </w:p>
    <w:p>
      <w:pPr>
        <w:jc w:val="both"/>
        <w:ind w:firstLine="613"/>
        <w:spacing w:after="0" w:line="234" w:lineRule="auto"/>
        <w:tabs>
          <w:tab w:leader="none" w:pos="116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Section 7.4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of the Credit Agreement is hereby amended by (i) deleting the word “and” at the end of subparagraph (j), (ii) renumbering subparagraph (k) as subparagraph (l), and (iii) adding a new subparagraph (k) that reads, in its entirety, as follows:</w:t>
      </w:r>
    </w:p>
    <w:p>
      <w:pPr>
        <w:spacing w:after="0" w:line="163" w:lineRule="exact"/>
        <w:rPr>
          <w:rFonts w:ascii="Times New Roman" w:cs="Times New Roman" w:eastAsia="Times New Roman" w:hAnsi="Times New Roman"/>
          <w:sz w:val="20"/>
          <w:szCs w:val="20"/>
          <w:color w:val="auto"/>
        </w:rPr>
      </w:pPr>
    </w:p>
    <w:p>
      <w:pPr>
        <w:ind w:left="1160" w:hanging="377"/>
        <w:spacing w:after="0"/>
        <w:tabs>
          <w:tab w:leader="none" w:pos="116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connection with the Orbit Acquisition not to exceed $360,000,000.</w:t>
      </w:r>
    </w:p>
    <w:p>
      <w:pPr>
        <w:spacing w:after="0" w:line="190" w:lineRule="exact"/>
        <w:rPr>
          <w:sz w:val="20"/>
          <w:szCs w:val="20"/>
          <w:color w:val="auto"/>
        </w:rPr>
      </w:pPr>
    </w:p>
    <w:p>
      <w:pPr>
        <w:ind w:firstLine="611"/>
        <w:spacing w:after="0" w:line="249"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Agreement shall become effective only upon satisfaction or waiver of the following conditions precedent except as otherwise agreed between the Borrower and the Administrative Agent:</w:t>
      </w:r>
    </w:p>
    <w:p>
      <w:pPr>
        <w:spacing w:after="0" w:line="134" w:lineRule="exact"/>
        <w:rPr>
          <w:sz w:val="20"/>
          <w:szCs w:val="20"/>
          <w:color w:val="auto"/>
        </w:rPr>
      </w:pPr>
    </w:p>
    <w:p>
      <w:pPr>
        <w:ind w:firstLine="613"/>
        <w:spacing w:after="0" w:line="249" w:lineRule="auto"/>
        <w:tabs>
          <w:tab w:leader="none" w:pos="119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this Agreement duly executed by each of (i) the Loan Parties, (ii) the Required Lenders and (iii) the Administrative Agent; and</w:t>
      </w:r>
    </w:p>
    <w:p>
      <w:pPr>
        <w:spacing w:after="0" w:line="134" w:lineRule="exact"/>
        <w:rPr>
          <w:rFonts w:ascii="Times New Roman" w:cs="Times New Roman" w:eastAsia="Times New Roman" w:hAnsi="Times New Roman"/>
          <w:sz w:val="20"/>
          <w:szCs w:val="20"/>
          <w:color w:val="auto"/>
        </w:rPr>
      </w:pPr>
    </w:p>
    <w:p>
      <w:pPr>
        <w:jc w:val="both"/>
        <w:ind w:firstLine="613"/>
        <w:spacing w:after="0" w:line="234" w:lineRule="auto"/>
        <w:tabs>
          <w:tab w:leader="none" w:pos="116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all reasonable, out-of-pocket costs and expenses of the Administrative Agent due and payable on or prior to the date hereof, including, without limitation, reasonable fees, charges and disbursements of counsel for the Administrative Agent, required to be reimbursed or paid by the Borrower hereunder or under any other Loan Document.</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Miscellaneous Terms</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firstLine="613"/>
        <w:spacing w:after="0" w:line="249" w:lineRule="auto"/>
        <w:tabs>
          <w:tab w:leader="none" w:pos="1181"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For avoidance of doubt, the Loan Parties, the Lenders party hereto and the Administrative Agent each hereby acknowledges and agrees that this Agreement is a Loan Document.</w:t>
      </w:r>
    </w:p>
    <w:p>
      <w:pPr>
        <w:spacing w:after="0" w:line="134" w:lineRule="exact"/>
        <w:rPr>
          <w:rFonts w:ascii="Times New Roman" w:cs="Times New Roman" w:eastAsia="Times New Roman" w:hAnsi="Times New Roman"/>
          <w:sz w:val="20"/>
          <w:szCs w:val="20"/>
          <w:color w:val="auto"/>
        </w:rPr>
      </w:pPr>
    </w:p>
    <w:p>
      <w:pPr>
        <w:jc w:val="both"/>
        <w:ind w:firstLine="613"/>
        <w:spacing w:after="0" w:line="234" w:lineRule="auto"/>
        <w:tabs>
          <w:tab w:leader="none" w:pos="119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Agreement</w:t>
      </w:r>
      <w:r>
        <w:rPr>
          <w:rFonts w:ascii="Times New Roman" w:cs="Times New Roman" w:eastAsia="Times New Roman" w:hAnsi="Times New Roman"/>
          <w:sz w:val="20"/>
          <w:szCs w:val="20"/>
          <w:color w:val="auto"/>
        </w:rPr>
        <w:t>. Except as set forth expressly hereinabove, all terms of the Credit Agreement and the other Loan Documents shall be and remain in full force and effect, and shall constitute the legal, valid, binding, and enforceable obligations of the Loan Parties.</w:t>
      </w:r>
    </w:p>
    <w:p>
      <w:pPr>
        <w:spacing w:after="0" w:line="142" w:lineRule="exact"/>
        <w:rPr>
          <w:rFonts w:ascii="Times New Roman" w:cs="Times New Roman" w:eastAsia="Times New Roman" w:hAnsi="Times New Roman"/>
          <w:sz w:val="20"/>
          <w:szCs w:val="20"/>
          <w:color w:val="auto"/>
        </w:rPr>
      </w:pPr>
    </w:p>
    <w:p>
      <w:pPr>
        <w:jc w:val="both"/>
        <w:ind w:firstLine="613"/>
        <w:spacing w:after="0" w:line="218" w:lineRule="auto"/>
        <w:tabs>
          <w:tab w:leader="none" w:pos="1168"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Novation or Mutual Departure</w:t>
      </w:r>
      <w:r>
        <w:rPr>
          <w:rFonts w:ascii="Times New Roman" w:cs="Times New Roman" w:eastAsia="Times New Roman" w:hAnsi="Times New Roman"/>
          <w:sz w:val="20"/>
          <w:szCs w:val="20"/>
          <w:color w:val="auto"/>
        </w:rPr>
        <w:t xml:space="preserve">. The Loan Parties expressly acknowledge and agree that (i) there has not been, and this Agreement does not constitute or establish, a novation with respect to the Credit Agreement or any of the other Loan Documents, or a mutual departure from the strict terms, provisions, and conditions thereof, other than with respect to the amendments contained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above and (ii) nothing in this Agreement shall affect or limit the Administrative Agent’s or any Lender’s right to demand payment of liabilities owing from the Borrower or any other Loan Party to the Administrative Agent or the Lenders under, or to demand strict performance of the terms, provisions, and conditions of, the Credit Agreement and the other Loan Documents, to exercise any and all rights, powers, and remedies under the Credit Agreement or the other Loan Documents or at law or in equity, or to do any and all of the foregoing, immediately at any time after the occurrence of an Event of Default under the Credit Agreement or the other Loan Documents (provided that it is acknowledged and agreed (x) by the Borrower, as further set forth in Section 4(e) below, that as of the date hereof, and after giving effect to the terms hereof, there exists no Default or Event of Default and (y) by the Administrative Agent that as of the date hereof, it has not received written notice from the Borrower stating that a Default or Event of Default has occurred and is continuing).</w:t>
      </w:r>
    </w:p>
    <w:p>
      <w:pPr>
        <w:spacing w:after="0" w:line="147" w:lineRule="exact"/>
        <w:rPr>
          <w:rFonts w:ascii="Times New Roman" w:cs="Times New Roman" w:eastAsia="Times New Roman" w:hAnsi="Times New Roman"/>
          <w:sz w:val="20"/>
          <w:szCs w:val="20"/>
          <w:color w:val="auto"/>
        </w:rPr>
      </w:pPr>
    </w:p>
    <w:p>
      <w:pPr>
        <w:jc w:val="both"/>
        <w:ind w:firstLine="613"/>
        <w:spacing w:after="0" w:line="225" w:lineRule="auto"/>
        <w:tabs>
          <w:tab w:leader="none" w:pos="1167"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w:t>
      </w:r>
      <w:r>
        <w:rPr>
          <w:rFonts w:ascii="Times New Roman" w:cs="Times New Roman" w:eastAsia="Times New Roman" w:hAnsi="Times New Roman"/>
          <w:sz w:val="20"/>
          <w:szCs w:val="20"/>
          <w:color w:val="auto"/>
        </w:rPr>
        <w:t>. Each Loan Party hereby (i) restates, ratifies, and reaffirms all of its obligations and covenants set forth in the Credit Agreement and the other Loan Documents to which it is a party effective as of the date hereof and (ii) restates and renews each and every representation and warranty heretofore made by it in the Credit Agreement and the other Loan Documents as fully as if made on the date hereof and with specific reference to this Agreement and any other Loan Documents executed or delivered in connection herewith (except with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21" w:lineRule="exact"/>
        <w:rPr>
          <w:rFonts w:ascii="Times New Roman" w:cs="Times New Roman" w:eastAsia="Times New Roman" w:hAnsi="Times New Roman"/>
          <w:sz w:val="20"/>
          <w:szCs w:val="20"/>
          <w:color w:val="auto"/>
        </w:rPr>
      </w:pPr>
    </w:p>
    <w:p>
      <w:pPr>
        <w:ind w:left="260" w:hanging="122"/>
        <w:spacing w:after="0"/>
        <w:tabs>
          <w:tab w:leader="none" w:pos="2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8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respect to representations and warranties made as of an expressed date, in which case such representations and warranties shall be true and correct as of such date).</w:t>
      </w:r>
    </w:p>
    <w:p>
      <w:pPr>
        <w:spacing w:after="0" w:line="134" w:lineRule="exact"/>
        <w:rPr>
          <w:sz w:val="20"/>
          <w:szCs w:val="20"/>
          <w:color w:val="auto"/>
        </w:rPr>
      </w:pPr>
    </w:p>
    <w:p>
      <w:pPr>
        <w:jc w:val="both"/>
        <w:ind w:firstLine="613"/>
        <w:spacing w:after="0" w:line="228" w:lineRule="auto"/>
        <w:tabs>
          <w:tab w:leader="none" w:pos="116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To induce Lenders to enter into this Agreement, Borrower hereby acknowledges and agrees that, as of the date hereof, and after giving effect to the terms hereof, there exists (i) no Default or Event of Default and (ii) no right of offset, defense, counterclaim, claim, or objection in favor of Borrower or arising out of or with respect to any of the Loans or other obligations of Borrower owed to Lenders under the Credit Agreement or any other Loan Document.</w:t>
      </w:r>
    </w:p>
    <w:p>
      <w:pPr>
        <w:spacing w:after="0" w:line="144" w:lineRule="exact"/>
        <w:rPr>
          <w:rFonts w:ascii="Times New Roman" w:cs="Times New Roman" w:eastAsia="Times New Roman" w:hAnsi="Times New Roman"/>
          <w:sz w:val="20"/>
          <w:szCs w:val="20"/>
          <w:color w:val="auto"/>
        </w:rPr>
      </w:pPr>
    </w:p>
    <w:p>
      <w:pPr>
        <w:jc w:val="both"/>
        <w:ind w:firstLine="613"/>
        <w:spacing w:after="0" w:line="234" w:lineRule="auto"/>
        <w:tabs>
          <w:tab w:leader="none" w:pos="118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and by different parties hereto in separate counterparts, each of which when so executed and delivered shall be deemed to be an original and all of which counterparts, taken together, shall constitute but one and the same instrument.</w:t>
      </w:r>
    </w:p>
    <w:p>
      <w:pPr>
        <w:spacing w:after="0" w:line="142" w:lineRule="exact"/>
        <w:rPr>
          <w:rFonts w:ascii="Times New Roman" w:cs="Times New Roman" w:eastAsia="Times New Roman" w:hAnsi="Times New Roman"/>
          <w:sz w:val="20"/>
          <w:szCs w:val="20"/>
          <w:color w:val="auto"/>
        </w:rPr>
      </w:pPr>
    </w:p>
    <w:p>
      <w:pPr>
        <w:jc w:val="both"/>
        <w:ind w:firstLine="613"/>
        <w:spacing w:after="0" w:line="221" w:lineRule="auto"/>
        <w:tabs>
          <w:tab w:leader="none" w:pos="119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Fax or Other Transmission</w:t>
      </w:r>
      <w:r>
        <w:rPr>
          <w:rFonts w:ascii="Times New Roman" w:cs="Times New Roman" w:eastAsia="Times New Roman" w:hAnsi="Times New Roman"/>
          <w:sz w:val="20"/>
          <w:szCs w:val="20"/>
          <w:color w:val="auto"/>
        </w:rPr>
        <w:t xml:space="preserve">. Delivery by one or more parties hereto of an executed counterpart of this Agreement via facsimile, telecopy, other electronic method of transmission pursuant to which the signature of such party can be seen (including, without limitation, Adobe Corporation’s Portable Document Format) or electronic signature as permitted by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of the Credit Agreement shall have the same force and effect as the delivery of an original executed counterpart of this Agreement. Any party so delivering an executed counterpart of this Agreement by facsimile, telecopy, other electronic method of transmission or electronic signature shall also deliver an original executed counterpart, but the failure to do so shall not affect the validity, enforceability, or binding effect of this Agreement.</w:t>
      </w:r>
    </w:p>
    <w:p>
      <w:pPr>
        <w:spacing w:after="0" w:line="143" w:lineRule="exact"/>
        <w:rPr>
          <w:rFonts w:ascii="Times New Roman" w:cs="Times New Roman" w:eastAsia="Times New Roman" w:hAnsi="Times New Roman"/>
          <w:sz w:val="20"/>
          <w:szCs w:val="20"/>
          <w:color w:val="auto"/>
        </w:rPr>
      </w:pPr>
    </w:p>
    <w:p>
      <w:pPr>
        <w:ind w:left="1200" w:hanging="587"/>
        <w:spacing w:after="0"/>
        <w:tabs>
          <w:tab w:leader="none" w:pos="12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Recitals Incorporated Herein</w:t>
      </w:r>
      <w:r>
        <w:rPr>
          <w:rFonts w:ascii="Times New Roman" w:cs="Times New Roman" w:eastAsia="Times New Roman" w:hAnsi="Times New Roman"/>
          <w:sz w:val="20"/>
          <w:szCs w:val="20"/>
          <w:color w:val="auto"/>
        </w:rPr>
        <w:t>. The preamble and the recitals to this Agreement are hereby incorporated herein by this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w:t>
      </w:r>
    </w:p>
    <w:p>
      <w:pPr>
        <w:spacing w:after="0" w:line="155" w:lineRule="exact"/>
        <w:rPr>
          <w:rFonts w:ascii="Times New Roman" w:cs="Times New Roman" w:eastAsia="Times New Roman" w:hAnsi="Times New Roman"/>
          <w:sz w:val="20"/>
          <w:szCs w:val="20"/>
          <w:color w:val="auto"/>
        </w:rPr>
      </w:pPr>
    </w:p>
    <w:p>
      <w:pPr>
        <w:ind w:firstLine="613"/>
        <w:spacing w:after="0" w:line="249" w:lineRule="auto"/>
        <w:tabs>
          <w:tab w:leader="none" w:pos="11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References</w:t>
      </w:r>
      <w:r>
        <w:rPr>
          <w:rFonts w:ascii="Times New Roman" w:cs="Times New Roman" w:eastAsia="Times New Roman" w:hAnsi="Times New Roman"/>
          <w:sz w:val="20"/>
          <w:szCs w:val="20"/>
          <w:color w:val="auto"/>
        </w:rPr>
        <w:t>. Section titles and references used in this Agreement shall be without substantive meaning or content of any kind whatsoever and are not a part of the agreements among the parties hereto evidenced hereby.</w:t>
      </w:r>
    </w:p>
    <w:p>
      <w:pPr>
        <w:spacing w:after="0" w:line="134" w:lineRule="exact"/>
        <w:rPr>
          <w:rFonts w:ascii="Times New Roman" w:cs="Times New Roman" w:eastAsia="Times New Roman" w:hAnsi="Times New Roman"/>
          <w:sz w:val="20"/>
          <w:szCs w:val="20"/>
          <w:color w:val="auto"/>
        </w:rPr>
      </w:pPr>
    </w:p>
    <w:p>
      <w:pPr>
        <w:jc w:val="both"/>
        <w:ind w:firstLine="613"/>
        <w:spacing w:after="0" w:line="234" w:lineRule="auto"/>
        <w:tabs>
          <w:tab w:leader="none" w:pos="11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and interpreted in accordance with the internal laws of the State of New York but excluding any principles of conflicts of law or other rule of law that would cause the application of the law of any jurisdiction other than the laws of the State of New York.</w:t>
      </w:r>
    </w:p>
    <w:p>
      <w:pPr>
        <w:spacing w:after="0" w:line="142" w:lineRule="exact"/>
        <w:rPr>
          <w:rFonts w:ascii="Times New Roman" w:cs="Times New Roman" w:eastAsia="Times New Roman" w:hAnsi="Times New Roman"/>
          <w:sz w:val="20"/>
          <w:szCs w:val="20"/>
          <w:color w:val="auto"/>
        </w:rPr>
      </w:pPr>
    </w:p>
    <w:p>
      <w:pPr>
        <w:jc w:val="both"/>
        <w:ind w:firstLine="613"/>
        <w:spacing w:after="0" w:line="234" w:lineRule="auto"/>
        <w:tabs>
          <w:tab w:leader="none" w:pos="11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Agreement which is prohibited or unenforceable shall be ineffective to the extent of such prohibition or unenforceability without invalidating the remaining provisions hereof in that jurisdiction or affecting the validity or enforceability of such provision in any other jurisdiction.</w:t>
      </w:r>
    </w:p>
    <w:p>
      <w:pPr>
        <w:spacing w:after="0" w:line="142" w:lineRule="exact"/>
        <w:rPr>
          <w:rFonts w:ascii="Times New Roman" w:cs="Times New Roman" w:eastAsia="Times New Roman" w:hAnsi="Times New Roman"/>
          <w:sz w:val="20"/>
          <w:szCs w:val="20"/>
          <w:color w:val="auto"/>
        </w:rPr>
      </w:pPr>
    </w:p>
    <w:p>
      <w:pPr>
        <w:jc w:val="both"/>
        <w:ind w:firstLine="613"/>
        <w:spacing w:after="0" w:line="234" w:lineRule="auto"/>
        <w:tabs>
          <w:tab w:leader="none" w:pos="119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Each Guarantor (i) consents to the execution and delivery of this Agreement, (ii) reaffirms all of its obligations and covenants under the Loan Documents to which it is a party, and (iii) agrees that none of its respective obligations and covenants shall be reduced or limited by the execution and delivery of this Agreement.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- 3-</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14" w:lineRule="exact"/>
        <w:rPr>
          <w:sz w:val="20"/>
          <w:szCs w:val="20"/>
          <w:color w:val="auto"/>
        </w:rPr>
      </w:pPr>
    </w:p>
    <w:p>
      <w:pPr>
        <w:ind w:firstLine="238"/>
        <w:spacing w:after="0" w:line="289" w:lineRule="auto"/>
        <w:rPr>
          <w:sz w:val="20"/>
          <w:szCs w:val="20"/>
          <w:color w:val="auto"/>
        </w:rPr>
      </w:pPr>
      <w:r>
        <w:rPr>
          <w:rFonts w:ascii="Times New Roman" w:cs="Times New Roman" w:eastAsia="Times New Roman" w:hAnsi="Times New Roman"/>
          <w:sz w:val="20"/>
          <w:szCs w:val="20"/>
          <w:color w:val="auto"/>
        </w:rPr>
        <w:t>IN WITNESS WHEREOF, each of the parties hereto has caused this Agreement to be duly executed by its duly authorized officer as of the day and year first above written.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KRATOS DEFENSE &amp; SECURITY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SOLUTIONS, INC.</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w:t>
      </w:r>
      <w:r>
        <w:rPr>
          <w:rFonts w:ascii="Times New Roman" w:cs="Times New Roman" w:eastAsia="Times New Roman" w:hAnsi="Times New Roman"/>
          <w:sz w:val="20"/>
          <w:szCs w:val="20"/>
          <w:u w:val="single" w:color="auto"/>
          <w:color w:val="auto"/>
        </w:rPr>
        <w:t>/s/ Deanna Lund</w:t>
      </w:r>
      <w:r>
        <w:rPr>
          <w:rFonts w:ascii="Times New Roman" w:cs="Times New Roman" w:eastAsia="Times New Roman" w:hAnsi="Times New Roman"/>
          <w:sz w:val="20"/>
          <w:szCs w:val="20"/>
          <w:color w:val="auto"/>
        </w:rPr>
        <w:t>____________________</w:t>
      </w:r>
    </w:p>
    <w:p>
      <w:pPr>
        <w:spacing w:after="0" w:line="3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Deanna Lund</w:t>
      </w:r>
    </w:p>
    <w:p>
      <w:pPr>
        <w:spacing w:after="0" w:line="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EVP, CFO</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[Kratos—Third Amendment]</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DEFENSE &amp; SECURITY SOLUTIONS,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5-D SYSTEMS,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BSC PARTNERS, LLC</w:t>
      </w:r>
    </w:p>
    <w:p>
      <w:pPr>
        <w:spacing w:after="0" w:line="214" w:lineRule="exact"/>
        <w:rPr>
          <w:sz w:val="20"/>
          <w:szCs w:val="20"/>
          <w:color w:val="auto"/>
        </w:rPr>
      </w:pPr>
    </w:p>
    <w:p>
      <w:pPr>
        <w:ind w:right="1080"/>
        <w:spacing w:after="0" w:line="470" w:lineRule="auto"/>
        <w:rPr>
          <w:sz w:val="20"/>
          <w:szCs w:val="20"/>
          <w:color w:val="auto"/>
        </w:rPr>
      </w:pPr>
      <w:r>
        <w:rPr>
          <w:rFonts w:ascii="Times New Roman" w:cs="Times New Roman" w:eastAsia="Times New Roman" w:hAnsi="Times New Roman"/>
          <w:sz w:val="19"/>
          <w:szCs w:val="19"/>
          <w:b w:val="1"/>
          <w:bCs w:val="1"/>
          <w:color w:val="auto"/>
        </w:rPr>
        <w:t>CONSOLIDATED TURBINE SPECIALISTS LLC KRATOS MICROWAVE, INC. DALLASTOWN REALTY I, LLC</w:t>
      </w:r>
    </w:p>
    <w:p>
      <w:pPr>
        <w:spacing w:after="0" w:line="3" w:lineRule="exact"/>
        <w:rPr>
          <w:sz w:val="20"/>
          <w:szCs w:val="20"/>
          <w:color w:val="auto"/>
        </w:rPr>
      </w:pPr>
    </w:p>
    <w:p>
      <w:pPr>
        <w:ind w:right="2000"/>
        <w:spacing w:after="0" w:line="468" w:lineRule="auto"/>
        <w:rPr>
          <w:sz w:val="20"/>
          <w:szCs w:val="20"/>
          <w:color w:val="auto"/>
        </w:rPr>
      </w:pPr>
      <w:r>
        <w:rPr>
          <w:rFonts w:ascii="Times New Roman" w:cs="Times New Roman" w:eastAsia="Times New Roman" w:hAnsi="Times New Roman"/>
          <w:sz w:val="19"/>
          <w:szCs w:val="19"/>
          <w:b w:val="1"/>
          <w:bCs w:val="1"/>
          <w:color w:val="auto"/>
        </w:rPr>
        <w:t>DALLASTOWN REALTY II, LLC DIGITAL FUSION SOLUTIONS, INC. DIGITAL FUSION, INC. DTI ASSOCIATES,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FLORIDA TURBINE TECHNOLOGIES,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FTT AMERICA, LLC</w:t>
      </w:r>
    </w:p>
    <w:p>
      <w:pPr>
        <w:spacing w:after="0" w:line="202" w:lineRule="exact"/>
        <w:rPr>
          <w:sz w:val="20"/>
          <w:szCs w:val="20"/>
          <w:color w:val="auto"/>
        </w:rPr>
      </w:pPr>
    </w:p>
    <w:p>
      <w:pPr>
        <w:ind w:right="820"/>
        <w:spacing w:after="0" w:line="498" w:lineRule="auto"/>
        <w:rPr>
          <w:sz w:val="20"/>
          <w:szCs w:val="20"/>
          <w:color w:val="auto"/>
        </w:rPr>
      </w:pPr>
      <w:r>
        <w:rPr>
          <w:rFonts w:ascii="Times New Roman" w:cs="Times New Roman" w:eastAsia="Times New Roman" w:hAnsi="Times New Roman"/>
          <w:sz w:val="18"/>
          <w:szCs w:val="18"/>
          <w:b w:val="1"/>
          <w:bCs w:val="1"/>
          <w:color w:val="auto"/>
        </w:rPr>
        <w:t>GENERAL MICROWAVE CORPORATION GENERAL MICROWAVE ISRAEL CORPORATION GICHNER SYSTEMS GROUP, INC. GICHNER SYSTEMS INTERNATIONAL,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HAVERSTICK CONSULTING,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HGS HOLDINGS, INC.</w:t>
      </w:r>
    </w:p>
    <w:p>
      <w:pPr>
        <w:spacing w:after="0" w:line="214" w:lineRule="exact"/>
        <w:rPr>
          <w:sz w:val="20"/>
          <w:szCs w:val="20"/>
          <w:color w:val="auto"/>
        </w:rPr>
      </w:pPr>
    </w:p>
    <w:p>
      <w:pPr>
        <w:spacing w:after="0" w:line="476" w:lineRule="auto"/>
        <w:rPr>
          <w:sz w:val="20"/>
          <w:szCs w:val="20"/>
          <w:color w:val="auto"/>
        </w:rPr>
      </w:pPr>
      <w:r>
        <w:rPr>
          <w:rFonts w:ascii="Times New Roman" w:cs="Times New Roman" w:eastAsia="Times New Roman" w:hAnsi="Times New Roman"/>
          <w:sz w:val="19"/>
          <w:szCs w:val="19"/>
          <w:b w:val="1"/>
          <w:bCs w:val="1"/>
          <w:color w:val="auto"/>
        </w:rPr>
        <w:t>KRATOS ANTENNA HOLDINGS DIVISION, INC. KRATOS ANTENNA SOLUTIONS CORPORATION KRATOS ANTENNA SOLUTIONS GLOBAL CORPORATION KRATOS MICROWAVE HOLDING, LLC</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100"/>
        <w:spacing w:after="0" w:line="282" w:lineRule="auto"/>
        <w:rPr>
          <w:sz w:val="20"/>
          <w:szCs w:val="20"/>
          <w:color w:val="auto"/>
        </w:rPr>
      </w:pPr>
      <w:r>
        <w:rPr>
          <w:rFonts w:ascii="Times New Roman" w:cs="Times New Roman" w:eastAsia="Times New Roman" w:hAnsi="Times New Roman"/>
          <w:sz w:val="19"/>
          <w:szCs w:val="19"/>
          <w:b w:val="1"/>
          <w:bCs w:val="1"/>
          <w:color w:val="auto"/>
        </w:rPr>
        <w:t>KRATOS ANTENNA SOLUTIONS INTERNATIONAL CORPORATION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COMMUNICATIONS, INC.</w:t>
      </w:r>
    </w:p>
    <w:p>
      <w:pPr>
        <w:spacing w:after="0" w:line="214" w:lineRule="exact"/>
        <w:rPr>
          <w:sz w:val="20"/>
          <w:szCs w:val="20"/>
          <w:color w:val="auto"/>
        </w:rPr>
      </w:pPr>
    </w:p>
    <w:p>
      <w:pPr>
        <w:ind w:right="500"/>
        <w:spacing w:after="0" w:line="468" w:lineRule="auto"/>
        <w:rPr>
          <w:sz w:val="20"/>
          <w:szCs w:val="20"/>
          <w:color w:val="auto"/>
        </w:rPr>
      </w:pPr>
      <w:r>
        <w:rPr>
          <w:rFonts w:ascii="Times New Roman" w:cs="Times New Roman" w:eastAsia="Times New Roman" w:hAnsi="Times New Roman"/>
          <w:sz w:val="19"/>
          <w:szCs w:val="19"/>
          <w:b w:val="1"/>
          <w:bCs w:val="1"/>
          <w:color w:val="auto"/>
        </w:rPr>
        <w:t>KRATOS DEFENSE &amp; ROCKET SUPPORT SERVICES, INC. KRATOS INTEGRAL HOLDINGS,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INTEGRAL SYSTEMS INTERNATIONAL,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S1,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S2,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SPACE &amp; MISSILE DEFENSE SYSTEMS,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SRE,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SYSTEMS AND SOLUTIONS,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KRATOS TECHNOLOGY &amp; TRAINING SOLUTIONS,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UNMANNED AERIAL SYSTEMS,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KRATOS UNMANNED SYSTEMS SOLUTIONS,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KTT CORE,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MICRO SYSTEMS,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MSI ACQUISITION CORP.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SAT CORPORATION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SHADOW I,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SHADOW II, INC.</w:t>
      </w:r>
    </w:p>
    <w:p>
      <w:pPr>
        <w:spacing w:after="0" w:line="214" w:lineRule="exact"/>
        <w:rPr>
          <w:sz w:val="20"/>
          <w:szCs w:val="20"/>
          <w:color w:val="auto"/>
        </w:rPr>
      </w:pPr>
    </w:p>
    <w:p>
      <w:pPr>
        <w:jc w:val="both"/>
        <w:ind w:right="2260"/>
        <w:spacing w:after="0" w:line="517" w:lineRule="auto"/>
        <w:rPr>
          <w:sz w:val="20"/>
          <w:szCs w:val="20"/>
          <w:color w:val="auto"/>
        </w:rPr>
      </w:pPr>
      <w:r>
        <w:rPr>
          <w:rFonts w:ascii="Times New Roman" w:cs="Times New Roman" w:eastAsia="Times New Roman" w:hAnsi="Times New Roman"/>
          <w:sz w:val="18"/>
          <w:szCs w:val="18"/>
          <w:b w:val="1"/>
          <w:bCs w:val="1"/>
          <w:color w:val="auto"/>
        </w:rPr>
        <w:t>SIERRA TECHNICAL SERVICES, INC. SUMMIT RESEARCH CORPORATION TECHNICAL DIRECTIONS INC.</w:t>
      </w:r>
    </w:p>
    <w:p>
      <w:pPr>
        <w:spacing w:after="0" w:line="38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auto"/>
        </w:rPr>
        <w:t>By:</w:t>
        <w:tab/>
        <w:t>/s/ Deanna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-11430</wp:posOffset>
            </wp:positionV>
            <wp:extent cx="12573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Name: Deanna Lund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EVP, CFO</w:t>
      </w:r>
    </w:p>
    <w:p>
      <w:pPr>
        <w:spacing w:after="0" w:line="200" w:lineRule="exact"/>
        <w:rPr>
          <w:sz w:val="20"/>
          <w:szCs w:val="20"/>
          <w:color w:val="auto"/>
        </w:rPr>
      </w:pPr>
    </w:p>
    <w:p>
      <w:pPr>
        <w:sectPr>
          <w:pgSz w:w="11900" w:h="16838" w:orient="portrait"/>
          <w:cols w:equalWidth="0" w:num="2">
            <w:col w:w="5180" w:space="400"/>
            <w:col w:w="5600"/>
          </w:cols>
          <w:pgMar w:left="38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2"/>
          <w:szCs w:val="12"/>
          <w:color w:val="auto"/>
        </w:rPr>
        <w:t>[Kratos—Third Amendment]</w:t>
      </w:r>
    </w:p>
    <w:p>
      <w:pPr>
        <w:sectPr>
          <w:pgSz w:w="11900" w:h="16838" w:orient="portrait"/>
          <w:cols w:equalWidth="0" w:num="1">
            <w:col w:w="11180"/>
          </w:cols>
          <w:pgMar w:left="380" w:top="1440" w:right="339" w:bottom="1440" w:gutter="0" w:footer="0" w:header="0"/>
          <w:type w:val="continuous"/>
        </w:sectPr>
      </w:pPr>
    </w:p>
    <w:bookmarkStart w:id="160" w:name="page161"/>
    <w:bookmarkEnd w:id="160"/>
    <w:p>
      <w:pPr>
        <w:ind w:left="2540"/>
        <w:spacing w:after="0"/>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auto"/>
        </w:rPr>
        <w:t>as the Administrative Agent and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By:___</w:t>
      </w:r>
      <w:r>
        <w:rPr>
          <w:rFonts w:ascii="Times New Roman" w:cs="Times New Roman" w:eastAsia="Times New Roman" w:hAnsi="Times New Roman"/>
          <w:sz w:val="20"/>
          <w:szCs w:val="20"/>
          <w:u w:val="single" w:color="auto"/>
          <w:color w:val="auto"/>
        </w:rPr>
        <w:t>/s/ Anika Kirs</w:t>
      </w:r>
      <w:r>
        <w:rPr>
          <w:rFonts w:ascii="Times New Roman" w:cs="Times New Roman" w:eastAsia="Times New Roman" w:hAnsi="Times New Roman"/>
          <w:sz w:val="20"/>
          <w:szCs w:val="20"/>
          <w:color w:val="auto"/>
        </w:rPr>
        <w:t>____________________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Anika Kirs</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[Kratos—Third Amendment]</w:t>
      </w:r>
    </w:p>
    <w:p>
      <w:pPr>
        <w:sectPr>
          <w:pgSz w:w="11900" w:h="16838" w:orient="portrait"/>
          <w:cols w:equalWidth="0" w:num="1">
            <w:col w:w="10120"/>
          </w:cols>
          <w:pgMar w:left="1440" w:top="1345" w:right="339" w:bottom="1440" w:gutter="0" w:footer="0" w:header="0"/>
        </w:sectPr>
      </w:pPr>
    </w:p>
    <w:bookmarkStart w:id="161" w:name="page162"/>
    <w:bookmarkEnd w:id="161"/>
    <w:p>
      <w:pPr>
        <w:spacing w:after="0" w:line="11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w:t>
      </w:r>
      <w:r>
        <w:rPr>
          <w:rFonts w:ascii="Times New Roman" w:cs="Times New Roman" w:eastAsia="Times New Roman" w:hAnsi="Times New Roman"/>
          <w:sz w:val="20"/>
          <w:szCs w:val="20"/>
          <w:u w:val="single" w:color="auto"/>
          <w:color w:val="auto"/>
        </w:rPr>
        <w:t>/s/ Michael Mastronikolas</w:t>
      </w:r>
      <w:r>
        <w:rPr>
          <w:rFonts w:ascii="Times New Roman" w:cs="Times New Roman" w:eastAsia="Times New Roman" w:hAnsi="Times New Roman"/>
          <w:sz w:val="20"/>
          <w:szCs w:val="20"/>
          <w:color w:val="auto"/>
        </w:rPr>
        <w:t xml:space="preserve"> 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Michael Mastronikolas</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[Kratos—Third Amendment]</w:t>
      </w:r>
    </w:p>
    <w:p>
      <w:pPr>
        <w:sectPr>
          <w:pgSz w:w="11900" w:h="16838" w:orient="portrait"/>
          <w:cols w:equalWidth="0" w:num="1">
            <w:col w:w="10120"/>
          </w:cols>
          <w:pgMar w:left="1440" w:top="1440" w:right="339" w:bottom="1440" w:gutter="0" w:footer="0" w:header="0"/>
        </w:sectPr>
      </w:pPr>
    </w:p>
    <w:bookmarkStart w:id="162" w:name="page163"/>
    <w:bookmarkEnd w:id="162"/>
    <w:p>
      <w:pPr>
        <w:spacing w:after="0" w:line="10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w:t>
      </w:r>
      <w:r>
        <w:rPr>
          <w:rFonts w:ascii="Times New Roman" w:cs="Times New Roman" w:eastAsia="Times New Roman" w:hAnsi="Times New Roman"/>
          <w:sz w:val="20"/>
          <w:szCs w:val="20"/>
          <w:u w:val="single" w:color="auto"/>
          <w:color w:val="auto"/>
        </w:rPr>
        <w:t>/s/ Kelly Hogan</w:t>
      </w:r>
      <w:r>
        <w:rPr>
          <w:rFonts w:ascii="Times New Roman" w:cs="Times New Roman" w:eastAsia="Times New Roman" w:hAnsi="Times New Roman"/>
          <w:sz w:val="20"/>
          <w:szCs w:val="20"/>
          <w:color w:val="auto"/>
        </w:rPr>
        <w:t>____________________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Kelly Hogan</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[Kratos—Third Amendment]</w:t>
      </w:r>
    </w:p>
    <w:p>
      <w:pPr>
        <w:sectPr>
          <w:pgSz w:w="11900" w:h="16838" w:orient="portrait"/>
          <w:cols w:equalWidth="0" w:num="1">
            <w:col w:w="10120"/>
          </w:cols>
          <w:pgMar w:left="1440" w:top="1440" w:right="339" w:bottom="1440" w:gutter="0" w:footer="0" w:header="0"/>
        </w:sectPr>
      </w:pPr>
    </w:p>
    <w:bookmarkStart w:id="163" w:name="page164"/>
    <w:bookmarkEnd w:id="163"/>
    <w:p>
      <w:pPr>
        <w:spacing w:after="0" w:line="11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GOLDMAN SACHS BANK USA</w:t>
      </w:r>
      <w:r>
        <w:rPr>
          <w:rFonts w:ascii="Times New Roman" w:cs="Times New Roman" w:eastAsia="Times New Roman" w:hAnsi="Times New Roman"/>
          <w:sz w:val="20"/>
          <w:szCs w:val="20"/>
          <w:color w:val="auto"/>
        </w:rPr>
        <w:t>,</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By:__</w:t>
      </w:r>
      <w:r>
        <w:rPr>
          <w:rFonts w:ascii="Times New Roman" w:cs="Times New Roman" w:eastAsia="Times New Roman" w:hAnsi="Times New Roman"/>
          <w:sz w:val="20"/>
          <w:szCs w:val="20"/>
          <w:u w:val="single" w:color="auto"/>
          <w:color w:val="auto"/>
        </w:rPr>
        <w:t>/s/ Priyankush Goswami</w:t>
      </w:r>
      <w:r>
        <w:rPr>
          <w:rFonts w:ascii="Times New Roman" w:cs="Times New Roman" w:eastAsia="Times New Roman" w:hAnsi="Times New Roman"/>
          <w:sz w:val="20"/>
          <w:szCs w:val="20"/>
          <w:color w:val="auto"/>
        </w:rPr>
        <w:t xml:space="preserve"> _____________</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 Priyankush Goswami</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[Kratos—Third Amendment]</w:t>
      </w:r>
    </w:p>
    <w:p>
      <w:pPr>
        <w:sectPr>
          <w:pgSz w:w="11900" w:h="16838" w:orient="portrait"/>
          <w:cols w:equalWidth="0" w:num="1">
            <w:col w:w="10120"/>
          </w:cols>
          <w:pgMar w:left="1440" w:top="1440"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0"/>
          <w:szCs w:val="20"/>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AMENDMENT TO EMPLOYMENT AGREEMENT</w:t>
      </w:r>
    </w:p>
    <w:p>
      <w:pPr>
        <w:spacing w:after="0" w:line="216" w:lineRule="exact"/>
        <w:rPr>
          <w:sz w:val="20"/>
          <w:szCs w:val="20"/>
          <w:color w:val="auto"/>
        </w:rPr>
      </w:pPr>
    </w:p>
    <w:p>
      <w:pPr>
        <w:ind w:left="40" w:right="20" w:firstLine="611"/>
        <w:spacing w:after="0" w:line="289" w:lineRule="auto"/>
        <w:rPr>
          <w:sz w:val="20"/>
          <w:szCs w:val="20"/>
          <w:color w:val="auto"/>
        </w:rPr>
      </w:pPr>
      <w:r>
        <w:rPr>
          <w:rFonts w:ascii="Times New Roman" w:cs="Times New Roman" w:eastAsia="Times New Roman" w:hAnsi="Times New Roman"/>
          <w:sz w:val="20"/>
          <w:szCs w:val="20"/>
          <w:color w:val="auto"/>
        </w:rPr>
        <w:t>This Amendment to Employment Agreement is entered into by and between Kratos Defense &amp; Security Solutions, Inc. ("Kratos") and Phil Carrai (“Executive”) effective December 29, 2025.</w:t>
      </w:r>
    </w:p>
    <w:p>
      <w:pPr>
        <w:spacing w:after="0" w:line="14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RECITALS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Kratos and Executive are parties to an Employment Agreement effective as of January 1, 2023 (“Agreement”); and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Kratos and Executive wish to extend the term of the Agreement;</w:t>
      </w:r>
    </w:p>
    <w:p>
      <w:pPr>
        <w:spacing w:after="0" w:line="216" w:lineRule="exact"/>
        <w:rPr>
          <w:sz w:val="20"/>
          <w:szCs w:val="20"/>
          <w:color w:val="auto"/>
        </w:rPr>
      </w:pPr>
    </w:p>
    <w:p>
      <w:pPr>
        <w:ind w:left="40" w:right="240" w:firstLine="611"/>
        <w:spacing w:after="0" w:line="289" w:lineRule="auto"/>
        <w:rPr>
          <w:sz w:val="20"/>
          <w:szCs w:val="20"/>
          <w:color w:val="auto"/>
        </w:rPr>
      </w:pPr>
      <w:r>
        <w:rPr>
          <w:rFonts w:ascii="Times New Roman" w:cs="Times New Roman" w:eastAsia="Times New Roman" w:hAnsi="Times New Roman"/>
          <w:sz w:val="20"/>
          <w:szCs w:val="20"/>
          <w:color w:val="auto"/>
        </w:rPr>
        <w:t>NOW, THEREFORE, in consideration of the foregoing and the mutual promises set forth below, Kratos and Executive agree to amend the Agreement as follows:</w:t>
      </w:r>
    </w:p>
    <w:p>
      <w:pPr>
        <w:spacing w:after="0" w:line="325" w:lineRule="exact"/>
        <w:rPr>
          <w:sz w:val="20"/>
          <w:szCs w:val="20"/>
          <w:color w:val="auto"/>
        </w:rPr>
      </w:pPr>
    </w:p>
    <w:p>
      <w:pPr>
        <w:ind w:left="660" w:hanging="313"/>
        <w:spacing w:after="0"/>
        <w:tabs>
          <w:tab w:leader="none" w:pos="6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 of the Agreement is hereby amended to extend the term of the Agreement through December 31, 2028.</w:t>
      </w:r>
    </w:p>
    <w:p>
      <w:pPr>
        <w:spacing w:after="0" w:line="177" w:lineRule="exact"/>
        <w:rPr>
          <w:rFonts w:ascii="Times New Roman" w:cs="Times New Roman" w:eastAsia="Times New Roman" w:hAnsi="Times New Roman"/>
          <w:sz w:val="20"/>
          <w:szCs w:val="20"/>
          <w:color w:val="auto"/>
        </w:rPr>
      </w:pPr>
    </w:p>
    <w:p>
      <w:pPr>
        <w:ind w:left="660" w:right="60" w:hanging="313"/>
        <w:spacing w:after="0" w:line="249" w:lineRule="auto"/>
        <w:tabs>
          <w:tab w:leader="none" w:pos="6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modified and amended herein, all of the terms, provisions, requirements and specifications contained in the Agreement remain in full force and effect.</w:t>
      </w:r>
    </w:p>
    <w:p>
      <w:pPr>
        <w:spacing w:after="0" w:line="134" w:lineRule="exact"/>
        <w:rPr>
          <w:rFonts w:ascii="Times New Roman" w:cs="Times New Roman" w:eastAsia="Times New Roman" w:hAnsi="Times New Roman"/>
          <w:sz w:val="20"/>
          <w:szCs w:val="20"/>
          <w:color w:val="auto"/>
        </w:rPr>
      </w:pPr>
    </w:p>
    <w:p>
      <w:pPr>
        <w:ind w:left="660" w:right="140" w:hanging="313"/>
        <w:spacing w:after="0" w:line="249" w:lineRule="auto"/>
        <w:tabs>
          <w:tab w:leader="none" w:pos="6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be executed simultaneously in any number of counterparts, each of which shall be deemed an original but all of which together shall constitute one and the same instrument.</w:t>
      </w:r>
    </w:p>
    <w:p>
      <w:pPr>
        <w:spacing w:after="0" w:line="160" w:lineRule="exact"/>
        <w:rPr>
          <w:sz w:val="20"/>
          <w:szCs w:val="20"/>
          <w:color w:val="auto"/>
        </w:rPr>
      </w:pPr>
    </w:p>
    <w:p>
      <w:pPr>
        <w:ind w:left="40" w:right="1060" w:firstLine="306"/>
        <w:spacing w:after="0" w:line="28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by them or their duly authorized representatives as of the date first written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7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Executive:</w:t>
            </w:r>
          </w:p>
        </w:tc>
        <w:tc>
          <w:tcPr>
            <w:tcW w:w="382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Kratos Defense &amp; Security Solutions, Inc.:</w:t>
            </w:r>
          </w:p>
        </w:tc>
      </w:tr>
      <w:tr>
        <w:trPr>
          <w:trHeight w:val="600"/>
        </w:trPr>
        <w:tc>
          <w:tcPr>
            <w:tcW w:w="5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Phil Carrai</w:t>
            </w:r>
          </w:p>
        </w:tc>
        <w:tc>
          <w:tcPr>
            <w:tcW w:w="9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By:</w:t>
            </w:r>
          </w:p>
        </w:tc>
        <w:tc>
          <w:tcPr>
            <w:tcW w:w="2900" w:type="dxa"/>
            <w:vAlign w:val="bottom"/>
            <w:gridSpan w:val="3"/>
          </w:tcPr>
          <w:p>
            <w:pPr>
              <w:jc w:val="right"/>
              <w:ind w:right="1540"/>
              <w:spacing w:after="0"/>
              <w:rPr>
                <w:sz w:val="20"/>
                <w:szCs w:val="20"/>
                <w:color w:val="auto"/>
              </w:rPr>
            </w:pPr>
            <w:r>
              <w:rPr>
                <w:rFonts w:ascii="Times New Roman" w:cs="Times New Roman" w:eastAsia="Times New Roman" w:hAnsi="Times New Roman"/>
                <w:sz w:val="20"/>
                <w:szCs w:val="20"/>
                <w:color w:val="auto"/>
                <w:w w:val="97"/>
              </w:rPr>
              <w:t>/s/ Eric DeMarco</w:t>
            </w:r>
          </w:p>
        </w:tc>
      </w:tr>
      <w:tr>
        <w:trPr>
          <w:trHeight w:val="20"/>
        </w:trPr>
        <w:tc>
          <w:tcPr>
            <w:tcW w:w="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2"/>
        </w:trPr>
        <w:tc>
          <w:tcPr>
            <w:tcW w:w="5720" w:type="dxa"/>
            <w:vAlign w:val="bottom"/>
            <w:gridSpan w:val="3"/>
          </w:tcPr>
          <w:p>
            <w:pPr>
              <w:ind w:left="320"/>
              <w:spacing w:after="0" w:line="222" w:lineRule="exact"/>
              <w:rPr>
                <w:sz w:val="20"/>
                <w:szCs w:val="20"/>
                <w:color w:val="auto"/>
              </w:rPr>
            </w:pPr>
            <w:r>
              <w:rPr>
                <w:rFonts w:ascii="Times New Roman" w:cs="Times New Roman" w:eastAsia="Times New Roman" w:hAnsi="Times New Roman"/>
                <w:sz w:val="20"/>
                <w:szCs w:val="20"/>
                <w:color w:val="auto"/>
              </w:rPr>
              <w:t>Phil Carrai</w:t>
            </w:r>
          </w:p>
        </w:tc>
        <w:tc>
          <w:tcPr>
            <w:tcW w:w="920" w:type="dxa"/>
            <w:vAlign w:val="bottom"/>
          </w:tcPr>
          <w:p>
            <w:pPr>
              <w:ind w:left="340"/>
              <w:spacing w:after="0" w:line="222" w:lineRule="exact"/>
              <w:rPr>
                <w:sz w:val="20"/>
                <w:szCs w:val="20"/>
                <w:color w:val="auto"/>
              </w:rPr>
            </w:pPr>
            <w:r>
              <w:rPr>
                <w:rFonts w:ascii="Times New Roman" w:cs="Times New Roman" w:eastAsia="Times New Roman" w:hAnsi="Times New Roman"/>
                <w:sz w:val="20"/>
                <w:szCs w:val="20"/>
                <w:color w:val="auto"/>
              </w:rPr>
              <w:t>Name:</w:t>
            </w:r>
          </w:p>
        </w:tc>
        <w:tc>
          <w:tcPr>
            <w:tcW w:w="220" w:type="dxa"/>
            <w:vAlign w:val="bottom"/>
            <w:tcBorders>
              <w:bottom w:val="single" w:sz="8" w:color="auto"/>
            </w:tcBorders>
          </w:tcPr>
          <w:p>
            <w:pPr>
              <w:spacing w:after="0"/>
              <w:rPr>
                <w:sz w:val="19"/>
                <w:szCs w:val="19"/>
                <w:color w:val="auto"/>
              </w:rPr>
            </w:pPr>
          </w:p>
        </w:tc>
        <w:tc>
          <w:tcPr>
            <w:tcW w:w="2680" w:type="dxa"/>
            <w:vAlign w:val="bottom"/>
            <w:gridSpan w:val="2"/>
          </w:tcPr>
          <w:p>
            <w:pPr>
              <w:jc w:val="right"/>
              <w:ind w:right="1520"/>
              <w:spacing w:after="0" w:line="222" w:lineRule="exact"/>
              <w:rPr>
                <w:sz w:val="20"/>
                <w:szCs w:val="20"/>
                <w:color w:val="auto"/>
              </w:rPr>
            </w:pPr>
            <w:r>
              <w:rPr>
                <w:rFonts w:ascii="Times New Roman" w:cs="Times New Roman" w:eastAsia="Times New Roman" w:hAnsi="Times New Roman"/>
                <w:sz w:val="20"/>
                <w:szCs w:val="20"/>
                <w:color w:val="auto"/>
              </w:rPr>
              <w:t>Eric DeMarco</w:t>
            </w:r>
          </w:p>
        </w:tc>
      </w:tr>
      <w:tr>
        <w:trPr>
          <w:trHeight w:val="260"/>
        </w:trPr>
        <w:tc>
          <w:tcPr>
            <w:tcW w:w="572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Senior Vice President &amp; Division President Space, Training &amp;</w:t>
            </w:r>
          </w:p>
        </w:tc>
        <w:tc>
          <w:tcPr>
            <w:tcW w:w="9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Title:</w:t>
            </w:r>
          </w:p>
        </w:tc>
        <w:tc>
          <w:tcPr>
            <w:tcW w:w="29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President &amp; CEO</w:t>
            </w:r>
          </w:p>
        </w:tc>
      </w:tr>
      <w:tr>
        <w:trPr>
          <w:trHeight w:val="266"/>
        </w:trPr>
        <w:tc>
          <w:tcPr>
            <w:tcW w:w="572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Cyber Division</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ectPr>
          <w:pgSz w:w="11900" w:h="16838" w:orient="portrait"/>
          <w:cols w:equalWidth="0" w:num="1">
            <w:col w:w="11280"/>
          </w:cols>
          <w:pgMar w:left="280" w:top="127"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b w:val="1"/>
          <w:bCs w:val="1"/>
          <w:color w:val="auto"/>
        </w:rPr>
        <w:t>EX 10.27</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2400" w:val="left"/>
        </w:tabs>
        <w:rPr>
          <w:sz w:val="20"/>
          <w:szCs w:val="20"/>
          <w:color w:val="auto"/>
        </w:rPr>
      </w:pPr>
      <w:r>
        <w:rPr>
          <w:rFonts w:ascii="Times New Roman" w:cs="Times New Roman" w:eastAsia="Times New Roman" w:hAnsi="Times New Roman"/>
          <w:sz w:val="20"/>
          <w:szCs w:val="20"/>
          <w:color w:val="auto"/>
        </w:rPr>
        <w:t>Published CUSIP Number:</w:t>
        <w:tab/>
        <w:t>50077GAN7</w:t>
      </w:r>
    </w:p>
    <w:p>
      <w:pPr>
        <w:spacing w:after="0" w:line="34"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0"/>
          <w:szCs w:val="20"/>
          <w:color w:val="auto"/>
        </w:rPr>
        <w:t>Revolving Credit CUSIP Number:</w:t>
        <w:tab/>
        <w:t>50077GAP2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$300,000,000 REVOLVING CREDIT FACILITY</w:t>
      </w:r>
    </w:p>
    <w:p>
      <w:pPr>
        <w:spacing w:after="0" w:line="2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21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color w:val="auto"/>
        </w:rPr>
        <w:t>KRATOS DEFENSE &amp; SECURITY SOLUTIONS, INC.,</w:t>
      </w:r>
    </w:p>
    <w:p>
      <w:pPr>
        <w:spacing w:after="0" w:line="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as the Borrower</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THE GUARANTORS PARTY HERETO</w:t>
      </w: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THE LENDERS PARTY HERETO</w:t>
      </w: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p>
    <w:p>
      <w:pPr>
        <w:spacing w:after="0" w:line="4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b w:val="1"/>
          <w:bCs w:val="1"/>
          <w:color w:val="auto"/>
        </w:rPr>
        <w:t>as Administrative Agent, Swingline Loan Lender and Issuing Lender</w:t>
      </w: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TRUIST BANK,</w:t>
      </w:r>
    </w:p>
    <w:p>
      <w:pPr>
        <w:spacing w:after="0" w:line="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as Syndication Agent</w:t>
      </w:r>
    </w:p>
    <w:p>
      <w:pPr>
        <w:spacing w:after="0" w:line="19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U.S. BANK NATIONAL ASSOCIATION,</w:t>
      </w:r>
    </w:p>
    <w:p>
      <w:pPr>
        <w:spacing w:after="0" w:line="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as Documentation Agent</w:t>
      </w:r>
    </w:p>
    <w:p>
      <w:pPr>
        <w:spacing w:after="0" w:line="19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uto"/>
        </w:rPr>
        <w:t>PNC CAPITAL MARKETS LLC, TRUIST SECURITIES, INC. and U.S. BANK NATIONAL ASSOCIATION,</w:t>
      </w:r>
    </w:p>
    <w:p>
      <w:pPr>
        <w:spacing w:after="0" w:line="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as Joint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Dated as of February 20, 2026</w:t>
      </w:r>
    </w:p>
    <w:p>
      <w:pPr>
        <w:sectPr>
          <w:pgSz w:w="11900" w:h="16838" w:orient="portrait"/>
          <w:cols w:equalWidth="0" w:num="1">
            <w:col w:w="11040"/>
          </w:cols>
          <w:pgMar w:left="520" w:top="123" w:right="339" w:bottom="1440" w:gutter="0" w:footer="0" w:header="0"/>
        </w:sectPr>
      </w:pPr>
    </w:p>
    <w:bookmarkStart w:id="166" w:name="page167"/>
    <w:bookmarkEnd w:id="166"/>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b w:val="1"/>
                <w:bCs w:val="1"/>
                <w:color w:val="0000FF"/>
              </w:rPr>
              <w:t>ARTICLE 1 CERTAIN DEFINITIONS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1</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w:t>
            </w:r>
            <w:r>
              <w:rPr>
                <w:rFonts w:ascii="Times New Roman" w:cs="Times New Roman" w:eastAsia="Times New Roman" w:hAnsi="Times New Roman"/>
                <w:sz w:val="20"/>
                <w:szCs w:val="20"/>
                <w:u w:val="single" w:color="auto"/>
                <w:color w:val="0000FF"/>
              </w:rPr>
              <w:t>1</w:t>
            </w:r>
          </w:p>
        </w:tc>
        <w:tc>
          <w:tcPr>
            <w:tcW w:w="180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0000FF"/>
              </w:rPr>
              <w:t>Certain Definitions.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w:t>
            </w:r>
            <w:r>
              <w:rPr>
                <w:rFonts w:ascii="Times New Roman" w:cs="Times New Roman" w:eastAsia="Times New Roman" w:hAnsi="Times New Roman"/>
                <w:sz w:val="20"/>
                <w:szCs w:val="20"/>
                <w:u w:val="single" w:color="auto"/>
                <w:color w:val="0000FF"/>
              </w:rPr>
              <w:t>2</w:t>
            </w:r>
          </w:p>
        </w:tc>
        <w:tc>
          <w:tcPr>
            <w:tcW w:w="134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0000FF"/>
              </w:rPr>
              <w:t>Construction.</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w:t>
            </w:r>
            <w:r>
              <w:rPr>
                <w:rFonts w:ascii="Times New Roman" w:cs="Times New Roman" w:eastAsia="Times New Roman" w:hAnsi="Times New Roman"/>
                <w:sz w:val="20"/>
                <w:szCs w:val="20"/>
                <w:u w:val="single" w:color="auto"/>
                <w:color w:val="0000FF"/>
              </w:rPr>
              <w:t>3</w:t>
            </w:r>
          </w:p>
        </w:tc>
        <w:tc>
          <w:tcPr>
            <w:tcW w:w="5920" w:type="dxa"/>
            <w:vAlign w:val="bottom"/>
            <w:gridSpan w:val="24"/>
          </w:tcPr>
          <w:p>
            <w:pPr>
              <w:ind w:left="60"/>
              <w:spacing w:after="0"/>
              <w:rPr>
                <w:sz w:val="20"/>
                <w:szCs w:val="20"/>
                <w:color w:val="auto"/>
              </w:rPr>
            </w:pPr>
            <w:r>
              <w:rPr>
                <w:rFonts w:ascii="Times New Roman" w:cs="Times New Roman" w:eastAsia="Times New Roman" w:hAnsi="Times New Roman"/>
                <w:sz w:val="20"/>
                <w:szCs w:val="20"/>
                <w:color w:val="0000FF"/>
              </w:rPr>
              <w:t xml:space="preserve">Accounting Principles; Changes in GAAP.  </w:t>
            </w:r>
            <w:r>
              <w:rPr>
                <w:rFonts w:ascii="Times New Roman" w:cs="Times New Roman" w:eastAsia="Times New Roman" w:hAnsi="Times New Roman"/>
                <w:sz w:val="20"/>
                <w:szCs w:val="20"/>
                <w:color w:val="000000"/>
              </w:rPr>
              <w:t>40</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w:t>
            </w:r>
            <w:r>
              <w:rPr>
                <w:rFonts w:ascii="Times New Roman" w:cs="Times New Roman" w:eastAsia="Times New Roman" w:hAnsi="Times New Roman"/>
                <w:sz w:val="20"/>
                <w:szCs w:val="20"/>
                <w:u w:val="single" w:color="auto"/>
                <w:color w:val="0000FF"/>
              </w:rPr>
              <w:t>4</w:t>
            </w:r>
          </w:p>
        </w:tc>
        <w:tc>
          <w:tcPr>
            <w:tcW w:w="5920" w:type="dxa"/>
            <w:vAlign w:val="bottom"/>
            <w:gridSpan w:val="24"/>
          </w:tcPr>
          <w:p>
            <w:pPr>
              <w:ind w:left="60"/>
              <w:spacing w:after="0"/>
              <w:rPr>
                <w:sz w:val="20"/>
                <w:szCs w:val="20"/>
                <w:color w:val="auto"/>
              </w:rPr>
            </w:pPr>
            <w:r>
              <w:rPr>
                <w:rFonts w:ascii="Times New Roman" w:cs="Times New Roman" w:eastAsia="Times New Roman" w:hAnsi="Times New Roman"/>
                <w:sz w:val="20"/>
                <w:szCs w:val="20"/>
                <w:color w:val="0000FF"/>
              </w:rPr>
              <w:t xml:space="preserve">Benchmark Replacement Notification; Rates.  </w:t>
            </w:r>
            <w:r>
              <w:rPr>
                <w:rFonts w:ascii="Times New Roman" w:cs="Times New Roman" w:eastAsia="Times New Roman" w:hAnsi="Times New Roman"/>
                <w:sz w:val="20"/>
                <w:szCs w:val="20"/>
                <w:color w:val="000000"/>
              </w:rPr>
              <w:t>41</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6940" w:type="dxa"/>
            <w:vAlign w:val="bottom"/>
            <w:gridSpan w:val="26"/>
          </w:tcPr>
          <w:p>
            <w:pPr>
              <w:spacing w:after="0"/>
              <w:rPr>
                <w:sz w:val="20"/>
                <w:szCs w:val="20"/>
                <w:color w:val="auto"/>
              </w:rPr>
            </w:pPr>
            <w:r>
              <w:rPr>
                <w:rFonts w:ascii="Times New Roman" w:cs="Times New Roman" w:eastAsia="Times New Roman" w:hAnsi="Times New Roman"/>
                <w:sz w:val="20"/>
                <w:szCs w:val="20"/>
                <w:b w:val="1"/>
                <w:bCs w:val="1"/>
                <w:color w:val="0000FF"/>
              </w:rPr>
              <w:t>ARTICLE 2 REVOLVING CREDIT AND SWINGLINE LOAN FACILITIES</w:t>
            </w:r>
          </w:p>
        </w:tc>
        <w:tc>
          <w:tcPr>
            <w:tcW w:w="900" w:type="dxa"/>
            <w:vAlign w:val="bottom"/>
          </w:tcPr>
          <w:p>
            <w:pPr>
              <w:jc w:val="right"/>
              <w:ind w:right="538"/>
              <w:spacing w:after="0"/>
              <w:rPr>
                <w:sz w:val="20"/>
                <w:szCs w:val="20"/>
                <w:color w:val="auto"/>
              </w:rPr>
            </w:pPr>
            <w:r>
              <w:rPr>
                <w:rFonts w:ascii="Times New Roman" w:cs="Times New Roman" w:eastAsia="Times New Roman" w:hAnsi="Times New Roman"/>
                <w:sz w:val="20"/>
                <w:szCs w:val="20"/>
                <w:b w:val="1"/>
                <w:bCs w:val="1"/>
                <w:color w:val="auto"/>
              </w:rPr>
              <w:t>41</w:t>
            </w: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4"/>
        </w:trPr>
        <w:tc>
          <w:tcPr>
            <w:tcW w:w="1020" w:type="dxa"/>
            <w:vAlign w:val="bottom"/>
            <w:tcBorders>
              <w:top w:val="single" w:sz="8" w:color="0000FF"/>
            </w:tcBorders>
            <w:gridSpan w:val="2"/>
          </w:tcPr>
          <w:p>
            <w:pPr>
              <w:ind w:left="620"/>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1</w:t>
            </w:r>
          </w:p>
        </w:tc>
        <w:tc>
          <w:tcPr>
            <w:tcW w:w="2840" w:type="dxa"/>
            <w:vAlign w:val="bottom"/>
            <w:tcBorders>
              <w:top w:val="single" w:sz="8" w:color="0000FF"/>
            </w:tcBorders>
            <w:gridSpan w:val="17"/>
          </w:tcPr>
          <w:p>
            <w:pPr>
              <w:ind w:left="60"/>
              <w:spacing w:after="0"/>
              <w:rPr>
                <w:sz w:val="20"/>
                <w:szCs w:val="20"/>
                <w:color w:val="auto"/>
              </w:rPr>
            </w:pPr>
            <w:r>
              <w:rPr>
                <w:rFonts w:ascii="Times New Roman" w:cs="Times New Roman" w:eastAsia="Times New Roman" w:hAnsi="Times New Roman"/>
                <w:sz w:val="20"/>
                <w:szCs w:val="20"/>
                <w:color w:val="0000FF"/>
              </w:rPr>
              <w:t>Revolving Credit Commitments</w:t>
            </w:r>
          </w:p>
        </w:tc>
        <w:tc>
          <w:tcPr>
            <w:tcW w:w="680" w:type="dxa"/>
            <w:vAlign w:val="bottom"/>
            <w:tcBorders>
              <w:top w:val="single" w:sz="8" w:color="0000FF"/>
            </w:tcBorders>
          </w:tcPr>
          <w:p>
            <w:pPr>
              <w:jc w:val="right"/>
              <w:ind w:right="338"/>
              <w:spacing w:after="0"/>
              <w:rPr>
                <w:sz w:val="20"/>
                <w:szCs w:val="20"/>
                <w:color w:val="auto"/>
              </w:rPr>
            </w:pPr>
            <w:r>
              <w:rPr>
                <w:rFonts w:ascii="Times New Roman" w:cs="Times New Roman" w:eastAsia="Times New Roman" w:hAnsi="Times New Roman"/>
                <w:sz w:val="20"/>
                <w:szCs w:val="20"/>
                <w:color w:val="auto"/>
              </w:rPr>
              <w:t>41</w:t>
            </w:r>
          </w:p>
        </w:tc>
        <w:tc>
          <w:tcPr>
            <w:tcW w:w="2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2</w:t>
            </w:r>
          </w:p>
        </w:tc>
        <w:tc>
          <w:tcPr>
            <w:tcW w:w="5920" w:type="dxa"/>
            <w:vAlign w:val="bottom"/>
            <w:gridSpan w:val="24"/>
          </w:tcPr>
          <w:p>
            <w:pPr>
              <w:ind w:left="60"/>
              <w:spacing w:after="0"/>
              <w:rPr>
                <w:sz w:val="20"/>
                <w:szCs w:val="20"/>
                <w:color w:val="auto"/>
              </w:rPr>
            </w:pPr>
            <w:r>
              <w:rPr>
                <w:rFonts w:ascii="Times New Roman" w:cs="Times New Roman" w:eastAsia="Times New Roman" w:hAnsi="Times New Roman"/>
                <w:sz w:val="20"/>
                <w:szCs w:val="20"/>
                <w:color w:val="0000FF"/>
                <w:w w:val="99"/>
              </w:rPr>
              <w:t>Nature of Lenders’ Obligations with Respect to Revolving Credit Loans.</w:t>
            </w: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20"/>
                <w:szCs w:val="20"/>
                <w:color w:val="auto"/>
              </w:rPr>
              <w:t>42</w:t>
            </w: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3</w:t>
            </w:r>
          </w:p>
        </w:tc>
        <w:tc>
          <w:tcPr>
            <w:tcW w:w="180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0000FF"/>
              </w:rPr>
              <w:t>Commitment Fees.</w:t>
            </w:r>
          </w:p>
        </w:tc>
        <w:tc>
          <w:tcPr>
            <w:tcW w:w="4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w w:val="89"/>
              </w:rPr>
              <w:t>42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4</w:t>
            </w:r>
          </w:p>
        </w:tc>
        <w:tc>
          <w:tcPr>
            <w:tcW w:w="5920" w:type="dxa"/>
            <w:vAlign w:val="bottom"/>
            <w:gridSpan w:val="24"/>
          </w:tcPr>
          <w:p>
            <w:pPr>
              <w:ind w:left="60"/>
              <w:spacing w:after="0"/>
              <w:rPr>
                <w:sz w:val="20"/>
                <w:szCs w:val="20"/>
                <w:color w:val="auto"/>
              </w:rPr>
            </w:pPr>
            <w:r>
              <w:rPr>
                <w:rFonts w:ascii="Times New Roman" w:cs="Times New Roman" w:eastAsia="Times New Roman" w:hAnsi="Times New Roman"/>
                <w:sz w:val="20"/>
                <w:szCs w:val="20"/>
                <w:color w:val="0000FF"/>
              </w:rPr>
              <w:t xml:space="preserve">Termination or Reduction of Revolving Credit Commitments.  </w:t>
            </w:r>
            <w:r>
              <w:rPr>
                <w:rFonts w:ascii="Times New Roman" w:cs="Times New Roman" w:eastAsia="Times New Roman" w:hAnsi="Times New Roman"/>
                <w:sz w:val="20"/>
                <w:szCs w:val="20"/>
                <w:color w:val="000000"/>
              </w:rPr>
              <w:t>43</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5</w:t>
            </w:r>
          </w:p>
        </w:tc>
        <w:tc>
          <w:tcPr>
            <w:tcW w:w="9320" w:type="dxa"/>
            <w:vAlign w:val="bottom"/>
            <w:gridSpan w:val="27"/>
          </w:tcPr>
          <w:p>
            <w:pPr>
              <w:ind w:left="60"/>
              <w:spacing w:after="0"/>
              <w:rPr>
                <w:sz w:val="20"/>
                <w:szCs w:val="20"/>
                <w:color w:val="auto"/>
              </w:rPr>
            </w:pPr>
            <w:r>
              <w:rPr>
                <w:rFonts w:ascii="Times New Roman" w:cs="Times New Roman" w:eastAsia="Times New Roman" w:hAnsi="Times New Roman"/>
                <w:sz w:val="20"/>
                <w:szCs w:val="20"/>
                <w:color w:val="0000FF"/>
              </w:rPr>
              <w:t xml:space="preserve">Revolving Credit Loan Requests; Loan Conversions and Renewals; Swingline Loan Requests  </w:t>
            </w:r>
            <w:r>
              <w:rPr>
                <w:rFonts w:ascii="Times New Roman" w:cs="Times New Roman" w:eastAsia="Times New Roman" w:hAnsi="Times New Roman"/>
                <w:sz w:val="20"/>
                <w:szCs w:val="20"/>
                <w:color w:val="000000"/>
              </w:rPr>
              <w:t>43</w:t>
            </w: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6</w:t>
            </w:r>
          </w:p>
        </w:tc>
        <w:tc>
          <w:tcPr>
            <w:tcW w:w="9320" w:type="dxa"/>
            <w:vAlign w:val="bottom"/>
            <w:gridSpan w:val="27"/>
          </w:tcPr>
          <w:p>
            <w:pPr>
              <w:ind w:left="60"/>
              <w:spacing w:after="0"/>
              <w:rPr>
                <w:sz w:val="20"/>
                <w:szCs w:val="20"/>
                <w:color w:val="auto"/>
              </w:rPr>
            </w:pPr>
            <w:r>
              <w:rPr>
                <w:rFonts w:ascii="Times New Roman" w:cs="Times New Roman" w:eastAsia="Times New Roman" w:hAnsi="Times New Roman"/>
                <w:sz w:val="20"/>
                <w:szCs w:val="20"/>
                <w:color w:val="0000FF"/>
              </w:rPr>
              <w:t>Making Revolving Credit Loans and Swingline Loans; Presumptions by the Administrative Agent; Repayment of</w:t>
            </w:r>
          </w:p>
        </w:tc>
      </w:tr>
      <w:tr>
        <w:trPr>
          <w:trHeight w:val="235"/>
        </w:trPr>
        <w:tc>
          <w:tcPr>
            <w:tcW w:w="6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572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rPr>
              <w:t xml:space="preserve">Revolving Credit Loans; Borrowings to Repay Swingline Loans  </w:t>
            </w:r>
            <w:r>
              <w:rPr>
                <w:rFonts w:ascii="Times New Roman" w:cs="Times New Roman" w:eastAsia="Times New Roman" w:hAnsi="Times New Roman"/>
                <w:sz w:val="20"/>
                <w:szCs w:val="20"/>
                <w:color w:val="000000"/>
              </w:rPr>
              <w:t>44</w:t>
            </w:r>
          </w:p>
        </w:tc>
        <w:tc>
          <w:tcPr>
            <w:tcW w:w="900" w:type="dxa"/>
            <w:vAlign w:val="bottom"/>
            <w:tcBorders>
              <w:top w:val="single" w:sz="8" w:color="0000FF"/>
            </w:tcBorders>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1620" w:type="dxa"/>
            <w:vAlign w:val="bottom"/>
            <w:tcBorders>
              <w:top w:val="single" w:sz="8" w:color="0000FF"/>
            </w:tcBorders>
          </w:tcPr>
          <w:p>
            <w:pPr>
              <w:spacing w:after="0"/>
              <w:rPr>
                <w:sz w:val="20"/>
                <w:szCs w:val="20"/>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7</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0000FF"/>
              </w:rPr>
              <w:t xml:space="preserve">Notes  </w:t>
            </w:r>
            <w:r>
              <w:rPr>
                <w:rFonts w:ascii="Times New Roman" w:cs="Times New Roman" w:eastAsia="Times New Roman" w:hAnsi="Times New Roman"/>
                <w:sz w:val="20"/>
                <w:szCs w:val="20"/>
                <w:color w:val="000000"/>
              </w:rPr>
              <w:t>47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8</w:t>
            </w:r>
          </w:p>
        </w:tc>
        <w:tc>
          <w:tcPr>
            <w:tcW w:w="2420" w:type="dxa"/>
            <w:vAlign w:val="bottom"/>
            <w:gridSpan w:val="14"/>
          </w:tcPr>
          <w:p>
            <w:pPr>
              <w:ind w:left="60"/>
              <w:spacing w:after="0"/>
              <w:rPr>
                <w:sz w:val="20"/>
                <w:szCs w:val="20"/>
                <w:color w:val="auto"/>
              </w:rPr>
            </w:pPr>
            <w:r>
              <w:rPr>
                <w:rFonts w:ascii="Times New Roman" w:cs="Times New Roman" w:eastAsia="Times New Roman" w:hAnsi="Times New Roman"/>
                <w:sz w:val="20"/>
                <w:szCs w:val="20"/>
                <w:color w:val="0000FF"/>
              </w:rPr>
              <w:t>Letter of Credit Subfacility</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9</w:t>
            </w:r>
          </w:p>
        </w:tc>
        <w:tc>
          <w:tcPr>
            <w:tcW w:w="180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0000FF"/>
              </w:rPr>
              <w:t>Defaulting Lenders</w:t>
            </w:r>
          </w:p>
        </w:tc>
        <w:tc>
          <w:tcPr>
            <w:tcW w:w="4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55</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10</w:t>
            </w: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0000FF"/>
                <w:w w:val="97"/>
              </w:rPr>
              <w:t>[Reserved]</w:t>
            </w:r>
          </w:p>
        </w:tc>
        <w:tc>
          <w:tcPr>
            <w:tcW w:w="560" w:type="dxa"/>
            <w:vAlign w:val="bottom"/>
            <w:gridSpan w:val="3"/>
          </w:tcPr>
          <w:p>
            <w:pPr>
              <w:jc w:val="right"/>
              <w:ind w:right="38"/>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11</w:t>
            </w:r>
          </w:p>
        </w:tc>
        <w:tc>
          <w:tcPr>
            <w:tcW w:w="1800" w:type="dxa"/>
            <w:vAlign w:val="bottom"/>
            <w:gridSpan w:val="9"/>
          </w:tcPr>
          <w:p>
            <w:pPr>
              <w:ind w:left="140"/>
              <w:spacing w:after="0"/>
              <w:rPr>
                <w:sz w:val="20"/>
                <w:szCs w:val="20"/>
                <w:color w:val="auto"/>
              </w:rPr>
            </w:pPr>
            <w:r>
              <w:rPr>
                <w:rFonts w:ascii="Times New Roman" w:cs="Times New Roman" w:eastAsia="Times New Roman" w:hAnsi="Times New Roman"/>
                <w:sz w:val="20"/>
                <w:szCs w:val="20"/>
                <w:color w:val="0000FF"/>
              </w:rPr>
              <w:t>Incremental Loans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57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2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b w:val="1"/>
                <w:bCs w:val="1"/>
                <w:color w:val="0000FF"/>
              </w:rPr>
              <w:t>ARTICLE 3 [RESERVED]</w:t>
            </w: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60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4"/>
        </w:trPr>
        <w:tc>
          <w:tcPr>
            <w:tcW w:w="28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b w:val="1"/>
                <w:bCs w:val="1"/>
                <w:color w:val="0000FF"/>
              </w:rPr>
              <w:t>ARTICLE 4 INTEREST RATES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60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4.</w:t>
            </w:r>
            <w:r>
              <w:rPr>
                <w:rFonts w:ascii="Times New Roman" w:cs="Times New Roman" w:eastAsia="Times New Roman" w:hAnsi="Times New Roman"/>
                <w:sz w:val="20"/>
                <w:szCs w:val="20"/>
                <w:u w:val="single" w:color="auto"/>
                <w:color w:val="0000FF"/>
              </w:rPr>
              <w:t>1</w:t>
            </w:r>
          </w:p>
        </w:tc>
        <w:tc>
          <w:tcPr>
            <w:tcW w:w="1860" w:type="dxa"/>
            <w:vAlign w:val="bottom"/>
            <w:gridSpan w:val="11"/>
          </w:tcPr>
          <w:p>
            <w:pPr>
              <w:ind w:left="60"/>
              <w:spacing w:after="0"/>
              <w:rPr>
                <w:sz w:val="20"/>
                <w:szCs w:val="20"/>
                <w:color w:val="auto"/>
              </w:rPr>
            </w:pPr>
            <w:r>
              <w:rPr>
                <w:rFonts w:ascii="Times New Roman" w:cs="Times New Roman" w:eastAsia="Times New Roman" w:hAnsi="Times New Roman"/>
                <w:sz w:val="20"/>
                <w:szCs w:val="20"/>
                <w:color w:val="0000FF"/>
              </w:rPr>
              <w:t>Interest Rate Options.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4.</w:t>
            </w:r>
            <w:r>
              <w:rPr>
                <w:rFonts w:ascii="Times New Roman" w:cs="Times New Roman" w:eastAsia="Times New Roman" w:hAnsi="Times New Roman"/>
                <w:sz w:val="20"/>
                <w:szCs w:val="20"/>
                <w:u w:val="single" w:color="auto"/>
                <w:color w:val="0000FF"/>
              </w:rPr>
              <w:t>2</w:t>
            </w:r>
          </w:p>
        </w:tc>
        <w:tc>
          <w:tcPr>
            <w:tcW w:w="5920" w:type="dxa"/>
            <w:vAlign w:val="bottom"/>
            <w:gridSpan w:val="24"/>
          </w:tcPr>
          <w:p>
            <w:pPr>
              <w:ind w:left="60"/>
              <w:spacing w:after="0"/>
              <w:rPr>
                <w:sz w:val="20"/>
                <w:szCs w:val="20"/>
                <w:color w:val="auto"/>
              </w:rPr>
            </w:pPr>
            <w:r>
              <w:rPr>
                <w:rFonts w:ascii="Times New Roman" w:cs="Times New Roman" w:eastAsia="Times New Roman" w:hAnsi="Times New Roman"/>
                <w:sz w:val="20"/>
                <w:szCs w:val="20"/>
                <w:color w:val="0000FF"/>
              </w:rPr>
              <w:t>Conforming Changes Relating to the Term SOFR Rate and Daily SOFR</w:t>
            </w:r>
          </w:p>
        </w:tc>
        <w:tc>
          <w:tcPr>
            <w:tcW w:w="900" w:type="dxa"/>
            <w:vAlign w:val="bottom"/>
          </w:tcPr>
          <w:p>
            <w:pPr>
              <w:jc w:val="right"/>
              <w:ind w:right="378"/>
              <w:spacing w:after="0"/>
              <w:rPr>
                <w:sz w:val="20"/>
                <w:szCs w:val="20"/>
                <w:color w:val="auto"/>
              </w:rPr>
            </w:pPr>
            <w:r>
              <w:rPr>
                <w:rFonts w:ascii="Times New Roman" w:cs="Times New Roman" w:eastAsia="Times New Roman" w:hAnsi="Times New Roman"/>
                <w:sz w:val="20"/>
                <w:szCs w:val="20"/>
                <w:color w:val="auto"/>
              </w:rPr>
              <w:t>61</w:t>
            </w: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4.</w:t>
            </w:r>
            <w:r>
              <w:rPr>
                <w:rFonts w:ascii="Times New Roman" w:cs="Times New Roman" w:eastAsia="Times New Roman" w:hAnsi="Times New Roman"/>
                <w:sz w:val="20"/>
                <w:szCs w:val="20"/>
                <w:u w:val="single" w:color="auto"/>
                <w:color w:val="0000FF"/>
              </w:rPr>
              <w:t>3</w:t>
            </w:r>
          </w:p>
        </w:tc>
        <w:tc>
          <w:tcPr>
            <w:tcW w:w="180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0000FF"/>
                <w:w w:val="99"/>
              </w:rPr>
              <w:t>Interest After Default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4.</w:t>
            </w:r>
            <w:r>
              <w:rPr>
                <w:rFonts w:ascii="Times New Roman" w:cs="Times New Roman" w:eastAsia="Times New Roman" w:hAnsi="Times New Roman"/>
                <w:sz w:val="20"/>
                <w:szCs w:val="20"/>
                <w:u w:val="single" w:color="auto"/>
                <w:color w:val="0000FF"/>
              </w:rPr>
              <w:t>4</w:t>
            </w:r>
          </w:p>
        </w:tc>
        <w:tc>
          <w:tcPr>
            <w:tcW w:w="9320" w:type="dxa"/>
            <w:vAlign w:val="bottom"/>
            <w:gridSpan w:val="27"/>
          </w:tcPr>
          <w:p>
            <w:pPr>
              <w:ind w:left="60"/>
              <w:spacing w:after="0"/>
              <w:rPr>
                <w:sz w:val="20"/>
                <w:szCs w:val="20"/>
                <w:color w:val="auto"/>
              </w:rPr>
            </w:pPr>
            <w:r>
              <w:rPr>
                <w:rFonts w:ascii="Times New Roman" w:cs="Times New Roman" w:eastAsia="Times New Roman" w:hAnsi="Times New Roman"/>
                <w:sz w:val="20"/>
                <w:szCs w:val="20"/>
                <w:color w:val="0000FF"/>
              </w:rPr>
              <w:t xml:space="preserve">Rate Unascertainable; Increased Costs; Illegality; Benchmark Replacement Setting  </w:t>
            </w:r>
            <w:r>
              <w:rPr>
                <w:rFonts w:ascii="Times New Roman" w:cs="Times New Roman" w:eastAsia="Times New Roman" w:hAnsi="Times New Roman"/>
                <w:sz w:val="20"/>
                <w:szCs w:val="20"/>
                <w:color w:val="000000"/>
              </w:rPr>
              <w:t>62</w:t>
            </w: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120" w:type="dxa"/>
            <w:vAlign w:val="bottom"/>
            <w:gridSpan w:val="9"/>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4.</w:t>
            </w:r>
            <w:r>
              <w:rPr>
                <w:rFonts w:ascii="Times New Roman" w:cs="Times New Roman" w:eastAsia="Times New Roman" w:hAnsi="Times New Roman"/>
                <w:sz w:val="20"/>
                <w:szCs w:val="20"/>
                <w:u w:val="single" w:color="auto"/>
                <w:color w:val="0000FF"/>
              </w:rPr>
              <w:t>5</w:t>
            </w:r>
          </w:p>
        </w:tc>
        <w:tc>
          <w:tcPr>
            <w:tcW w:w="2840" w:type="dxa"/>
            <w:vAlign w:val="bottom"/>
            <w:gridSpan w:val="17"/>
          </w:tcPr>
          <w:p>
            <w:pPr>
              <w:ind w:left="60"/>
              <w:spacing w:after="0"/>
              <w:rPr>
                <w:sz w:val="20"/>
                <w:szCs w:val="20"/>
                <w:color w:val="auto"/>
              </w:rPr>
            </w:pPr>
            <w:r>
              <w:rPr>
                <w:rFonts w:ascii="Times New Roman" w:cs="Times New Roman" w:eastAsia="Times New Roman" w:hAnsi="Times New Roman"/>
                <w:sz w:val="20"/>
                <w:szCs w:val="20"/>
                <w:color w:val="0000FF"/>
              </w:rPr>
              <w:t>Selection of Interest Rate Options</w:t>
            </w: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20"/>
                <w:szCs w:val="20"/>
                <w:color w:val="auto"/>
              </w:rPr>
              <w:t>68</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120" w:type="dxa"/>
            <w:vAlign w:val="bottom"/>
            <w:gridSpan w:val="9"/>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6940" w:type="dxa"/>
            <w:vAlign w:val="bottom"/>
            <w:gridSpan w:val="26"/>
          </w:tcPr>
          <w:p>
            <w:pPr>
              <w:spacing w:after="0"/>
              <w:rPr>
                <w:sz w:val="20"/>
                <w:szCs w:val="20"/>
                <w:color w:val="auto"/>
              </w:rPr>
            </w:pPr>
            <w:r>
              <w:rPr>
                <w:rFonts w:ascii="Times New Roman" w:cs="Times New Roman" w:eastAsia="Times New Roman" w:hAnsi="Times New Roman"/>
                <w:sz w:val="20"/>
                <w:szCs w:val="20"/>
                <w:b w:val="1"/>
                <w:bCs w:val="1"/>
                <w:color w:val="0000FF"/>
              </w:rPr>
              <w:t xml:space="preserve">ARTICLE 5 PAYMENTS; TAXES; YIELD MAINTENANCE  </w:t>
            </w:r>
            <w:r>
              <w:rPr>
                <w:rFonts w:ascii="Times New Roman" w:cs="Times New Roman" w:eastAsia="Times New Roman" w:hAnsi="Times New Roman"/>
                <w:sz w:val="20"/>
                <w:szCs w:val="20"/>
                <w:b w:val="1"/>
                <w:bCs w:val="1"/>
                <w:color w:val="000000"/>
              </w:rPr>
              <w:t>68</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4"/>
        </w:trPr>
        <w:tc>
          <w:tcPr>
            <w:tcW w:w="1020" w:type="dxa"/>
            <w:vAlign w:val="bottom"/>
            <w:tcBorders>
              <w:top w:val="single" w:sz="8" w:color="0000FF"/>
            </w:tcBorders>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1</w:t>
            </w:r>
          </w:p>
        </w:tc>
        <w:tc>
          <w:tcPr>
            <w:tcW w:w="1040" w:type="dxa"/>
            <w:vAlign w:val="bottom"/>
            <w:tcBorders>
              <w:top w:val="single" w:sz="8" w:color="0000FF"/>
            </w:tcBorders>
            <w:gridSpan w:val="4"/>
          </w:tcPr>
          <w:p>
            <w:pPr>
              <w:ind w:left="60"/>
              <w:spacing w:after="0"/>
              <w:rPr>
                <w:sz w:val="20"/>
                <w:szCs w:val="20"/>
                <w:color w:val="auto"/>
              </w:rPr>
            </w:pPr>
            <w:r>
              <w:rPr>
                <w:rFonts w:ascii="Times New Roman" w:cs="Times New Roman" w:eastAsia="Times New Roman" w:hAnsi="Times New Roman"/>
                <w:sz w:val="20"/>
                <w:szCs w:val="20"/>
                <w:color w:val="0000FF"/>
              </w:rPr>
              <w:t>Payments</w:t>
            </w:r>
          </w:p>
        </w:tc>
        <w:tc>
          <w:tcPr>
            <w:tcW w:w="300" w:type="dxa"/>
            <w:vAlign w:val="bottom"/>
            <w:tcBorders>
              <w:top w:val="single" w:sz="8" w:color="0000FF"/>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68</w:t>
            </w: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2</w:t>
            </w:r>
          </w:p>
        </w:tc>
        <w:tc>
          <w:tcPr>
            <w:tcW w:w="2420" w:type="dxa"/>
            <w:vAlign w:val="bottom"/>
            <w:gridSpan w:val="14"/>
          </w:tcPr>
          <w:p>
            <w:pPr>
              <w:ind w:left="60"/>
              <w:spacing w:after="0"/>
              <w:rPr>
                <w:sz w:val="20"/>
                <w:szCs w:val="20"/>
                <w:color w:val="auto"/>
              </w:rPr>
            </w:pPr>
            <w:r>
              <w:rPr>
                <w:rFonts w:ascii="Times New Roman" w:cs="Times New Roman" w:eastAsia="Times New Roman" w:hAnsi="Times New Roman"/>
                <w:sz w:val="20"/>
                <w:szCs w:val="20"/>
                <w:color w:val="0000FF"/>
              </w:rPr>
              <w:t xml:space="preserve">Voluntary Prepayments  </w:t>
            </w:r>
            <w:r>
              <w:rPr>
                <w:rFonts w:ascii="Times New Roman" w:cs="Times New Roman" w:eastAsia="Times New Roman" w:hAnsi="Times New Roman"/>
                <w:sz w:val="20"/>
                <w:szCs w:val="20"/>
                <w:color w:val="000000"/>
              </w:rPr>
              <w:t>68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140"/>
          </w:cols>
          <w:pgMar w:left="320" w:top="123" w:right="439" w:bottom="1440" w:gutter="0" w:footer="0" w:header="0"/>
        </w:sectPr>
      </w:pPr>
    </w:p>
    <w:bookmarkStart w:id="167" w:name="page168"/>
    <w:bookmarkEnd w:id="167"/>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(continued)</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3</w:t>
            </w:r>
          </w:p>
        </w:tc>
        <w:tc>
          <w:tcPr>
            <w:tcW w:w="2140" w:type="dxa"/>
            <w:vAlign w:val="bottom"/>
            <w:gridSpan w:val="15"/>
          </w:tcPr>
          <w:p>
            <w:pPr>
              <w:ind w:left="60"/>
              <w:spacing w:after="0"/>
              <w:rPr>
                <w:sz w:val="20"/>
                <w:szCs w:val="20"/>
                <w:color w:val="auto"/>
              </w:rPr>
            </w:pPr>
            <w:r>
              <w:rPr>
                <w:rFonts w:ascii="Times New Roman" w:cs="Times New Roman" w:eastAsia="Times New Roman" w:hAnsi="Times New Roman"/>
                <w:sz w:val="20"/>
                <w:szCs w:val="20"/>
                <w:color w:val="0000FF"/>
              </w:rPr>
              <w:t>Mandatory Prepayments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4</w:t>
            </w:r>
          </w:p>
        </w:tc>
        <w:tc>
          <w:tcPr>
            <w:tcW w:w="2620" w:type="dxa"/>
            <w:vAlign w:val="bottom"/>
            <w:gridSpan w:val="18"/>
          </w:tcPr>
          <w:p>
            <w:pPr>
              <w:ind w:left="60"/>
              <w:spacing w:after="0"/>
              <w:rPr>
                <w:sz w:val="20"/>
                <w:szCs w:val="20"/>
                <w:color w:val="auto"/>
              </w:rPr>
            </w:pPr>
            <w:r>
              <w:rPr>
                <w:rFonts w:ascii="Times New Roman" w:cs="Times New Roman" w:eastAsia="Times New Roman" w:hAnsi="Times New Roman"/>
                <w:sz w:val="20"/>
                <w:szCs w:val="20"/>
                <w:color w:val="0000FF"/>
              </w:rPr>
              <w:t>Pro Rata Treatment of Lenders</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5</w:t>
            </w:r>
          </w:p>
        </w:tc>
        <w:tc>
          <w:tcPr>
            <w:tcW w:w="2920" w:type="dxa"/>
            <w:vAlign w:val="bottom"/>
            <w:gridSpan w:val="21"/>
          </w:tcPr>
          <w:p>
            <w:pPr>
              <w:ind w:left="60"/>
              <w:spacing w:after="0"/>
              <w:rPr>
                <w:sz w:val="20"/>
                <w:szCs w:val="20"/>
                <w:color w:val="auto"/>
              </w:rPr>
            </w:pPr>
            <w:r>
              <w:rPr>
                <w:rFonts w:ascii="Times New Roman" w:cs="Times New Roman" w:eastAsia="Times New Roman" w:hAnsi="Times New Roman"/>
                <w:sz w:val="20"/>
                <w:szCs w:val="20"/>
                <w:color w:val="0000FF"/>
              </w:rPr>
              <w:t>Sharing of Payments by Lenders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89"/>
              </w:rPr>
              <w:t>70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6</w:t>
            </w:r>
          </w:p>
        </w:tc>
        <w:tc>
          <w:tcPr>
            <w:tcW w:w="2920" w:type="dxa"/>
            <w:vAlign w:val="bottom"/>
            <w:gridSpan w:val="21"/>
          </w:tcPr>
          <w:p>
            <w:pPr>
              <w:ind w:left="60"/>
              <w:spacing w:after="0"/>
              <w:rPr>
                <w:sz w:val="20"/>
                <w:szCs w:val="20"/>
                <w:color w:val="auto"/>
              </w:rPr>
            </w:pPr>
            <w:r>
              <w:rPr>
                <w:rFonts w:ascii="Times New Roman" w:cs="Times New Roman" w:eastAsia="Times New Roman" w:hAnsi="Times New Roman"/>
                <w:sz w:val="20"/>
                <w:szCs w:val="20"/>
                <w:color w:val="0000FF"/>
              </w:rPr>
              <w:t>Administrative Agent’s Clawback</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71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7</w:t>
            </w:r>
          </w:p>
        </w:tc>
        <w:tc>
          <w:tcPr>
            <w:tcW w:w="1940" w:type="dxa"/>
            <w:vAlign w:val="bottom"/>
            <w:gridSpan w:val="13"/>
          </w:tcPr>
          <w:p>
            <w:pPr>
              <w:ind w:left="60"/>
              <w:spacing w:after="0"/>
              <w:rPr>
                <w:sz w:val="20"/>
                <w:szCs w:val="20"/>
                <w:color w:val="auto"/>
              </w:rPr>
            </w:pPr>
            <w:r>
              <w:rPr>
                <w:rFonts w:ascii="Times New Roman" w:cs="Times New Roman" w:eastAsia="Times New Roman" w:hAnsi="Times New Roman"/>
                <w:sz w:val="20"/>
                <w:szCs w:val="20"/>
                <w:color w:val="0000FF"/>
              </w:rPr>
              <w:t>Interest Payment Dates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8</w:t>
            </w:r>
          </w:p>
        </w:tc>
        <w:tc>
          <w:tcPr>
            <w:tcW w:w="146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0000FF"/>
              </w:rPr>
              <w:t>Increased Costs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9</w:t>
            </w:r>
          </w:p>
        </w:tc>
        <w:tc>
          <w:tcPr>
            <w:tcW w:w="520" w:type="dxa"/>
            <w:vAlign w:val="bottom"/>
          </w:tcPr>
          <w:p>
            <w:pPr>
              <w:ind w:left="60"/>
              <w:spacing w:after="0"/>
              <w:rPr>
                <w:sz w:val="20"/>
                <w:szCs w:val="20"/>
                <w:color w:val="auto"/>
              </w:rPr>
            </w:pPr>
            <w:r>
              <w:rPr>
                <w:rFonts w:ascii="Times New Roman" w:cs="Times New Roman" w:eastAsia="Times New Roman" w:hAnsi="Times New Roman"/>
                <w:sz w:val="20"/>
                <w:szCs w:val="20"/>
                <w:color w:val="0000FF"/>
                <w:w w:val="92"/>
              </w:rPr>
              <w:t>Taxes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10</w:t>
            </w:r>
          </w:p>
        </w:tc>
        <w:tc>
          <w:tcPr>
            <w:tcW w:w="114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0000FF"/>
              </w:rPr>
              <w:t>Indemnity</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11</w:t>
            </w:r>
          </w:p>
        </w:tc>
        <w:tc>
          <w:tcPr>
            <w:tcW w:w="2620" w:type="dxa"/>
            <w:vAlign w:val="bottom"/>
            <w:gridSpan w:val="18"/>
          </w:tcPr>
          <w:p>
            <w:pPr>
              <w:ind w:left="140"/>
              <w:spacing w:after="0"/>
              <w:rPr>
                <w:sz w:val="20"/>
                <w:szCs w:val="20"/>
                <w:color w:val="auto"/>
              </w:rPr>
            </w:pPr>
            <w:r>
              <w:rPr>
                <w:rFonts w:ascii="Times New Roman" w:cs="Times New Roman" w:eastAsia="Times New Roman" w:hAnsi="Times New Roman"/>
                <w:sz w:val="20"/>
                <w:szCs w:val="20"/>
                <w:color w:val="0000FF"/>
              </w:rPr>
              <w:t>Settlement Date Procedures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9"/>
              </w:rPr>
              <w:t>78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12</w:t>
            </w:r>
          </w:p>
        </w:tc>
        <w:tc>
          <w:tcPr>
            <w:tcW w:w="146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0000FF"/>
              </w:rPr>
              <w:t>Cash Collateral</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78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13</w:t>
            </w:r>
          </w:p>
        </w:tc>
        <w:tc>
          <w:tcPr>
            <w:tcW w:w="2140" w:type="dxa"/>
            <w:vAlign w:val="bottom"/>
            <w:gridSpan w:val="15"/>
          </w:tcPr>
          <w:p>
            <w:pPr>
              <w:ind w:left="160"/>
              <w:spacing w:after="0"/>
              <w:rPr>
                <w:sz w:val="20"/>
                <w:szCs w:val="20"/>
                <w:color w:val="auto"/>
              </w:rPr>
            </w:pPr>
            <w:r>
              <w:rPr>
                <w:rFonts w:ascii="Times New Roman" w:cs="Times New Roman" w:eastAsia="Times New Roman" w:hAnsi="Times New Roman"/>
                <w:sz w:val="20"/>
                <w:szCs w:val="20"/>
                <w:color w:val="0000FF"/>
                <w:w w:val="96"/>
              </w:rPr>
              <w:t>Replacement of a Lender</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5.</w:t>
            </w:r>
            <w:r>
              <w:rPr>
                <w:rFonts w:ascii="Times New Roman" w:cs="Times New Roman" w:eastAsia="Times New Roman" w:hAnsi="Times New Roman"/>
                <w:sz w:val="20"/>
                <w:szCs w:val="20"/>
                <w:u w:val="single" w:color="auto"/>
                <w:color w:val="0000FF"/>
              </w:rPr>
              <w:t>14</w:t>
            </w:r>
          </w:p>
        </w:tc>
        <w:tc>
          <w:tcPr>
            <w:tcW w:w="4420" w:type="dxa"/>
            <w:vAlign w:val="bottom"/>
            <w:gridSpan w:val="28"/>
          </w:tcPr>
          <w:p>
            <w:pPr>
              <w:ind w:left="160"/>
              <w:spacing w:after="0"/>
              <w:rPr>
                <w:sz w:val="20"/>
                <w:szCs w:val="20"/>
                <w:color w:val="auto"/>
              </w:rPr>
            </w:pPr>
            <w:r>
              <w:rPr>
                <w:rFonts w:ascii="Times New Roman" w:cs="Times New Roman" w:eastAsia="Times New Roman" w:hAnsi="Times New Roman"/>
                <w:sz w:val="20"/>
                <w:szCs w:val="20"/>
                <w:color w:val="0000FF"/>
              </w:rPr>
              <w:t xml:space="preserve">Designation of a Different Lending Office  </w:t>
            </w:r>
            <w:r>
              <w:rPr>
                <w:rFonts w:ascii="Times New Roman" w:cs="Times New Roman" w:eastAsia="Times New Roman" w:hAnsi="Times New Roman"/>
                <w:sz w:val="20"/>
                <w:szCs w:val="20"/>
                <w:color w:val="000000"/>
              </w:rPr>
              <w:t>80</w:t>
            </w:r>
          </w:p>
        </w:tc>
      </w:tr>
      <w:tr>
        <w:trPr>
          <w:trHeight w:val="20"/>
        </w:trPr>
        <w:tc>
          <w:tcPr>
            <w:tcW w:w="6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5440" w:type="dxa"/>
            <w:vAlign w:val="bottom"/>
            <w:gridSpan w:val="30"/>
          </w:tcPr>
          <w:p>
            <w:pPr>
              <w:spacing w:after="0"/>
              <w:rPr>
                <w:sz w:val="20"/>
                <w:szCs w:val="20"/>
                <w:color w:val="auto"/>
              </w:rPr>
            </w:pPr>
            <w:r>
              <w:rPr>
                <w:rFonts w:ascii="Times New Roman" w:cs="Times New Roman" w:eastAsia="Times New Roman" w:hAnsi="Times New Roman"/>
                <w:sz w:val="20"/>
                <w:szCs w:val="20"/>
                <w:b w:val="1"/>
                <w:bCs w:val="1"/>
                <w:color w:val="0000FF"/>
              </w:rPr>
              <w:t xml:space="preserve">ARTICLE 6 REPRESENTATIONS AND WARRANTIES  </w:t>
            </w:r>
            <w:r>
              <w:rPr>
                <w:rFonts w:ascii="Times New Roman" w:cs="Times New Roman" w:eastAsia="Times New Roman" w:hAnsi="Times New Roman"/>
                <w:sz w:val="20"/>
                <w:szCs w:val="20"/>
                <w:b w:val="1"/>
                <w:bCs w:val="1"/>
                <w:color w:val="000000"/>
              </w:rPr>
              <w:t>80</w:t>
            </w:r>
          </w:p>
        </w:tc>
      </w:tr>
      <w:tr>
        <w:trPr>
          <w:trHeight w:val="324"/>
        </w:trPr>
        <w:tc>
          <w:tcPr>
            <w:tcW w:w="1020" w:type="dxa"/>
            <w:vAlign w:val="bottom"/>
            <w:tcBorders>
              <w:top w:val="single" w:sz="8" w:color="0000FF"/>
            </w:tcBorders>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w:t>
            </w:r>
          </w:p>
        </w:tc>
        <w:tc>
          <w:tcPr>
            <w:tcW w:w="1460" w:type="dxa"/>
            <w:vAlign w:val="bottom"/>
            <w:tcBorders>
              <w:top w:val="single" w:sz="8" w:color="0000FF"/>
            </w:tcBorders>
            <w:gridSpan w:val="10"/>
          </w:tcPr>
          <w:p>
            <w:pPr>
              <w:ind w:left="60"/>
              <w:spacing w:after="0"/>
              <w:rPr>
                <w:sz w:val="20"/>
                <w:szCs w:val="20"/>
                <w:color w:val="auto"/>
              </w:rPr>
            </w:pPr>
            <w:r>
              <w:rPr>
                <w:rFonts w:ascii="Times New Roman" w:cs="Times New Roman" w:eastAsia="Times New Roman" w:hAnsi="Times New Roman"/>
                <w:sz w:val="20"/>
                <w:szCs w:val="20"/>
                <w:color w:val="0000FF"/>
                <w:w w:val="97"/>
              </w:rPr>
              <w:t>Existence; Power</w:t>
            </w:r>
          </w:p>
        </w:tc>
        <w:tc>
          <w:tcPr>
            <w:tcW w:w="480" w:type="dxa"/>
            <w:vAlign w:val="bottom"/>
            <w:tcBorders>
              <w:top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80</w:t>
            </w: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2</w:t>
            </w:r>
          </w:p>
        </w:tc>
        <w:tc>
          <w:tcPr>
            <w:tcW w:w="4420" w:type="dxa"/>
            <w:vAlign w:val="bottom"/>
            <w:gridSpan w:val="28"/>
          </w:tcPr>
          <w:p>
            <w:pPr>
              <w:ind w:left="60"/>
              <w:spacing w:after="0"/>
              <w:rPr>
                <w:sz w:val="20"/>
                <w:szCs w:val="20"/>
                <w:color w:val="auto"/>
              </w:rPr>
            </w:pPr>
            <w:r>
              <w:rPr>
                <w:rFonts w:ascii="Times New Roman" w:cs="Times New Roman" w:eastAsia="Times New Roman" w:hAnsi="Times New Roman"/>
                <w:sz w:val="20"/>
                <w:szCs w:val="20"/>
                <w:color w:val="0000FF"/>
              </w:rPr>
              <w:t xml:space="preserve">Organizational Power; Authorization  </w:t>
            </w:r>
            <w:r>
              <w:rPr>
                <w:rFonts w:ascii="Times New Roman" w:cs="Times New Roman" w:eastAsia="Times New Roman" w:hAnsi="Times New Roman"/>
                <w:sz w:val="20"/>
                <w:szCs w:val="20"/>
                <w:color w:val="000000"/>
              </w:rPr>
              <w:t>80</w:t>
            </w: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3</w:t>
            </w:r>
          </w:p>
        </w:tc>
        <w:tc>
          <w:tcPr>
            <w:tcW w:w="3340" w:type="dxa"/>
            <w:vAlign w:val="bottom"/>
            <w:gridSpan w:val="25"/>
          </w:tcPr>
          <w:p>
            <w:pPr>
              <w:ind w:left="60"/>
              <w:spacing w:after="0"/>
              <w:rPr>
                <w:sz w:val="20"/>
                <w:szCs w:val="20"/>
                <w:color w:val="auto"/>
              </w:rPr>
            </w:pPr>
            <w:r>
              <w:rPr>
                <w:rFonts w:ascii="Times New Roman" w:cs="Times New Roman" w:eastAsia="Times New Roman" w:hAnsi="Times New Roman"/>
                <w:sz w:val="20"/>
                <w:szCs w:val="20"/>
                <w:color w:val="0000FF"/>
              </w:rPr>
              <w:t>Governmental Approvals; No Conflicts</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81</w:t>
            </w: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4</w:t>
            </w:r>
          </w:p>
        </w:tc>
        <w:tc>
          <w:tcPr>
            <w:tcW w:w="1940" w:type="dxa"/>
            <w:vAlign w:val="bottom"/>
            <w:gridSpan w:val="13"/>
          </w:tcPr>
          <w:p>
            <w:pPr>
              <w:ind w:left="60"/>
              <w:spacing w:after="0"/>
              <w:rPr>
                <w:sz w:val="20"/>
                <w:szCs w:val="20"/>
                <w:color w:val="auto"/>
              </w:rPr>
            </w:pPr>
            <w:r>
              <w:rPr>
                <w:rFonts w:ascii="Times New Roman" w:cs="Times New Roman" w:eastAsia="Times New Roman" w:hAnsi="Times New Roman"/>
                <w:sz w:val="20"/>
                <w:szCs w:val="20"/>
                <w:color w:val="0000FF"/>
              </w:rPr>
              <w:t>Financial Statements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81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5</w:t>
            </w:r>
          </w:p>
        </w:tc>
        <w:tc>
          <w:tcPr>
            <w:tcW w:w="3340" w:type="dxa"/>
            <w:vAlign w:val="bottom"/>
            <w:gridSpan w:val="25"/>
          </w:tcPr>
          <w:p>
            <w:pPr>
              <w:ind w:left="60"/>
              <w:spacing w:after="0"/>
              <w:rPr>
                <w:sz w:val="20"/>
                <w:szCs w:val="20"/>
                <w:color w:val="auto"/>
              </w:rPr>
            </w:pPr>
            <w:r>
              <w:rPr>
                <w:rFonts w:ascii="Times New Roman" w:cs="Times New Roman" w:eastAsia="Times New Roman" w:hAnsi="Times New Roman"/>
                <w:sz w:val="20"/>
                <w:szCs w:val="20"/>
                <w:color w:val="0000FF"/>
              </w:rPr>
              <w:t>Litigation and Environmental Matters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81</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6</w:t>
            </w:r>
          </w:p>
        </w:tc>
        <w:tc>
          <w:tcPr>
            <w:tcW w:w="3340" w:type="dxa"/>
            <w:vAlign w:val="bottom"/>
            <w:gridSpan w:val="25"/>
          </w:tcPr>
          <w:p>
            <w:pPr>
              <w:ind w:left="60"/>
              <w:spacing w:after="0"/>
              <w:rPr>
                <w:sz w:val="20"/>
                <w:szCs w:val="20"/>
                <w:color w:val="auto"/>
              </w:rPr>
            </w:pPr>
            <w:r>
              <w:rPr>
                <w:rFonts w:ascii="Times New Roman" w:cs="Times New Roman" w:eastAsia="Times New Roman" w:hAnsi="Times New Roman"/>
                <w:sz w:val="20"/>
                <w:szCs w:val="20"/>
                <w:color w:val="0000FF"/>
              </w:rPr>
              <w:t>Compliance with Laws and Agreements</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81</w:t>
            </w: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7</w:t>
            </w:r>
          </w:p>
        </w:tc>
        <w:tc>
          <w:tcPr>
            <w:tcW w:w="2140" w:type="dxa"/>
            <w:vAlign w:val="bottom"/>
            <w:gridSpan w:val="15"/>
          </w:tcPr>
          <w:p>
            <w:pPr>
              <w:ind w:left="60"/>
              <w:spacing w:after="0"/>
              <w:rPr>
                <w:sz w:val="20"/>
                <w:szCs w:val="20"/>
                <w:color w:val="auto"/>
              </w:rPr>
            </w:pPr>
            <w:r>
              <w:rPr>
                <w:rFonts w:ascii="Times New Roman" w:cs="Times New Roman" w:eastAsia="Times New Roman" w:hAnsi="Times New Roman"/>
                <w:sz w:val="20"/>
                <w:szCs w:val="20"/>
                <w:color w:val="0000FF"/>
                <w:w w:val="99"/>
              </w:rPr>
              <w:t>Investment Company Act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8</w:t>
            </w:r>
          </w:p>
        </w:tc>
        <w:tc>
          <w:tcPr>
            <w:tcW w:w="520" w:type="dxa"/>
            <w:vAlign w:val="bottom"/>
          </w:tcPr>
          <w:p>
            <w:pPr>
              <w:ind w:left="60"/>
              <w:spacing w:after="0"/>
              <w:rPr>
                <w:sz w:val="20"/>
                <w:szCs w:val="20"/>
                <w:color w:val="auto"/>
              </w:rPr>
            </w:pPr>
            <w:r>
              <w:rPr>
                <w:rFonts w:ascii="Times New Roman" w:cs="Times New Roman" w:eastAsia="Times New Roman" w:hAnsi="Times New Roman"/>
                <w:sz w:val="20"/>
                <w:szCs w:val="20"/>
                <w:color w:val="0000FF"/>
                <w:w w:val="92"/>
              </w:rPr>
              <w:t>Taxes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9</w:t>
            </w:r>
          </w:p>
        </w:tc>
        <w:tc>
          <w:tcPr>
            <w:tcW w:w="2140" w:type="dxa"/>
            <w:vAlign w:val="bottom"/>
            <w:gridSpan w:val="15"/>
          </w:tcPr>
          <w:p>
            <w:pPr>
              <w:ind w:left="60"/>
              <w:spacing w:after="0"/>
              <w:rPr>
                <w:sz w:val="20"/>
                <w:szCs w:val="20"/>
                <w:color w:val="auto"/>
              </w:rPr>
            </w:pPr>
            <w:r>
              <w:rPr>
                <w:rFonts w:ascii="Times New Roman" w:cs="Times New Roman" w:eastAsia="Times New Roman" w:hAnsi="Times New Roman"/>
                <w:sz w:val="20"/>
                <w:szCs w:val="20"/>
                <w:color w:val="0000FF"/>
              </w:rPr>
              <w:t xml:space="preserve">Margin Regulations  </w:t>
            </w:r>
            <w:r>
              <w:rPr>
                <w:rFonts w:ascii="Times New Roman" w:cs="Times New Roman" w:eastAsia="Times New Roman" w:hAnsi="Times New Roman"/>
                <w:sz w:val="20"/>
                <w:szCs w:val="20"/>
                <w:color w:val="000000"/>
              </w:rPr>
              <w:t>82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10</w:t>
            </w:r>
          </w:p>
        </w:tc>
        <w:tc>
          <w:tcPr>
            <w:tcW w:w="9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0000FF"/>
              </w:rPr>
              <w:t>ERISA</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89"/>
              </w:rPr>
              <w:t>82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11</w:t>
            </w:r>
          </w:p>
        </w:tc>
        <w:tc>
          <w:tcPr>
            <w:tcW w:w="2920" w:type="dxa"/>
            <w:vAlign w:val="bottom"/>
            <w:gridSpan w:val="21"/>
          </w:tcPr>
          <w:p>
            <w:pPr>
              <w:ind w:left="140"/>
              <w:spacing w:after="0"/>
              <w:rPr>
                <w:sz w:val="20"/>
                <w:szCs w:val="20"/>
                <w:color w:val="auto"/>
              </w:rPr>
            </w:pPr>
            <w:r>
              <w:rPr>
                <w:rFonts w:ascii="Times New Roman" w:cs="Times New Roman" w:eastAsia="Times New Roman" w:hAnsi="Times New Roman"/>
                <w:sz w:val="20"/>
                <w:szCs w:val="20"/>
                <w:color w:val="0000FF"/>
              </w:rPr>
              <w:t>Ownership of Property; Insurance</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12</w:t>
            </w:r>
          </w:p>
        </w:tc>
        <w:tc>
          <w:tcPr>
            <w:tcW w:w="114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0000FF"/>
              </w:rPr>
              <w:t>Disclosure</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84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13</w:t>
            </w:r>
          </w:p>
        </w:tc>
        <w:tc>
          <w:tcPr>
            <w:tcW w:w="146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0000FF"/>
                <w:w w:val="98"/>
              </w:rPr>
              <w:t>Labor Relations</w:t>
            </w: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14</w:t>
            </w:r>
          </w:p>
        </w:tc>
        <w:tc>
          <w:tcPr>
            <w:tcW w:w="114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0000FF"/>
                <w:w w:val="98"/>
              </w:rPr>
              <w:t>Subsidiaries</w:t>
            </w:r>
          </w:p>
        </w:tc>
        <w:tc>
          <w:tcPr>
            <w:tcW w:w="540" w:type="dxa"/>
            <w:vAlign w:val="bottom"/>
            <w:gridSpan w:val="4"/>
          </w:tcPr>
          <w:p>
            <w:pPr>
              <w:jc w:val="right"/>
              <w:ind w:right="18"/>
              <w:spacing w:after="0"/>
              <w:rPr>
                <w:sz w:val="20"/>
                <w:szCs w:val="20"/>
                <w:color w:val="auto"/>
              </w:rPr>
            </w:pPr>
            <w:r>
              <w:rPr>
                <w:rFonts w:ascii="Times New Roman" w:cs="Times New Roman" w:eastAsia="Times New Roman" w:hAnsi="Times New Roman"/>
                <w:sz w:val="20"/>
                <w:szCs w:val="20"/>
                <w:color w:val="auto"/>
              </w:rPr>
              <w:t>84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15</w:t>
            </w:r>
          </w:p>
        </w:tc>
        <w:tc>
          <w:tcPr>
            <w:tcW w:w="9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0000FF"/>
              </w:rPr>
              <w:t>Solvency</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16</w:t>
            </w:r>
          </w:p>
        </w:tc>
        <w:tc>
          <w:tcPr>
            <w:tcW w:w="3340" w:type="dxa"/>
            <w:vAlign w:val="bottom"/>
            <w:gridSpan w:val="25"/>
          </w:tcPr>
          <w:p>
            <w:pPr>
              <w:ind w:left="160"/>
              <w:spacing w:after="0"/>
              <w:rPr>
                <w:sz w:val="20"/>
                <w:szCs w:val="20"/>
                <w:color w:val="auto"/>
              </w:rPr>
            </w:pPr>
            <w:r>
              <w:rPr>
                <w:rFonts w:ascii="Times New Roman" w:cs="Times New Roman" w:eastAsia="Times New Roman" w:hAnsi="Times New Roman"/>
                <w:sz w:val="20"/>
                <w:szCs w:val="20"/>
                <w:color w:val="0000FF"/>
              </w:rPr>
              <w:t>Deposit and Disbursement Accounts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84</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gridSpan w:val="1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17</w:t>
            </w:r>
          </w:p>
        </w:tc>
        <w:tc>
          <w:tcPr>
            <w:tcW w:w="1940" w:type="dxa"/>
            <w:vAlign w:val="bottom"/>
            <w:gridSpan w:val="13"/>
          </w:tcPr>
          <w:p>
            <w:pPr>
              <w:ind w:left="160"/>
              <w:spacing w:after="0"/>
              <w:rPr>
                <w:sz w:val="20"/>
                <w:szCs w:val="20"/>
                <w:color w:val="auto"/>
              </w:rPr>
            </w:pPr>
            <w:r>
              <w:rPr>
                <w:rFonts w:ascii="Times New Roman" w:cs="Times New Roman" w:eastAsia="Times New Roman" w:hAnsi="Times New Roman"/>
                <w:sz w:val="20"/>
                <w:szCs w:val="20"/>
                <w:color w:val="0000FF"/>
              </w:rPr>
              <w:t>Collateral Documents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ectPr>
          <w:pgSz w:w="11900" w:h="16838" w:orient="portrait"/>
          <w:cols w:equalWidth="0" w:num="1">
            <w:col w:w="11140"/>
          </w:cols>
          <w:pgMar w:left="320" w:top="123" w:right="439" w:bottom="1440" w:gutter="0" w:footer="0" w:header="0"/>
        </w:sectPr>
      </w:pPr>
    </w:p>
    <w:bookmarkStart w:id="168" w:name="page169"/>
    <w:bookmarkEnd w:id="168"/>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(continued)</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18</w:t>
            </w:r>
          </w:p>
        </w:tc>
        <w:tc>
          <w:tcPr>
            <w:tcW w:w="2640" w:type="dxa"/>
            <w:vAlign w:val="bottom"/>
            <w:gridSpan w:val="11"/>
          </w:tcPr>
          <w:p>
            <w:pPr>
              <w:ind w:left="160"/>
              <w:spacing w:after="0"/>
              <w:rPr>
                <w:sz w:val="20"/>
                <w:szCs w:val="20"/>
                <w:color w:val="auto"/>
              </w:rPr>
            </w:pPr>
            <w:r>
              <w:rPr>
                <w:rFonts w:ascii="Times New Roman" w:cs="Times New Roman" w:eastAsia="Times New Roman" w:hAnsi="Times New Roman"/>
                <w:sz w:val="20"/>
                <w:szCs w:val="20"/>
                <w:color w:val="0000FF"/>
              </w:rPr>
              <w:t>Outbound Investment Rules</w:t>
            </w:r>
          </w:p>
        </w:tc>
        <w:tc>
          <w:tcPr>
            <w:tcW w:w="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19</w:t>
            </w:r>
          </w:p>
        </w:tc>
        <w:tc>
          <w:tcPr>
            <w:tcW w:w="3400" w:type="dxa"/>
            <w:vAlign w:val="bottom"/>
            <w:gridSpan w:val="17"/>
          </w:tcPr>
          <w:p>
            <w:pPr>
              <w:ind w:left="160"/>
              <w:spacing w:after="0"/>
              <w:rPr>
                <w:sz w:val="20"/>
                <w:szCs w:val="20"/>
                <w:color w:val="auto"/>
              </w:rPr>
            </w:pPr>
            <w:r>
              <w:rPr>
                <w:rFonts w:ascii="Times New Roman" w:cs="Times New Roman" w:eastAsia="Times New Roman" w:hAnsi="Times New Roman"/>
                <w:sz w:val="20"/>
                <w:szCs w:val="20"/>
                <w:color w:val="0000FF"/>
              </w:rPr>
              <w:t>Sanctions and International Trade Laws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85</w:t>
            </w: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20</w:t>
            </w:r>
          </w:p>
        </w:tc>
        <w:tc>
          <w:tcPr>
            <w:tcW w:w="220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0000FF"/>
              </w:rPr>
              <w:t>Anti-Corruption Laws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86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21</w:t>
            </w:r>
          </w:p>
        </w:tc>
        <w:tc>
          <w:tcPr>
            <w:tcW w:w="2640" w:type="dxa"/>
            <w:vAlign w:val="bottom"/>
            <w:gridSpan w:val="11"/>
          </w:tcPr>
          <w:p>
            <w:pPr>
              <w:ind w:left="160"/>
              <w:spacing w:after="0"/>
              <w:rPr>
                <w:sz w:val="20"/>
                <w:szCs w:val="20"/>
                <w:color w:val="auto"/>
              </w:rPr>
            </w:pPr>
            <w:r>
              <w:rPr>
                <w:rFonts w:ascii="Times New Roman" w:cs="Times New Roman" w:eastAsia="Times New Roman" w:hAnsi="Times New Roman"/>
                <w:sz w:val="20"/>
                <w:szCs w:val="20"/>
                <w:color w:val="0000FF"/>
              </w:rPr>
              <w:t>Affected Financial Institutions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22</w:t>
            </w: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0000FF"/>
              </w:rPr>
              <w:t>Material Contracts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6.</w:t>
            </w:r>
            <w:r>
              <w:rPr>
                <w:rFonts w:ascii="Times New Roman" w:cs="Times New Roman" w:eastAsia="Times New Roman" w:hAnsi="Times New Roman"/>
                <w:sz w:val="20"/>
                <w:szCs w:val="20"/>
                <w:u w:val="single" w:color="auto"/>
                <w:color w:val="0000FF"/>
              </w:rPr>
              <w:t>23</w:t>
            </w:r>
          </w:p>
        </w:tc>
        <w:tc>
          <w:tcPr>
            <w:tcW w:w="242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0000FF"/>
              </w:rPr>
              <w:t>Debarment and Suspension</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8500" w:type="dxa"/>
            <w:vAlign w:val="bottom"/>
            <w:gridSpan w:val="24"/>
          </w:tcPr>
          <w:p>
            <w:pPr>
              <w:spacing w:after="0"/>
              <w:rPr>
                <w:sz w:val="20"/>
                <w:szCs w:val="20"/>
                <w:color w:val="auto"/>
              </w:rPr>
            </w:pPr>
            <w:r>
              <w:rPr>
                <w:rFonts w:ascii="Times New Roman" w:cs="Times New Roman" w:eastAsia="Times New Roman" w:hAnsi="Times New Roman"/>
                <w:sz w:val="20"/>
                <w:szCs w:val="20"/>
                <w:b w:val="1"/>
                <w:bCs w:val="1"/>
                <w:color w:val="0000FF"/>
              </w:rPr>
              <w:t xml:space="preserve">ARTICLE 7 CONDITIONS OF LENDING AND ISSUANCE OF LETTERS OF CREDIT  </w:t>
            </w:r>
            <w:r>
              <w:rPr>
                <w:rFonts w:ascii="Times New Roman" w:cs="Times New Roman" w:eastAsia="Times New Roman" w:hAnsi="Times New Roman"/>
                <w:sz w:val="20"/>
                <w:szCs w:val="20"/>
                <w:b w:val="1"/>
                <w:bCs w:val="1"/>
                <w:color w:val="000000"/>
              </w:rPr>
              <w:t>87</w:t>
            </w:r>
          </w:p>
        </w:tc>
      </w:tr>
      <w:tr>
        <w:trPr>
          <w:trHeight w:val="324"/>
        </w:trPr>
        <w:tc>
          <w:tcPr>
            <w:tcW w:w="1020" w:type="dxa"/>
            <w:vAlign w:val="bottom"/>
            <w:tcBorders>
              <w:top w:val="single" w:sz="8" w:color="0000FF"/>
            </w:tcBorders>
            <w:gridSpan w:val="2"/>
          </w:tcPr>
          <w:p>
            <w:pPr>
              <w:ind w:left="620"/>
              <w:spacing w:after="0"/>
              <w:rPr>
                <w:sz w:val="20"/>
                <w:szCs w:val="20"/>
                <w:color w:val="auto"/>
              </w:rPr>
            </w:pPr>
            <w:r>
              <w:rPr>
                <w:rFonts w:ascii="Times New Roman" w:cs="Times New Roman" w:eastAsia="Times New Roman" w:hAnsi="Times New Roman"/>
                <w:sz w:val="20"/>
                <w:szCs w:val="20"/>
                <w:color w:val="0000FF"/>
              </w:rPr>
              <w:t>7.</w:t>
            </w:r>
            <w:r>
              <w:rPr>
                <w:rFonts w:ascii="Times New Roman" w:cs="Times New Roman" w:eastAsia="Times New Roman" w:hAnsi="Times New Roman"/>
                <w:sz w:val="20"/>
                <w:szCs w:val="20"/>
                <w:u w:val="single" w:color="auto"/>
                <w:color w:val="0000FF"/>
              </w:rPr>
              <w:t>1</w:t>
            </w:r>
          </w:p>
        </w:tc>
        <w:tc>
          <w:tcPr>
            <w:tcW w:w="2880" w:type="dxa"/>
            <w:vAlign w:val="bottom"/>
            <w:tcBorders>
              <w:top w:val="single" w:sz="8" w:color="0000FF"/>
            </w:tcBorders>
            <w:gridSpan w:val="13"/>
          </w:tcPr>
          <w:p>
            <w:pPr>
              <w:ind w:left="60"/>
              <w:spacing w:after="0"/>
              <w:rPr>
                <w:sz w:val="20"/>
                <w:szCs w:val="20"/>
                <w:color w:val="auto"/>
              </w:rPr>
            </w:pPr>
            <w:r>
              <w:rPr>
                <w:rFonts w:ascii="Times New Roman" w:cs="Times New Roman" w:eastAsia="Times New Roman" w:hAnsi="Times New Roman"/>
                <w:sz w:val="20"/>
                <w:szCs w:val="20"/>
                <w:color w:val="0000FF"/>
              </w:rPr>
              <w:t>Initial Loans and Letters of Credit</w:t>
            </w:r>
          </w:p>
        </w:tc>
        <w:tc>
          <w:tcPr>
            <w:tcW w:w="400" w:type="dxa"/>
            <w:vAlign w:val="bottom"/>
            <w:tcBorders>
              <w:top w:val="single" w:sz="8" w:color="0000FF"/>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87</w:t>
            </w: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7.</w:t>
            </w:r>
            <w:r>
              <w:rPr>
                <w:rFonts w:ascii="Times New Roman" w:cs="Times New Roman" w:eastAsia="Times New Roman" w:hAnsi="Times New Roman"/>
                <w:sz w:val="20"/>
                <w:szCs w:val="20"/>
                <w:u w:val="single" w:color="auto"/>
                <w:color w:val="0000FF"/>
              </w:rPr>
              <w:t>2</w:t>
            </w:r>
          </w:p>
        </w:tc>
        <w:tc>
          <w:tcPr>
            <w:tcW w:w="2640" w:type="dxa"/>
            <w:vAlign w:val="bottom"/>
            <w:gridSpan w:val="11"/>
          </w:tcPr>
          <w:p>
            <w:pPr>
              <w:ind w:left="60"/>
              <w:spacing w:after="0"/>
              <w:rPr>
                <w:sz w:val="20"/>
                <w:szCs w:val="20"/>
                <w:color w:val="auto"/>
              </w:rPr>
            </w:pPr>
            <w:r>
              <w:rPr>
                <w:rFonts w:ascii="Times New Roman" w:cs="Times New Roman" w:eastAsia="Times New Roman" w:hAnsi="Times New Roman"/>
                <w:sz w:val="20"/>
                <w:szCs w:val="20"/>
                <w:color w:val="0000FF"/>
              </w:rPr>
              <w:t>Each Loan or Letter of Credit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89"/>
              </w:rPr>
              <w:t>89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39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b w:val="1"/>
                <w:bCs w:val="1"/>
                <w:color w:val="0000FF"/>
              </w:rPr>
              <w:t>ARTICLE 8 AFFIRMATIVE COVENANTS</w:t>
            </w:r>
          </w:p>
        </w:tc>
        <w:tc>
          <w:tcPr>
            <w:tcW w:w="52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89</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1</w:t>
            </w: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0000FF"/>
              </w:rPr>
              <w:t>Reporting Requirements</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2</w:t>
            </w:r>
          </w:p>
        </w:tc>
        <w:tc>
          <w:tcPr>
            <w:tcW w:w="7480" w:type="dxa"/>
            <w:vAlign w:val="bottom"/>
            <w:gridSpan w:val="22"/>
          </w:tcPr>
          <w:p>
            <w:pPr>
              <w:ind w:left="60"/>
              <w:spacing w:after="0"/>
              <w:rPr>
                <w:sz w:val="20"/>
                <w:szCs w:val="20"/>
                <w:color w:val="auto"/>
              </w:rPr>
            </w:pPr>
            <w:r>
              <w:rPr>
                <w:rFonts w:ascii="Times New Roman" w:cs="Times New Roman" w:eastAsia="Times New Roman" w:hAnsi="Times New Roman"/>
                <w:sz w:val="20"/>
                <w:szCs w:val="20"/>
                <w:color w:val="0000FF"/>
              </w:rPr>
              <w:t xml:space="preserve">Certificates; Notices; Additional Information  </w:t>
            </w:r>
            <w:r>
              <w:rPr>
                <w:rFonts w:ascii="Times New Roman" w:cs="Times New Roman" w:eastAsia="Times New Roman" w:hAnsi="Times New Roman"/>
                <w:sz w:val="20"/>
                <w:szCs w:val="20"/>
                <w:color w:val="000000"/>
              </w:rPr>
              <w:t>90</w:t>
            </w: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3</w:t>
            </w:r>
          </w:p>
        </w:tc>
        <w:tc>
          <w:tcPr>
            <w:tcW w:w="242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0000FF"/>
              </w:rPr>
              <w:t>Notices of Material Events</w:t>
            </w:r>
          </w:p>
        </w:tc>
        <w:tc>
          <w:tcPr>
            <w:tcW w:w="4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92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4</w:t>
            </w:r>
          </w:p>
        </w:tc>
        <w:tc>
          <w:tcPr>
            <w:tcW w:w="2640" w:type="dxa"/>
            <w:vAlign w:val="bottom"/>
            <w:gridSpan w:val="11"/>
          </w:tcPr>
          <w:p>
            <w:pPr>
              <w:ind w:left="60"/>
              <w:spacing w:after="0"/>
              <w:rPr>
                <w:sz w:val="20"/>
                <w:szCs w:val="20"/>
                <w:color w:val="auto"/>
              </w:rPr>
            </w:pPr>
            <w:r>
              <w:rPr>
                <w:rFonts w:ascii="Times New Roman" w:cs="Times New Roman" w:eastAsia="Times New Roman" w:hAnsi="Times New Roman"/>
                <w:sz w:val="20"/>
                <w:szCs w:val="20"/>
                <w:color w:val="0000FF"/>
              </w:rPr>
              <w:t>Existence; Conduct of Business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5</w:t>
            </w: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0000FF"/>
              </w:rPr>
              <w:t>Compliance with Laws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94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6</w:t>
            </w: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0000FF"/>
              </w:rPr>
              <w:t>Payment of Obligations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89"/>
              </w:rPr>
              <w:t>94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7</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0000FF"/>
              </w:rPr>
              <w:t>Books and Records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8</w:t>
            </w: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0000FF"/>
              </w:rPr>
              <w:t>Visitation and Inspection</w:t>
            </w:r>
          </w:p>
        </w:tc>
        <w:tc>
          <w:tcPr>
            <w:tcW w:w="4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94</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9</w:t>
            </w:r>
          </w:p>
        </w:tc>
        <w:tc>
          <w:tcPr>
            <w:tcW w:w="7480" w:type="dxa"/>
            <w:vAlign w:val="bottom"/>
            <w:gridSpan w:val="22"/>
          </w:tcPr>
          <w:p>
            <w:pPr>
              <w:ind w:left="60"/>
              <w:spacing w:after="0"/>
              <w:rPr>
                <w:sz w:val="20"/>
                <w:szCs w:val="20"/>
                <w:color w:val="auto"/>
              </w:rPr>
            </w:pPr>
            <w:r>
              <w:rPr>
                <w:rFonts w:ascii="Times New Roman" w:cs="Times New Roman" w:eastAsia="Times New Roman" w:hAnsi="Times New Roman"/>
                <w:sz w:val="20"/>
                <w:szCs w:val="20"/>
                <w:color w:val="0000FF"/>
              </w:rPr>
              <w:t xml:space="preserve">Maintenance of Properties; Insurance  </w:t>
            </w:r>
            <w:r>
              <w:rPr>
                <w:rFonts w:ascii="Times New Roman" w:cs="Times New Roman" w:eastAsia="Times New Roman" w:hAnsi="Times New Roman"/>
                <w:sz w:val="20"/>
                <w:szCs w:val="20"/>
                <w:color w:val="000000"/>
              </w:rPr>
              <w:t>94</w:t>
            </w: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10</w:t>
            </w:r>
          </w:p>
        </w:tc>
        <w:tc>
          <w:tcPr>
            <w:tcW w:w="3400" w:type="dxa"/>
            <w:vAlign w:val="bottom"/>
            <w:gridSpan w:val="17"/>
          </w:tcPr>
          <w:p>
            <w:pPr>
              <w:ind w:left="160"/>
              <w:spacing w:after="0"/>
              <w:rPr>
                <w:sz w:val="20"/>
                <w:szCs w:val="20"/>
                <w:color w:val="auto"/>
              </w:rPr>
            </w:pPr>
            <w:r>
              <w:rPr>
                <w:rFonts w:ascii="Times New Roman" w:cs="Times New Roman" w:eastAsia="Times New Roman" w:hAnsi="Times New Roman"/>
                <w:sz w:val="20"/>
                <w:szCs w:val="20"/>
                <w:color w:val="0000FF"/>
              </w:rPr>
              <w:t>Use of Proceeds; Margin Regulations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95</w:t>
            </w: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11</w:t>
            </w:r>
          </w:p>
        </w:tc>
        <w:tc>
          <w:tcPr>
            <w:tcW w:w="2640" w:type="dxa"/>
            <w:vAlign w:val="bottom"/>
            <w:gridSpan w:val="11"/>
          </w:tcPr>
          <w:p>
            <w:pPr>
              <w:ind w:left="140"/>
              <w:spacing w:after="0"/>
              <w:rPr>
                <w:sz w:val="20"/>
                <w:szCs w:val="20"/>
                <w:color w:val="auto"/>
              </w:rPr>
            </w:pPr>
            <w:r>
              <w:rPr>
                <w:rFonts w:ascii="Times New Roman" w:cs="Times New Roman" w:eastAsia="Times New Roman" w:hAnsi="Times New Roman"/>
                <w:sz w:val="20"/>
                <w:szCs w:val="20"/>
                <w:color w:val="0000FF"/>
              </w:rPr>
              <w:t>Casualty and Condemnation</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9"/>
              </w:rPr>
              <w:t>95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12</w:t>
            </w: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0000FF"/>
              </w:rPr>
              <w:t>Cash Management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13</w:t>
            </w:r>
          </w:p>
        </w:tc>
        <w:tc>
          <w:tcPr>
            <w:tcW w:w="3400" w:type="dxa"/>
            <w:vAlign w:val="bottom"/>
            <w:gridSpan w:val="17"/>
          </w:tcPr>
          <w:p>
            <w:pPr>
              <w:ind w:left="160"/>
              <w:spacing w:after="0"/>
              <w:rPr>
                <w:sz w:val="20"/>
                <w:szCs w:val="20"/>
                <w:color w:val="auto"/>
              </w:rPr>
            </w:pPr>
            <w:r>
              <w:rPr>
                <w:rFonts w:ascii="Times New Roman" w:cs="Times New Roman" w:eastAsia="Times New Roman" w:hAnsi="Times New Roman"/>
                <w:sz w:val="20"/>
                <w:szCs w:val="20"/>
                <w:color w:val="0000FF"/>
              </w:rPr>
              <w:t>Additional Subsidiaries and Collateral</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14</w:t>
            </w: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0000FF"/>
              </w:rPr>
              <w:t>Leased Locations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15</w:t>
            </w: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0000FF"/>
              </w:rPr>
              <w:t>Further Assurances</w:t>
            </w:r>
          </w:p>
        </w:tc>
        <w:tc>
          <w:tcPr>
            <w:tcW w:w="46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97</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16</w:t>
            </w:r>
          </w:p>
        </w:tc>
        <w:tc>
          <w:tcPr>
            <w:tcW w:w="220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0000FF"/>
              </w:rPr>
              <w:t>Government Contracts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97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17</w:t>
            </w:r>
          </w:p>
        </w:tc>
        <w:tc>
          <w:tcPr>
            <w:tcW w:w="7480" w:type="dxa"/>
            <w:vAlign w:val="bottom"/>
            <w:gridSpan w:val="22"/>
          </w:tcPr>
          <w:p>
            <w:pPr>
              <w:ind w:left="160"/>
              <w:spacing w:after="0"/>
              <w:rPr>
                <w:sz w:val="20"/>
                <w:szCs w:val="20"/>
                <w:color w:val="auto"/>
              </w:rPr>
            </w:pPr>
            <w:r>
              <w:rPr>
                <w:rFonts w:ascii="Times New Roman" w:cs="Times New Roman" w:eastAsia="Times New Roman" w:hAnsi="Times New Roman"/>
                <w:sz w:val="20"/>
                <w:szCs w:val="20"/>
                <w:color w:val="0000FF"/>
              </w:rPr>
              <w:t xml:space="preserve">Anti-Corruption Laws; Anti-Money Laundering Laws; and International Trade Laws  </w:t>
            </w:r>
            <w:r>
              <w:rPr>
                <w:rFonts w:ascii="Times New Roman" w:cs="Times New Roman" w:eastAsia="Times New Roman" w:hAnsi="Times New Roman"/>
                <w:sz w:val="20"/>
                <w:szCs w:val="20"/>
                <w:color w:val="000000"/>
              </w:rPr>
              <w:t>97</w:t>
            </w: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7"/>
            <w:shd w:val="clear" w:color="auto" w:fill="0000FF"/>
          </w:tcPr>
          <w:p>
            <w:pPr>
              <w:spacing w:after="0" w:line="20" w:lineRule="exact"/>
              <w:rPr>
                <w:sz w:val="1"/>
                <w:szCs w:val="1"/>
                <w:color w:val="auto"/>
              </w:rPr>
            </w:pPr>
          </w:p>
        </w:tc>
        <w:tc>
          <w:tcPr>
            <w:tcW w:w="1820" w:type="dxa"/>
            <w:vAlign w:val="bottom"/>
            <w:tcBorders>
              <w:left w:val="single" w:sz="8" w:color="0000FF"/>
            </w:tcBorders>
            <w:gridSpan w:val="12"/>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18</w:t>
            </w:r>
          </w:p>
        </w:tc>
        <w:tc>
          <w:tcPr>
            <w:tcW w:w="7480" w:type="dxa"/>
            <w:vAlign w:val="bottom"/>
            <w:gridSpan w:val="22"/>
          </w:tcPr>
          <w:p>
            <w:pPr>
              <w:ind w:left="160"/>
              <w:spacing w:after="0"/>
              <w:rPr>
                <w:sz w:val="20"/>
                <w:szCs w:val="20"/>
                <w:color w:val="auto"/>
              </w:rPr>
            </w:pPr>
            <w:r>
              <w:rPr>
                <w:rFonts w:ascii="Times New Roman" w:cs="Times New Roman" w:eastAsia="Times New Roman" w:hAnsi="Times New Roman"/>
                <w:sz w:val="20"/>
                <w:szCs w:val="20"/>
                <w:color w:val="0000FF"/>
              </w:rPr>
              <w:t xml:space="preserve">Additional Beneficial Ownership Certifications  </w:t>
            </w:r>
            <w:r>
              <w:rPr>
                <w:rFonts w:ascii="Times New Roman" w:cs="Times New Roman" w:eastAsia="Times New Roman" w:hAnsi="Times New Roman"/>
                <w:sz w:val="20"/>
                <w:szCs w:val="20"/>
                <w:color w:val="000000"/>
              </w:rPr>
              <w:t>98</w:t>
            </w: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u w:val="single" w:color="auto"/>
                <w:color w:val="0000FF"/>
              </w:rPr>
              <w:t>19</w:t>
            </w:r>
          </w:p>
        </w:tc>
        <w:tc>
          <w:tcPr>
            <w:tcW w:w="242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0000FF"/>
              </w:rPr>
              <w:t>Post-Closing Obligations</w:t>
            </w:r>
          </w:p>
        </w:tc>
        <w:tc>
          <w:tcPr>
            <w:tcW w:w="2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98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ectPr>
          <w:pgSz w:w="11900" w:h="16838" w:orient="portrait"/>
          <w:cols w:equalWidth="0" w:num="1">
            <w:col w:w="11140"/>
          </w:cols>
          <w:pgMar w:left="320" w:top="123" w:right="439" w:bottom="1440" w:gutter="0" w:footer="0" w:header="0"/>
        </w:sectPr>
      </w:pPr>
    </w:p>
    <w:bookmarkStart w:id="169" w:name="page170"/>
    <w:bookmarkEnd w:id="169"/>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(continued)</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b w:val="1"/>
                <w:bCs w:val="1"/>
                <w:color w:val="0000FF"/>
              </w:rPr>
              <w:t>ARTICLE 9 NEGATIVE COVENANTS</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98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1</w:t>
            </w:r>
          </w:p>
        </w:tc>
        <w:tc>
          <w:tcPr>
            <w:tcW w:w="2940" w:type="dxa"/>
            <w:vAlign w:val="bottom"/>
            <w:gridSpan w:val="19"/>
          </w:tcPr>
          <w:p>
            <w:pPr>
              <w:ind w:left="60"/>
              <w:spacing w:after="0"/>
              <w:rPr>
                <w:sz w:val="20"/>
                <w:szCs w:val="20"/>
                <w:color w:val="auto"/>
              </w:rPr>
            </w:pPr>
            <w:r>
              <w:rPr>
                <w:rFonts w:ascii="Times New Roman" w:cs="Times New Roman" w:eastAsia="Times New Roman" w:hAnsi="Times New Roman"/>
                <w:sz w:val="20"/>
                <w:szCs w:val="20"/>
                <w:color w:val="0000FF"/>
              </w:rPr>
              <w:t>Indebtedness and Preferred Equity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2</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0000FF"/>
              </w:rPr>
              <w:t>Liens</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100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3</w:t>
            </w:r>
          </w:p>
        </w:tc>
        <w:tc>
          <w:tcPr>
            <w:tcW w:w="184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0000FF"/>
                <w:w w:val="97"/>
              </w:rPr>
              <w:t>Fundamental Changes</w:t>
            </w:r>
          </w:p>
        </w:tc>
        <w:tc>
          <w:tcPr>
            <w:tcW w:w="560" w:type="dxa"/>
            <w:vAlign w:val="bottom"/>
            <w:gridSpan w:val="6"/>
          </w:tcPr>
          <w:p>
            <w:pPr>
              <w:ind w:left="240"/>
              <w:spacing w:after="0"/>
              <w:rPr>
                <w:sz w:val="20"/>
                <w:szCs w:val="20"/>
                <w:color w:val="auto"/>
              </w:rPr>
            </w:pPr>
            <w:r>
              <w:rPr>
                <w:rFonts w:ascii="Times New Roman" w:cs="Times New Roman" w:eastAsia="Times New Roman" w:hAnsi="Times New Roman"/>
                <w:sz w:val="20"/>
                <w:szCs w:val="20"/>
                <w:color w:val="auto"/>
                <w:w w:val="99"/>
              </w:rPr>
              <w:t>101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4</w:t>
            </w:r>
          </w:p>
        </w:tc>
        <w:tc>
          <w:tcPr>
            <w:tcW w:w="178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0000FF"/>
              </w:rPr>
              <w:t>Investments, Loans</w:t>
            </w:r>
          </w:p>
        </w:tc>
        <w:tc>
          <w:tcPr>
            <w:tcW w:w="4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102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5</w:t>
            </w:r>
          </w:p>
        </w:tc>
        <w:tc>
          <w:tcPr>
            <w:tcW w:w="178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0000FF"/>
              </w:rPr>
              <w:t>Restricted Payments</w:t>
            </w:r>
          </w:p>
        </w:tc>
        <w:tc>
          <w:tcPr>
            <w:tcW w:w="6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6</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0000FF"/>
                <w:w w:val="91"/>
              </w:rPr>
              <w:t>Sale of Assets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7</w:t>
            </w:r>
          </w:p>
        </w:tc>
        <w:tc>
          <w:tcPr>
            <w:tcW w:w="250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0000FF"/>
              </w:rPr>
              <w:t>Transactions with Affiliates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104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8</w:t>
            </w:r>
          </w:p>
        </w:tc>
        <w:tc>
          <w:tcPr>
            <w:tcW w:w="2500" w:type="dxa"/>
            <w:vAlign w:val="bottom"/>
            <w:gridSpan w:val="16"/>
          </w:tcPr>
          <w:p>
            <w:pPr>
              <w:ind w:left="60"/>
              <w:spacing w:after="0"/>
              <w:rPr>
                <w:sz w:val="20"/>
                <w:szCs w:val="20"/>
                <w:color w:val="auto"/>
              </w:rPr>
            </w:pPr>
            <w:r>
              <w:rPr>
                <w:rFonts w:ascii="Times New Roman" w:cs="Times New Roman" w:eastAsia="Times New Roman" w:hAnsi="Times New Roman"/>
                <w:sz w:val="20"/>
                <w:szCs w:val="20"/>
                <w:color w:val="0000FF"/>
              </w:rPr>
              <w:t xml:space="preserve">Restrictive Agreements  </w:t>
            </w:r>
            <w:r>
              <w:rPr>
                <w:rFonts w:ascii="Times New Roman" w:cs="Times New Roman" w:eastAsia="Times New Roman" w:hAnsi="Times New Roman"/>
                <w:sz w:val="20"/>
                <w:szCs w:val="20"/>
                <w:color w:val="000000"/>
              </w:rPr>
              <w:t>105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9</w:t>
            </w:r>
          </w:p>
        </w:tc>
        <w:tc>
          <w:tcPr>
            <w:tcW w:w="2940" w:type="dxa"/>
            <w:vAlign w:val="bottom"/>
            <w:gridSpan w:val="19"/>
          </w:tcPr>
          <w:p>
            <w:pPr>
              <w:ind w:left="60"/>
              <w:spacing w:after="0"/>
              <w:rPr>
                <w:sz w:val="20"/>
                <w:szCs w:val="20"/>
                <w:color w:val="auto"/>
              </w:rPr>
            </w:pPr>
            <w:r>
              <w:rPr>
                <w:rFonts w:ascii="Times New Roman" w:cs="Times New Roman" w:eastAsia="Times New Roman" w:hAnsi="Times New Roman"/>
                <w:sz w:val="20"/>
                <w:szCs w:val="20"/>
                <w:color w:val="0000FF"/>
              </w:rPr>
              <w:t>Sale and Leaseback Transactions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105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10</w:t>
            </w:r>
          </w:p>
        </w:tc>
        <w:tc>
          <w:tcPr>
            <w:tcW w:w="178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0000FF"/>
              </w:rPr>
              <w:t>Interest Rate Hedge</w:t>
            </w:r>
          </w:p>
        </w:tc>
        <w:tc>
          <w:tcPr>
            <w:tcW w:w="60" w:type="dxa"/>
            <w:vAlign w:val="bottom"/>
          </w:tcPr>
          <w:p>
            <w:pPr>
              <w:spacing w:after="0"/>
              <w:rPr>
                <w:sz w:val="24"/>
                <w:szCs w:val="24"/>
                <w:color w:val="auto"/>
              </w:rPr>
            </w:pPr>
          </w:p>
        </w:tc>
        <w:tc>
          <w:tcPr>
            <w:tcW w:w="4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11</w:t>
            </w:r>
          </w:p>
        </w:tc>
        <w:tc>
          <w:tcPr>
            <w:tcW w:w="8960" w:type="dxa"/>
            <w:vAlign w:val="bottom"/>
            <w:gridSpan w:val="26"/>
          </w:tcPr>
          <w:p>
            <w:pPr>
              <w:ind w:left="140"/>
              <w:spacing w:after="0"/>
              <w:rPr>
                <w:sz w:val="20"/>
                <w:szCs w:val="20"/>
                <w:color w:val="auto"/>
              </w:rPr>
            </w:pPr>
            <w:r>
              <w:rPr>
                <w:rFonts w:ascii="Times New Roman" w:cs="Times New Roman" w:eastAsia="Times New Roman" w:hAnsi="Times New Roman"/>
                <w:sz w:val="20"/>
                <w:szCs w:val="20"/>
                <w:color w:val="0000FF"/>
              </w:rPr>
              <w:t xml:space="preserve">Amendment to Organizational Documents  </w:t>
            </w:r>
            <w:r>
              <w:rPr>
                <w:rFonts w:ascii="Times New Roman" w:cs="Times New Roman" w:eastAsia="Times New Roman" w:hAnsi="Times New Roman"/>
                <w:sz w:val="20"/>
                <w:szCs w:val="20"/>
                <w:color w:val="000000"/>
              </w:rPr>
              <w:t>106</w:t>
            </w: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12</w:t>
            </w:r>
          </w:p>
        </w:tc>
        <w:tc>
          <w:tcPr>
            <w:tcW w:w="8960" w:type="dxa"/>
            <w:vAlign w:val="bottom"/>
            <w:gridSpan w:val="26"/>
          </w:tcPr>
          <w:p>
            <w:pPr>
              <w:ind w:left="160"/>
              <w:spacing w:after="0"/>
              <w:rPr>
                <w:sz w:val="20"/>
                <w:szCs w:val="20"/>
                <w:color w:val="auto"/>
              </w:rPr>
            </w:pPr>
            <w:r>
              <w:rPr>
                <w:rFonts w:ascii="Times New Roman" w:cs="Times New Roman" w:eastAsia="Times New Roman" w:hAnsi="Times New Roman"/>
                <w:sz w:val="20"/>
                <w:szCs w:val="20"/>
                <w:color w:val="0000FF"/>
              </w:rPr>
              <w:t xml:space="preserve">Real Property; Negative Pledge; Limitation on Certain Restrictive Agreements  </w:t>
            </w:r>
            <w:r>
              <w:rPr>
                <w:rFonts w:ascii="Times New Roman" w:cs="Times New Roman" w:eastAsia="Times New Roman" w:hAnsi="Times New Roman"/>
                <w:sz w:val="20"/>
                <w:szCs w:val="20"/>
                <w:color w:val="000000"/>
              </w:rPr>
              <w:t>106</w:t>
            </w: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13</w:t>
            </w:r>
          </w:p>
        </w:tc>
        <w:tc>
          <w:tcPr>
            <w:tcW w:w="184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0000FF"/>
                <w:w w:val="98"/>
              </w:rPr>
              <w:t>Accounting Changes</w:t>
            </w:r>
          </w:p>
        </w:tc>
        <w:tc>
          <w:tcPr>
            <w:tcW w:w="560" w:type="dxa"/>
            <w:vAlign w:val="bottom"/>
            <w:gridSpan w:val="6"/>
          </w:tcPr>
          <w:p>
            <w:pPr>
              <w:ind w:left="220"/>
              <w:spacing w:after="0"/>
              <w:rPr>
                <w:sz w:val="20"/>
                <w:szCs w:val="20"/>
                <w:color w:val="auto"/>
              </w:rPr>
            </w:pPr>
            <w:r>
              <w:rPr>
                <w:rFonts w:ascii="Times New Roman" w:cs="Times New Roman" w:eastAsia="Times New Roman" w:hAnsi="Times New Roman"/>
                <w:sz w:val="20"/>
                <w:szCs w:val="20"/>
                <w:color w:val="auto"/>
              </w:rPr>
              <w:t>106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14</w:t>
            </w:r>
          </w:p>
        </w:tc>
        <w:tc>
          <w:tcPr>
            <w:tcW w:w="2240" w:type="dxa"/>
            <w:vAlign w:val="bottom"/>
            <w:gridSpan w:val="13"/>
          </w:tcPr>
          <w:p>
            <w:pPr>
              <w:ind w:left="160"/>
              <w:spacing w:after="0"/>
              <w:rPr>
                <w:sz w:val="20"/>
                <w:szCs w:val="20"/>
                <w:color w:val="auto"/>
              </w:rPr>
            </w:pPr>
            <w:r>
              <w:rPr>
                <w:rFonts w:ascii="Times New Roman" w:cs="Times New Roman" w:eastAsia="Times New Roman" w:hAnsi="Times New Roman"/>
                <w:sz w:val="20"/>
                <w:szCs w:val="20"/>
                <w:color w:val="0000FF"/>
              </w:rPr>
              <w:t xml:space="preserve">No Plan Assets  </w:t>
            </w:r>
            <w:r>
              <w:rPr>
                <w:rFonts w:ascii="Times New Roman" w:cs="Times New Roman" w:eastAsia="Times New Roman" w:hAnsi="Times New Roman"/>
                <w:sz w:val="20"/>
                <w:szCs w:val="20"/>
                <w:color w:val="000000"/>
              </w:rPr>
              <w:t>106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r>
      <w:tr>
        <w:trPr>
          <w:trHeight w:val="337"/>
        </w:trPr>
        <w:tc>
          <w:tcPr>
            <w:tcW w:w="620" w:type="dxa"/>
            <w:vAlign w:val="bottom"/>
          </w:tcPr>
          <w:p>
            <w:pPr>
              <w:spacing w:after="0"/>
              <w:rPr>
                <w:sz w:val="24"/>
                <w:szCs w:val="24"/>
                <w:color w:val="auto"/>
              </w:rPr>
            </w:pPr>
          </w:p>
        </w:tc>
        <w:tc>
          <w:tcPr>
            <w:tcW w:w="93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15</w:t>
            </w:r>
            <w:r>
              <w:rPr>
                <w:rFonts w:ascii="Times New Roman" w:cs="Times New Roman" w:eastAsia="Times New Roman" w:hAnsi="Times New Roman"/>
                <w:sz w:val="20"/>
                <w:szCs w:val="20"/>
                <w:color w:val="0000FF"/>
              </w:rPr>
              <w:t xml:space="preserve">  Anti-Corruption Laws; Anti-Money Laundering Laws; and International Trade Laws; Outbound Investment</w:t>
            </w:r>
          </w:p>
        </w:tc>
      </w:tr>
      <w:tr>
        <w:trPr>
          <w:trHeight w:val="222"/>
        </w:trPr>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bottom w:val="single" w:sz="8" w:color="0000FF"/>
            </w:tcBorders>
            <w:gridSpan w:val="2"/>
          </w:tcPr>
          <w:p>
            <w:pPr>
              <w:spacing w:after="0" w:line="222" w:lineRule="exact"/>
              <w:rPr>
                <w:sz w:val="20"/>
                <w:szCs w:val="20"/>
                <w:color w:val="auto"/>
              </w:rPr>
            </w:pPr>
            <w:r>
              <w:rPr>
                <w:rFonts w:ascii="Times New Roman" w:cs="Times New Roman" w:eastAsia="Times New Roman" w:hAnsi="Times New Roman"/>
                <w:sz w:val="20"/>
                <w:szCs w:val="20"/>
                <w:color w:val="0000FF"/>
                <w:w w:val="98"/>
              </w:rPr>
              <w:t>Rule.</w:t>
            </w:r>
          </w:p>
        </w:tc>
        <w:tc>
          <w:tcPr>
            <w:tcW w:w="50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106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16</w:t>
            </w:r>
          </w:p>
        </w:tc>
        <w:tc>
          <w:tcPr>
            <w:tcW w:w="2240" w:type="dxa"/>
            <w:vAlign w:val="bottom"/>
            <w:gridSpan w:val="13"/>
          </w:tcPr>
          <w:p>
            <w:pPr>
              <w:ind w:left="160"/>
              <w:spacing w:after="0"/>
              <w:rPr>
                <w:sz w:val="20"/>
                <w:szCs w:val="20"/>
                <w:color w:val="auto"/>
              </w:rPr>
            </w:pPr>
            <w:r>
              <w:rPr>
                <w:rFonts w:ascii="Times New Roman" w:cs="Times New Roman" w:eastAsia="Times New Roman" w:hAnsi="Times New Roman"/>
                <w:sz w:val="20"/>
                <w:szCs w:val="20"/>
                <w:color w:val="0000FF"/>
              </w:rPr>
              <w:t>Total Net Leverage Ratio</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17</w:t>
            </w:r>
          </w:p>
        </w:tc>
        <w:tc>
          <w:tcPr>
            <w:tcW w:w="2240" w:type="dxa"/>
            <w:vAlign w:val="bottom"/>
            <w:gridSpan w:val="13"/>
          </w:tcPr>
          <w:p>
            <w:pPr>
              <w:ind w:left="160"/>
              <w:spacing w:after="0"/>
              <w:rPr>
                <w:sz w:val="20"/>
                <w:szCs w:val="20"/>
                <w:color w:val="auto"/>
              </w:rPr>
            </w:pPr>
            <w:r>
              <w:rPr>
                <w:rFonts w:ascii="Times New Roman" w:cs="Times New Roman" w:eastAsia="Times New Roman" w:hAnsi="Times New Roman"/>
                <w:sz w:val="20"/>
                <w:szCs w:val="20"/>
                <w:color w:val="0000FF"/>
              </w:rPr>
              <w:t>Interest Coverage Ratio</w:t>
            </w:r>
          </w:p>
        </w:tc>
        <w:tc>
          <w:tcPr>
            <w:tcW w:w="500" w:type="dxa"/>
            <w:vAlign w:val="bottom"/>
            <w:gridSpan w:val="4"/>
          </w:tcPr>
          <w:p>
            <w:pPr>
              <w:jc w:val="right"/>
              <w:ind w:right="38"/>
              <w:spacing w:after="0"/>
              <w:rPr>
                <w:sz w:val="20"/>
                <w:szCs w:val="20"/>
                <w:color w:val="auto"/>
              </w:rPr>
            </w:pPr>
            <w:r>
              <w:rPr>
                <w:rFonts w:ascii="Times New Roman" w:cs="Times New Roman" w:eastAsia="Times New Roman" w:hAnsi="Times New Roman"/>
                <w:sz w:val="20"/>
                <w:szCs w:val="20"/>
                <w:color w:val="auto"/>
              </w:rPr>
              <w:t>107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r>
      <w:tr>
        <w:trPr>
          <w:trHeight w:val="324"/>
        </w:trPr>
        <w:tc>
          <w:tcPr>
            <w:tcW w:w="620" w:type="dxa"/>
            <w:vAlign w:val="bottom"/>
          </w:tcPr>
          <w:p>
            <w:pPr>
              <w:spacing w:after="0"/>
              <w:rPr>
                <w:sz w:val="24"/>
                <w:szCs w:val="24"/>
                <w:color w:val="auto"/>
              </w:rPr>
            </w:pPr>
          </w:p>
        </w:tc>
        <w:tc>
          <w:tcPr>
            <w:tcW w:w="936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9.</w:t>
            </w:r>
            <w:r>
              <w:rPr>
                <w:rFonts w:ascii="Times New Roman" w:cs="Times New Roman" w:eastAsia="Times New Roman" w:hAnsi="Times New Roman"/>
                <w:sz w:val="20"/>
                <w:szCs w:val="20"/>
                <w:u w:val="single" w:color="auto"/>
                <w:color w:val="0000FF"/>
              </w:rPr>
              <w:t>18</w:t>
            </w:r>
            <w:r>
              <w:rPr>
                <w:rFonts w:ascii="Times New Roman" w:cs="Times New Roman" w:eastAsia="Times New Roman" w:hAnsi="Times New Roman"/>
                <w:sz w:val="20"/>
                <w:szCs w:val="20"/>
                <w:color w:val="0000FF"/>
              </w:rPr>
              <w:t xml:space="preserve">  Amendment to Nomad Loan Agreement..  </w:t>
            </w:r>
            <w:r>
              <w:rPr>
                <w:rFonts w:ascii="Times New Roman" w:cs="Times New Roman" w:eastAsia="Times New Roman" w:hAnsi="Times New Roman"/>
                <w:sz w:val="20"/>
                <w:szCs w:val="20"/>
                <w:color w:val="000000"/>
              </w:rPr>
              <w:t>107</w:t>
            </w:r>
          </w:p>
        </w:tc>
      </w:tr>
      <w:tr>
        <w:trPr>
          <w:trHeight w:val="20"/>
        </w:trPr>
        <w:tc>
          <w:tcPr>
            <w:tcW w:w="62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216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0000FF"/>
                <w:w w:val="97"/>
              </w:rPr>
              <w:t>ARTICLE 10 DEFAULT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107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1020" w:type="dxa"/>
            <w:vAlign w:val="bottom"/>
            <w:gridSpan w:val="2"/>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1</w:t>
            </w:r>
          </w:p>
        </w:tc>
        <w:tc>
          <w:tcPr>
            <w:tcW w:w="178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0000FF"/>
              </w:rPr>
              <w:t>Events of Default</w:t>
            </w:r>
          </w:p>
        </w:tc>
        <w:tc>
          <w:tcPr>
            <w:tcW w:w="44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w w:val="99"/>
              </w:rPr>
              <w:t>107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2</w:t>
            </w:r>
          </w:p>
        </w:tc>
        <w:tc>
          <w:tcPr>
            <w:tcW w:w="3460" w:type="dxa"/>
            <w:vAlign w:val="bottom"/>
            <w:gridSpan w:val="23"/>
          </w:tcPr>
          <w:p>
            <w:pPr>
              <w:ind w:left="160"/>
              <w:spacing w:after="0"/>
              <w:rPr>
                <w:sz w:val="20"/>
                <w:szCs w:val="20"/>
                <w:color w:val="auto"/>
              </w:rPr>
            </w:pPr>
            <w:r>
              <w:rPr>
                <w:rFonts w:ascii="Times New Roman" w:cs="Times New Roman" w:eastAsia="Times New Roman" w:hAnsi="Times New Roman"/>
                <w:sz w:val="20"/>
                <w:szCs w:val="20"/>
                <w:color w:val="0000FF"/>
              </w:rPr>
              <w:t>Application of Proceeds from Collateral</w:t>
            </w:r>
          </w:p>
        </w:tc>
        <w:tc>
          <w:tcPr>
            <w:tcW w:w="3100" w:type="dxa"/>
            <w:vAlign w:val="bottom"/>
            <w:gridSpan w:val="2"/>
          </w:tcPr>
          <w:p>
            <w:pPr>
              <w:jc w:val="right"/>
              <w:ind w:right="2640"/>
              <w:spacing w:after="0"/>
              <w:rPr>
                <w:sz w:val="20"/>
                <w:szCs w:val="20"/>
                <w:color w:val="auto"/>
              </w:rPr>
            </w:pPr>
            <w:r>
              <w:rPr>
                <w:rFonts w:ascii="Times New Roman" w:cs="Times New Roman" w:eastAsia="Times New Roman" w:hAnsi="Times New Roman"/>
                <w:sz w:val="20"/>
                <w:szCs w:val="20"/>
                <w:color w:val="auto"/>
              </w:rPr>
              <w:t>111</w:t>
            </w: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2060" w:type="dxa"/>
            <w:vAlign w:val="bottom"/>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4480" w:type="dxa"/>
            <w:vAlign w:val="bottom"/>
            <w:gridSpan w:val="25"/>
          </w:tcPr>
          <w:p>
            <w:pPr>
              <w:spacing w:after="0"/>
              <w:rPr>
                <w:sz w:val="20"/>
                <w:szCs w:val="20"/>
                <w:color w:val="auto"/>
              </w:rPr>
            </w:pPr>
            <w:r>
              <w:rPr>
                <w:rFonts w:ascii="Times New Roman" w:cs="Times New Roman" w:eastAsia="Times New Roman" w:hAnsi="Times New Roman"/>
                <w:sz w:val="20"/>
                <w:szCs w:val="20"/>
                <w:b w:val="1"/>
                <w:bCs w:val="1"/>
                <w:color w:val="0000FF"/>
              </w:rPr>
              <w:t>ARTICLE 11 THE ADMINISTRATIVE AGENT</w:t>
            </w:r>
          </w:p>
        </w:tc>
        <w:tc>
          <w:tcPr>
            <w:tcW w:w="3100" w:type="dxa"/>
            <w:vAlign w:val="bottom"/>
            <w:gridSpan w:val="2"/>
          </w:tcPr>
          <w:p>
            <w:pPr>
              <w:jc w:val="right"/>
              <w:ind w:right="2780"/>
              <w:spacing w:after="0"/>
              <w:rPr>
                <w:sz w:val="20"/>
                <w:szCs w:val="20"/>
                <w:color w:val="auto"/>
              </w:rPr>
            </w:pPr>
            <w:r>
              <w:rPr>
                <w:rFonts w:ascii="Times New Roman" w:cs="Times New Roman" w:eastAsia="Times New Roman" w:hAnsi="Times New Roman"/>
                <w:sz w:val="20"/>
                <w:szCs w:val="20"/>
                <w:b w:val="1"/>
                <w:bCs w:val="1"/>
                <w:color w:val="auto"/>
                <w:w w:val="99"/>
              </w:rPr>
              <w:t>113</w:t>
            </w:r>
          </w:p>
        </w:tc>
        <w:tc>
          <w:tcPr>
            <w:tcW w:w="2400" w:type="dxa"/>
            <w:vAlign w:val="bottom"/>
          </w:tcPr>
          <w:p>
            <w:pPr>
              <w:spacing w:after="0"/>
              <w:rPr>
                <w:sz w:val="24"/>
                <w:szCs w:val="24"/>
                <w:color w:val="auto"/>
              </w:rPr>
            </w:pPr>
          </w:p>
        </w:tc>
      </w:tr>
      <w:tr>
        <w:trPr>
          <w:trHeight w:val="324"/>
        </w:trPr>
        <w:tc>
          <w:tcPr>
            <w:tcW w:w="1020" w:type="dxa"/>
            <w:vAlign w:val="bottom"/>
            <w:tcBorders>
              <w:top w:val="single" w:sz="8" w:color="0000FF"/>
            </w:tcBorders>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1</w:t>
            </w:r>
          </w:p>
        </w:tc>
        <w:tc>
          <w:tcPr>
            <w:tcW w:w="2500" w:type="dxa"/>
            <w:vAlign w:val="bottom"/>
            <w:tcBorders>
              <w:top w:val="single" w:sz="8" w:color="0000FF"/>
            </w:tcBorders>
            <w:gridSpan w:val="16"/>
          </w:tcPr>
          <w:p>
            <w:pPr>
              <w:ind w:left="140"/>
              <w:spacing w:after="0"/>
              <w:rPr>
                <w:sz w:val="20"/>
                <w:szCs w:val="20"/>
                <w:color w:val="auto"/>
              </w:rPr>
            </w:pPr>
            <w:r>
              <w:rPr>
                <w:rFonts w:ascii="Times New Roman" w:cs="Times New Roman" w:eastAsia="Times New Roman" w:hAnsi="Times New Roman"/>
                <w:sz w:val="20"/>
                <w:szCs w:val="20"/>
                <w:color w:val="0000FF"/>
              </w:rPr>
              <w:t>Appointment and Authority</w:t>
            </w:r>
          </w:p>
        </w:tc>
        <w:tc>
          <w:tcPr>
            <w:tcW w:w="440" w:type="dxa"/>
            <w:vAlign w:val="bottom"/>
            <w:tcBorders>
              <w:top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113</w:t>
            </w: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2</w:t>
            </w:r>
          </w:p>
        </w:tc>
        <w:tc>
          <w:tcPr>
            <w:tcW w:w="178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0000FF"/>
              </w:rPr>
              <w:t>Rights as a Lender</w:t>
            </w:r>
          </w:p>
        </w:tc>
        <w:tc>
          <w:tcPr>
            <w:tcW w:w="60" w:type="dxa"/>
            <w:vAlign w:val="bottom"/>
          </w:tcPr>
          <w:p>
            <w:pPr>
              <w:spacing w:after="0"/>
              <w:rPr>
                <w:sz w:val="24"/>
                <w:szCs w:val="24"/>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9"/>
              </w:rPr>
              <w:t>113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37"/>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3</w:t>
            </w:r>
          </w:p>
        </w:tc>
        <w:tc>
          <w:tcPr>
            <w:tcW w:w="2240" w:type="dxa"/>
            <w:vAlign w:val="bottom"/>
            <w:gridSpan w:val="13"/>
          </w:tcPr>
          <w:p>
            <w:pPr>
              <w:ind w:left="140"/>
              <w:spacing w:after="0"/>
              <w:rPr>
                <w:sz w:val="20"/>
                <w:szCs w:val="20"/>
                <w:color w:val="auto"/>
              </w:rPr>
            </w:pPr>
            <w:r>
              <w:rPr>
                <w:rFonts w:ascii="Times New Roman" w:cs="Times New Roman" w:eastAsia="Times New Roman" w:hAnsi="Times New Roman"/>
                <w:sz w:val="20"/>
                <w:szCs w:val="20"/>
                <w:color w:val="0000FF"/>
              </w:rPr>
              <w:t>Exculpatory Provisions</w:t>
            </w:r>
          </w:p>
        </w:tc>
        <w:tc>
          <w:tcPr>
            <w:tcW w:w="500" w:type="dxa"/>
            <w:vAlign w:val="bottom"/>
            <w:gridSpan w:val="4"/>
          </w:tcPr>
          <w:p>
            <w:pPr>
              <w:jc w:val="right"/>
              <w:ind w:right="78"/>
              <w:spacing w:after="0"/>
              <w:rPr>
                <w:sz w:val="20"/>
                <w:szCs w:val="20"/>
                <w:color w:val="auto"/>
              </w:rPr>
            </w:pPr>
            <w:r>
              <w:rPr>
                <w:rFonts w:ascii="Times New Roman" w:cs="Times New Roman" w:eastAsia="Times New Roman" w:hAnsi="Times New Roman"/>
                <w:sz w:val="20"/>
                <w:szCs w:val="20"/>
                <w:color w:val="auto"/>
                <w:w w:val="99"/>
              </w:rPr>
              <w:t>114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9"/>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4</w:t>
            </w:r>
          </w:p>
        </w:tc>
        <w:tc>
          <w:tcPr>
            <w:tcW w:w="2940" w:type="dxa"/>
            <w:vAlign w:val="bottom"/>
            <w:gridSpan w:val="19"/>
          </w:tcPr>
          <w:p>
            <w:pPr>
              <w:ind w:left="140"/>
              <w:spacing w:after="0"/>
              <w:rPr>
                <w:sz w:val="20"/>
                <w:szCs w:val="20"/>
                <w:color w:val="auto"/>
              </w:rPr>
            </w:pPr>
            <w:r>
              <w:rPr>
                <w:rFonts w:ascii="Times New Roman" w:cs="Times New Roman" w:eastAsia="Times New Roman" w:hAnsi="Times New Roman"/>
                <w:sz w:val="20"/>
                <w:szCs w:val="20"/>
                <w:color w:val="0000FF"/>
              </w:rPr>
              <w:t>Reliance by Administrative Agent</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115</w:t>
            </w: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9"/>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5</w:t>
            </w:r>
          </w:p>
        </w:tc>
        <w:tc>
          <w:tcPr>
            <w:tcW w:w="1840" w:type="dxa"/>
            <w:vAlign w:val="bottom"/>
            <w:gridSpan w:val="9"/>
          </w:tcPr>
          <w:p>
            <w:pPr>
              <w:ind w:left="140"/>
              <w:spacing w:after="0"/>
              <w:rPr>
                <w:sz w:val="20"/>
                <w:szCs w:val="20"/>
                <w:color w:val="auto"/>
              </w:rPr>
            </w:pPr>
            <w:r>
              <w:rPr>
                <w:rFonts w:ascii="Times New Roman" w:cs="Times New Roman" w:eastAsia="Times New Roman" w:hAnsi="Times New Roman"/>
                <w:sz w:val="20"/>
                <w:szCs w:val="20"/>
                <w:color w:val="0000FF"/>
                <w:w w:val="99"/>
              </w:rPr>
              <w:t>Delegation of Duties</w:t>
            </w:r>
          </w:p>
        </w:tc>
        <w:tc>
          <w:tcPr>
            <w:tcW w:w="56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115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9"/>
            <w:shd w:val="clear" w:color="auto" w:fill="0000FF"/>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r>
      <w:tr>
        <w:trPr>
          <w:trHeight w:val="324"/>
        </w:trPr>
        <w:tc>
          <w:tcPr>
            <w:tcW w:w="10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6</w:t>
            </w:r>
          </w:p>
        </w:tc>
        <w:tc>
          <w:tcPr>
            <w:tcW w:w="8960" w:type="dxa"/>
            <w:vAlign w:val="bottom"/>
            <w:gridSpan w:val="26"/>
          </w:tcPr>
          <w:p>
            <w:pPr>
              <w:ind w:left="140"/>
              <w:spacing w:after="0"/>
              <w:rPr>
                <w:sz w:val="20"/>
                <w:szCs w:val="20"/>
                <w:color w:val="auto"/>
              </w:rPr>
            </w:pPr>
            <w:r>
              <w:rPr>
                <w:rFonts w:ascii="Times New Roman" w:cs="Times New Roman" w:eastAsia="Times New Roman" w:hAnsi="Times New Roman"/>
                <w:sz w:val="20"/>
                <w:szCs w:val="20"/>
                <w:color w:val="0000FF"/>
              </w:rPr>
              <w:t xml:space="preserve">Resignation of Administrative Agent  </w:t>
            </w:r>
            <w:r>
              <w:rPr>
                <w:rFonts w:ascii="Times New Roman" w:cs="Times New Roman" w:eastAsia="Times New Roman" w:hAnsi="Times New Roman"/>
                <w:sz w:val="20"/>
                <w:szCs w:val="20"/>
                <w:color w:val="000000"/>
              </w:rPr>
              <w:t>115</w:t>
            </w:r>
          </w:p>
        </w:tc>
      </w:tr>
      <w:tr>
        <w:trPr>
          <w:trHeight w:val="20"/>
        </w:trPr>
        <w:tc>
          <w:tcPr>
            <w:tcW w:w="6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ectPr>
          <w:pgSz w:w="11900" w:h="16838" w:orient="portrait"/>
          <w:cols w:equalWidth="0" w:num="1">
            <w:col w:w="11140"/>
          </w:cols>
          <w:pgMar w:left="320" w:top="123" w:right="439" w:bottom="1440" w:gutter="0" w:footer="0" w:header="0"/>
        </w:sectPr>
      </w:pPr>
    </w:p>
    <w:bookmarkStart w:id="170" w:name="page171"/>
    <w:bookmarkEnd w:id="170"/>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(continued)</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7</w:t>
            </w:r>
          </w:p>
        </w:tc>
        <w:tc>
          <w:tcPr>
            <w:tcW w:w="6460" w:type="dxa"/>
            <w:vAlign w:val="bottom"/>
            <w:gridSpan w:val="29"/>
          </w:tcPr>
          <w:p>
            <w:pPr>
              <w:ind w:left="40"/>
              <w:spacing w:after="0"/>
              <w:rPr>
                <w:sz w:val="20"/>
                <w:szCs w:val="20"/>
                <w:color w:val="auto"/>
              </w:rPr>
            </w:pPr>
            <w:r>
              <w:rPr>
                <w:rFonts w:ascii="Times New Roman" w:cs="Times New Roman" w:eastAsia="Times New Roman" w:hAnsi="Times New Roman"/>
                <w:sz w:val="20"/>
                <w:szCs w:val="20"/>
                <w:color w:val="0000FF"/>
              </w:rPr>
              <w:t xml:space="preserve">Non-Reliance on Administrative Agent and Other Lenders  </w:t>
            </w:r>
            <w:r>
              <w:rPr>
                <w:rFonts w:ascii="Times New Roman" w:cs="Times New Roman" w:eastAsia="Times New Roman" w:hAnsi="Times New Roman"/>
                <w:sz w:val="20"/>
                <w:szCs w:val="20"/>
                <w:color w:val="000000"/>
              </w:rPr>
              <w:t>116</w:t>
            </w: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8</w:t>
            </w:r>
          </w:p>
        </w:tc>
        <w:tc>
          <w:tcPr>
            <w:tcW w:w="184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0000FF"/>
              </w:rPr>
              <w:t>No Other Duties, Etc</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9</w:t>
            </w:r>
          </w:p>
        </w:tc>
        <w:tc>
          <w:tcPr>
            <w:tcW w:w="2500" w:type="dxa"/>
            <w:vAlign w:val="bottom"/>
            <w:gridSpan w:val="16"/>
          </w:tcPr>
          <w:p>
            <w:pPr>
              <w:ind w:left="40"/>
              <w:spacing w:after="0"/>
              <w:rPr>
                <w:sz w:val="20"/>
                <w:szCs w:val="20"/>
                <w:color w:val="auto"/>
              </w:rPr>
            </w:pPr>
            <w:r>
              <w:rPr>
                <w:rFonts w:ascii="Times New Roman" w:cs="Times New Roman" w:eastAsia="Times New Roman" w:hAnsi="Times New Roman"/>
                <w:sz w:val="20"/>
                <w:szCs w:val="20"/>
                <w:color w:val="0000FF"/>
              </w:rPr>
              <w:t>Administrative Agent’s Fee</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3"/>
              </w:rPr>
              <w:t>117</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10</w:t>
            </w:r>
          </w:p>
        </w:tc>
        <w:tc>
          <w:tcPr>
            <w:tcW w:w="100" w:type="dxa"/>
            <w:vAlign w:val="bottom"/>
          </w:tcPr>
          <w:p>
            <w:pPr>
              <w:spacing w:after="0"/>
              <w:rPr>
                <w:sz w:val="24"/>
                <w:szCs w:val="24"/>
                <w:color w:val="auto"/>
              </w:rPr>
            </w:pPr>
          </w:p>
        </w:tc>
        <w:tc>
          <w:tcPr>
            <w:tcW w:w="4120" w:type="dxa"/>
            <w:vAlign w:val="bottom"/>
            <w:gridSpan w:val="23"/>
          </w:tcPr>
          <w:p>
            <w:pPr>
              <w:ind w:left="40"/>
              <w:spacing w:after="0"/>
              <w:rPr>
                <w:sz w:val="20"/>
                <w:szCs w:val="20"/>
                <w:color w:val="auto"/>
              </w:rPr>
            </w:pPr>
            <w:r>
              <w:rPr>
                <w:rFonts w:ascii="Times New Roman" w:cs="Times New Roman" w:eastAsia="Times New Roman" w:hAnsi="Times New Roman"/>
                <w:sz w:val="20"/>
                <w:szCs w:val="20"/>
                <w:color w:val="0000FF"/>
              </w:rPr>
              <w:t>Administrative Agent May File Proofs of Claim</w:t>
            </w:r>
          </w:p>
        </w:tc>
        <w:tc>
          <w:tcPr>
            <w:tcW w:w="600" w:type="dxa"/>
            <w:vAlign w:val="bottom"/>
          </w:tcPr>
          <w:p>
            <w:pPr>
              <w:jc w:val="right"/>
              <w:ind w:right="158"/>
              <w:spacing w:after="0"/>
              <w:rPr>
                <w:sz w:val="20"/>
                <w:szCs w:val="20"/>
                <w:color w:val="auto"/>
              </w:rPr>
            </w:pPr>
            <w:r>
              <w:rPr>
                <w:rFonts w:ascii="Times New Roman" w:cs="Times New Roman" w:eastAsia="Times New Roman" w:hAnsi="Times New Roman"/>
                <w:sz w:val="20"/>
                <w:szCs w:val="20"/>
                <w:color w:val="auto"/>
              </w:rPr>
              <w:t>117</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11</w:t>
            </w:r>
          </w:p>
        </w:tc>
        <w:tc>
          <w:tcPr>
            <w:tcW w:w="100" w:type="dxa"/>
            <w:vAlign w:val="bottom"/>
          </w:tcPr>
          <w:p>
            <w:pPr>
              <w:spacing w:after="0"/>
              <w:rPr>
                <w:sz w:val="24"/>
                <w:szCs w:val="24"/>
                <w:color w:val="auto"/>
              </w:rPr>
            </w:pPr>
          </w:p>
        </w:tc>
        <w:tc>
          <w:tcPr>
            <w:tcW w:w="3220" w:type="dxa"/>
            <w:vAlign w:val="bottom"/>
            <w:gridSpan w:val="18"/>
          </w:tcPr>
          <w:p>
            <w:pPr>
              <w:ind w:left="40"/>
              <w:spacing w:after="0"/>
              <w:rPr>
                <w:sz w:val="20"/>
                <w:szCs w:val="20"/>
                <w:color w:val="auto"/>
              </w:rPr>
            </w:pPr>
            <w:r>
              <w:rPr>
                <w:rFonts w:ascii="Times New Roman" w:cs="Times New Roman" w:eastAsia="Times New Roman" w:hAnsi="Times New Roman"/>
                <w:sz w:val="20"/>
                <w:szCs w:val="20"/>
                <w:color w:val="0000FF"/>
              </w:rPr>
              <w:t xml:space="preserve">Collateral and Guaranty Matters  </w:t>
            </w:r>
            <w:r>
              <w:rPr>
                <w:rFonts w:ascii="Times New Roman" w:cs="Times New Roman" w:eastAsia="Times New Roman" w:hAnsi="Times New Roman"/>
                <w:sz w:val="20"/>
                <w:szCs w:val="20"/>
                <w:color w:val="000000"/>
              </w:rPr>
              <w:t>118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37"/>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12</w:t>
            </w:r>
          </w:p>
        </w:tc>
        <w:tc>
          <w:tcPr>
            <w:tcW w:w="100" w:type="dxa"/>
            <w:vAlign w:val="bottom"/>
          </w:tcPr>
          <w:p>
            <w:pPr>
              <w:spacing w:after="0"/>
              <w:rPr>
                <w:sz w:val="24"/>
                <w:szCs w:val="24"/>
                <w:color w:val="auto"/>
              </w:rPr>
            </w:pPr>
          </w:p>
        </w:tc>
        <w:tc>
          <w:tcPr>
            <w:tcW w:w="6360" w:type="dxa"/>
            <w:vAlign w:val="bottom"/>
            <w:gridSpan w:val="28"/>
          </w:tcPr>
          <w:p>
            <w:pPr>
              <w:ind w:left="40"/>
              <w:spacing w:after="0"/>
              <w:rPr>
                <w:sz w:val="20"/>
                <w:szCs w:val="20"/>
                <w:color w:val="auto"/>
              </w:rPr>
            </w:pPr>
            <w:r>
              <w:rPr>
                <w:rFonts w:ascii="Times New Roman" w:cs="Times New Roman" w:eastAsia="Times New Roman" w:hAnsi="Times New Roman"/>
                <w:sz w:val="20"/>
                <w:szCs w:val="20"/>
                <w:color w:val="0000FF"/>
              </w:rPr>
              <w:t>No Reliance on Administrative Agent’s Customer Identification Program</w:t>
            </w:r>
          </w:p>
        </w:tc>
        <w:tc>
          <w:tcPr>
            <w:tcW w:w="1300" w:type="dxa"/>
            <w:vAlign w:val="bottom"/>
          </w:tcPr>
          <w:p>
            <w:pPr>
              <w:jc w:val="right"/>
              <w:ind w:right="778"/>
              <w:spacing w:after="0"/>
              <w:rPr>
                <w:sz w:val="20"/>
                <w:szCs w:val="20"/>
                <w:color w:val="auto"/>
              </w:rPr>
            </w:pPr>
            <w:r>
              <w:rPr>
                <w:rFonts w:ascii="Times New Roman" w:cs="Times New Roman" w:eastAsia="Times New Roman" w:hAnsi="Times New Roman"/>
                <w:sz w:val="20"/>
                <w:szCs w:val="20"/>
                <w:color w:val="auto"/>
              </w:rPr>
              <w:t>118</w:t>
            </w: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13</w:t>
            </w:r>
          </w:p>
        </w:tc>
        <w:tc>
          <w:tcPr>
            <w:tcW w:w="100" w:type="dxa"/>
            <w:vAlign w:val="bottom"/>
          </w:tcPr>
          <w:p>
            <w:pPr>
              <w:spacing w:after="0"/>
              <w:rPr>
                <w:sz w:val="24"/>
                <w:szCs w:val="24"/>
                <w:color w:val="auto"/>
              </w:rPr>
            </w:pPr>
          </w:p>
        </w:tc>
        <w:tc>
          <w:tcPr>
            <w:tcW w:w="8900" w:type="dxa"/>
            <w:vAlign w:val="bottom"/>
            <w:gridSpan w:val="30"/>
          </w:tcPr>
          <w:p>
            <w:pPr>
              <w:ind w:left="40"/>
              <w:spacing w:after="0"/>
              <w:rPr>
                <w:sz w:val="20"/>
                <w:szCs w:val="20"/>
                <w:color w:val="auto"/>
              </w:rPr>
            </w:pPr>
            <w:r>
              <w:rPr>
                <w:rFonts w:ascii="Times New Roman" w:cs="Times New Roman" w:eastAsia="Times New Roman" w:hAnsi="Times New Roman"/>
                <w:sz w:val="20"/>
                <w:szCs w:val="20"/>
                <w:color w:val="0000FF"/>
              </w:rPr>
              <w:t xml:space="preserve">Lender Provided Interest Rate Hedges and Other Lender Provided Financial Service Products  </w:t>
            </w:r>
            <w:r>
              <w:rPr>
                <w:rFonts w:ascii="Times New Roman" w:cs="Times New Roman" w:eastAsia="Times New Roman" w:hAnsi="Times New Roman"/>
                <w:sz w:val="20"/>
                <w:szCs w:val="20"/>
                <w:color w:val="000000"/>
              </w:rPr>
              <w:t>119</w:t>
            </w: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14</w:t>
            </w:r>
          </w:p>
        </w:tc>
        <w:tc>
          <w:tcPr>
            <w:tcW w:w="100" w:type="dxa"/>
            <w:vAlign w:val="bottom"/>
          </w:tcPr>
          <w:p>
            <w:pPr>
              <w:spacing w:after="0"/>
              <w:rPr>
                <w:sz w:val="24"/>
                <w:szCs w:val="24"/>
                <w:color w:val="auto"/>
              </w:rPr>
            </w:pPr>
          </w:p>
        </w:tc>
        <w:tc>
          <w:tcPr>
            <w:tcW w:w="2000" w:type="dxa"/>
            <w:vAlign w:val="bottom"/>
            <w:gridSpan w:val="11"/>
          </w:tcPr>
          <w:p>
            <w:pPr>
              <w:ind w:left="40"/>
              <w:spacing w:after="0"/>
              <w:rPr>
                <w:sz w:val="20"/>
                <w:szCs w:val="20"/>
                <w:color w:val="auto"/>
              </w:rPr>
            </w:pPr>
            <w:r>
              <w:rPr>
                <w:rFonts w:ascii="Times New Roman" w:cs="Times New Roman" w:eastAsia="Times New Roman" w:hAnsi="Times New Roman"/>
                <w:sz w:val="20"/>
                <w:szCs w:val="20"/>
                <w:color w:val="0000FF"/>
              </w:rPr>
              <w:t>Certain ERISA Matters</w:t>
            </w:r>
          </w:p>
        </w:tc>
        <w:tc>
          <w:tcPr>
            <w:tcW w:w="680" w:type="dxa"/>
            <w:vAlign w:val="bottom"/>
            <w:gridSpan w:val="5"/>
          </w:tcPr>
          <w:p>
            <w:pPr>
              <w:jc w:val="right"/>
              <w:ind w:right="118"/>
              <w:spacing w:after="0"/>
              <w:rPr>
                <w:sz w:val="20"/>
                <w:szCs w:val="20"/>
                <w:color w:val="auto"/>
              </w:rPr>
            </w:pPr>
            <w:r>
              <w:rPr>
                <w:rFonts w:ascii="Times New Roman" w:cs="Times New Roman" w:eastAsia="Times New Roman" w:hAnsi="Times New Roman"/>
                <w:sz w:val="20"/>
                <w:szCs w:val="20"/>
                <w:color w:val="auto"/>
              </w:rPr>
              <w:t>119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620" w:type="dxa"/>
            <w:vAlign w:val="bottom"/>
          </w:tcPr>
          <w:p>
            <w:pPr>
              <w:spacing w:after="0"/>
              <w:rPr>
                <w:sz w:val="24"/>
                <w:szCs w:val="24"/>
                <w:color w:val="auto"/>
              </w:rPr>
            </w:pPr>
          </w:p>
        </w:tc>
        <w:tc>
          <w:tcPr>
            <w:tcW w:w="2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11.</w:t>
            </w:r>
            <w:r>
              <w:rPr>
                <w:rFonts w:ascii="Times New Roman" w:cs="Times New Roman" w:eastAsia="Times New Roman" w:hAnsi="Times New Roman"/>
                <w:sz w:val="20"/>
                <w:szCs w:val="20"/>
                <w:u w:val="single" w:color="auto"/>
                <w:color w:val="0000FF"/>
              </w:rPr>
              <w:t>15</w:t>
            </w:r>
            <w:r>
              <w:rPr>
                <w:rFonts w:ascii="Times New Roman" w:cs="Times New Roman" w:eastAsia="Times New Roman" w:hAnsi="Times New Roman"/>
                <w:sz w:val="20"/>
                <w:szCs w:val="20"/>
                <w:color w:val="0000FF"/>
              </w:rPr>
              <w:t xml:space="preserve"> Erroneous Payments</w:t>
            </w:r>
          </w:p>
        </w:tc>
        <w:tc>
          <w:tcPr>
            <w:tcW w:w="160" w:type="dxa"/>
            <w:vAlign w:val="bottom"/>
            <w:gridSpan w:val="2"/>
          </w:tcPr>
          <w:p>
            <w:pPr>
              <w:spacing w:after="0"/>
              <w:rPr>
                <w:sz w:val="24"/>
                <w:szCs w:val="24"/>
                <w:color w:val="auto"/>
              </w:rPr>
            </w:pPr>
          </w:p>
        </w:tc>
        <w:tc>
          <w:tcPr>
            <w:tcW w:w="460" w:type="dxa"/>
            <w:vAlign w:val="bottom"/>
            <w:gridSpan w:val="5"/>
          </w:tcPr>
          <w:p>
            <w:pPr>
              <w:jc w:val="right"/>
              <w:ind w:right="18"/>
              <w:spacing w:after="0"/>
              <w:rPr>
                <w:sz w:val="20"/>
                <w:szCs w:val="20"/>
                <w:color w:val="auto"/>
              </w:rPr>
            </w:pPr>
            <w:r>
              <w:rPr>
                <w:rFonts w:ascii="Times New Roman" w:cs="Times New Roman" w:eastAsia="Times New Roman" w:hAnsi="Times New Roman"/>
                <w:sz w:val="20"/>
                <w:szCs w:val="20"/>
                <w:color w:val="auto"/>
              </w:rPr>
              <w:t>120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3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b w:val="1"/>
                <w:bCs w:val="1"/>
                <w:color w:val="0000FF"/>
              </w:rPr>
              <w:t>ARTICLE 12 MISCELLANEOUS</w:t>
            </w:r>
          </w:p>
        </w:tc>
        <w:tc>
          <w:tcPr>
            <w:tcW w:w="200" w:type="dxa"/>
            <w:vAlign w:val="bottom"/>
            <w:gridSpan w:val="3"/>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123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7"/>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1</w:t>
            </w:r>
          </w:p>
        </w:tc>
        <w:tc>
          <w:tcPr>
            <w:tcW w:w="3320" w:type="dxa"/>
            <w:vAlign w:val="bottom"/>
            <w:gridSpan w:val="19"/>
          </w:tcPr>
          <w:p>
            <w:pPr>
              <w:ind w:left="60"/>
              <w:spacing w:after="0"/>
              <w:rPr>
                <w:sz w:val="20"/>
                <w:szCs w:val="20"/>
                <w:color w:val="auto"/>
              </w:rPr>
            </w:pPr>
            <w:r>
              <w:rPr>
                <w:rFonts w:ascii="Times New Roman" w:cs="Times New Roman" w:eastAsia="Times New Roman" w:hAnsi="Times New Roman"/>
                <w:sz w:val="20"/>
                <w:szCs w:val="20"/>
                <w:color w:val="0000FF"/>
              </w:rPr>
              <w:t>Modifications, Amendments or Waivers</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123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2</w:t>
            </w:r>
          </w:p>
        </w:tc>
        <w:tc>
          <w:tcPr>
            <w:tcW w:w="4220" w:type="dxa"/>
            <w:vAlign w:val="bottom"/>
            <w:gridSpan w:val="24"/>
          </w:tcPr>
          <w:p>
            <w:pPr>
              <w:ind w:left="60"/>
              <w:spacing w:after="0"/>
              <w:rPr>
                <w:sz w:val="20"/>
                <w:szCs w:val="20"/>
                <w:color w:val="auto"/>
              </w:rPr>
            </w:pPr>
            <w:r>
              <w:rPr>
                <w:rFonts w:ascii="Times New Roman" w:cs="Times New Roman" w:eastAsia="Times New Roman" w:hAnsi="Times New Roman"/>
                <w:sz w:val="20"/>
                <w:szCs w:val="20"/>
                <w:color w:val="0000FF"/>
              </w:rPr>
              <w:t xml:space="preserve">No Implied Waivers; Cumulative Remedies  </w:t>
            </w:r>
            <w:r>
              <w:rPr>
                <w:rFonts w:ascii="Times New Roman" w:cs="Times New Roman" w:eastAsia="Times New Roman" w:hAnsi="Times New Roman"/>
                <w:sz w:val="20"/>
                <w:szCs w:val="20"/>
                <w:color w:val="000000"/>
              </w:rPr>
              <w:t>125</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3</w:t>
            </w:r>
          </w:p>
        </w:tc>
        <w:tc>
          <w:tcPr>
            <w:tcW w:w="3320" w:type="dxa"/>
            <w:vAlign w:val="bottom"/>
            <w:gridSpan w:val="19"/>
          </w:tcPr>
          <w:p>
            <w:pPr>
              <w:ind w:left="60"/>
              <w:spacing w:after="0"/>
              <w:rPr>
                <w:sz w:val="20"/>
                <w:szCs w:val="20"/>
                <w:color w:val="auto"/>
              </w:rPr>
            </w:pPr>
            <w:r>
              <w:rPr>
                <w:rFonts w:ascii="Times New Roman" w:cs="Times New Roman" w:eastAsia="Times New Roman" w:hAnsi="Times New Roman"/>
                <w:sz w:val="20"/>
                <w:szCs w:val="20"/>
                <w:color w:val="0000FF"/>
              </w:rPr>
              <w:t>Expenses; Indemnity; Damage Waiver</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125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4</w:t>
            </w:r>
          </w:p>
        </w:tc>
        <w:tc>
          <w:tcPr>
            <w:tcW w:w="184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0000FF"/>
              </w:rPr>
              <w:t xml:space="preserve">Holidays  </w:t>
            </w:r>
            <w:r>
              <w:rPr>
                <w:rFonts w:ascii="Times New Roman" w:cs="Times New Roman" w:eastAsia="Times New Roman" w:hAnsi="Times New Roman"/>
                <w:sz w:val="20"/>
                <w:szCs w:val="20"/>
                <w:color w:val="000000"/>
              </w:rPr>
              <w:t>127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5</w:t>
            </w:r>
          </w:p>
        </w:tc>
        <w:tc>
          <w:tcPr>
            <w:tcW w:w="4220" w:type="dxa"/>
            <w:vAlign w:val="bottom"/>
            <w:gridSpan w:val="24"/>
          </w:tcPr>
          <w:p>
            <w:pPr>
              <w:ind w:left="60"/>
              <w:spacing w:after="0"/>
              <w:rPr>
                <w:sz w:val="20"/>
                <w:szCs w:val="20"/>
                <w:color w:val="auto"/>
              </w:rPr>
            </w:pPr>
            <w:r>
              <w:rPr>
                <w:rFonts w:ascii="Times New Roman" w:cs="Times New Roman" w:eastAsia="Times New Roman" w:hAnsi="Times New Roman"/>
                <w:sz w:val="20"/>
                <w:szCs w:val="20"/>
                <w:color w:val="0000FF"/>
              </w:rPr>
              <w:t>Notices; Effectiveness; Electronic Communication</w:t>
            </w: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127</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37"/>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6</w:t>
            </w:r>
          </w:p>
        </w:tc>
        <w:tc>
          <w:tcPr>
            <w:tcW w:w="184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0000FF"/>
              </w:rPr>
              <w:t xml:space="preserve">Severability  </w:t>
            </w:r>
            <w:r>
              <w:rPr>
                <w:rFonts w:ascii="Times New Roman" w:cs="Times New Roman" w:eastAsia="Times New Roman" w:hAnsi="Times New Roman"/>
                <w:sz w:val="20"/>
                <w:szCs w:val="20"/>
                <w:color w:val="000000"/>
              </w:rPr>
              <w:t>129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7</w:t>
            </w:r>
          </w:p>
        </w:tc>
        <w:tc>
          <w:tcPr>
            <w:tcW w:w="2100" w:type="dxa"/>
            <w:vAlign w:val="bottom"/>
            <w:gridSpan w:val="12"/>
          </w:tcPr>
          <w:p>
            <w:pPr>
              <w:ind w:left="60"/>
              <w:spacing w:after="0"/>
              <w:rPr>
                <w:sz w:val="20"/>
                <w:szCs w:val="20"/>
                <w:color w:val="auto"/>
              </w:rPr>
            </w:pPr>
            <w:r>
              <w:rPr>
                <w:rFonts w:ascii="Times New Roman" w:cs="Times New Roman" w:eastAsia="Times New Roman" w:hAnsi="Times New Roman"/>
                <w:sz w:val="20"/>
                <w:szCs w:val="20"/>
                <w:color w:val="0000FF"/>
              </w:rPr>
              <w:t xml:space="preserve">Duration; Survival  </w:t>
            </w:r>
            <w:r>
              <w:rPr>
                <w:rFonts w:ascii="Times New Roman" w:cs="Times New Roman" w:eastAsia="Times New Roman" w:hAnsi="Times New Roman"/>
                <w:sz w:val="20"/>
                <w:szCs w:val="20"/>
                <w:color w:val="000000"/>
              </w:rPr>
              <w:t>129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8</w:t>
            </w:r>
          </w:p>
        </w:tc>
        <w:tc>
          <w:tcPr>
            <w:tcW w:w="2100" w:type="dxa"/>
            <w:vAlign w:val="bottom"/>
            <w:gridSpan w:val="12"/>
          </w:tcPr>
          <w:p>
            <w:pPr>
              <w:ind w:left="60"/>
              <w:spacing w:after="0"/>
              <w:rPr>
                <w:sz w:val="20"/>
                <w:szCs w:val="20"/>
                <w:color w:val="auto"/>
              </w:rPr>
            </w:pPr>
            <w:r>
              <w:rPr>
                <w:rFonts w:ascii="Times New Roman" w:cs="Times New Roman" w:eastAsia="Times New Roman" w:hAnsi="Times New Roman"/>
                <w:sz w:val="20"/>
                <w:szCs w:val="20"/>
                <w:color w:val="0000FF"/>
              </w:rPr>
              <w:t>Successors and Assigns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9</w:t>
            </w:r>
          </w:p>
        </w:tc>
        <w:tc>
          <w:tcPr>
            <w:tcW w:w="184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0000FF"/>
              </w:rPr>
              <w:t xml:space="preserve">Confidentiality  </w:t>
            </w:r>
            <w:r>
              <w:rPr>
                <w:rFonts w:ascii="Times New Roman" w:cs="Times New Roman" w:eastAsia="Times New Roman" w:hAnsi="Times New Roman"/>
                <w:sz w:val="20"/>
                <w:szCs w:val="20"/>
                <w:color w:val="000000"/>
              </w:rPr>
              <w:t>134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1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10</w:t>
            </w:r>
          </w:p>
        </w:tc>
        <w:tc>
          <w:tcPr>
            <w:tcW w:w="100" w:type="dxa"/>
            <w:vAlign w:val="bottom"/>
          </w:tcPr>
          <w:p>
            <w:pPr>
              <w:spacing w:after="0"/>
              <w:rPr>
                <w:sz w:val="24"/>
                <w:szCs w:val="24"/>
                <w:color w:val="auto"/>
              </w:rPr>
            </w:pPr>
          </w:p>
        </w:tc>
        <w:tc>
          <w:tcPr>
            <w:tcW w:w="6360" w:type="dxa"/>
            <w:vAlign w:val="bottom"/>
            <w:gridSpan w:val="28"/>
          </w:tcPr>
          <w:p>
            <w:pPr>
              <w:ind w:left="60"/>
              <w:spacing w:after="0"/>
              <w:rPr>
                <w:sz w:val="20"/>
                <w:szCs w:val="20"/>
                <w:color w:val="auto"/>
              </w:rPr>
            </w:pPr>
            <w:r>
              <w:rPr>
                <w:rFonts w:ascii="Times New Roman" w:cs="Times New Roman" w:eastAsia="Times New Roman" w:hAnsi="Times New Roman"/>
                <w:sz w:val="20"/>
                <w:szCs w:val="20"/>
                <w:color w:val="0000FF"/>
              </w:rPr>
              <w:t xml:space="preserve">Counterparts; Integration; Effectiveness; Electronic Execution  </w:t>
            </w:r>
            <w:r>
              <w:rPr>
                <w:rFonts w:ascii="Times New Roman" w:cs="Times New Roman" w:eastAsia="Times New Roman" w:hAnsi="Times New Roman"/>
                <w:sz w:val="20"/>
                <w:szCs w:val="20"/>
                <w:color w:val="000000"/>
              </w:rPr>
              <w:t>135</w:t>
            </w: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80" w:type="dxa"/>
            <w:vAlign w:val="bottom"/>
            <w:gridSpan w:val="1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r>
      <w:tr>
        <w:trPr>
          <w:trHeight w:val="324"/>
        </w:trPr>
        <w:tc>
          <w:tcPr>
            <w:tcW w:w="620" w:type="dxa"/>
            <w:vAlign w:val="bottom"/>
          </w:tcPr>
          <w:p>
            <w:pPr>
              <w:spacing w:after="0"/>
              <w:rPr>
                <w:sz w:val="24"/>
                <w:szCs w:val="24"/>
                <w:color w:val="auto"/>
              </w:rPr>
            </w:pPr>
          </w:p>
        </w:tc>
        <w:tc>
          <w:tcPr>
            <w:tcW w:w="950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11</w:t>
            </w:r>
            <w:r>
              <w:rPr>
                <w:rFonts w:ascii="Times New Roman" w:cs="Times New Roman" w:eastAsia="Times New Roman" w:hAnsi="Times New Roman"/>
                <w:sz w:val="20"/>
                <w:szCs w:val="20"/>
                <w:color w:val="0000FF"/>
              </w:rPr>
              <w:t xml:space="preserve">  CHOICE OF LAW; SUBMISSION TO JURISDICTION; WAIVER OF VENUE; SERVICE OF PROCESS;</w:t>
            </w:r>
          </w:p>
        </w:tc>
      </w:tr>
      <w:tr>
        <w:trPr>
          <w:trHeight w:val="235"/>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WAIVER OF JURY TRIAL</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136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12</w:t>
            </w:r>
          </w:p>
        </w:tc>
        <w:tc>
          <w:tcPr>
            <w:tcW w:w="100" w:type="dxa"/>
            <w:vAlign w:val="bottom"/>
          </w:tcPr>
          <w:p>
            <w:pPr>
              <w:spacing w:after="0"/>
              <w:rPr>
                <w:sz w:val="24"/>
                <w:szCs w:val="24"/>
                <w:color w:val="auto"/>
              </w:rPr>
            </w:pPr>
          </w:p>
        </w:tc>
        <w:tc>
          <w:tcPr>
            <w:tcW w:w="1740" w:type="dxa"/>
            <w:vAlign w:val="bottom"/>
            <w:tcBorders>
              <w:top w:val="single" w:sz="8" w:color="0000FF"/>
            </w:tcBorders>
            <w:gridSpan w:val="7"/>
          </w:tcPr>
          <w:p>
            <w:pPr>
              <w:ind w:left="60"/>
              <w:spacing w:after="0"/>
              <w:rPr>
                <w:sz w:val="20"/>
                <w:szCs w:val="20"/>
                <w:color w:val="auto"/>
              </w:rPr>
            </w:pPr>
            <w:r>
              <w:rPr>
                <w:rFonts w:ascii="Times New Roman" w:cs="Times New Roman" w:eastAsia="Times New Roman" w:hAnsi="Times New Roman"/>
                <w:sz w:val="20"/>
                <w:szCs w:val="20"/>
                <w:color w:val="0000FF"/>
              </w:rPr>
              <w:t>Mutual Negotiations</w:t>
            </w:r>
          </w:p>
        </w:tc>
        <w:tc>
          <w:tcPr>
            <w:tcW w:w="540" w:type="dxa"/>
            <w:vAlign w:val="bottom"/>
            <w:tcBorders>
              <w:top w:val="single" w:sz="8" w:color="0000FF"/>
            </w:tcBorders>
            <w:gridSpan w:val="6"/>
          </w:tcPr>
          <w:p>
            <w:pPr>
              <w:jc w:val="right"/>
              <w:ind w:right="40"/>
              <w:spacing w:after="0"/>
              <w:rPr>
                <w:sz w:val="20"/>
                <w:szCs w:val="20"/>
                <w:color w:val="auto"/>
              </w:rPr>
            </w:pPr>
            <w:r>
              <w:rPr>
                <w:rFonts w:ascii="Times New Roman" w:cs="Times New Roman" w:eastAsia="Times New Roman" w:hAnsi="Times New Roman"/>
                <w:sz w:val="20"/>
                <w:szCs w:val="20"/>
                <w:color w:val="auto"/>
              </w:rPr>
              <w:t>137</w:t>
            </w: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gridSpan w:val="7"/>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13</w:t>
            </w:r>
          </w:p>
        </w:tc>
        <w:tc>
          <w:tcPr>
            <w:tcW w:w="100" w:type="dxa"/>
            <w:vAlign w:val="bottom"/>
          </w:tcPr>
          <w:p>
            <w:pPr>
              <w:spacing w:after="0"/>
              <w:rPr>
                <w:sz w:val="24"/>
                <w:szCs w:val="24"/>
                <w:color w:val="auto"/>
              </w:rPr>
            </w:pPr>
          </w:p>
        </w:tc>
        <w:tc>
          <w:tcPr>
            <w:tcW w:w="6360" w:type="dxa"/>
            <w:vAlign w:val="bottom"/>
            <w:gridSpan w:val="28"/>
          </w:tcPr>
          <w:p>
            <w:pPr>
              <w:ind w:left="60"/>
              <w:spacing w:after="0"/>
              <w:rPr>
                <w:sz w:val="20"/>
                <w:szCs w:val="20"/>
                <w:color w:val="auto"/>
              </w:rPr>
            </w:pPr>
            <w:r>
              <w:rPr>
                <w:rFonts w:ascii="Times New Roman" w:cs="Times New Roman" w:eastAsia="Times New Roman" w:hAnsi="Times New Roman"/>
                <w:sz w:val="20"/>
                <w:szCs w:val="20"/>
                <w:color w:val="0000FF"/>
              </w:rPr>
              <w:t>Acknowledgement and Consent to Bail-In of Affected Financial Institutions</w:t>
            </w:r>
          </w:p>
        </w:tc>
        <w:tc>
          <w:tcPr>
            <w:tcW w:w="1300" w:type="dxa"/>
            <w:vAlign w:val="bottom"/>
          </w:tcPr>
          <w:p>
            <w:pPr>
              <w:jc w:val="right"/>
              <w:ind w:right="798"/>
              <w:spacing w:after="0"/>
              <w:rPr>
                <w:sz w:val="20"/>
                <w:szCs w:val="20"/>
                <w:color w:val="auto"/>
              </w:rPr>
            </w:pPr>
            <w:r>
              <w:rPr>
                <w:rFonts w:ascii="Times New Roman" w:cs="Times New Roman" w:eastAsia="Times New Roman" w:hAnsi="Times New Roman"/>
                <w:sz w:val="20"/>
                <w:szCs w:val="20"/>
                <w:color w:val="auto"/>
              </w:rPr>
              <w:t>137</w:t>
            </w: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80" w:type="dxa"/>
            <w:vAlign w:val="bottom"/>
            <w:gridSpan w:val="1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112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14</w:t>
            </w:r>
          </w:p>
        </w:tc>
        <w:tc>
          <w:tcPr>
            <w:tcW w:w="100" w:type="dxa"/>
            <w:vAlign w:val="bottom"/>
          </w:tcPr>
          <w:p>
            <w:pPr>
              <w:spacing w:after="0"/>
              <w:rPr>
                <w:sz w:val="24"/>
                <w:szCs w:val="24"/>
                <w:color w:val="auto"/>
              </w:rPr>
            </w:pPr>
          </w:p>
        </w:tc>
        <w:tc>
          <w:tcPr>
            <w:tcW w:w="2400" w:type="dxa"/>
            <w:vAlign w:val="bottom"/>
            <w:gridSpan w:val="15"/>
          </w:tcPr>
          <w:p>
            <w:pPr>
              <w:ind w:left="60"/>
              <w:spacing w:after="0"/>
              <w:rPr>
                <w:sz w:val="20"/>
                <w:szCs w:val="20"/>
                <w:color w:val="auto"/>
              </w:rPr>
            </w:pPr>
            <w:r>
              <w:rPr>
                <w:rFonts w:ascii="Times New Roman" w:cs="Times New Roman" w:eastAsia="Times New Roman" w:hAnsi="Times New Roman"/>
                <w:sz w:val="20"/>
                <w:szCs w:val="20"/>
                <w:color w:val="0000FF"/>
              </w:rPr>
              <w:t>USA PATRIOT Act Notice</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137</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2880" w:type="dxa"/>
            <w:vAlign w:val="bottom"/>
            <w:gridSpan w:val="15"/>
            <w:shd w:val="clear" w:color="auto" w:fill="0000FF"/>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4"/>
        </w:trPr>
        <w:tc>
          <w:tcPr>
            <w:tcW w:w="49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rPr>
              <w:t>12.</w:t>
            </w:r>
            <w:r>
              <w:rPr>
                <w:rFonts w:ascii="Times New Roman" w:cs="Times New Roman" w:eastAsia="Times New Roman" w:hAnsi="Times New Roman"/>
                <w:sz w:val="20"/>
                <w:szCs w:val="20"/>
                <w:u w:val="single" w:color="auto"/>
                <w:color w:val="0000FF"/>
              </w:rPr>
              <w:t>15</w:t>
            </w:r>
            <w:r>
              <w:rPr>
                <w:rFonts w:ascii="Times New Roman" w:cs="Times New Roman" w:eastAsia="Times New Roman" w:hAnsi="Times New Roman"/>
                <w:sz w:val="20"/>
                <w:szCs w:val="20"/>
                <w:color w:val="0000FF"/>
              </w:rPr>
              <w:t xml:space="preserve">  Acknowledgement Regarding Any Supported QFCs</w:t>
            </w:r>
          </w:p>
        </w:tc>
        <w:tc>
          <w:tcPr>
            <w:tcW w:w="420" w:type="dxa"/>
            <w:vAlign w:val="bottom"/>
            <w:gridSpan w:val="3"/>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138</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140"/>
          </w:cols>
          <w:pgMar w:left="320" w:top="123" w:right="43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0" w:type="dxa"/>
            <w:vAlign w:val="bottom"/>
          </w:tcPr>
          <w:p>
            <w:pPr>
              <w:ind w:left="2020"/>
              <w:spacing w:after="0"/>
              <w:rPr>
                <w:sz w:val="20"/>
                <w:szCs w:val="20"/>
                <w:color w:val="auto"/>
              </w:rPr>
            </w:pPr>
            <w:r>
              <w:rPr>
                <w:rFonts w:ascii="Times New Roman" w:cs="Times New Roman" w:eastAsia="Times New Roman" w:hAnsi="Times New Roman"/>
                <w:sz w:val="20"/>
                <w:szCs w:val="20"/>
                <w:b w:val="1"/>
                <w:bCs w:val="1"/>
                <w:color w:val="auto"/>
              </w:rPr>
              <w:t>LIST OF SCHEDULES AND EXHIBITS</w:t>
            </w:r>
          </w:p>
        </w:tc>
      </w:tr>
      <w:tr>
        <w:trPr>
          <w:trHeight w:val="396"/>
        </w:trPr>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SCHEDULES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897"/>
        </w:trPr>
        <w:tc>
          <w:tcPr>
            <w:tcW w:w="18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SCHEDULE 1.1(A)</w:t>
            </w:r>
          </w:p>
        </w:tc>
        <w:tc>
          <w:tcPr>
            <w:tcW w:w="9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COMMITMENTS OF LENDERS AND ADDRESSES FOR NOTICES</w:t>
            </w:r>
          </w:p>
        </w:tc>
      </w:tr>
      <w:tr>
        <w:trPr>
          <w:trHeight w:val="242"/>
        </w:trPr>
        <w:tc>
          <w:tcPr>
            <w:tcW w:w="18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SCHEDULE 1.1(B)</w:t>
            </w:r>
          </w:p>
        </w:tc>
        <w:tc>
          <w:tcPr>
            <w:tcW w:w="9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EXISTING LETTERS OF CREDIT</w:t>
            </w:r>
          </w:p>
        </w:tc>
      </w:tr>
      <w:tr>
        <w:trPr>
          <w:trHeight w:val="242"/>
        </w:trPr>
        <w:tc>
          <w:tcPr>
            <w:tcW w:w="18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SCHEDULE 1.1(C)</w:t>
            </w:r>
          </w:p>
        </w:tc>
        <w:tc>
          <w:tcPr>
            <w:tcW w:w="9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PERMITTED LIENS</w:t>
            </w:r>
          </w:p>
        </w:tc>
      </w:tr>
      <w:tr>
        <w:trPr>
          <w:trHeight w:val="242"/>
        </w:trPr>
        <w:tc>
          <w:tcPr>
            <w:tcW w:w="1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6.5</w:t>
            </w:r>
          </w:p>
        </w:tc>
        <w:tc>
          <w:tcPr>
            <w:tcW w:w="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ENVIRONMENTAL DISCLOSURES</w:t>
            </w:r>
          </w:p>
        </w:tc>
      </w:tr>
      <w:tr>
        <w:trPr>
          <w:trHeight w:val="242"/>
        </w:trPr>
        <w:tc>
          <w:tcPr>
            <w:tcW w:w="1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6.14</w:t>
            </w:r>
          </w:p>
        </w:tc>
        <w:tc>
          <w:tcPr>
            <w:tcW w:w="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9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SUBSIDIARIES</w:t>
            </w:r>
          </w:p>
        </w:tc>
      </w:tr>
      <w:tr>
        <w:trPr>
          <w:trHeight w:val="255"/>
        </w:trPr>
        <w:tc>
          <w:tcPr>
            <w:tcW w:w="1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6.16</w:t>
            </w:r>
          </w:p>
        </w:tc>
        <w:tc>
          <w:tcPr>
            <w:tcW w:w="9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  DEPOSIT AND DISBURSEMENT ACCOUNTS</w:t>
            </w:r>
          </w:p>
        </w:tc>
      </w:tr>
      <w:tr>
        <w:trPr>
          <w:trHeight w:val="242"/>
        </w:trPr>
        <w:tc>
          <w:tcPr>
            <w:tcW w:w="1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6.22</w:t>
            </w:r>
          </w:p>
        </w:tc>
        <w:tc>
          <w:tcPr>
            <w:tcW w:w="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9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MATERIAL CONTRACTS</w:t>
            </w:r>
          </w:p>
        </w:tc>
      </w:tr>
      <w:tr>
        <w:trPr>
          <w:trHeight w:val="242"/>
        </w:trPr>
        <w:tc>
          <w:tcPr>
            <w:tcW w:w="1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8.19</w:t>
            </w:r>
          </w:p>
        </w:tc>
        <w:tc>
          <w:tcPr>
            <w:tcW w:w="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9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POST-CLOSING OBLIGATIONS</w:t>
            </w:r>
          </w:p>
        </w:tc>
      </w:tr>
      <w:tr>
        <w:trPr>
          <w:trHeight w:val="242"/>
        </w:trPr>
        <w:tc>
          <w:tcPr>
            <w:tcW w:w="1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9.1</w:t>
            </w:r>
          </w:p>
        </w:tc>
        <w:tc>
          <w:tcPr>
            <w:tcW w:w="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66"/>
        </w:trPr>
        <w:tc>
          <w:tcPr>
            <w:tcW w:w="14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9.4</w:t>
            </w:r>
          </w:p>
        </w:tc>
        <w:tc>
          <w:tcPr>
            <w:tcW w:w="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396"/>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40" w:type="dxa"/>
            <w:vAlign w:val="bottom"/>
            <w:gridSpan w:val="4"/>
          </w:tcPr>
          <w:p>
            <w:pPr>
              <w:spacing w:after="0" w:line="20" w:lineRule="exact"/>
              <w:rPr>
                <w:sz w:val="1"/>
                <w:szCs w:val="1"/>
                <w:color w:val="auto"/>
              </w:rPr>
            </w:pPr>
          </w:p>
        </w:tc>
      </w:tr>
      <w:tr>
        <w:trPr>
          <w:trHeight w:val="464"/>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A</w:t>
            </w:r>
          </w:p>
        </w:tc>
        <w:tc>
          <w:tcPr>
            <w:tcW w:w="1004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  ASSIGNMENT AND ASSUMPTION AGREEMENT</w:t>
            </w:r>
          </w:p>
        </w:tc>
      </w:tr>
      <w:tr>
        <w:trPr>
          <w:trHeight w:val="242"/>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B</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GUARANTOR JOINDER</w:t>
            </w:r>
          </w:p>
        </w:tc>
      </w:tr>
      <w:tr>
        <w:trPr>
          <w:trHeight w:val="242"/>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C</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REVOLVING CREDIT NOTE</w:t>
            </w:r>
          </w:p>
        </w:tc>
      </w:tr>
      <w:tr>
        <w:trPr>
          <w:trHeight w:val="242"/>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D</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7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SWINGLINE LOAN NOTE</w:t>
            </w:r>
          </w:p>
        </w:tc>
      </w:tr>
      <w:tr>
        <w:trPr>
          <w:trHeight w:val="242"/>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E</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97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NOTICE OF ASSIGNMENT OF CLAIMS</w:t>
            </w:r>
          </w:p>
        </w:tc>
      </w:tr>
      <w:tr>
        <w:trPr>
          <w:trHeight w:val="255"/>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F</w:t>
            </w:r>
          </w:p>
        </w:tc>
        <w:tc>
          <w:tcPr>
            <w:tcW w:w="80" w:type="dxa"/>
            <w:vAlign w:val="bottom"/>
          </w:tcPr>
          <w:p>
            <w:pPr>
              <w:spacing w:after="0"/>
              <w:rPr>
                <w:sz w:val="22"/>
                <w:szCs w:val="22"/>
                <w:color w:val="auto"/>
              </w:rPr>
            </w:pPr>
          </w:p>
        </w:tc>
        <w:tc>
          <w:tcPr>
            <w:tcW w:w="99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PERMITTED ACQUISITION CERTIFICATE</w:t>
            </w:r>
          </w:p>
        </w:tc>
      </w:tr>
      <w:tr>
        <w:trPr>
          <w:trHeight w:val="242"/>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G</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LOAN REQUEST</w:t>
            </w:r>
          </w:p>
        </w:tc>
      </w:tr>
      <w:tr>
        <w:trPr>
          <w:trHeight w:val="242"/>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H</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SWINGLINE LOAN REQUEST</w:t>
            </w:r>
          </w:p>
        </w:tc>
      </w:tr>
      <w:tr>
        <w:trPr>
          <w:trHeight w:val="242"/>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I-1</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U.S. TAX COMPLIANCE CERTIFICATE (For Foreign Lenders That Are Not Partnerships For U.S. Federal Income</w:t>
            </w:r>
          </w:p>
        </w:tc>
      </w:tr>
      <w:tr>
        <w:trPr>
          <w:trHeight w:val="242"/>
        </w:trPr>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Tax Purposes)</w:t>
            </w:r>
          </w:p>
        </w:tc>
      </w:tr>
      <w:tr>
        <w:trPr>
          <w:trHeight w:val="255"/>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I-2</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U.S. TAX COMPLIANCE CERTIFICATE (For Foreign Participants That Are Not Partnerships For U.S. Federal</w:t>
            </w:r>
          </w:p>
        </w:tc>
      </w:tr>
      <w:tr>
        <w:trPr>
          <w:trHeight w:val="242"/>
        </w:trPr>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Income Tax Purposes)</w:t>
            </w:r>
          </w:p>
        </w:tc>
      </w:tr>
      <w:tr>
        <w:trPr>
          <w:trHeight w:val="242"/>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I-3</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U.S. TAX COMPLIANCE CERTIFICATE (For Foreign Participants That Are Partnerships For U.S. Federal Income</w:t>
            </w:r>
          </w:p>
        </w:tc>
      </w:tr>
      <w:tr>
        <w:trPr>
          <w:trHeight w:val="242"/>
        </w:trPr>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Tax Purposes)</w:t>
            </w:r>
          </w:p>
        </w:tc>
      </w:tr>
      <w:tr>
        <w:trPr>
          <w:trHeight w:val="242"/>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I-4</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97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U.S. TAX COMPLIANCE CERTIFICATE (For Foreign Lenders That Are Partnerships For U.S. Federal Income Tax</w:t>
            </w:r>
          </w:p>
        </w:tc>
      </w:tr>
      <w:tr>
        <w:trPr>
          <w:trHeight w:val="242"/>
        </w:trPr>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Purposes)</w:t>
            </w:r>
          </w:p>
        </w:tc>
      </w:tr>
      <w:tr>
        <w:trPr>
          <w:trHeight w:val="266"/>
        </w:trPr>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J</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97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COMPLIANCE CERTIFICATE</w:t>
            </w:r>
          </w:p>
        </w:tc>
      </w:tr>
    </w:tbl>
    <w:p>
      <w:pPr>
        <w:sectPr>
          <w:pgSz w:w="11900" w:h="16838" w:orient="portrait"/>
          <w:cols w:equalWidth="0" w:num="1">
            <w:col w:w="11200"/>
          </w:cols>
          <w:pgMar w:left="320" w:top="1345" w:right="37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20" w:lineRule="exact"/>
        <w:rPr>
          <w:sz w:val="20"/>
          <w:szCs w:val="20"/>
          <w:color w:val="auto"/>
        </w:rPr>
      </w:pPr>
    </w:p>
    <w:p>
      <w:pPr>
        <w:jc w:val="both"/>
        <w:ind w:firstLine="611"/>
        <w:spacing w:after="0" w:line="269" w:lineRule="auto"/>
        <w:rPr>
          <w:sz w:val="20"/>
          <w:szCs w:val="20"/>
          <w:color w:val="auto"/>
        </w:rPr>
      </w:pPr>
      <w:r>
        <w:rPr>
          <w:rFonts w:ascii="Times New Roman" w:cs="Times New Roman" w:eastAsia="Times New Roman" w:hAnsi="Times New Roman"/>
          <w:sz w:val="20"/>
          <w:szCs w:val="20"/>
          <w:color w:val="auto"/>
        </w:rPr>
        <w:t>This CREDIT AGREEMENT is dated as of February 20, 2026 and is made by and among KRATOS DEFENSE &amp; SECURITY SOLUTIONS,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(as hereinafter defined), the LENDERS (as hereinafter defined), and PNC BANK, NATIONAL ASSOCIATION, in its capacity as the Administrative Agent (as hereinafter defined), Swingline Loan Lender (as hereinafter defined) and Issuing Lender (as hereinafter defined).</w:t>
      </w:r>
    </w:p>
    <w:p>
      <w:pPr>
        <w:spacing w:after="0" w:line="153" w:lineRule="exact"/>
        <w:rPr>
          <w:sz w:val="20"/>
          <w:szCs w:val="20"/>
          <w:color w:val="auto"/>
        </w:rPr>
      </w:pPr>
    </w:p>
    <w:p>
      <w:pPr>
        <w:jc w:val="both"/>
        <w:ind w:firstLine="611"/>
        <w:spacing w:after="0" w:line="269" w:lineRule="auto"/>
        <w:rPr>
          <w:sz w:val="20"/>
          <w:szCs w:val="20"/>
          <w:color w:val="auto"/>
        </w:rPr>
      </w:pPr>
      <w:r>
        <w:rPr>
          <w:rFonts w:ascii="Times New Roman" w:cs="Times New Roman" w:eastAsia="Times New Roman" w:hAnsi="Times New Roman"/>
          <w:sz w:val="20"/>
          <w:szCs w:val="20"/>
          <w:color w:val="auto"/>
        </w:rPr>
        <w:t>The Borrower has requested the Lenders to provide a revolving credit facility to the Borrower in an aggregate principal amount not to exceed $300,000,000, including therein a Swingline Loan (as hereinafter defined) subfacility and a Letter of Credit (as hereinafter defined) subfacility. In consideration of their mutual covenants and agreements hereinafter specified and intending to be legally bound hereby, the parties hereto covenant and agree as follows:</w:t>
      </w:r>
    </w:p>
    <w:p>
      <w:pPr>
        <w:spacing w:after="0" w:line="12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ARTICLE 1</w:t>
      </w:r>
    </w:p>
    <w:p>
      <w:pPr>
        <w:ind w:left="4540"/>
        <w:spacing w:after="0"/>
        <w:rPr>
          <w:sz w:val="20"/>
          <w:szCs w:val="20"/>
          <w:color w:val="auto"/>
        </w:rPr>
      </w:pPr>
      <w:r>
        <w:rPr>
          <w:rFonts w:ascii="Times New Roman" w:cs="Times New Roman" w:eastAsia="Times New Roman" w:hAnsi="Times New Roman"/>
          <w:sz w:val="20"/>
          <w:szCs w:val="20"/>
          <w:u w:val="single" w:color="auto"/>
          <w:color w:val="auto"/>
        </w:rPr>
        <w:t>CERTAIN DEFINITIONS</w:t>
      </w:r>
    </w:p>
    <w:p>
      <w:pPr>
        <w:spacing w:after="0" w:line="156" w:lineRule="exact"/>
        <w:rPr>
          <w:sz w:val="20"/>
          <w:szCs w:val="20"/>
          <w:color w:val="auto"/>
        </w:rPr>
      </w:pPr>
    </w:p>
    <w:p>
      <w:pPr>
        <w:jc w:val="both"/>
        <w:ind w:firstLine="611"/>
        <w:spacing w:after="0" w:line="237"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Certain Definitions</w:t>
      </w:r>
      <w:r>
        <w:rPr>
          <w:rFonts w:ascii="Times New Roman" w:cs="Times New Roman" w:eastAsia="Times New Roman" w:hAnsi="Times New Roman"/>
          <w:sz w:val="20"/>
          <w:szCs w:val="20"/>
          <w:color w:val="auto"/>
        </w:rPr>
        <w:t>. In addition to words and terms defined elsewhere in this Agreement, the following words and terms shall have the following meanings, respectively, unless the context hereof clearly requires otherwise:</w:t>
      </w:r>
    </w:p>
    <w:p>
      <w:pPr>
        <w:spacing w:after="0" w:line="1" w:lineRule="exact"/>
        <w:rPr>
          <w:sz w:val="20"/>
          <w:szCs w:val="20"/>
          <w:color w:val="auto"/>
        </w:rPr>
      </w:pPr>
    </w:p>
    <w:p>
      <w:pPr>
        <w:jc w:val="both"/>
        <w:ind w:firstLine="1223"/>
        <w:spacing w:after="0" w:line="257" w:lineRule="auto"/>
        <w:rPr>
          <w:sz w:val="20"/>
          <w:szCs w:val="20"/>
          <w:color w:val="auto"/>
        </w:rPr>
      </w:pPr>
      <w:r>
        <w:rPr>
          <w:rFonts w:ascii="Times New Roman" w:cs="Times New Roman" w:eastAsia="Times New Roman" w:hAnsi="Times New Roman"/>
          <w:sz w:val="20"/>
          <w:szCs w:val="20"/>
          <w:color w:val="auto"/>
        </w:rPr>
        <w:t>ARTICLE 2 “</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any transaction, or any series of related transactions, by which any Loan Party or any of its Subsidiaries (a) acquires any business or all or substantially all of the assets of any firm, corporation or limited liability company, or division thereof, whether through purchase of assets, merger or otherwise or (b)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spacing w:after="0" w:line="16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Step-Up</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xml:space="preserve"> [Total Net Leverage Ratio].</w:t>
      </w:r>
    </w:p>
    <w:p>
      <w:pPr>
        <w:spacing w:after="0" w:line="2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Step-Up Period</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xml:space="preserve"> [Total Net Leverage Ratio].</w:t>
      </w:r>
    </w:p>
    <w:p>
      <w:pPr>
        <w:spacing w:after="0" w:line="241" w:lineRule="exact"/>
        <w:rPr>
          <w:sz w:val="20"/>
          <w:szCs w:val="20"/>
          <w:color w:val="auto"/>
        </w:rPr>
      </w:pPr>
    </w:p>
    <w:p>
      <w:pPr>
        <w:jc w:val="both"/>
        <w:ind w:firstLine="1223"/>
        <w:spacing w:after="0" w:line="302" w:lineRule="auto"/>
        <w:rPr>
          <w:sz w:val="20"/>
          <w:szCs w:val="20"/>
          <w:color w:val="auto"/>
        </w:rPr>
      </w:pPr>
      <w:r>
        <w:rPr>
          <w:rFonts w:ascii="Times New Roman" w:cs="Times New Roman" w:eastAsia="Times New Roman" w:hAnsi="Times New Roman"/>
          <w:sz w:val="20"/>
          <w:szCs w:val="20"/>
          <w:color w:val="auto"/>
        </w:rPr>
        <w:t>ARTICLE 3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PNC Bank, National Association, in its capacity as administrative agent hereunder or any successor administrative agent.</w:t>
      </w:r>
    </w:p>
    <w:p>
      <w:pPr>
        <w:spacing w:after="0" w:line="122" w:lineRule="exact"/>
        <w:rPr>
          <w:sz w:val="20"/>
          <w:szCs w:val="20"/>
          <w:color w:val="auto"/>
        </w:rPr>
      </w:pPr>
    </w:p>
    <w:p>
      <w:pPr>
        <w:ind w:left="1220"/>
        <w:spacing w:after="0"/>
        <w:tabs>
          <w:tab w:leader="none" w:pos="2400" w:val="left"/>
        </w:tabs>
        <w:rPr>
          <w:sz w:val="20"/>
          <w:szCs w:val="20"/>
          <w:color w:val="auto"/>
        </w:rPr>
      </w:pPr>
      <w:r>
        <w:rPr>
          <w:rFonts w:ascii="Times New Roman" w:cs="Times New Roman" w:eastAsia="Times New Roman" w:hAnsi="Times New Roman"/>
          <w:sz w:val="20"/>
          <w:szCs w:val="20"/>
          <w:color w:val="auto"/>
        </w:rPr>
        <w:t>ARTICLE 4</w:t>
        <w:tab/>
        <w:t>“</w:t>
      </w:r>
      <w:r>
        <w:rPr>
          <w:rFonts w:ascii="Times New Roman" w:cs="Times New Roman" w:eastAsia="Times New Roman" w:hAnsi="Times New Roman"/>
          <w:sz w:val="20"/>
          <w:szCs w:val="20"/>
          <w:u w:val="single" w:color="auto"/>
          <w:color w:val="auto"/>
        </w:rPr>
        <w:t>Administrative Agent’s Fee</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[Administrative Agent’s Fee].</w:t>
      </w:r>
    </w:p>
    <w:p>
      <w:pPr>
        <w:spacing w:after="0" w:line="216" w:lineRule="exact"/>
        <w:rPr>
          <w:sz w:val="20"/>
          <w:szCs w:val="20"/>
          <w:color w:val="auto"/>
        </w:rPr>
      </w:pPr>
    </w:p>
    <w:p>
      <w:pPr>
        <w:ind w:left="1220"/>
        <w:spacing w:after="0"/>
        <w:tabs>
          <w:tab w:leader="none" w:pos="2400" w:val="left"/>
        </w:tabs>
        <w:rPr>
          <w:sz w:val="20"/>
          <w:szCs w:val="20"/>
          <w:color w:val="auto"/>
        </w:rPr>
      </w:pPr>
      <w:r>
        <w:rPr>
          <w:rFonts w:ascii="Times New Roman" w:cs="Times New Roman" w:eastAsia="Times New Roman" w:hAnsi="Times New Roman"/>
          <w:sz w:val="20"/>
          <w:szCs w:val="20"/>
          <w:color w:val="auto"/>
        </w:rPr>
        <w:t>ARTICLE 5</w:t>
        <w:tab/>
        <w:t>“</w:t>
      </w:r>
      <w:r>
        <w:rPr>
          <w:rFonts w:ascii="Times New Roman" w:cs="Times New Roman" w:eastAsia="Times New Roman" w:hAnsi="Times New Roman"/>
          <w:sz w:val="20"/>
          <w:szCs w:val="20"/>
          <w:u w:val="single" w:color="auto"/>
          <w:color w:val="auto"/>
        </w:rPr>
        <w:t>Administrative Agent’s Letter</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[Administrative Agent’s Fee].</w:t>
      </w:r>
    </w:p>
    <w:p>
      <w:pPr>
        <w:sectPr>
          <w:pgSz w:w="11900" w:h="16838" w:orient="portrait"/>
          <w:cols w:equalWidth="0" w:num="1">
            <w:col w:w="11240"/>
          </w:cols>
          <w:pgMar w:left="320" w:top="1345" w:right="339" w:bottom="1440" w:gutter="0" w:footer="0" w:header="0"/>
        </w:sectPr>
      </w:pPr>
    </w:p>
    <w:bookmarkStart w:id="173" w:name="page174"/>
    <w:bookmarkEnd w:id="173"/>
    <w:p>
      <w:pPr>
        <w:jc w:val="both"/>
        <w:ind w:left="20" w:right="100" w:firstLine="1223"/>
        <w:spacing w:after="0" w:line="289" w:lineRule="auto"/>
        <w:rPr>
          <w:sz w:val="20"/>
          <w:szCs w:val="20"/>
          <w:color w:val="auto"/>
        </w:rPr>
      </w:pPr>
      <w:r>
        <w:rPr>
          <w:rFonts w:ascii="Times New Roman" w:cs="Times New Roman" w:eastAsia="Times New Roman" w:hAnsi="Times New Roman"/>
          <w:sz w:val="20"/>
          <w:szCs w:val="20"/>
          <w:color w:val="auto"/>
        </w:rPr>
        <w:t>ARTICLE 6 “</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134" w:lineRule="exact"/>
        <w:rPr>
          <w:sz w:val="20"/>
          <w:szCs w:val="20"/>
          <w:color w:val="auto"/>
        </w:rPr>
      </w:pPr>
    </w:p>
    <w:p>
      <w:pPr>
        <w:ind w:left="1240"/>
        <w:spacing w:after="0"/>
        <w:tabs>
          <w:tab w:leader="none" w:pos="2480" w:val="left"/>
        </w:tabs>
        <w:rPr>
          <w:sz w:val="20"/>
          <w:szCs w:val="20"/>
          <w:color w:val="auto"/>
        </w:rPr>
      </w:pPr>
      <w:r>
        <w:rPr>
          <w:rFonts w:ascii="Times New Roman" w:cs="Times New Roman" w:eastAsia="Times New Roman" w:hAnsi="Times New Roman"/>
          <w:sz w:val="20"/>
          <w:szCs w:val="20"/>
          <w:color w:val="auto"/>
        </w:rPr>
        <w:t>ARTICLE 7</w:t>
        <w:tab/>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Institution.</w:t>
      </w:r>
    </w:p>
    <w:p>
      <w:pPr>
        <w:spacing w:after="0" w:line="205" w:lineRule="exact"/>
        <w:rPr>
          <w:sz w:val="20"/>
          <w:szCs w:val="20"/>
          <w:color w:val="auto"/>
        </w:rPr>
      </w:pPr>
    </w:p>
    <w:p>
      <w:pPr>
        <w:jc w:val="both"/>
        <w:ind w:left="20" w:right="100" w:firstLine="1223"/>
        <w:spacing w:after="0" w:line="289" w:lineRule="auto"/>
        <w:rPr>
          <w:sz w:val="20"/>
          <w:szCs w:val="20"/>
          <w:color w:val="auto"/>
        </w:rPr>
      </w:pPr>
      <w:r>
        <w:rPr>
          <w:rFonts w:ascii="Times New Roman" w:cs="Times New Roman" w:eastAsia="Times New Roman" w:hAnsi="Times New Roman"/>
          <w:sz w:val="20"/>
          <w:szCs w:val="20"/>
          <w:color w:val="auto"/>
        </w:rPr>
        <w:t>ARTICLE 8 “</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34" w:lineRule="exact"/>
        <w:rPr>
          <w:sz w:val="20"/>
          <w:szCs w:val="20"/>
          <w:color w:val="auto"/>
        </w:rPr>
      </w:pPr>
    </w:p>
    <w:p>
      <w:pPr>
        <w:ind w:left="1240"/>
        <w:spacing w:after="0"/>
        <w:tabs>
          <w:tab w:leader="none" w:pos="2420" w:val="left"/>
        </w:tabs>
        <w:rPr>
          <w:sz w:val="20"/>
          <w:szCs w:val="20"/>
          <w:color w:val="auto"/>
        </w:rPr>
      </w:pPr>
      <w:r>
        <w:rPr>
          <w:rFonts w:ascii="Times New Roman" w:cs="Times New Roman" w:eastAsia="Times New Roman" w:hAnsi="Times New Roman"/>
          <w:sz w:val="20"/>
          <w:szCs w:val="20"/>
          <w:color w:val="auto"/>
        </w:rPr>
        <w:t>ARTICLE 9</w:t>
        <w:tab/>
        <w:t>“</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12.5(d)(ii)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20" w:right="100" w:firstLine="1223"/>
        <w:spacing w:after="0" w:line="302" w:lineRule="auto"/>
        <w:rPr>
          <w:sz w:val="20"/>
          <w:szCs w:val="20"/>
          <w:color w:val="auto"/>
        </w:rPr>
      </w:pPr>
      <w:r>
        <w:rPr>
          <w:rFonts w:ascii="Times New Roman" w:cs="Times New Roman" w:eastAsia="Times New Roman" w:hAnsi="Times New Roman"/>
          <w:sz w:val="20"/>
          <w:szCs w:val="20"/>
          <w:color w:val="auto"/>
        </w:rPr>
        <w:t>ARTICLE 10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mean this Credit Agreement, as the same may be amended, restated, amended and restated, supplemented, or otherwise modified from time to time, including all schedules and exhibits.</w:t>
      </w:r>
    </w:p>
    <w:p>
      <w:pPr>
        <w:spacing w:after="0" w:line="122" w:lineRule="exact"/>
        <w:rPr>
          <w:sz w:val="20"/>
          <w:szCs w:val="20"/>
          <w:color w:val="auto"/>
        </w:rPr>
      </w:pPr>
    </w:p>
    <w:p>
      <w:pPr>
        <w:jc w:val="both"/>
        <w:ind w:left="20" w:right="100" w:firstLine="1223"/>
        <w:spacing w:after="0" w:line="271" w:lineRule="auto"/>
        <w:rPr>
          <w:sz w:val="20"/>
          <w:szCs w:val="20"/>
          <w:color w:val="auto"/>
        </w:rPr>
      </w:pPr>
      <w:r>
        <w:rPr>
          <w:rFonts w:ascii="Times New Roman" w:cs="Times New Roman" w:eastAsia="Times New Roman" w:hAnsi="Times New Roman"/>
          <w:sz w:val="20"/>
          <w:szCs w:val="20"/>
          <w:color w:val="auto"/>
        </w:rPr>
        <w:t>ARTICLE 11 “</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 the U.S. Foreign Corrupt Practices Act of 1977, as amended; (b) the U.K. Bribery Act 2010, as amended; and (c) any other applicable Law relating to anti-bribery or anti-corruption in any jurisdiction in which any Loan Party is located or doing business.</w:t>
      </w:r>
    </w:p>
    <w:p>
      <w:pPr>
        <w:spacing w:after="0" w:line="151" w:lineRule="exact"/>
        <w:rPr>
          <w:sz w:val="20"/>
          <w:szCs w:val="20"/>
          <w:color w:val="auto"/>
        </w:rPr>
      </w:pPr>
    </w:p>
    <w:p>
      <w:pPr>
        <w:jc w:val="both"/>
        <w:ind w:left="20" w:right="100" w:firstLine="1223"/>
        <w:spacing w:after="0" w:line="263" w:lineRule="auto"/>
        <w:rPr>
          <w:sz w:val="20"/>
          <w:szCs w:val="20"/>
          <w:color w:val="auto"/>
        </w:rPr>
      </w:pPr>
      <w:r>
        <w:rPr>
          <w:rFonts w:ascii="Times New Roman" w:cs="Times New Roman" w:eastAsia="Times New Roman" w:hAnsi="Times New Roman"/>
          <w:sz w:val="20"/>
          <w:szCs w:val="20"/>
          <w:color w:val="auto"/>
        </w:rPr>
        <w:t>ARTICLE 12 “</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means (a) the Bank Secrecy Act and the Uniting and Strengthening America by Providing Appropriate Tools Required to Intercept and Obstruct Terrorism (USA PATRIOT) Act of 2001; (b) the Anti-Money Laundering Act of 2020, as amended; (c) the U.K. Proceeds of Crime Act 2002, the Money Laundering Regulations 2017, as amended, and the Terrorist Asset-Freezing etc. Act 2010; and (d) any other applicable Law relating to anti-money laundering, financial recordkeeping and reporting, and countering the financing of terrorism in any jurisdiction in which any Loan Party is located or doing business.</w:t>
      </w:r>
    </w:p>
    <w:p>
      <w:pPr>
        <w:spacing w:after="0" w:line="200" w:lineRule="exact"/>
        <w:rPr>
          <w:sz w:val="20"/>
          <w:szCs w:val="20"/>
          <w:color w:val="auto"/>
        </w:rPr>
      </w:pPr>
    </w:p>
    <w:p>
      <w:pPr>
        <w:spacing w:after="0" w:line="208" w:lineRule="exact"/>
        <w:rPr>
          <w:sz w:val="20"/>
          <w:szCs w:val="20"/>
          <w:color w:val="auto"/>
        </w:rPr>
      </w:pPr>
    </w:p>
    <w:p>
      <w:pPr>
        <w:jc w:val="both"/>
        <w:ind w:left="20" w:right="100" w:firstLine="1223"/>
        <w:spacing w:after="0" w:line="302" w:lineRule="auto"/>
        <w:rPr>
          <w:sz w:val="20"/>
          <w:szCs w:val="20"/>
          <w:color w:val="auto"/>
        </w:rPr>
      </w:pPr>
      <w:r>
        <w:rPr>
          <w:rFonts w:ascii="Times New Roman" w:cs="Times New Roman" w:eastAsia="Times New Roman" w:hAnsi="Times New Roman"/>
          <w:sz w:val="20"/>
          <w:szCs w:val="20"/>
          <w:color w:val="auto"/>
        </w:rPr>
        <w:t>ARTICLE 13 “</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means the corresponding percentages per annum as specified under and in accordance with the terms set forth below, based on the Total Net Leverage Ratio:</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1820" w:type="dxa"/>
            <w:vAlign w:val="bottom"/>
            <w:tcBorders>
              <w:top w:val="single" w:sz="8" w:color="auto"/>
              <w:left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82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7"/>
                <w:szCs w:val="17"/>
                <w:b w:val="1"/>
                <w:bCs w:val="1"/>
                <w:color w:val="auto"/>
              </w:rPr>
              <w:t>I</w:t>
            </w:r>
          </w:p>
        </w:tc>
        <w:tc>
          <w:tcPr>
            <w:tcW w:w="192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7"/>
                <w:szCs w:val="17"/>
                <w:b w:val="1"/>
                <w:bCs w:val="1"/>
                <w:color w:val="auto"/>
              </w:rPr>
              <w:t>II</w:t>
            </w:r>
          </w:p>
        </w:tc>
        <w:tc>
          <w:tcPr>
            <w:tcW w:w="194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7"/>
                <w:szCs w:val="17"/>
                <w:b w:val="1"/>
                <w:bCs w:val="1"/>
                <w:color w:val="auto"/>
              </w:rPr>
              <w:t>III</w:t>
            </w:r>
          </w:p>
        </w:tc>
        <w:tc>
          <w:tcPr>
            <w:tcW w:w="192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7"/>
                <w:szCs w:val="17"/>
                <w:b w:val="1"/>
                <w:bCs w:val="1"/>
                <w:color w:val="auto"/>
              </w:rPr>
              <w:t>IV</w:t>
            </w:r>
          </w:p>
        </w:tc>
        <w:tc>
          <w:tcPr>
            <w:tcW w:w="194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7"/>
                <w:szCs w:val="17"/>
                <w:b w:val="1"/>
                <w:bCs w:val="1"/>
                <w:color w:val="auto"/>
              </w:rPr>
              <w:t>V</w:t>
            </w:r>
          </w:p>
        </w:tc>
      </w:tr>
      <w:tr>
        <w:trPr>
          <w:trHeight w:val="202"/>
        </w:trPr>
        <w:tc>
          <w:tcPr>
            <w:tcW w:w="182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r>
      <w:tr>
        <w:trPr>
          <w:trHeight w:val="166"/>
        </w:trPr>
        <w:tc>
          <w:tcPr>
            <w:tcW w:w="1820" w:type="dxa"/>
            <w:vAlign w:val="bottom"/>
            <w:tcBorders>
              <w:left w:val="single" w:sz="8" w:color="auto"/>
              <w:right w:val="single" w:sz="8" w:color="auto"/>
            </w:tcBorders>
          </w:tcPr>
          <w:p>
            <w:pPr>
              <w:ind w:left="1360"/>
              <w:spacing w:after="0" w:line="166" w:lineRule="exact"/>
              <w:rPr>
                <w:sz w:val="20"/>
                <w:szCs w:val="20"/>
                <w:color w:val="auto"/>
              </w:rPr>
            </w:pPr>
            <w:r>
              <w:rPr>
                <w:rFonts w:ascii="Times New Roman" w:cs="Times New Roman" w:eastAsia="Times New Roman" w:hAnsi="Times New Roman"/>
                <w:sz w:val="17"/>
                <w:szCs w:val="17"/>
                <w:b w:val="1"/>
                <w:bCs w:val="1"/>
                <w:color w:val="auto"/>
              </w:rPr>
              <w:t>Total</w:t>
            </w:r>
          </w:p>
        </w:tc>
        <w:tc>
          <w:tcPr>
            <w:tcW w:w="1820" w:type="dxa"/>
            <w:vAlign w:val="bottom"/>
            <w:tcBorders>
              <w:right w:val="single" w:sz="8" w:color="auto"/>
            </w:tcBorders>
          </w:tcPr>
          <w:p>
            <w:pPr>
              <w:ind w:left="1320"/>
              <w:spacing w:after="0" w:line="166" w:lineRule="exact"/>
              <w:rPr>
                <w:sz w:val="20"/>
                <w:szCs w:val="20"/>
                <w:color w:val="auto"/>
              </w:rPr>
            </w:pPr>
            <w:r>
              <w:rPr>
                <w:rFonts w:ascii="Times New Roman" w:cs="Times New Roman" w:eastAsia="Times New Roman" w:hAnsi="Times New Roman"/>
                <w:sz w:val="17"/>
                <w:szCs w:val="17"/>
                <w:b w:val="1"/>
                <w:bCs w:val="1"/>
                <w:color w:val="auto"/>
              </w:rPr>
              <w:t>Less</w:t>
            </w:r>
          </w:p>
        </w:tc>
        <w:tc>
          <w:tcPr>
            <w:tcW w:w="1920" w:type="dxa"/>
            <w:vAlign w:val="bottom"/>
            <w:tcBorders>
              <w:right w:val="single" w:sz="8" w:color="auto"/>
            </w:tcBorders>
          </w:tcPr>
          <w:p>
            <w:pPr>
              <w:ind w:left="1320"/>
              <w:spacing w:after="0" w:line="166" w:lineRule="exact"/>
              <w:rPr>
                <w:sz w:val="20"/>
                <w:szCs w:val="20"/>
                <w:color w:val="auto"/>
              </w:rPr>
            </w:pPr>
            <w:r>
              <w:rPr>
                <w:rFonts w:ascii="Times New Roman" w:cs="Times New Roman" w:eastAsia="Times New Roman" w:hAnsi="Times New Roman"/>
                <w:sz w:val="17"/>
                <w:szCs w:val="17"/>
                <w:b w:val="1"/>
                <w:bCs w:val="1"/>
                <w:color w:val="auto"/>
                <w:w w:val="97"/>
              </w:rPr>
              <w:t>Greater</w:t>
            </w:r>
          </w:p>
        </w:tc>
        <w:tc>
          <w:tcPr>
            <w:tcW w:w="1940" w:type="dxa"/>
            <w:vAlign w:val="bottom"/>
            <w:tcBorders>
              <w:right w:val="single" w:sz="8" w:color="auto"/>
            </w:tcBorders>
          </w:tcPr>
          <w:p>
            <w:pPr>
              <w:ind w:left="1320"/>
              <w:spacing w:after="0" w:line="166" w:lineRule="exact"/>
              <w:rPr>
                <w:sz w:val="20"/>
                <w:szCs w:val="20"/>
                <w:color w:val="auto"/>
              </w:rPr>
            </w:pPr>
            <w:r>
              <w:rPr>
                <w:rFonts w:ascii="Times New Roman" w:cs="Times New Roman" w:eastAsia="Times New Roman" w:hAnsi="Times New Roman"/>
                <w:sz w:val="17"/>
                <w:szCs w:val="17"/>
                <w:b w:val="1"/>
                <w:bCs w:val="1"/>
                <w:color w:val="auto"/>
              </w:rPr>
              <w:t>Greater</w:t>
            </w:r>
          </w:p>
        </w:tc>
        <w:tc>
          <w:tcPr>
            <w:tcW w:w="1920" w:type="dxa"/>
            <w:vAlign w:val="bottom"/>
            <w:tcBorders>
              <w:right w:val="single" w:sz="8" w:color="auto"/>
            </w:tcBorders>
          </w:tcPr>
          <w:p>
            <w:pPr>
              <w:ind w:left="1320"/>
              <w:spacing w:after="0" w:line="166" w:lineRule="exact"/>
              <w:rPr>
                <w:sz w:val="20"/>
                <w:szCs w:val="20"/>
                <w:color w:val="auto"/>
              </w:rPr>
            </w:pPr>
            <w:r>
              <w:rPr>
                <w:rFonts w:ascii="Times New Roman" w:cs="Times New Roman" w:eastAsia="Times New Roman" w:hAnsi="Times New Roman"/>
                <w:sz w:val="17"/>
                <w:szCs w:val="17"/>
                <w:b w:val="1"/>
                <w:bCs w:val="1"/>
                <w:color w:val="auto"/>
                <w:w w:val="97"/>
              </w:rPr>
              <w:t>Greater</w:t>
            </w:r>
          </w:p>
        </w:tc>
        <w:tc>
          <w:tcPr>
            <w:tcW w:w="1940" w:type="dxa"/>
            <w:vAlign w:val="bottom"/>
            <w:tcBorders>
              <w:right w:val="single" w:sz="8" w:color="auto"/>
            </w:tcBorders>
          </w:tcPr>
          <w:p>
            <w:pPr>
              <w:ind w:left="1340"/>
              <w:spacing w:after="0" w:line="166" w:lineRule="exact"/>
              <w:rPr>
                <w:sz w:val="20"/>
                <w:szCs w:val="20"/>
                <w:color w:val="auto"/>
              </w:rPr>
            </w:pPr>
            <w:r>
              <w:rPr>
                <w:rFonts w:ascii="Times New Roman" w:cs="Times New Roman" w:eastAsia="Times New Roman" w:hAnsi="Times New Roman"/>
                <w:sz w:val="17"/>
                <w:szCs w:val="17"/>
                <w:b w:val="1"/>
                <w:bCs w:val="1"/>
                <w:color w:val="auto"/>
                <w:w w:val="97"/>
              </w:rPr>
              <w:t>Greater</w:t>
            </w:r>
          </w:p>
        </w:tc>
      </w:tr>
      <w:tr>
        <w:trPr>
          <w:trHeight w:val="166"/>
        </w:trPr>
        <w:tc>
          <w:tcPr>
            <w:tcW w:w="1820" w:type="dxa"/>
            <w:vAlign w:val="bottom"/>
            <w:tcBorders>
              <w:left w:val="single" w:sz="8" w:color="auto"/>
              <w:right w:val="single" w:sz="8" w:color="auto"/>
            </w:tcBorders>
          </w:tcPr>
          <w:p>
            <w:pPr>
              <w:ind w:left="140"/>
              <w:spacing w:after="0" w:line="166" w:lineRule="exact"/>
              <w:rPr>
                <w:sz w:val="20"/>
                <w:szCs w:val="20"/>
                <w:color w:val="auto"/>
              </w:rPr>
            </w:pPr>
            <w:r>
              <w:rPr>
                <w:rFonts w:ascii="Times New Roman" w:cs="Times New Roman" w:eastAsia="Times New Roman" w:hAnsi="Times New Roman"/>
                <w:sz w:val="17"/>
                <w:szCs w:val="17"/>
                <w:b w:val="1"/>
                <w:bCs w:val="1"/>
                <w:color w:val="auto"/>
              </w:rPr>
              <w:t>Net Leverage Ratio</w:t>
            </w:r>
          </w:p>
        </w:tc>
        <w:tc>
          <w:tcPr>
            <w:tcW w:w="1820" w:type="dxa"/>
            <w:vAlign w:val="bottom"/>
            <w:tcBorders>
              <w:right w:val="single" w:sz="8" w:color="auto"/>
            </w:tcBorders>
          </w:tcPr>
          <w:p>
            <w:pPr>
              <w:ind w:left="100"/>
              <w:spacing w:after="0" w:line="166" w:lineRule="exact"/>
              <w:rPr>
                <w:sz w:val="20"/>
                <w:szCs w:val="20"/>
                <w:color w:val="auto"/>
              </w:rPr>
            </w:pPr>
            <w:r>
              <w:rPr>
                <w:rFonts w:ascii="Times New Roman" w:cs="Times New Roman" w:eastAsia="Times New Roman" w:hAnsi="Times New Roman"/>
                <w:sz w:val="17"/>
                <w:szCs w:val="17"/>
                <w:b w:val="1"/>
                <w:bCs w:val="1"/>
                <w:color w:val="auto"/>
              </w:rPr>
              <w:t>than 1.00 to 1.00</w:t>
            </w:r>
          </w:p>
        </w:tc>
        <w:tc>
          <w:tcPr>
            <w:tcW w:w="1920" w:type="dxa"/>
            <w:vAlign w:val="bottom"/>
            <w:tcBorders>
              <w:right w:val="single" w:sz="8" w:color="auto"/>
            </w:tcBorders>
          </w:tcPr>
          <w:p>
            <w:pPr>
              <w:ind w:left="100"/>
              <w:spacing w:after="0" w:line="166" w:lineRule="exact"/>
              <w:rPr>
                <w:sz w:val="20"/>
                <w:szCs w:val="20"/>
                <w:color w:val="auto"/>
              </w:rPr>
            </w:pPr>
            <w:r>
              <w:rPr>
                <w:rFonts w:ascii="Times New Roman" w:cs="Times New Roman" w:eastAsia="Times New Roman" w:hAnsi="Times New Roman"/>
                <w:sz w:val="17"/>
                <w:szCs w:val="17"/>
                <w:b w:val="1"/>
                <w:bCs w:val="1"/>
                <w:color w:val="auto"/>
              </w:rPr>
              <w:t>than or equal to 1.00 to</w:t>
            </w:r>
          </w:p>
        </w:tc>
        <w:tc>
          <w:tcPr>
            <w:tcW w:w="1940" w:type="dxa"/>
            <w:vAlign w:val="bottom"/>
            <w:tcBorders>
              <w:right w:val="single" w:sz="8" w:color="auto"/>
            </w:tcBorders>
          </w:tcPr>
          <w:p>
            <w:pPr>
              <w:ind w:left="100"/>
              <w:spacing w:after="0" w:line="166" w:lineRule="exact"/>
              <w:rPr>
                <w:sz w:val="20"/>
                <w:szCs w:val="20"/>
                <w:color w:val="auto"/>
              </w:rPr>
            </w:pPr>
            <w:r>
              <w:rPr>
                <w:rFonts w:ascii="Times New Roman" w:cs="Times New Roman" w:eastAsia="Times New Roman" w:hAnsi="Times New Roman"/>
                <w:sz w:val="17"/>
                <w:szCs w:val="17"/>
                <w:b w:val="1"/>
                <w:bCs w:val="1"/>
                <w:color w:val="auto"/>
              </w:rPr>
              <w:t>than or equal to 1.50 to</w:t>
            </w:r>
          </w:p>
        </w:tc>
        <w:tc>
          <w:tcPr>
            <w:tcW w:w="1920" w:type="dxa"/>
            <w:vAlign w:val="bottom"/>
            <w:tcBorders>
              <w:right w:val="single" w:sz="8" w:color="auto"/>
            </w:tcBorders>
          </w:tcPr>
          <w:p>
            <w:pPr>
              <w:ind w:left="100"/>
              <w:spacing w:after="0" w:line="166" w:lineRule="exact"/>
              <w:rPr>
                <w:sz w:val="20"/>
                <w:szCs w:val="20"/>
                <w:color w:val="auto"/>
              </w:rPr>
            </w:pPr>
            <w:r>
              <w:rPr>
                <w:rFonts w:ascii="Times New Roman" w:cs="Times New Roman" w:eastAsia="Times New Roman" w:hAnsi="Times New Roman"/>
                <w:sz w:val="17"/>
                <w:szCs w:val="17"/>
                <w:b w:val="1"/>
                <w:bCs w:val="1"/>
                <w:color w:val="auto"/>
              </w:rPr>
              <w:t>than or equal to 2.00 to</w:t>
            </w:r>
          </w:p>
        </w:tc>
        <w:tc>
          <w:tcPr>
            <w:tcW w:w="1940" w:type="dxa"/>
            <w:vAlign w:val="bottom"/>
            <w:tcBorders>
              <w:right w:val="single" w:sz="8" w:color="auto"/>
            </w:tcBorders>
          </w:tcPr>
          <w:p>
            <w:pPr>
              <w:ind w:left="120"/>
              <w:spacing w:after="0" w:line="166" w:lineRule="exact"/>
              <w:rPr>
                <w:sz w:val="20"/>
                <w:szCs w:val="20"/>
                <w:color w:val="auto"/>
              </w:rPr>
            </w:pPr>
            <w:r>
              <w:rPr>
                <w:rFonts w:ascii="Times New Roman" w:cs="Times New Roman" w:eastAsia="Times New Roman" w:hAnsi="Times New Roman"/>
                <w:sz w:val="17"/>
                <w:szCs w:val="17"/>
                <w:b w:val="1"/>
                <w:bCs w:val="1"/>
                <w:color w:val="auto"/>
              </w:rPr>
              <w:t>than or equal to 3.00 to</w:t>
            </w:r>
          </w:p>
        </w:tc>
      </w:tr>
      <w:tr>
        <w:trPr>
          <w:trHeight w:val="171"/>
        </w:trPr>
        <w:tc>
          <w:tcPr>
            <w:tcW w:w="1820" w:type="dxa"/>
            <w:vAlign w:val="bottom"/>
            <w:tcBorders>
              <w:left w:val="single" w:sz="8" w:color="auto"/>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7"/>
                <w:szCs w:val="17"/>
                <w:b w:val="1"/>
                <w:bCs w:val="1"/>
                <w:color w:val="auto"/>
                <w:w w:val="99"/>
              </w:rPr>
              <w:t>1.00 but less than 1.50 to</w:t>
            </w:r>
          </w:p>
        </w:tc>
        <w:tc>
          <w:tcPr>
            <w:tcW w:w="1940" w:type="dxa"/>
            <w:vAlign w:val="bottom"/>
            <w:tcBorders>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7"/>
                <w:szCs w:val="17"/>
                <w:b w:val="1"/>
                <w:bCs w:val="1"/>
                <w:color w:val="auto"/>
              </w:rPr>
              <w:t>1.00 but less than 2.00 to</w:t>
            </w:r>
          </w:p>
        </w:tc>
        <w:tc>
          <w:tcPr>
            <w:tcW w:w="1920" w:type="dxa"/>
            <w:vAlign w:val="bottom"/>
            <w:tcBorders>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7"/>
                <w:szCs w:val="17"/>
                <w:b w:val="1"/>
                <w:bCs w:val="1"/>
                <w:color w:val="auto"/>
                <w:w w:val="99"/>
              </w:rPr>
              <w:t>1.00 but less than 3.00 to</w:t>
            </w:r>
          </w:p>
        </w:tc>
        <w:tc>
          <w:tcPr>
            <w:tcW w:w="1940" w:type="dxa"/>
            <w:vAlign w:val="bottom"/>
            <w:tcBorders>
              <w:right w:val="single" w:sz="8" w:color="auto"/>
            </w:tcBorders>
          </w:tcPr>
          <w:p>
            <w:pPr>
              <w:ind w:left="120"/>
              <w:spacing w:after="0" w:line="171" w:lineRule="exact"/>
              <w:rPr>
                <w:sz w:val="20"/>
                <w:szCs w:val="20"/>
                <w:color w:val="auto"/>
              </w:rPr>
            </w:pPr>
            <w:r>
              <w:rPr>
                <w:rFonts w:ascii="Times New Roman" w:cs="Times New Roman" w:eastAsia="Times New Roman" w:hAnsi="Times New Roman"/>
                <w:sz w:val="17"/>
                <w:szCs w:val="17"/>
                <w:b w:val="1"/>
                <w:bCs w:val="1"/>
                <w:color w:val="auto"/>
              </w:rPr>
              <w:t>1.00</w:t>
            </w:r>
          </w:p>
        </w:tc>
      </w:tr>
      <w:tr>
        <w:trPr>
          <w:trHeight w:val="223"/>
        </w:trPr>
        <w:tc>
          <w:tcPr>
            <w:tcW w:w="182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1.00</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1.00</w:t>
            </w:r>
          </w:p>
        </w:tc>
        <w:tc>
          <w:tcPr>
            <w:tcW w:w="1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1.00</w:t>
            </w:r>
          </w:p>
        </w:tc>
        <w:tc>
          <w:tcPr>
            <w:tcW w:w="1940" w:type="dxa"/>
            <w:vAlign w:val="bottom"/>
            <w:tcBorders>
              <w:right w:val="single" w:sz="8" w:color="auto"/>
            </w:tcBorders>
          </w:tcPr>
          <w:p>
            <w:pPr>
              <w:spacing w:after="0"/>
              <w:rPr>
                <w:sz w:val="19"/>
                <w:szCs w:val="19"/>
                <w:color w:val="auto"/>
              </w:rPr>
            </w:pPr>
          </w:p>
        </w:tc>
      </w:tr>
      <w:tr>
        <w:trPr>
          <w:trHeight w:val="210"/>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r>
      <w:tr>
        <w:trPr>
          <w:trHeight w:val="223"/>
        </w:trPr>
        <w:tc>
          <w:tcPr>
            <w:tcW w:w="18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Commitment Fee</w:t>
            </w:r>
          </w:p>
        </w:tc>
        <w:tc>
          <w:tcPr>
            <w:tcW w:w="18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7"/>
                <w:szCs w:val="17"/>
                <w:b w:val="1"/>
                <w:bCs w:val="1"/>
                <w:color w:val="auto"/>
              </w:rPr>
              <w:t>0.125%</w:t>
            </w:r>
          </w:p>
        </w:tc>
        <w:tc>
          <w:tcPr>
            <w:tcW w:w="19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7"/>
                <w:szCs w:val="17"/>
                <w:b w:val="1"/>
                <w:bCs w:val="1"/>
                <w:color w:val="auto"/>
              </w:rPr>
              <w:t>0.15%</w:t>
            </w:r>
          </w:p>
        </w:tc>
        <w:tc>
          <w:tcPr>
            <w:tcW w:w="194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7"/>
                <w:szCs w:val="17"/>
                <w:b w:val="1"/>
                <w:bCs w:val="1"/>
                <w:color w:val="auto"/>
              </w:rPr>
              <w:t>0.20%</w:t>
            </w:r>
          </w:p>
        </w:tc>
        <w:tc>
          <w:tcPr>
            <w:tcW w:w="19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7"/>
                <w:szCs w:val="17"/>
                <w:b w:val="1"/>
                <w:bCs w:val="1"/>
                <w:color w:val="auto"/>
              </w:rPr>
              <w:t>0.25%</w:t>
            </w:r>
          </w:p>
        </w:tc>
        <w:tc>
          <w:tcPr>
            <w:tcW w:w="19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7"/>
                <w:szCs w:val="17"/>
                <w:b w:val="1"/>
                <w:bCs w:val="1"/>
                <w:color w:val="auto"/>
              </w:rPr>
              <w:t>0.30%</w:t>
            </w:r>
          </w:p>
        </w:tc>
      </w:tr>
      <w:tr>
        <w:trPr>
          <w:trHeight w:val="202"/>
        </w:trPr>
        <w:tc>
          <w:tcPr>
            <w:tcW w:w="182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360"/>
          </w:cols>
          <w:pgMar w:left="300" w:top="1350" w:right="2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49"/>
        </w:trPr>
        <w:tc>
          <w:tcPr>
            <w:tcW w:w="40" w:type="dxa"/>
            <w:vAlign w:val="bottom"/>
            <w:tcBorders>
              <w:top w:val="single" w:sz="8" w:color="auto"/>
              <w:right w:val="single" w:sz="8" w:color="auto"/>
            </w:tcBorders>
            <w:shd w:val="clear" w:color="auto" w:fill="000000"/>
          </w:tcPr>
          <w:p>
            <w:pPr>
              <w:spacing w:after="0"/>
              <w:rPr>
                <w:sz w:val="21"/>
                <w:szCs w:val="21"/>
                <w:color w:val="auto"/>
              </w:rPr>
            </w:pPr>
          </w:p>
        </w:tc>
        <w:tc>
          <w:tcPr>
            <w:tcW w:w="17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Letter of Credit Fee</w:t>
            </w:r>
          </w:p>
        </w:tc>
        <w:tc>
          <w:tcPr>
            <w:tcW w:w="17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c>
          <w:tcPr>
            <w:tcW w:w="17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1.25%</w:t>
            </w:r>
          </w:p>
        </w:tc>
        <w:tc>
          <w:tcPr>
            <w:tcW w:w="17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1.50%</w:t>
            </w:r>
          </w:p>
        </w:tc>
        <w:tc>
          <w:tcPr>
            <w:tcW w:w="17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1.75%</w:t>
            </w:r>
          </w:p>
        </w:tc>
        <w:tc>
          <w:tcPr>
            <w:tcW w:w="1820" w:type="dxa"/>
            <w:vAlign w:val="bottom"/>
            <w:tcBorders>
              <w:top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2.00%</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r>
      <w:tr>
        <w:trPr>
          <w:trHeight w:val="166"/>
        </w:trPr>
        <w:tc>
          <w:tcPr>
            <w:tcW w:w="40" w:type="dxa"/>
            <w:vAlign w:val="bottom"/>
            <w:tcBorders>
              <w:right w:val="single" w:sz="8" w:color="auto"/>
            </w:tcBorders>
            <w:shd w:val="clear" w:color="auto" w:fill="000000"/>
          </w:tcPr>
          <w:p>
            <w:pPr>
              <w:spacing w:after="0"/>
              <w:rPr>
                <w:sz w:val="14"/>
                <w:szCs w:val="14"/>
                <w:color w:val="auto"/>
              </w:rPr>
            </w:pPr>
          </w:p>
        </w:tc>
        <w:tc>
          <w:tcPr>
            <w:tcW w:w="1760" w:type="dxa"/>
            <w:vAlign w:val="bottom"/>
            <w:tcBorders>
              <w:right w:val="single" w:sz="8" w:color="auto"/>
            </w:tcBorders>
          </w:tcPr>
          <w:p>
            <w:pPr>
              <w:ind w:left="100"/>
              <w:spacing w:after="0" w:line="166" w:lineRule="exact"/>
              <w:rPr>
                <w:sz w:val="20"/>
                <w:szCs w:val="20"/>
                <w:color w:val="auto"/>
              </w:rPr>
            </w:pPr>
            <w:r>
              <w:rPr>
                <w:rFonts w:ascii="Times New Roman" w:cs="Times New Roman" w:eastAsia="Times New Roman" w:hAnsi="Times New Roman"/>
                <w:sz w:val="17"/>
                <w:szCs w:val="17"/>
                <w:b w:val="1"/>
                <w:bCs w:val="1"/>
                <w:color w:val="auto"/>
              </w:rPr>
              <w:t>Applicable Margin</w:t>
            </w:r>
          </w:p>
        </w:tc>
        <w:tc>
          <w:tcPr>
            <w:tcW w:w="1740" w:type="dxa"/>
            <w:vAlign w:val="bottom"/>
            <w:tcBorders>
              <w:right w:val="single" w:sz="8" w:color="auto"/>
            </w:tcBorders>
          </w:tcPr>
          <w:p>
            <w:pPr>
              <w:jc w:val="right"/>
              <w:spacing w:after="0" w:line="166" w:lineRule="exact"/>
              <w:rPr>
                <w:sz w:val="20"/>
                <w:szCs w:val="20"/>
                <w:color w:val="auto"/>
              </w:rPr>
            </w:pPr>
            <w:r>
              <w:rPr>
                <w:rFonts w:ascii="Times New Roman" w:cs="Times New Roman" w:eastAsia="Times New Roman" w:hAnsi="Times New Roman"/>
                <w:sz w:val="17"/>
                <w:szCs w:val="17"/>
                <w:b w:val="1"/>
                <w:bCs w:val="1"/>
                <w:color w:val="auto"/>
              </w:rPr>
              <w:t>0.00%</w:t>
            </w:r>
          </w:p>
        </w:tc>
        <w:tc>
          <w:tcPr>
            <w:tcW w:w="1740" w:type="dxa"/>
            <w:vAlign w:val="bottom"/>
            <w:tcBorders>
              <w:right w:val="single" w:sz="8" w:color="auto"/>
            </w:tcBorders>
          </w:tcPr>
          <w:p>
            <w:pPr>
              <w:jc w:val="right"/>
              <w:spacing w:after="0" w:line="166" w:lineRule="exact"/>
              <w:rPr>
                <w:sz w:val="20"/>
                <w:szCs w:val="20"/>
                <w:color w:val="auto"/>
              </w:rPr>
            </w:pPr>
            <w:r>
              <w:rPr>
                <w:rFonts w:ascii="Times New Roman" w:cs="Times New Roman" w:eastAsia="Times New Roman" w:hAnsi="Times New Roman"/>
                <w:sz w:val="17"/>
                <w:szCs w:val="17"/>
                <w:b w:val="1"/>
                <w:bCs w:val="1"/>
                <w:color w:val="auto"/>
              </w:rPr>
              <w:t>0.25%</w:t>
            </w:r>
          </w:p>
        </w:tc>
        <w:tc>
          <w:tcPr>
            <w:tcW w:w="1760" w:type="dxa"/>
            <w:vAlign w:val="bottom"/>
            <w:tcBorders>
              <w:right w:val="single" w:sz="8" w:color="auto"/>
            </w:tcBorders>
          </w:tcPr>
          <w:p>
            <w:pPr>
              <w:jc w:val="right"/>
              <w:spacing w:after="0" w:line="166" w:lineRule="exact"/>
              <w:rPr>
                <w:sz w:val="20"/>
                <w:szCs w:val="20"/>
                <w:color w:val="auto"/>
              </w:rPr>
            </w:pPr>
            <w:r>
              <w:rPr>
                <w:rFonts w:ascii="Times New Roman" w:cs="Times New Roman" w:eastAsia="Times New Roman" w:hAnsi="Times New Roman"/>
                <w:sz w:val="17"/>
                <w:szCs w:val="17"/>
                <w:b w:val="1"/>
                <w:bCs w:val="1"/>
                <w:color w:val="auto"/>
              </w:rPr>
              <w:t>0.50%</w:t>
            </w:r>
          </w:p>
        </w:tc>
        <w:tc>
          <w:tcPr>
            <w:tcW w:w="1740" w:type="dxa"/>
            <w:vAlign w:val="bottom"/>
            <w:tcBorders>
              <w:right w:val="single" w:sz="8" w:color="auto"/>
            </w:tcBorders>
          </w:tcPr>
          <w:p>
            <w:pPr>
              <w:jc w:val="right"/>
              <w:spacing w:after="0" w:line="166" w:lineRule="exact"/>
              <w:rPr>
                <w:sz w:val="20"/>
                <w:szCs w:val="20"/>
                <w:color w:val="auto"/>
              </w:rPr>
            </w:pPr>
            <w:r>
              <w:rPr>
                <w:rFonts w:ascii="Times New Roman" w:cs="Times New Roman" w:eastAsia="Times New Roman" w:hAnsi="Times New Roman"/>
                <w:sz w:val="17"/>
                <w:szCs w:val="17"/>
                <w:b w:val="1"/>
                <w:bCs w:val="1"/>
                <w:color w:val="auto"/>
              </w:rPr>
              <w:t>0.75%</w:t>
            </w:r>
          </w:p>
        </w:tc>
        <w:tc>
          <w:tcPr>
            <w:tcW w:w="1820" w:type="dxa"/>
            <w:vAlign w:val="bottom"/>
            <w:tcBorders>
              <w:right w:val="single" w:sz="8" w:color="auto"/>
            </w:tcBorders>
          </w:tcPr>
          <w:p>
            <w:pPr>
              <w:jc w:val="right"/>
              <w:ind w:right="35"/>
              <w:spacing w:after="0" w:line="166" w:lineRule="exact"/>
              <w:rPr>
                <w:sz w:val="20"/>
                <w:szCs w:val="20"/>
                <w:color w:val="auto"/>
              </w:rPr>
            </w:pPr>
            <w:r>
              <w:rPr>
                <w:rFonts w:ascii="Times New Roman" w:cs="Times New Roman" w:eastAsia="Times New Roman" w:hAnsi="Times New Roman"/>
                <w:sz w:val="17"/>
                <w:szCs w:val="17"/>
                <w:b w:val="1"/>
                <w:bCs w:val="1"/>
                <w:color w:val="auto"/>
              </w:rPr>
              <w:t>1.00%</w:t>
            </w:r>
          </w:p>
        </w:tc>
      </w:tr>
      <w:tr>
        <w:trPr>
          <w:trHeight w:val="171"/>
        </w:trPr>
        <w:tc>
          <w:tcPr>
            <w:tcW w:w="40" w:type="dxa"/>
            <w:vAlign w:val="bottom"/>
            <w:tcBorders>
              <w:right w:val="single" w:sz="8" w:color="auto"/>
            </w:tcBorders>
            <w:shd w:val="clear" w:color="auto" w:fill="000000"/>
          </w:tcPr>
          <w:p>
            <w:pPr>
              <w:spacing w:after="0"/>
              <w:rPr>
                <w:sz w:val="14"/>
                <w:szCs w:val="14"/>
                <w:color w:val="auto"/>
              </w:rPr>
            </w:pPr>
          </w:p>
        </w:tc>
        <w:tc>
          <w:tcPr>
            <w:tcW w:w="1760" w:type="dxa"/>
            <w:vAlign w:val="bottom"/>
            <w:tcBorders>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7"/>
                <w:szCs w:val="17"/>
                <w:b w:val="1"/>
                <w:bCs w:val="1"/>
                <w:color w:val="auto"/>
              </w:rPr>
              <w:t>for Revolving Credit</w:t>
            </w:r>
          </w:p>
        </w:tc>
        <w:tc>
          <w:tcPr>
            <w:tcW w:w="174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r>
      <w:tr>
        <w:trPr>
          <w:trHeight w:val="173"/>
        </w:trPr>
        <w:tc>
          <w:tcPr>
            <w:tcW w:w="40" w:type="dxa"/>
            <w:vAlign w:val="bottom"/>
            <w:tcBorders>
              <w:right w:val="single" w:sz="8" w:color="auto"/>
            </w:tcBorders>
            <w:shd w:val="clear" w:color="auto" w:fill="000000"/>
          </w:tcPr>
          <w:p>
            <w:pPr>
              <w:spacing w:after="0"/>
              <w:rPr>
                <w:sz w:val="15"/>
                <w:szCs w:val="15"/>
                <w:color w:val="auto"/>
              </w:rPr>
            </w:pPr>
          </w:p>
        </w:tc>
        <w:tc>
          <w:tcPr>
            <w:tcW w:w="1760" w:type="dxa"/>
            <w:vAlign w:val="bottom"/>
            <w:tcBorders>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7"/>
                <w:szCs w:val="17"/>
                <w:b w:val="1"/>
                <w:bCs w:val="1"/>
                <w:color w:val="auto"/>
              </w:rPr>
              <w:t>Loans bearing</w:t>
            </w:r>
          </w:p>
        </w:tc>
        <w:tc>
          <w:tcPr>
            <w:tcW w:w="174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r>
      <w:tr>
        <w:trPr>
          <w:trHeight w:val="166"/>
        </w:trPr>
        <w:tc>
          <w:tcPr>
            <w:tcW w:w="40" w:type="dxa"/>
            <w:vAlign w:val="bottom"/>
            <w:tcBorders>
              <w:right w:val="single" w:sz="8" w:color="auto"/>
            </w:tcBorders>
            <w:shd w:val="clear" w:color="auto" w:fill="000000"/>
          </w:tcPr>
          <w:p>
            <w:pPr>
              <w:spacing w:after="0"/>
              <w:rPr>
                <w:sz w:val="14"/>
                <w:szCs w:val="14"/>
                <w:color w:val="auto"/>
              </w:rPr>
            </w:pPr>
          </w:p>
        </w:tc>
        <w:tc>
          <w:tcPr>
            <w:tcW w:w="1760" w:type="dxa"/>
            <w:vAlign w:val="bottom"/>
            <w:tcBorders>
              <w:right w:val="single" w:sz="8" w:color="auto"/>
            </w:tcBorders>
          </w:tcPr>
          <w:p>
            <w:pPr>
              <w:ind w:left="100"/>
              <w:spacing w:after="0" w:line="166" w:lineRule="exact"/>
              <w:rPr>
                <w:sz w:val="20"/>
                <w:szCs w:val="20"/>
                <w:color w:val="auto"/>
              </w:rPr>
            </w:pPr>
            <w:r>
              <w:rPr>
                <w:rFonts w:ascii="Times New Roman" w:cs="Times New Roman" w:eastAsia="Times New Roman" w:hAnsi="Times New Roman"/>
                <w:sz w:val="17"/>
                <w:szCs w:val="17"/>
                <w:b w:val="1"/>
                <w:bCs w:val="1"/>
                <w:color w:val="auto"/>
              </w:rPr>
              <w:t>interest at the Base</w:t>
            </w:r>
          </w:p>
        </w:tc>
        <w:tc>
          <w:tcPr>
            <w:tcW w:w="174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Rate Option</w:t>
            </w:r>
          </w:p>
        </w:tc>
        <w:tc>
          <w:tcPr>
            <w:tcW w:w="17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r>
        <w:trPr>
          <w:trHeight w:val="158"/>
        </w:trPr>
        <w:tc>
          <w:tcPr>
            <w:tcW w:w="40" w:type="dxa"/>
            <w:vAlign w:val="bottom"/>
            <w:tcBorders>
              <w:right w:val="single" w:sz="8" w:color="auto"/>
            </w:tcBorders>
            <w:shd w:val="clear" w:color="auto" w:fill="000000"/>
          </w:tcPr>
          <w:p>
            <w:pPr>
              <w:spacing w:after="0"/>
              <w:rPr>
                <w:sz w:val="13"/>
                <w:szCs w:val="13"/>
                <w:color w:val="auto"/>
              </w:rPr>
            </w:pPr>
          </w:p>
        </w:tc>
        <w:tc>
          <w:tcPr>
            <w:tcW w:w="1760" w:type="dxa"/>
            <w:vAlign w:val="bottom"/>
            <w:tcBorders>
              <w:right w:val="single" w:sz="8" w:color="auto"/>
            </w:tcBorders>
          </w:tcPr>
          <w:p>
            <w:pPr>
              <w:ind w:left="100"/>
              <w:spacing w:after="0" w:line="159" w:lineRule="exact"/>
              <w:rPr>
                <w:sz w:val="20"/>
                <w:szCs w:val="20"/>
                <w:color w:val="auto"/>
              </w:rPr>
            </w:pPr>
            <w:r>
              <w:rPr>
                <w:rFonts w:ascii="Times New Roman" w:cs="Times New Roman" w:eastAsia="Times New Roman" w:hAnsi="Times New Roman"/>
                <w:sz w:val="17"/>
                <w:szCs w:val="17"/>
                <w:b w:val="1"/>
                <w:bCs w:val="1"/>
                <w:color w:val="auto"/>
              </w:rPr>
              <w:t>Applicable Margin</w:t>
            </w:r>
          </w:p>
        </w:tc>
        <w:tc>
          <w:tcPr>
            <w:tcW w:w="1740" w:type="dxa"/>
            <w:vAlign w:val="bottom"/>
            <w:tcBorders>
              <w:right w:val="single" w:sz="8" w:color="auto"/>
            </w:tcBorders>
          </w:tcPr>
          <w:p>
            <w:pPr>
              <w:jc w:val="right"/>
              <w:spacing w:after="0" w:line="159" w:lineRule="exact"/>
              <w:rPr>
                <w:sz w:val="20"/>
                <w:szCs w:val="20"/>
                <w:color w:val="auto"/>
              </w:rPr>
            </w:pPr>
            <w:r>
              <w:rPr>
                <w:rFonts w:ascii="Times New Roman" w:cs="Times New Roman" w:eastAsia="Times New Roman" w:hAnsi="Times New Roman"/>
                <w:sz w:val="17"/>
                <w:szCs w:val="17"/>
                <w:b w:val="1"/>
                <w:bCs w:val="1"/>
                <w:color w:val="auto"/>
              </w:rPr>
              <w:t>1.00%</w:t>
            </w:r>
          </w:p>
        </w:tc>
        <w:tc>
          <w:tcPr>
            <w:tcW w:w="1740" w:type="dxa"/>
            <w:vAlign w:val="bottom"/>
            <w:tcBorders>
              <w:right w:val="single" w:sz="8" w:color="auto"/>
            </w:tcBorders>
          </w:tcPr>
          <w:p>
            <w:pPr>
              <w:jc w:val="right"/>
              <w:spacing w:after="0" w:line="159" w:lineRule="exact"/>
              <w:rPr>
                <w:sz w:val="20"/>
                <w:szCs w:val="20"/>
                <w:color w:val="auto"/>
              </w:rPr>
            </w:pPr>
            <w:r>
              <w:rPr>
                <w:rFonts w:ascii="Times New Roman" w:cs="Times New Roman" w:eastAsia="Times New Roman" w:hAnsi="Times New Roman"/>
                <w:sz w:val="17"/>
                <w:szCs w:val="17"/>
                <w:b w:val="1"/>
                <w:bCs w:val="1"/>
                <w:color w:val="auto"/>
              </w:rPr>
              <w:t>1.25%</w:t>
            </w:r>
          </w:p>
        </w:tc>
        <w:tc>
          <w:tcPr>
            <w:tcW w:w="1760" w:type="dxa"/>
            <w:vAlign w:val="bottom"/>
            <w:tcBorders>
              <w:right w:val="single" w:sz="8" w:color="auto"/>
            </w:tcBorders>
          </w:tcPr>
          <w:p>
            <w:pPr>
              <w:jc w:val="right"/>
              <w:spacing w:after="0" w:line="159" w:lineRule="exact"/>
              <w:rPr>
                <w:sz w:val="20"/>
                <w:szCs w:val="20"/>
                <w:color w:val="auto"/>
              </w:rPr>
            </w:pPr>
            <w:r>
              <w:rPr>
                <w:rFonts w:ascii="Times New Roman" w:cs="Times New Roman" w:eastAsia="Times New Roman" w:hAnsi="Times New Roman"/>
                <w:sz w:val="17"/>
                <w:szCs w:val="17"/>
                <w:b w:val="1"/>
                <w:bCs w:val="1"/>
                <w:color w:val="auto"/>
              </w:rPr>
              <w:t>1.50%</w:t>
            </w:r>
          </w:p>
        </w:tc>
        <w:tc>
          <w:tcPr>
            <w:tcW w:w="1740" w:type="dxa"/>
            <w:vAlign w:val="bottom"/>
            <w:tcBorders>
              <w:right w:val="single" w:sz="8" w:color="auto"/>
            </w:tcBorders>
          </w:tcPr>
          <w:p>
            <w:pPr>
              <w:jc w:val="right"/>
              <w:spacing w:after="0" w:line="159" w:lineRule="exact"/>
              <w:rPr>
                <w:sz w:val="20"/>
                <w:szCs w:val="20"/>
                <w:color w:val="auto"/>
              </w:rPr>
            </w:pPr>
            <w:r>
              <w:rPr>
                <w:rFonts w:ascii="Times New Roman" w:cs="Times New Roman" w:eastAsia="Times New Roman" w:hAnsi="Times New Roman"/>
                <w:sz w:val="17"/>
                <w:szCs w:val="17"/>
                <w:b w:val="1"/>
                <w:bCs w:val="1"/>
                <w:color w:val="auto"/>
              </w:rPr>
              <w:t>1.75%</w:t>
            </w:r>
          </w:p>
        </w:tc>
        <w:tc>
          <w:tcPr>
            <w:tcW w:w="1820" w:type="dxa"/>
            <w:vAlign w:val="bottom"/>
            <w:tcBorders>
              <w:right w:val="single" w:sz="8" w:color="auto"/>
            </w:tcBorders>
          </w:tcPr>
          <w:p>
            <w:pPr>
              <w:jc w:val="right"/>
              <w:ind w:right="35"/>
              <w:spacing w:after="0" w:line="159" w:lineRule="exact"/>
              <w:rPr>
                <w:sz w:val="20"/>
                <w:szCs w:val="20"/>
                <w:color w:val="auto"/>
              </w:rPr>
            </w:pPr>
            <w:r>
              <w:rPr>
                <w:rFonts w:ascii="Times New Roman" w:cs="Times New Roman" w:eastAsia="Times New Roman" w:hAnsi="Times New Roman"/>
                <w:sz w:val="17"/>
                <w:szCs w:val="17"/>
                <w:b w:val="1"/>
                <w:bCs w:val="1"/>
                <w:color w:val="auto"/>
              </w:rPr>
              <w:t>2.00%</w:t>
            </w:r>
          </w:p>
        </w:tc>
      </w:tr>
      <w:tr>
        <w:trPr>
          <w:trHeight w:val="171"/>
        </w:trPr>
        <w:tc>
          <w:tcPr>
            <w:tcW w:w="40" w:type="dxa"/>
            <w:vAlign w:val="bottom"/>
            <w:tcBorders>
              <w:right w:val="single" w:sz="8" w:color="auto"/>
            </w:tcBorders>
            <w:shd w:val="clear" w:color="auto" w:fill="000000"/>
          </w:tcPr>
          <w:p>
            <w:pPr>
              <w:spacing w:after="0"/>
              <w:rPr>
                <w:sz w:val="14"/>
                <w:szCs w:val="14"/>
                <w:color w:val="auto"/>
              </w:rPr>
            </w:pPr>
          </w:p>
        </w:tc>
        <w:tc>
          <w:tcPr>
            <w:tcW w:w="1760" w:type="dxa"/>
            <w:vAlign w:val="bottom"/>
            <w:tcBorders>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7"/>
                <w:szCs w:val="17"/>
                <w:b w:val="1"/>
                <w:bCs w:val="1"/>
                <w:color w:val="auto"/>
              </w:rPr>
              <w:t>for Swingline Loans</w:t>
            </w:r>
          </w:p>
        </w:tc>
        <w:tc>
          <w:tcPr>
            <w:tcW w:w="174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r>
      <w:tr>
        <w:trPr>
          <w:trHeight w:val="173"/>
        </w:trPr>
        <w:tc>
          <w:tcPr>
            <w:tcW w:w="40" w:type="dxa"/>
            <w:vAlign w:val="bottom"/>
            <w:tcBorders>
              <w:right w:val="single" w:sz="8" w:color="auto"/>
            </w:tcBorders>
            <w:shd w:val="clear" w:color="auto" w:fill="000000"/>
          </w:tcPr>
          <w:p>
            <w:pPr>
              <w:spacing w:after="0"/>
              <w:rPr>
                <w:sz w:val="15"/>
                <w:szCs w:val="15"/>
                <w:color w:val="auto"/>
              </w:rPr>
            </w:pPr>
          </w:p>
        </w:tc>
        <w:tc>
          <w:tcPr>
            <w:tcW w:w="1760" w:type="dxa"/>
            <w:vAlign w:val="bottom"/>
            <w:tcBorders>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7"/>
                <w:szCs w:val="17"/>
                <w:b w:val="1"/>
                <w:bCs w:val="1"/>
                <w:color w:val="auto"/>
              </w:rPr>
              <w:t>bearing interest at the</w:t>
            </w:r>
          </w:p>
        </w:tc>
        <w:tc>
          <w:tcPr>
            <w:tcW w:w="174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Daily SOFR Option</w:t>
            </w:r>
          </w:p>
        </w:tc>
        <w:tc>
          <w:tcPr>
            <w:tcW w:w="17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r>
      <w:tr>
        <w:trPr>
          <w:trHeight w:val="166"/>
        </w:trPr>
        <w:tc>
          <w:tcPr>
            <w:tcW w:w="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ind w:left="100"/>
              <w:spacing w:after="0" w:line="166" w:lineRule="exact"/>
              <w:rPr>
                <w:sz w:val="20"/>
                <w:szCs w:val="20"/>
                <w:color w:val="auto"/>
              </w:rPr>
            </w:pPr>
            <w:r>
              <w:rPr>
                <w:rFonts w:ascii="Times New Roman" w:cs="Times New Roman" w:eastAsia="Times New Roman" w:hAnsi="Times New Roman"/>
                <w:sz w:val="17"/>
                <w:szCs w:val="17"/>
                <w:b w:val="1"/>
                <w:bCs w:val="1"/>
                <w:color w:val="auto"/>
              </w:rPr>
              <w:t>Applicable Margin</w:t>
            </w:r>
          </w:p>
        </w:tc>
        <w:tc>
          <w:tcPr>
            <w:tcW w:w="1740" w:type="dxa"/>
            <w:vAlign w:val="bottom"/>
            <w:tcBorders>
              <w:right w:val="single" w:sz="8" w:color="auto"/>
            </w:tcBorders>
          </w:tcPr>
          <w:p>
            <w:pPr>
              <w:jc w:val="right"/>
              <w:spacing w:after="0" w:line="166" w:lineRule="exact"/>
              <w:rPr>
                <w:sz w:val="20"/>
                <w:szCs w:val="20"/>
                <w:color w:val="auto"/>
              </w:rPr>
            </w:pPr>
            <w:r>
              <w:rPr>
                <w:rFonts w:ascii="Times New Roman" w:cs="Times New Roman" w:eastAsia="Times New Roman" w:hAnsi="Times New Roman"/>
                <w:sz w:val="17"/>
                <w:szCs w:val="17"/>
                <w:b w:val="1"/>
                <w:bCs w:val="1"/>
                <w:color w:val="auto"/>
              </w:rPr>
              <w:t>1.00%</w:t>
            </w:r>
          </w:p>
        </w:tc>
        <w:tc>
          <w:tcPr>
            <w:tcW w:w="1740" w:type="dxa"/>
            <w:vAlign w:val="bottom"/>
            <w:tcBorders>
              <w:right w:val="single" w:sz="8" w:color="auto"/>
            </w:tcBorders>
          </w:tcPr>
          <w:p>
            <w:pPr>
              <w:jc w:val="right"/>
              <w:spacing w:after="0" w:line="166" w:lineRule="exact"/>
              <w:rPr>
                <w:sz w:val="20"/>
                <w:szCs w:val="20"/>
                <w:color w:val="auto"/>
              </w:rPr>
            </w:pPr>
            <w:r>
              <w:rPr>
                <w:rFonts w:ascii="Times New Roman" w:cs="Times New Roman" w:eastAsia="Times New Roman" w:hAnsi="Times New Roman"/>
                <w:sz w:val="17"/>
                <w:szCs w:val="17"/>
                <w:b w:val="1"/>
                <w:bCs w:val="1"/>
                <w:color w:val="auto"/>
              </w:rPr>
              <w:t>1.25%</w:t>
            </w:r>
          </w:p>
        </w:tc>
        <w:tc>
          <w:tcPr>
            <w:tcW w:w="1760" w:type="dxa"/>
            <w:vAlign w:val="bottom"/>
            <w:tcBorders>
              <w:right w:val="single" w:sz="8" w:color="auto"/>
            </w:tcBorders>
          </w:tcPr>
          <w:p>
            <w:pPr>
              <w:jc w:val="right"/>
              <w:spacing w:after="0" w:line="166" w:lineRule="exact"/>
              <w:rPr>
                <w:sz w:val="20"/>
                <w:szCs w:val="20"/>
                <w:color w:val="auto"/>
              </w:rPr>
            </w:pPr>
            <w:r>
              <w:rPr>
                <w:rFonts w:ascii="Times New Roman" w:cs="Times New Roman" w:eastAsia="Times New Roman" w:hAnsi="Times New Roman"/>
                <w:sz w:val="17"/>
                <w:szCs w:val="17"/>
                <w:b w:val="1"/>
                <w:bCs w:val="1"/>
                <w:color w:val="auto"/>
              </w:rPr>
              <w:t>1.50%</w:t>
            </w:r>
          </w:p>
        </w:tc>
        <w:tc>
          <w:tcPr>
            <w:tcW w:w="1740" w:type="dxa"/>
            <w:vAlign w:val="bottom"/>
            <w:tcBorders>
              <w:right w:val="single" w:sz="8" w:color="auto"/>
            </w:tcBorders>
          </w:tcPr>
          <w:p>
            <w:pPr>
              <w:jc w:val="right"/>
              <w:spacing w:after="0" w:line="166" w:lineRule="exact"/>
              <w:rPr>
                <w:sz w:val="20"/>
                <w:szCs w:val="20"/>
                <w:color w:val="auto"/>
              </w:rPr>
            </w:pPr>
            <w:r>
              <w:rPr>
                <w:rFonts w:ascii="Times New Roman" w:cs="Times New Roman" w:eastAsia="Times New Roman" w:hAnsi="Times New Roman"/>
                <w:sz w:val="17"/>
                <w:szCs w:val="17"/>
                <w:b w:val="1"/>
                <w:bCs w:val="1"/>
                <w:color w:val="auto"/>
              </w:rPr>
              <w:t>1.75%</w:t>
            </w:r>
          </w:p>
        </w:tc>
        <w:tc>
          <w:tcPr>
            <w:tcW w:w="1820" w:type="dxa"/>
            <w:vAlign w:val="bottom"/>
            <w:tcBorders>
              <w:right w:val="single" w:sz="8" w:color="auto"/>
            </w:tcBorders>
          </w:tcPr>
          <w:p>
            <w:pPr>
              <w:jc w:val="right"/>
              <w:ind w:right="35"/>
              <w:spacing w:after="0" w:line="166" w:lineRule="exact"/>
              <w:rPr>
                <w:sz w:val="20"/>
                <w:szCs w:val="20"/>
                <w:color w:val="auto"/>
              </w:rPr>
            </w:pPr>
            <w:r>
              <w:rPr>
                <w:rFonts w:ascii="Times New Roman" w:cs="Times New Roman" w:eastAsia="Times New Roman" w:hAnsi="Times New Roman"/>
                <w:sz w:val="17"/>
                <w:szCs w:val="17"/>
                <w:b w:val="1"/>
                <w:bCs w:val="1"/>
                <w:color w:val="auto"/>
              </w:rPr>
              <w:t>2.00%</w:t>
            </w:r>
          </w:p>
        </w:tc>
      </w:tr>
      <w:tr>
        <w:trPr>
          <w:trHeight w:val="171"/>
        </w:trPr>
        <w:tc>
          <w:tcPr>
            <w:tcW w:w="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ind w:left="100"/>
              <w:spacing w:after="0" w:line="171" w:lineRule="exact"/>
              <w:rPr>
                <w:sz w:val="20"/>
                <w:szCs w:val="20"/>
                <w:color w:val="auto"/>
              </w:rPr>
            </w:pPr>
            <w:r>
              <w:rPr>
                <w:rFonts w:ascii="Times New Roman" w:cs="Times New Roman" w:eastAsia="Times New Roman" w:hAnsi="Times New Roman"/>
                <w:sz w:val="17"/>
                <w:szCs w:val="17"/>
                <w:b w:val="1"/>
                <w:bCs w:val="1"/>
                <w:color w:val="auto"/>
              </w:rPr>
              <w:t>for Revolving Credit</w:t>
            </w:r>
          </w:p>
        </w:tc>
        <w:tc>
          <w:tcPr>
            <w:tcW w:w="174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7"/>
                <w:szCs w:val="17"/>
                <w:b w:val="1"/>
                <w:bCs w:val="1"/>
                <w:color w:val="auto"/>
              </w:rPr>
              <w:t>Loans bearing</w:t>
            </w:r>
          </w:p>
        </w:tc>
        <w:tc>
          <w:tcPr>
            <w:tcW w:w="174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r>
      <w:tr>
        <w:trPr>
          <w:trHeight w:val="166"/>
        </w:trPr>
        <w:tc>
          <w:tcPr>
            <w:tcW w:w="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ind w:left="100"/>
              <w:spacing w:after="0" w:line="166" w:lineRule="exact"/>
              <w:rPr>
                <w:sz w:val="20"/>
                <w:szCs w:val="20"/>
                <w:color w:val="auto"/>
              </w:rPr>
            </w:pPr>
            <w:r>
              <w:rPr>
                <w:rFonts w:ascii="Times New Roman" w:cs="Times New Roman" w:eastAsia="Times New Roman" w:hAnsi="Times New Roman"/>
                <w:sz w:val="17"/>
                <w:szCs w:val="17"/>
                <w:b w:val="1"/>
                <w:bCs w:val="1"/>
                <w:color w:val="auto"/>
              </w:rPr>
              <w:t>interest at the Term</w:t>
            </w:r>
          </w:p>
        </w:tc>
        <w:tc>
          <w:tcPr>
            <w:tcW w:w="174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SOFR Rate Option</w:t>
            </w:r>
          </w:p>
        </w:tc>
        <w:tc>
          <w:tcPr>
            <w:tcW w:w="174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bl>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For purposes of determining the Applicable Margin, the Applicable Commitment Fee Rate and the Applicable Letter of Credit Fee Rate:</w:t>
      </w:r>
    </w:p>
    <w:p>
      <w:pPr>
        <w:spacing w:after="0" w:line="216" w:lineRule="exact"/>
        <w:rPr>
          <w:sz w:val="20"/>
          <w:szCs w:val="20"/>
          <w:color w:val="auto"/>
        </w:rPr>
      </w:pPr>
    </w:p>
    <w:p>
      <w:pPr>
        <w:jc w:val="both"/>
        <w:ind w:left="20" w:firstLine="613"/>
        <w:spacing w:after="0" w:line="271" w:lineRule="auto"/>
        <w:tabs>
          <w:tab w:leader="none" w:pos="110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the Closing Date until the due date for delivery of the Compliance Certificate for the first full Fiscal Quarter ending following the Closing Date, the Applicable Margin, the Applicable Commitment Fee Rate and the Applicable Letter of Credit Fee Rate shall be shall be determined based on Level I set forth above.</w:t>
      </w:r>
    </w:p>
    <w:p>
      <w:pPr>
        <w:spacing w:after="0" w:line="150" w:lineRule="exact"/>
        <w:rPr>
          <w:rFonts w:ascii="Times New Roman" w:cs="Times New Roman" w:eastAsia="Times New Roman" w:hAnsi="Times New Roman"/>
          <w:sz w:val="20"/>
          <w:szCs w:val="20"/>
          <w:color w:val="auto"/>
        </w:rPr>
      </w:pPr>
    </w:p>
    <w:p>
      <w:pPr>
        <w:jc w:val="both"/>
        <w:ind w:left="20" w:firstLine="613"/>
        <w:spacing w:after="0" w:line="261" w:lineRule="auto"/>
        <w:tabs>
          <w:tab w:leader="none" w:pos="121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Margin, the Applicable Commitment Fee Rate and the Applicable Letter of Credit Fee Rate shall be recomputed as of the end of each Fiscal Quarter ending after the Closing Date based on the Total Net Leverage Ratio as of such Fiscal Quarter end. Any increase or decrease in the Applicable Margin, the Applicable Commitment Fee Rate or the Applicable Letter of Credit Fee Rate computed as of a Fiscal Quarter end shall be effective on the date on which the Compliance Certificate evidencing such computation is due to be delivered under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[Certificates; Notices; Additional Information]. If a Compliance Certificate is not delivered when due in accordance with such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then the rates in Level V shall apply as of the first Business Day after the date on which such Compliance Certificate was required to have been delivered and shall remain in effect until the date on which such Compliance Certificate is delivered.</w:t>
      </w:r>
    </w:p>
    <w:p>
      <w:pPr>
        <w:spacing w:after="0" w:line="163" w:lineRule="exact"/>
        <w:rPr>
          <w:rFonts w:ascii="Times New Roman" w:cs="Times New Roman" w:eastAsia="Times New Roman" w:hAnsi="Times New Roman"/>
          <w:sz w:val="20"/>
          <w:szCs w:val="20"/>
          <w:color w:val="auto"/>
        </w:rPr>
      </w:pPr>
    </w:p>
    <w:p>
      <w:pPr>
        <w:jc w:val="both"/>
        <w:ind w:left="20" w:firstLine="613"/>
        <w:spacing w:after="0" w:line="264" w:lineRule="auto"/>
        <w:tabs>
          <w:tab w:leader="none" w:pos="109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a result of any restatement of or other adjustment to the financial statements of the Borrower or for any other reason, the Borrower or the Lenders determine that (i) the Total Net Leverage Ratio as calculated by the Borrower as of any applicable date was inaccurate and (ii) a proper calculation of the Total Net Leverage Ratio would have resulted in higher pricing for such period, the Borrower shall immediately and retroactively be obligated to pay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60"/>
          </w:cols>
          <w:pgMar w:left="300" w:top="1367" w:right="339" w:bottom="1440" w:gutter="0" w:footer="0" w:header="0"/>
        </w:sectPr>
      </w:pPr>
    </w:p>
    <w:bookmarkStart w:id="175" w:name="page176"/>
    <w:bookmarkEnd w:id="175"/>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Administrative Agent for the account of the applicable Lenders,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Issuing Lender), an amount equal to the excess of the amount of interest and fees that should have been paid for such period over the amount of interest and fees actually paid for such period. This paragraph shall not limit the rights of the Administrative Agent, any Lender or the Issuing Lender, as the case may be, under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[Letter of Credit Subfacility] or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[Interest After Default] or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[Default]. The Borrower’s obligations under this paragraph shall survive the termination of the Commitments and the repayment of all other Obligations hereunder.</w:t>
      </w:r>
    </w:p>
    <w:p>
      <w:pPr>
        <w:spacing w:after="0" w:line="166" w:lineRule="exact"/>
        <w:rPr>
          <w:sz w:val="20"/>
          <w:szCs w:val="20"/>
          <w:color w:val="auto"/>
        </w:rPr>
      </w:pPr>
    </w:p>
    <w:p>
      <w:pPr>
        <w:jc w:val="both"/>
        <w:ind w:firstLine="1223"/>
        <w:spacing w:after="0" w:line="302" w:lineRule="auto"/>
        <w:rPr>
          <w:sz w:val="20"/>
          <w:szCs w:val="20"/>
          <w:color w:val="auto"/>
        </w:rPr>
      </w:pPr>
      <w:r>
        <w:rPr>
          <w:rFonts w:ascii="Times New Roman" w:cs="Times New Roman" w:eastAsia="Times New Roman" w:hAnsi="Times New Roman"/>
          <w:sz w:val="20"/>
          <w:szCs w:val="20"/>
          <w:color w:val="auto"/>
        </w:rPr>
        <w:t>ARTICLE 14 “</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22"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15 “</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xml:space="preserve"> ” means PNC Capital Markets LLC, Truist Securities, Inc. and U.S. Bank National Association, in their capacities as joint lead arrangers and joint bookrunners.</w:t>
      </w:r>
    </w:p>
    <w:p>
      <w:pPr>
        <w:spacing w:after="0" w:line="134"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16 “</w:t>
      </w:r>
      <w:r>
        <w:rPr>
          <w:rFonts w:ascii="Times New Roman" w:cs="Times New Roman" w:eastAsia="Times New Roman" w:hAnsi="Times New Roman"/>
          <w:sz w:val="20"/>
          <w:szCs w:val="20"/>
          <w:u w:val="single" w:color="auto"/>
          <w:color w:val="auto"/>
        </w:rPr>
        <w:t>Assigned Government Contract</w:t>
      </w:r>
      <w:r>
        <w:rPr>
          <w:rFonts w:ascii="Times New Roman" w:cs="Times New Roman" w:eastAsia="Times New Roman" w:hAnsi="Times New Roman"/>
          <w:sz w:val="20"/>
          <w:szCs w:val="20"/>
          <w:color w:val="auto"/>
        </w:rPr>
        <w:t xml:space="preserve">” means all Government Contracts required pursuant to the terms of </w:t>
      </w:r>
      <w:r>
        <w:rPr>
          <w:rFonts w:ascii="Times New Roman" w:cs="Times New Roman" w:eastAsia="Times New Roman" w:hAnsi="Times New Roman"/>
          <w:sz w:val="20"/>
          <w:szCs w:val="20"/>
          <w:u w:val="single" w:color="auto"/>
          <w:color w:val="auto"/>
        </w:rPr>
        <w:t>Section 8.16</w:t>
      </w:r>
      <w:r>
        <w:rPr>
          <w:rFonts w:ascii="Times New Roman" w:cs="Times New Roman" w:eastAsia="Times New Roman" w:hAnsi="Times New Roman"/>
          <w:sz w:val="20"/>
          <w:szCs w:val="20"/>
          <w:color w:val="auto"/>
        </w:rPr>
        <w:t xml:space="preserve"> [Government Contracts] to be subject to an Instrument of Assignment and Notice of Assignment of Claims.</w:t>
      </w:r>
    </w:p>
    <w:p>
      <w:pPr>
        <w:spacing w:after="0" w:line="134"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17 “</w:t>
      </w:r>
      <w:r>
        <w:rPr>
          <w:rFonts w:ascii="Times New Roman" w:cs="Times New Roman" w:eastAsia="Times New Roman" w:hAnsi="Times New Roman"/>
          <w:sz w:val="20"/>
          <w:szCs w:val="20"/>
          <w:u w:val="single" w:color="auto"/>
          <w:color w:val="auto"/>
        </w:rPr>
        <w:t>Assignment and Assumption Agreement</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[Successors and Assigns]), and accepted by the Administrative Agent,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approved by the Administrative Agent.</w:t>
      </w:r>
    </w:p>
    <w:p>
      <w:pPr>
        <w:spacing w:after="0" w:line="146" w:lineRule="exact"/>
        <w:rPr>
          <w:sz w:val="20"/>
          <w:szCs w:val="20"/>
          <w:color w:val="auto"/>
        </w:rPr>
      </w:pPr>
    </w:p>
    <w:p>
      <w:pPr>
        <w:jc w:val="both"/>
        <w:ind w:firstLine="1223"/>
        <w:spacing w:after="0" w:line="262" w:lineRule="auto"/>
        <w:rPr>
          <w:sz w:val="20"/>
          <w:szCs w:val="20"/>
          <w:color w:val="auto"/>
        </w:rPr>
      </w:pPr>
      <w:r>
        <w:rPr>
          <w:rFonts w:ascii="Times New Roman" w:cs="Times New Roman" w:eastAsia="Times New Roman" w:hAnsi="Times New Roman"/>
          <w:sz w:val="20"/>
          <w:szCs w:val="20"/>
          <w:color w:val="auto"/>
        </w:rPr>
        <w:t>ARTICLE 18 “</w:t>
      </w:r>
      <w:r>
        <w:rPr>
          <w:rFonts w:ascii="Times New Roman" w:cs="Times New Roman" w:eastAsia="Times New Roman" w:hAnsi="Times New Roman"/>
          <w:sz w:val="20"/>
          <w:szCs w:val="20"/>
          <w:u w:val="single" w:color="auto"/>
          <w:color w:val="auto"/>
        </w:rPr>
        <w:t>Authorized Officer</w:t>
      </w:r>
      <w:r>
        <w:rPr>
          <w:rFonts w:ascii="Times New Roman" w:cs="Times New Roman" w:eastAsia="Times New Roman" w:hAnsi="Times New Roman"/>
          <w:sz w:val="20"/>
          <w:szCs w:val="20"/>
          <w:color w:val="auto"/>
        </w:rPr>
        <w:t>” means, with respect to any Loan Party, the Chief Executive Officer, President, Chief Financial Officer, Treasurer, Assistant Treasurer, Corporate Controller, Secretary, or Assistant Secretary of such Loan Party, any manager or the members (as applicable) in the case of any Loan Party which is a limited liability company, or such other individuals, designated by written notice to the Administrative Agent from the Borrower, authorized to execute notices, reports and other documents on behalf of such Loan Party required hereunder. The Borrower may amend such list of individuals from time to time by giving written notice of such amendment to the Administrative Agent.</w:t>
      </w:r>
    </w:p>
    <w:p>
      <w:pPr>
        <w:spacing w:after="0" w:line="162"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shall mean the exercise of any Write-down and Conversion Powers by the applicable Resolution Authority in respect of any liability of an Affected Financial Institution.</w:t>
      </w:r>
    </w:p>
    <w:p>
      <w:pPr>
        <w:spacing w:after="0" w:line="147"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19 “</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49" w:right="339" w:bottom="1440" w:gutter="0" w:footer="0" w:header="0"/>
        </w:sectPr>
      </w:pPr>
    </w:p>
    <w:bookmarkStart w:id="176" w:name="page177"/>
    <w:bookmarkEnd w:id="176"/>
    <w:p>
      <w:pPr>
        <w:jc w:val="both"/>
        <w:spacing w:after="0" w:line="271" w:lineRule="auto"/>
        <w:rPr>
          <w:sz w:val="20"/>
          <w:szCs w:val="20"/>
          <w:color w:val="auto"/>
        </w:rPr>
      </w:pPr>
      <w:r>
        <w:rPr>
          <w:rFonts w:ascii="Times New Roman" w:cs="Times New Roman" w:eastAsia="Times New Roman" w:hAnsi="Times New Roman"/>
          <w:sz w:val="20"/>
          <w:szCs w:val="20"/>
          <w:color w:val="auto"/>
        </w:rPr>
        <w:t>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3" w:lineRule="exact"/>
        <w:rPr>
          <w:sz w:val="20"/>
          <w:szCs w:val="20"/>
          <w:color w:val="auto"/>
        </w:rPr>
      </w:pPr>
    </w:p>
    <w:p>
      <w:pPr>
        <w:jc w:val="both"/>
        <w:ind w:firstLine="1223"/>
        <w:spacing w:after="0" w:line="259" w:lineRule="auto"/>
        <w:rPr>
          <w:sz w:val="20"/>
          <w:szCs w:val="20"/>
          <w:color w:val="auto"/>
        </w:rPr>
      </w:pPr>
      <w:r>
        <w:rPr>
          <w:rFonts w:ascii="Times New Roman" w:cs="Times New Roman" w:eastAsia="Times New Roman" w:hAnsi="Times New Roman"/>
          <w:sz w:val="20"/>
          <w:szCs w:val="20"/>
          <w:color w:val="auto"/>
        </w:rPr>
        <w:t>ARTICLE 20 “</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per annum rate of interest equal to the highest of (i) the Overnight Bank Funding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0.5%, (ii) the Prime Rate, and (iii) the Daily Simple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so long as Daily Simple SOFR is offered, ascertainable and not unlawful;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if the Base Rate as determined above would be less than zero, then such rate shall be deemed to be zero. Any change in the Base Rate (or any component thereof) shall take effect at the opening of business on the day such change occurs without notice to the Borrower. Notwithstanding anything to the contrary contained herein, in the case of any event specified in </w:t>
      </w:r>
      <w:r>
        <w:rPr>
          <w:rFonts w:ascii="Times New Roman" w:cs="Times New Roman" w:eastAsia="Times New Roman" w:hAnsi="Times New Roman"/>
          <w:sz w:val="20"/>
          <w:szCs w:val="20"/>
          <w:u w:val="single" w:color="auto"/>
          <w:color w:val="auto"/>
        </w:rPr>
        <w:t>Section 4.4(a)</w:t>
      </w:r>
      <w:r>
        <w:rPr>
          <w:rFonts w:ascii="Times New Roman" w:cs="Times New Roman" w:eastAsia="Times New Roman" w:hAnsi="Times New Roman"/>
          <w:sz w:val="20"/>
          <w:szCs w:val="20"/>
          <w:color w:val="auto"/>
        </w:rPr>
        <w:t xml:space="preserve"> [Unascertainable; Increased Costs] or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[Illegality], to the extent any such determination affects the calculation of the Base Rate, the definition hereof shall be calculated without reference to clause (iii) until the circumstances giving rise to such event no longer exist.</w:t>
      </w:r>
    </w:p>
    <w:p>
      <w:pPr>
        <w:spacing w:after="0" w:line="16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21 “</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w:t>
      </w:r>
    </w:p>
    <w:p>
      <w:pPr>
        <w:spacing w:after="0" w:line="216"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22 “</w:t>
      </w:r>
      <w:r>
        <w:rPr>
          <w:rFonts w:ascii="Times New Roman" w:cs="Times New Roman" w:eastAsia="Times New Roman" w:hAnsi="Times New Roman"/>
          <w:sz w:val="20"/>
          <w:szCs w:val="20"/>
          <w:u w:val="single" w:color="auto"/>
          <w:color w:val="auto"/>
        </w:rPr>
        <w:t>Base Rate Option</w:t>
      </w:r>
      <w:r>
        <w:rPr>
          <w:rFonts w:ascii="Times New Roman" w:cs="Times New Roman" w:eastAsia="Times New Roman" w:hAnsi="Times New Roman"/>
          <w:sz w:val="20"/>
          <w:szCs w:val="20"/>
          <w:color w:val="auto"/>
        </w:rPr>
        <w:t xml:space="preserve">” means the option of the Borrower to have Loans bear interest at the rate and under the terms specified in either </w:t>
      </w:r>
      <w:r>
        <w:rPr>
          <w:rFonts w:ascii="Times New Roman" w:cs="Times New Roman" w:eastAsia="Times New Roman" w:hAnsi="Times New Roman"/>
          <w:sz w:val="20"/>
          <w:szCs w:val="20"/>
          <w:u w:val="single" w:color="auto"/>
          <w:color w:val="auto"/>
        </w:rPr>
        <w:t>Section 4.1(a)(i)</w:t>
      </w:r>
      <w:r>
        <w:rPr>
          <w:rFonts w:ascii="Times New Roman" w:cs="Times New Roman" w:eastAsia="Times New Roman" w:hAnsi="Times New Roman"/>
          <w:sz w:val="20"/>
          <w:szCs w:val="20"/>
          <w:color w:val="auto"/>
        </w:rPr>
        <w:t xml:space="preserve"> [Revolving Credit Base Rate Option].</w:t>
      </w:r>
    </w:p>
    <w:p>
      <w:pPr>
        <w:spacing w:after="0" w:line="1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23 “</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4.4(d)</w:t>
      </w:r>
      <w:r>
        <w:rPr>
          <w:rFonts w:ascii="Times New Roman" w:cs="Times New Roman" w:eastAsia="Times New Roman" w:hAnsi="Times New Roman"/>
          <w:sz w:val="20"/>
          <w:szCs w:val="20"/>
          <w:color w:val="auto"/>
        </w:rPr>
        <w:t xml:space="preserve"> [Benchmark Replacement Setting].</w:t>
      </w:r>
    </w:p>
    <w:p>
      <w:pPr>
        <w:spacing w:after="0" w:line="216"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24 “</w:t>
      </w:r>
      <w:r>
        <w:rPr>
          <w:rFonts w:ascii="Times New Roman" w:cs="Times New Roman" w:eastAsia="Times New Roman" w:hAnsi="Times New Roman"/>
          <w:sz w:val="20"/>
          <w:szCs w:val="20"/>
          <w:u w:val="single" w:color="auto"/>
          <w:color w:val="auto"/>
        </w:rPr>
        <w:t>Beneficial Owner</w:t>
      </w:r>
      <w:r>
        <w:rPr>
          <w:rFonts w:ascii="Times New Roman" w:cs="Times New Roman" w:eastAsia="Times New Roman" w:hAnsi="Times New Roman"/>
          <w:sz w:val="20"/>
          <w:szCs w:val="20"/>
          <w:color w:val="auto"/>
        </w:rPr>
        <w:t xml:space="preserve"> ” shall mean, for the Borrower, each of the following: (a) each individual, if any, who, directly or indirectly, owns 25% or more of such Borrower’s Equity Interests; and (b) a single individual with significant responsibility to control, manage, or direct such Borrower, in each case, determined in accordance with 31 C.F.R. § 1010.230 (or any similar Law).</w:t>
      </w:r>
    </w:p>
    <w:p>
      <w:pPr>
        <w:spacing w:after="0" w:line="13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w:t>
      </w:r>
    </w:p>
    <w:p>
      <w:pPr>
        <w:spacing w:after="0" w:line="34" w:lineRule="exact"/>
        <w:rPr>
          <w:sz w:val="20"/>
          <w:szCs w:val="20"/>
          <w:color w:val="auto"/>
        </w:rPr>
      </w:pPr>
    </w:p>
    <w:p>
      <w:pPr>
        <w:jc w:val="both"/>
        <w:ind w:firstLine="2"/>
        <w:spacing w:after="0" w:line="257" w:lineRule="auto"/>
        <w:tabs>
          <w:tab w:leader="none" w:pos="29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390" w:lineRule="exact"/>
        <w:rPr>
          <w:sz w:val="20"/>
          <w:szCs w:val="20"/>
          <w:color w:val="auto"/>
        </w:rPr>
      </w:pPr>
    </w:p>
    <w:p>
      <w:pPr>
        <w:jc w:val="both"/>
        <w:ind w:firstLine="1223"/>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Blocked Property</w:t>
      </w:r>
      <w:r>
        <w:rPr>
          <w:rFonts w:ascii="Times New Roman" w:cs="Times New Roman" w:eastAsia="Times New Roman" w:hAnsi="Times New Roman"/>
          <w:sz w:val="20"/>
          <w:szCs w:val="20"/>
          <w:color w:val="auto"/>
        </w:rPr>
        <w:t>” means any property: (a) owned, directly or indirectly, by a Sanctioned Person; (b) due to or from a Sanctioned Person; (c) in which a Sanctioned Person otherwise holds any interest; (d) located in a Sanctioned Jurisdiction; or (e) that otherwise could cause any actual or possible violation by the Lenders, Administrative Agent, or Collateral Agent of any applicable International Trade Law, or cause any Lender, Administrative Agent, or Collateral Agent to become a Sanctioned Person, if the Lenders, Administrative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49" w:right="339" w:bottom="1440" w:gutter="0" w:footer="0" w:header="0"/>
        </w:sectPr>
      </w:pPr>
    </w:p>
    <w:bookmarkStart w:id="177" w:name="page178"/>
    <w:bookmarkEnd w:id="177"/>
    <w:p>
      <w:pPr>
        <w:jc w:val="both"/>
        <w:spacing w:after="0" w:line="276" w:lineRule="auto"/>
        <w:rPr>
          <w:sz w:val="20"/>
          <w:szCs w:val="20"/>
          <w:color w:val="auto"/>
        </w:rPr>
      </w:pPr>
      <w:r>
        <w:rPr>
          <w:rFonts w:ascii="Times New Roman" w:cs="Times New Roman" w:eastAsia="Times New Roman" w:hAnsi="Times New Roman"/>
          <w:sz w:val="20"/>
          <w:szCs w:val="20"/>
          <w:color w:val="auto"/>
        </w:rPr>
        <w:t>Collateral Agent were to obtain an encumbrance on, lien on, pledge of, or security interest in such property, or provide services in consideration of such property.</w:t>
      </w:r>
    </w:p>
    <w:p>
      <w:pPr>
        <w:spacing w:after="0" w:line="15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25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as is specified in the introductory paragraph.</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26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[Certificates; Notices; Additional Information].</w:t>
      </w:r>
    </w:p>
    <w:p>
      <w:pPr>
        <w:spacing w:after="0" w:line="216"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27 “</w:t>
      </w:r>
      <w:r>
        <w:rPr>
          <w:rFonts w:ascii="Times New Roman" w:cs="Times New Roman" w:eastAsia="Times New Roman" w:hAnsi="Times New Roman"/>
          <w:sz w:val="20"/>
          <w:szCs w:val="20"/>
          <w:u w:val="single" w:color="auto"/>
          <w:color w:val="auto"/>
        </w:rPr>
        <w:t>Borrowing Date</w:t>
      </w:r>
      <w:r>
        <w:rPr>
          <w:rFonts w:ascii="Times New Roman" w:cs="Times New Roman" w:eastAsia="Times New Roman" w:hAnsi="Times New Roman"/>
          <w:sz w:val="20"/>
          <w:szCs w:val="20"/>
          <w:color w:val="auto"/>
        </w:rPr>
        <w:t>” means, with respect to any Loan, the date of the making, renewal or conversion thereof, which shall be a Business Day.</w:t>
      </w:r>
    </w:p>
    <w:p>
      <w:pPr>
        <w:spacing w:after="0" w:line="147"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ARTICLE 28 “</w:t>
      </w:r>
      <w:r>
        <w:rPr>
          <w:rFonts w:ascii="Times New Roman" w:cs="Times New Roman" w:eastAsia="Times New Roman" w:hAnsi="Times New Roman"/>
          <w:sz w:val="20"/>
          <w:szCs w:val="20"/>
          <w:u w:val="single" w:color="auto"/>
          <w:color w:val="auto"/>
        </w:rPr>
        <w:t>Borrowing Tranche</w:t>
      </w:r>
      <w:r>
        <w:rPr>
          <w:rFonts w:ascii="Times New Roman" w:cs="Times New Roman" w:eastAsia="Times New Roman" w:hAnsi="Times New Roman"/>
          <w:sz w:val="20"/>
          <w:szCs w:val="20"/>
          <w:color w:val="auto"/>
        </w:rPr>
        <w:t>” means specified portions of Revolving Credit Loans or Swingline Loans, as the context may require, consisting of simultaneous loans under the same Interest Rate Option, and in the case of Term SOFR Rate Loans, having the same Interest Period. For the avoidance of doubt, all Revolving Credit Loans to which a Base Rate Option applies shall constitute one Borrowing Tranche.</w:t>
      </w:r>
    </w:p>
    <w:p>
      <w:pPr>
        <w:spacing w:after="0" w:line="160" w:lineRule="exact"/>
        <w:rPr>
          <w:sz w:val="20"/>
          <w:szCs w:val="20"/>
          <w:color w:val="auto"/>
        </w:rPr>
      </w:pPr>
    </w:p>
    <w:p>
      <w:pPr>
        <w:jc w:val="both"/>
        <w:ind w:firstLine="1223"/>
        <w:spacing w:after="0" w:line="265" w:lineRule="auto"/>
        <w:rPr>
          <w:sz w:val="20"/>
          <w:szCs w:val="20"/>
          <w:color w:val="auto"/>
        </w:rPr>
      </w:pPr>
      <w:r>
        <w:rPr>
          <w:rFonts w:ascii="Times New Roman" w:cs="Times New Roman" w:eastAsia="Times New Roman" w:hAnsi="Times New Roman"/>
          <w:sz w:val="20"/>
          <w:szCs w:val="20"/>
          <w:color w:val="auto"/>
        </w:rPr>
        <w:t>ARTICLE 29 “</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or Sunday or a legal holiday on which commercial banks are generally authorized or required to be closed, or are in fact closed, for business in Pittsburgh, Pennsylvania (or, if otherwise, the Lending Office of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any direct or indirect calculation or determination of, or when used in connection with any interest rate settings, fundings, disbursements, settlements, payments, or other dealings with respect to SOFR, the term “Business Day” means any such day that is also a U.S. Government Securities Business Day.</w:t>
      </w:r>
    </w:p>
    <w:p>
      <w:pPr>
        <w:spacing w:after="0" w:line="157"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30 “</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xml:space="preserve">” mean all obligations of such Person to pay rent or other amounts under any Capitalized Lease, and the amount of such obligations shall be the capitalized amount thereof determined in accordance with GAAP (subject to the provisions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[Accounting Principles; Changes in GAAP]).</w:t>
      </w:r>
    </w:p>
    <w:p>
      <w:pPr>
        <w:spacing w:after="0" w:line="146"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w:t>
      </w:r>
      <w:r>
        <w:rPr>
          <w:rFonts w:ascii="Times New Roman" w:cs="Times New Roman" w:eastAsia="Times New Roman" w:hAnsi="Times New Roman"/>
          <w:sz w:val="20"/>
          <w:szCs w:val="20"/>
          <w:color w:val="auto"/>
        </w:rPr>
        <w:t xml:space="preserve">” means, for any Person, each lease (or other arrangement conveying the right to use) of real or personal property, or a combination thereof, which obligations are required to be classified and accounted for as capital leases on a balance sheet of such Person under GAAP (subject to the provisions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1223"/>
        <w:spacing w:after="0" w:line="262" w:lineRule="auto"/>
        <w:rPr>
          <w:sz w:val="20"/>
          <w:szCs w:val="20"/>
          <w:color w:val="auto"/>
        </w:rPr>
      </w:pPr>
      <w:r>
        <w:rPr>
          <w:rFonts w:ascii="Times New Roman" w:cs="Times New Roman" w:eastAsia="Times New Roman" w:hAnsi="Times New Roman"/>
          <w:sz w:val="20"/>
          <w:szCs w:val="20"/>
          <w:color w:val="auto"/>
        </w:rPr>
        <w:t>ARTICLE 31 “</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one or more of the Issuing Lender or the Lenders, as collateral for Letter of Credit Obligations or obligations of Lenders to fund participations in respect of Letter of Credit Obligations, cash or deposit account balances or, if the Administrative Agent and each applicable Issuing Lender shall agree in their sole discretion, other credit support, in each case pursuant to documentation in form and substance satisfactory to the Administrative Agent and each applicable Issuing Lender. “Cash Collateral” shall have a meaning correlative to the foregoing and shall include the proceeds of such cash collateral and other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37" w:right="339" w:bottom="1440" w:gutter="0" w:footer="0" w:header="0"/>
        </w:sectPr>
      </w:pPr>
    </w:p>
    <w:bookmarkStart w:id="178" w:name="page179"/>
    <w:bookmarkEnd w:id="178"/>
    <w:p>
      <w:pPr>
        <w:ind w:firstLine="1223"/>
        <w:spacing w:after="0" w:line="289" w:lineRule="auto"/>
        <w:rPr>
          <w:sz w:val="20"/>
          <w:szCs w:val="20"/>
          <w:color w:val="auto"/>
        </w:rPr>
      </w:pPr>
      <w:r>
        <w:rPr>
          <w:rFonts w:ascii="Times New Roman" w:cs="Times New Roman" w:eastAsia="Times New Roman" w:hAnsi="Times New Roman"/>
          <w:sz w:val="20"/>
          <w:szCs w:val="20"/>
          <w:color w:val="auto"/>
        </w:rPr>
        <w:t>ARTICLE 32 “</w:t>
      </w:r>
      <w:r>
        <w:rPr>
          <w:rFonts w:ascii="Times New Roman" w:cs="Times New Roman" w:eastAsia="Times New Roman" w:hAnsi="Times New Roman"/>
          <w:sz w:val="20"/>
          <w:szCs w:val="20"/>
          <w:u w:val="single" w:color="auto"/>
          <w:color w:val="auto"/>
        </w:rPr>
        <w:t>Cash Management Agreements</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2.6(f)</w:t>
      </w:r>
      <w:r>
        <w:rPr>
          <w:rFonts w:ascii="Times New Roman" w:cs="Times New Roman" w:eastAsia="Times New Roman" w:hAnsi="Times New Roman"/>
          <w:sz w:val="20"/>
          <w:szCs w:val="20"/>
          <w:color w:val="auto"/>
        </w:rPr>
        <w:t xml:space="preserve"> [Swingline Loans Under Cash Management Agreements].</w:t>
      </w:r>
    </w:p>
    <w:p>
      <w:pPr>
        <w:spacing w:after="0" w:line="134" w:lineRule="exact"/>
        <w:rPr>
          <w:sz w:val="20"/>
          <w:szCs w:val="20"/>
          <w:color w:val="auto"/>
        </w:rPr>
      </w:pPr>
    </w:p>
    <w:p>
      <w:pPr>
        <w:ind w:firstLine="1223"/>
        <w:spacing w:after="0" w:line="270" w:lineRule="auto"/>
        <w:rPr>
          <w:sz w:val="20"/>
          <w:szCs w:val="20"/>
          <w:color w:val="auto"/>
        </w:rPr>
      </w:pPr>
      <w:r>
        <w:rPr>
          <w:rFonts w:ascii="Times New Roman" w:cs="Times New Roman" w:eastAsia="Times New Roman" w:hAnsi="Times New Roman"/>
          <w:sz w:val="20"/>
          <w:szCs w:val="20"/>
          <w:color w:val="auto"/>
        </w:rPr>
        <w:t>ARTICLE 33 “</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means (i) as to any Other Lender Provided Financial Service Product in existence on the Closing Date, any Lender on the Closing Date or Affiliate of such Lender that is a party thereto on the Closing Date, and</w:t>
      </w:r>
    </w:p>
    <w:p>
      <w:pPr>
        <w:spacing w:after="0" w:line="1" w:lineRule="exact"/>
        <w:rPr>
          <w:sz w:val="20"/>
          <w:szCs w:val="20"/>
          <w:color w:val="auto"/>
        </w:rPr>
      </w:pPr>
    </w:p>
    <w:p>
      <w:pPr>
        <w:jc w:val="both"/>
        <w:ind w:firstLine="2"/>
        <w:spacing w:after="0" w:line="259" w:lineRule="auto"/>
        <w:tabs>
          <w:tab w:leader="none" w:pos="31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Other Lender Provided Financial Service Product entered into after the Closing Date, any Person that, at the time it enters into such Other Lender Provided Financial Service Product, is a Lender or an Affiliate of a Lender, in each case in its capacity as a party to such Other Lender Provided Financial Service Product.</w:t>
      </w:r>
    </w:p>
    <w:p>
      <w:pPr>
        <w:spacing w:after="0" w:line="163"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34 “</w:t>
      </w:r>
      <w:r>
        <w:rPr>
          <w:rFonts w:ascii="Times New Roman" w:cs="Times New Roman" w:eastAsia="Times New Roman" w:hAnsi="Times New Roman"/>
          <w:sz w:val="20"/>
          <w:szCs w:val="20"/>
          <w:u w:val="single" w:color="auto"/>
          <w:color w:val="auto"/>
        </w:rPr>
        <w:t>Certificate of Beneficial Ownership</w:t>
      </w:r>
      <w:r>
        <w:rPr>
          <w:rFonts w:ascii="Times New Roman" w:cs="Times New Roman" w:eastAsia="Times New Roman" w:hAnsi="Times New Roman"/>
          <w:sz w:val="20"/>
          <w:szCs w:val="20"/>
          <w:color w:val="auto"/>
        </w:rPr>
        <w:t>” means, for each Borrower, a certificate in form and substance acceptable to the Administrative Agent (as amended or modified by the Administrative Agent from time to time in its sole discretion), certifying, among other things, the Beneficial Owner of such Borrower.</w:t>
      </w:r>
    </w:p>
    <w:p>
      <w:pPr>
        <w:spacing w:after="0" w:line="146"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35 “</w:t>
      </w:r>
      <w:r>
        <w:rPr>
          <w:rFonts w:ascii="Times New Roman" w:cs="Times New Roman" w:eastAsia="Times New Roman" w:hAnsi="Times New Roman"/>
          <w:sz w:val="20"/>
          <w:szCs w:val="20"/>
          <w:u w:val="single" w:color="auto"/>
          <w:color w:val="auto"/>
        </w:rPr>
        <w:t>CEA</w:t>
      </w:r>
      <w:r>
        <w:rPr>
          <w:rFonts w:ascii="Times New Roman" w:cs="Times New Roman" w:eastAsia="Times New Roman" w:hAnsi="Times New Roman"/>
          <w:sz w:val="20"/>
          <w:szCs w:val="20"/>
          <w:color w:val="auto"/>
        </w:rPr>
        <w:t>” means the Commodity Exchange Act (7 U.S.C. §1 et seq.), as amended from time to time, and any successor statute.</w:t>
      </w:r>
    </w:p>
    <w:p>
      <w:pPr>
        <w:spacing w:after="0" w:line="134" w:lineRule="exact"/>
        <w:rPr>
          <w:sz w:val="20"/>
          <w:szCs w:val="20"/>
          <w:color w:val="auto"/>
        </w:rPr>
      </w:pPr>
    </w:p>
    <w:p>
      <w:pPr>
        <w:ind w:left="1220"/>
        <w:spacing w:after="0" w:line="371" w:lineRule="auto"/>
        <w:rPr>
          <w:sz w:val="20"/>
          <w:szCs w:val="20"/>
          <w:color w:val="auto"/>
        </w:rPr>
      </w:pPr>
      <w:r>
        <w:rPr>
          <w:rFonts w:ascii="Times New Roman" w:cs="Times New Roman" w:eastAsia="Times New Roman" w:hAnsi="Times New Roman"/>
          <w:sz w:val="20"/>
          <w:szCs w:val="20"/>
          <w:color w:val="auto"/>
        </w:rPr>
        <w:t>ARTICLE 36 “</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“controlled foreign corporation” within the meaning of Section 957(a) of the Code. ARTICLE 37 “</w:t>
      </w:r>
      <w:r>
        <w:rPr>
          <w:rFonts w:ascii="Times New Roman" w:cs="Times New Roman" w:eastAsia="Times New Roman" w:hAnsi="Times New Roman"/>
          <w:sz w:val="20"/>
          <w:szCs w:val="20"/>
          <w:u w:val="single" w:color="auto"/>
          <w:color w:val="auto"/>
        </w:rPr>
        <w:t>CFC Debt</w:t>
      </w:r>
      <w:r>
        <w:rPr>
          <w:rFonts w:ascii="Times New Roman" w:cs="Times New Roman" w:eastAsia="Times New Roman" w:hAnsi="Times New Roman"/>
          <w:sz w:val="20"/>
          <w:szCs w:val="20"/>
          <w:color w:val="auto"/>
        </w:rPr>
        <w:t>” means intercompany loans, Indebtedness or receivables owed or treated as owed by one or</w:t>
      </w:r>
    </w:p>
    <w:p>
      <w:pPr>
        <w:spacing w:after="0"/>
        <w:rPr>
          <w:sz w:val="20"/>
          <w:szCs w:val="20"/>
          <w:color w:val="auto"/>
        </w:rPr>
      </w:pPr>
      <w:r>
        <w:rPr>
          <w:rFonts w:ascii="Times New Roman" w:cs="Times New Roman" w:eastAsia="Times New Roman" w:hAnsi="Times New Roman"/>
          <w:sz w:val="20"/>
          <w:szCs w:val="20"/>
          <w:color w:val="auto"/>
        </w:rPr>
        <w:t>more CFCs.</w:t>
      </w:r>
    </w:p>
    <w:p>
      <w:pPr>
        <w:spacing w:after="0" w:line="20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38 “</w:t>
      </w:r>
      <w:r>
        <w:rPr>
          <w:rFonts w:ascii="Times New Roman" w:cs="Times New Roman" w:eastAsia="Times New Roman" w:hAnsi="Times New Roman"/>
          <w:sz w:val="20"/>
          <w:szCs w:val="20"/>
          <w:u w:val="single" w:color="auto"/>
          <w:color w:val="auto"/>
        </w:rPr>
        <w:t>CFTC</w:t>
      </w:r>
      <w:r>
        <w:rPr>
          <w:rFonts w:ascii="Times New Roman" w:cs="Times New Roman" w:eastAsia="Times New Roman" w:hAnsi="Times New Roman"/>
          <w:sz w:val="20"/>
          <w:szCs w:val="20"/>
          <w:color w:val="auto"/>
        </w:rPr>
        <w:t>” means the Commodity Futures Trading Commission.</w:t>
      </w:r>
    </w:p>
    <w:p>
      <w:pPr>
        <w:spacing w:after="0" w:line="216" w:lineRule="exact"/>
        <w:rPr>
          <w:sz w:val="20"/>
          <w:szCs w:val="20"/>
          <w:color w:val="auto"/>
        </w:rPr>
      </w:pPr>
    </w:p>
    <w:p>
      <w:pPr>
        <w:jc w:val="both"/>
        <w:ind w:firstLine="1223"/>
        <w:spacing w:after="0" w:line="261" w:lineRule="auto"/>
        <w:rPr>
          <w:sz w:val="20"/>
          <w:szCs w:val="20"/>
          <w:color w:val="auto"/>
        </w:rPr>
      </w:pPr>
      <w:r>
        <w:rPr>
          <w:rFonts w:ascii="Times New Roman" w:cs="Times New Roman" w:eastAsia="Times New Roman" w:hAnsi="Times New Roman"/>
          <w:sz w:val="20"/>
          <w:szCs w:val="20"/>
          <w:color w:val="auto"/>
        </w:rPr>
        <w:t>ARTICLE 39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the occurrence of one or more of the following events: (i) the acquisition of ownership, directly or indirectly, beneficially or of record, by any Person or “group” (within the meaning of the Exchange Act and the rules of the Securities and Exchange Commission thereunder as in effect on the date hereof) of in excess of 35% or more of the outstanding shares of the voting equity interests of the Borrower, (ii) during any period of 24 consecutive months, a majority of the members of the board of directors or other equivalent governing body of the Borrower cease to be composed of individuals who are Continuing Directors, or (iii) the occurrence of a “change of control”, or similar provision, under or with respect to any Material Indebtedness.</w:t>
      </w:r>
    </w:p>
    <w:p>
      <w:pPr>
        <w:spacing w:after="0" w:line="200" w:lineRule="exact"/>
        <w:rPr>
          <w:sz w:val="20"/>
          <w:szCs w:val="20"/>
          <w:color w:val="auto"/>
        </w:rPr>
      </w:pPr>
    </w:p>
    <w:p>
      <w:pPr>
        <w:spacing w:after="0" w:line="210" w:lineRule="exact"/>
        <w:rPr>
          <w:sz w:val="20"/>
          <w:szCs w:val="20"/>
          <w:color w:val="auto"/>
        </w:rPr>
      </w:pPr>
    </w:p>
    <w:p>
      <w:pPr>
        <w:jc w:val="both"/>
        <w:ind w:firstLine="1223"/>
        <w:spacing w:after="0" w:line="260" w:lineRule="auto"/>
        <w:rPr>
          <w:sz w:val="20"/>
          <w:szCs w:val="20"/>
          <w:color w:val="auto"/>
        </w:rPr>
      </w:pPr>
      <w:r>
        <w:rPr>
          <w:rFonts w:ascii="Times New Roman" w:cs="Times New Roman" w:eastAsia="Times New Roman" w:hAnsi="Times New Roman"/>
          <w:sz w:val="20"/>
          <w:szCs w:val="20"/>
          <w:color w:val="auto"/>
        </w:rPr>
        <w:t>ARTICLE 40 “</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of any of the following: (a) the adoption or taking effect of any Law, (b) any change in any Law or in the administration, interpretation, implementation or application thereof by any Official Body or (c) the making or issuance of any request, rule, guideline or directive (whether or not having the force of Law) by any Official Body;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50" w:right="339" w:bottom="1440" w:gutter="0" w:footer="0" w:header="0"/>
        </w:sectPr>
      </w:pPr>
    </w:p>
    <w:bookmarkStart w:id="179" w:name="page180"/>
    <w:bookmarkEnd w:id="179"/>
    <w:p>
      <w:pPr>
        <w:jc w:val="both"/>
        <w:spacing w:after="0" w:line="271" w:lineRule="auto"/>
        <w:rPr>
          <w:sz w:val="20"/>
          <w:szCs w:val="20"/>
          <w:color w:val="auto"/>
        </w:rPr>
      </w:pPr>
      <w:r>
        <w:rPr>
          <w:rFonts w:ascii="Times New Roman" w:cs="Times New Roman" w:eastAsia="Times New Roman" w:hAnsi="Times New Roman"/>
          <w:sz w:val="20"/>
          <w:szCs w:val="20"/>
          <w:color w:val="auto"/>
        </w:rPr>
        <w:t>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63"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41 “</w:t>
      </w:r>
      <w:r>
        <w:rPr>
          <w:rFonts w:ascii="Times New Roman" w:cs="Times New Roman" w:eastAsia="Times New Roman" w:hAnsi="Times New Roman"/>
          <w:sz w:val="20"/>
          <w:szCs w:val="20"/>
          <w:u w:val="single" w:color="auto"/>
          <w:color w:val="auto"/>
        </w:rPr>
        <w:t>CIP Regulations</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xml:space="preserve"> [No Reliance on Administrative Agent’s Customer Identification Program].</w:t>
      </w:r>
    </w:p>
    <w:p>
      <w:pPr>
        <w:spacing w:after="0" w:line="134"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42 “</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any Loan, refers to whether such Loan, or the advances comprising such Loans, are Revolving Credit Loans or Swingline Loans and, when used in reference to any Lender, refers to whether such Lender has any outstanding Revolving Credit Loans or Revolving Commitments.</w:t>
      </w:r>
    </w:p>
    <w:p>
      <w:pPr>
        <w:spacing w:after="0" w:line="1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43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February 20, 2026.</w:t>
      </w:r>
    </w:p>
    <w:p>
      <w:pPr>
        <w:spacing w:after="0" w:line="216"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44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the same may be amended or supplemented from time to time, and any successor statute of similar import, and the rules and regulations thereunder, as from time to time in effect.</w:t>
      </w:r>
    </w:p>
    <w:p>
      <w:pPr>
        <w:spacing w:after="0" w:line="134"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45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the personal property of any Person granted as collateral to secure the Obligations for the benefit of the Secured Parties.</w:t>
      </w:r>
    </w:p>
    <w:p>
      <w:pPr>
        <w:spacing w:after="0" w:line="134" w:lineRule="exact"/>
        <w:rPr>
          <w:sz w:val="20"/>
          <w:szCs w:val="20"/>
          <w:color w:val="auto"/>
        </w:rPr>
      </w:pPr>
    </w:p>
    <w:p>
      <w:pPr>
        <w:jc w:val="both"/>
        <w:ind w:firstLine="1223"/>
        <w:spacing w:after="0" w:line="30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Access Agreement</w:t>
      </w:r>
      <w:r>
        <w:rPr>
          <w:rFonts w:ascii="Times New Roman" w:cs="Times New Roman" w:eastAsia="Times New Roman" w:hAnsi="Times New Roman"/>
          <w:sz w:val="20"/>
          <w:szCs w:val="20"/>
          <w:color w:val="auto"/>
        </w:rPr>
        <w:t>” means each landlord waiver or bailee agreement granted to, and in form and substance reasonably acceptable to, the Administrative Agent.</w:t>
      </w:r>
    </w:p>
    <w:p>
      <w:pPr>
        <w:spacing w:after="0" w:line="96" w:lineRule="exact"/>
        <w:rPr>
          <w:sz w:val="20"/>
          <w:szCs w:val="20"/>
          <w:color w:val="auto"/>
        </w:rPr>
      </w:pPr>
    </w:p>
    <w:p>
      <w:pPr>
        <w:jc w:val="both"/>
        <w:ind w:firstLine="1223"/>
        <w:spacing w:after="0" w:line="302" w:lineRule="auto"/>
        <w:rPr>
          <w:sz w:val="20"/>
          <w:szCs w:val="20"/>
          <w:color w:val="auto"/>
        </w:rPr>
      </w:pPr>
      <w:r>
        <w:rPr>
          <w:rFonts w:ascii="Times New Roman" w:cs="Times New Roman" w:eastAsia="Times New Roman" w:hAnsi="Times New Roman"/>
          <w:sz w:val="20"/>
          <w:szCs w:val="20"/>
          <w:color w:val="auto"/>
        </w:rPr>
        <w:t>ARTICLE 46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means PNC Bank, National Association, in its capacity as collateral agent hereunder or any successor collateral agent.</w:t>
      </w:r>
    </w:p>
    <w:p>
      <w:pPr>
        <w:spacing w:after="0" w:line="122"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47 “</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the Guaranty and Security Agreement, the IP Security Agreements, and any other agreement, document or instrument granting a Lien in Collateral for the benefit of the Secured Parties.</w:t>
      </w:r>
    </w:p>
    <w:p>
      <w:pPr>
        <w:spacing w:after="0" w:line="134"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48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as to any Lender, its Revolving Credit Commitment and, in the case of PNC (in its capacity as the Swingline Loan Lender), its Swingline Loan Commitment (but not the aggregate of its Revolving Credit Commitment and its Swingline Loan Commitment), and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means the aggregate of the Revolving Credit Commitments of all of the Lenders.</w:t>
      </w:r>
    </w:p>
    <w:p>
      <w:pPr>
        <w:spacing w:after="0" w:line="14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49 “</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[Commitment Fees].</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50 “</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12.5(d)(ii)</w:t>
      </w:r>
      <w:r>
        <w:rPr>
          <w:rFonts w:ascii="Times New Roman" w:cs="Times New Roman" w:eastAsia="Times New Roman" w:hAnsi="Times New Roman"/>
          <w:sz w:val="20"/>
          <w:szCs w:val="20"/>
          <w:color w:val="auto"/>
        </w:rPr>
        <w:t xml:space="preserve"> [Platform].</w:t>
      </w:r>
    </w:p>
    <w:p>
      <w:pPr>
        <w:spacing w:after="0" w:line="216"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51 “</w:t>
      </w:r>
      <w:r>
        <w:rPr>
          <w:rFonts w:ascii="Times New Roman" w:cs="Times New Roman" w:eastAsia="Times New Roman" w:hAnsi="Times New Roman"/>
          <w:sz w:val="20"/>
          <w:szCs w:val="20"/>
          <w:u w:val="single" w:color="auto"/>
          <w:color w:val="auto"/>
        </w:rPr>
        <w:t>Compliance Authority</w:t>
      </w:r>
      <w:r>
        <w:rPr>
          <w:rFonts w:ascii="Times New Roman" w:cs="Times New Roman" w:eastAsia="Times New Roman" w:hAnsi="Times New Roman"/>
          <w:sz w:val="20"/>
          <w:szCs w:val="20"/>
          <w:color w:val="auto"/>
        </w:rPr>
        <w:t>” means (a) the United States government or any agency or political subdivision thereof, including the U.S. Department of State, the U.S. Department of Commerce, the U.S. Department of the Treasury and its Office of Foreign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50" w:right="339" w:bottom="1440" w:gutter="0" w:footer="0" w:header="0"/>
        </w:sectPr>
      </w:pPr>
    </w:p>
    <w:bookmarkStart w:id="180" w:name="page181"/>
    <w:bookmarkEnd w:id="180"/>
    <w:p>
      <w:pPr>
        <w:jc w:val="both"/>
        <w:spacing w:after="0" w:line="269" w:lineRule="auto"/>
        <w:rPr>
          <w:sz w:val="20"/>
          <w:szCs w:val="20"/>
          <w:color w:val="auto"/>
        </w:rPr>
      </w:pPr>
      <w:r>
        <w:rPr>
          <w:rFonts w:ascii="Times New Roman" w:cs="Times New Roman" w:eastAsia="Times New Roman" w:hAnsi="Times New Roman"/>
          <w:sz w:val="20"/>
          <w:szCs w:val="20"/>
          <w:color w:val="auto"/>
        </w:rPr>
        <w:t>Control, and the U.S. Customs and Border Protection agency; (b) the government of Canada or any agency thereof; (c) the European Union or any agency thereof; (d) the government of the United Kingdom or any agency thereof; (e) the United Nations Security Council; and (f) any other Official Body with jurisdiction to administer Anti-Corruption Laws, Anti-Money Laundering Laws or International Trade Laws with respect to the conduct of a Covered Entity.</w:t>
      </w:r>
    </w:p>
    <w:p>
      <w:pPr>
        <w:spacing w:after="0" w:line="1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52 “</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means a certificate substantially in the form of Exhibit J attached hereto.</w:t>
      </w:r>
    </w:p>
    <w:p>
      <w:pPr>
        <w:spacing w:after="0" w:line="216" w:lineRule="exact"/>
        <w:rPr>
          <w:sz w:val="20"/>
          <w:szCs w:val="20"/>
          <w:color w:val="auto"/>
        </w:rPr>
      </w:pPr>
    </w:p>
    <w:p>
      <w:pPr>
        <w:jc w:val="both"/>
        <w:ind w:firstLine="1223"/>
        <w:spacing w:after="0" w:line="258" w:lineRule="auto"/>
        <w:rPr>
          <w:sz w:val="20"/>
          <w:szCs w:val="20"/>
          <w:color w:val="auto"/>
        </w:rPr>
      </w:pPr>
      <w:r>
        <w:rPr>
          <w:rFonts w:ascii="Times New Roman" w:cs="Times New Roman" w:eastAsia="Times New Roman" w:hAnsi="Times New Roman"/>
          <w:sz w:val="20"/>
          <w:szCs w:val="20"/>
          <w:color w:val="auto"/>
        </w:rPr>
        <w:t>ARTICLE 53 “</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the Term SOFR Rate, Daily SOFR or any Benchmark Replacement in relation thereto, any technical, administrative or operational changes (including changes to the definition of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the Term SOFR Rate, Daily SOFR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Term SOFR Rate, Daily SOFR or the Benchmark Replacement exists, in such other manner of administration as the Administrative Agent decides is reasonably necessary in connection with the administration of this Agreement and the other Loan Documents).</w:t>
      </w:r>
    </w:p>
    <w:p>
      <w:pPr>
        <w:spacing w:after="0" w:line="200" w:lineRule="exact"/>
        <w:rPr>
          <w:sz w:val="20"/>
          <w:szCs w:val="20"/>
          <w:color w:val="auto"/>
        </w:rPr>
      </w:pPr>
    </w:p>
    <w:p>
      <w:pPr>
        <w:spacing w:after="0" w:line="213"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54 “</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47" w:lineRule="exact"/>
        <w:rPr>
          <w:sz w:val="20"/>
          <w:szCs w:val="20"/>
          <w:color w:val="auto"/>
        </w:rPr>
      </w:pPr>
    </w:p>
    <w:p>
      <w:pPr>
        <w:jc w:val="both"/>
        <w:ind w:firstLine="1223"/>
        <w:spacing w:after="0" w:line="260" w:lineRule="auto"/>
        <w:rPr>
          <w:sz w:val="20"/>
          <w:szCs w:val="20"/>
          <w:color w:val="auto"/>
        </w:rPr>
      </w:pPr>
      <w:r>
        <w:rPr>
          <w:rFonts w:ascii="Times New Roman" w:cs="Times New Roman" w:eastAsia="Times New Roman" w:hAnsi="Times New Roman"/>
          <w:sz w:val="20"/>
          <w:szCs w:val="20"/>
          <w:color w:val="auto"/>
        </w:rPr>
        <w:t>ARTICLE 55 “</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the Borrower and its Subsidiaries for any period, an amount equal to the sum of (i)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to the extent deducted in determining Consolidated Net Income for such period and to the extent not excluded from Consolidated Net Income pursuant to the definition thereof, and without duplication,</w:t>
      </w:r>
    </w:p>
    <w:p>
      <w:pPr>
        <w:jc w:val="both"/>
        <w:ind w:firstLine="2"/>
        <w:spacing w:after="0" w:line="257" w:lineRule="auto"/>
        <w:tabs>
          <w:tab w:leader="none" w:pos="27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 (b) income tax expense determined on a consolidated basis in accordance with GAAP, (c) depreciation and amortization determined on a consolidated basis in accordance with GAAP, (d) all other non-cash charges determined on a consolidated basis in accordance with GAAP, (e) losses from discontinued operations, (f) any charges paid in cash resulting from resolution of litigation matters (including wage and hour litigation and disputes arising in connection with a 401(k) plan maintained by Kratos Integral Holdings, LLC), in an aggregate amount not to exceed $10,000,000 during the term of this Agreement, (g) net income of Subsidiaries of the Borrower attributable to noncontrolling interests of third parties (except to the extent of any earnings or other amounts actually remitted to any such third party), (h) out-of-pocket transaction costs and expenses paid in cash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49" w:right="339" w:bottom="1440" w:gutter="0" w:footer="0" w:header="0"/>
        </w:sectPr>
      </w:pPr>
    </w:p>
    <w:bookmarkStart w:id="181" w:name="page182"/>
    <w:bookmarkEnd w:id="181"/>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connection with the transactions contemplated hereby to occur on the Closing Date (including losses, charges, costs and expenses (including, for the avoidance of doubt, call premiums) resulting from the payoff and retirement of the Borrower’s existing Indebtedness on the Closing Date) in an aggregate amount not to exceed $5,000,000 during the term of this Agreement, (i) additional non-recurring out-of-pocket transaction costs, reasonably acceptable to the Administrative Agent, incurred in connection with any issuance of Equity Interests by the Borrower, Acquisition, Investment, disposition, or incurrence, prepayment, amendment, modification, restructuring or refinancing of Indebtedness, in each case, after the Closing Date, to the extent such transaction is permitted under the Agreement or consented to in accordance with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[Modifications, Amendments or Waivers] and whether or not such transaction is consummated, (j) out-of-pocket costs related to severance and lease terminations associated with restructuring in an aggregate amount not to exceed $5,000,000 for any four-Fiscal Quarter period, in each case for such period, (k) distributions and dividends received from Investments in Joint Ventures during such period, but only to the extent such distributions and dividends are attributable to earned income of such Joint Ventures, and (l) non-cash losses related to Investments in Joint Ventures during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Investments in Joint Ventures that are permitted pursuant to </w:t>
      </w:r>
      <w:r>
        <w:rPr>
          <w:rFonts w:ascii="Times New Roman" w:cs="Times New Roman" w:eastAsia="Times New Roman" w:hAnsi="Times New Roman"/>
          <w:sz w:val="20"/>
          <w:szCs w:val="20"/>
          <w:u w:val="single" w:color="auto"/>
          <w:color w:val="auto"/>
        </w:rPr>
        <w:t>Section 9.4(j)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9.4(l)</w:t>
      </w:r>
      <w:r>
        <w:rPr>
          <w:rFonts w:ascii="Times New Roman" w:cs="Times New Roman" w:eastAsia="Times New Roman" w:hAnsi="Times New Roman"/>
          <w:sz w:val="20"/>
          <w:szCs w:val="20"/>
          <w:color w:val="auto"/>
        </w:rPr>
        <w:t xml:space="preserve"> shall not constitute non-cash losses for the purposes of this clause (l),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(iii) to the extent included in determining Consolidated Net Income for such period, and without duplication,</w:t>
      </w:r>
    </w:p>
    <w:p>
      <w:pPr>
        <w:spacing w:after="0" w:line="4" w:lineRule="exact"/>
        <w:rPr>
          <w:sz w:val="20"/>
          <w:szCs w:val="20"/>
          <w:color w:val="auto"/>
        </w:rPr>
      </w:pPr>
    </w:p>
    <w:p>
      <w:pPr>
        <w:jc w:val="both"/>
        <w:ind w:firstLine="2"/>
        <w:spacing w:after="0" w:line="258" w:lineRule="auto"/>
        <w:tabs>
          <w:tab w:leader="none" w:pos="29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unusual and non-recurring gains, (b) non-cash gains, excluding any non-cash gains that represent the reversal of any accrual of, or cash reserve for, anticipated cash items in any prior period (other than any such accruals or cash reserves that have been added back to Consolidated Net Income in calculating Consolidated EBITDA in accordance with this definition), (c) net losses of Subsidiaries of the Borrower attributable to noncontrolling interests of third parties, and (d) non-cash gains related to Investments in Joint Ventures during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calculating compliance with the financial covenants set forth in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to the extent that during such period any Loan Party shall have consummated a Permitted Acquisition, or any sale, transfer or other disposition of any Person, business, property or assets, Consolidated EBITDA shall be calculated on a Pro Forma Basis with respect to such Person, business, property or assets so acquired or disposed of.</w:t>
      </w:r>
    </w:p>
    <w:p>
      <w:pPr>
        <w:spacing w:after="0" w:line="165" w:lineRule="exact"/>
        <w:rPr>
          <w:sz w:val="20"/>
          <w:szCs w:val="20"/>
          <w:color w:val="auto"/>
        </w:rPr>
      </w:pPr>
    </w:p>
    <w:p>
      <w:pPr>
        <w:jc w:val="both"/>
        <w:ind w:firstLine="1295"/>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Funded Debt</w:t>
      </w:r>
      <w:r>
        <w:rPr>
          <w:rFonts w:ascii="Times New Roman" w:cs="Times New Roman" w:eastAsia="Times New Roman" w:hAnsi="Times New Roman"/>
          <w:sz w:val="20"/>
          <w:szCs w:val="20"/>
          <w:color w:val="auto"/>
        </w:rPr>
        <w:t>” means, as of any date, all Indebtedness of the Borrower and its Subsidiaries described in clauses (i), (ii), (iii), (v), and (vi)(x) of the definition of Indebtedness herein (excluding (x) any intercompany Indebtedness and (y) the aggregate amount of letters of credit issued for the account of a Foreign Subsidiary, in each case to the extent offset by the cash and other liquid investments in the nature of Permitted Investments held by such Foreign Subsidiary account party in deposit or securities accounts outside the United States), measured on a consolidated basis as of such date.</w:t>
      </w:r>
    </w:p>
    <w:p>
      <w:pPr>
        <w:spacing w:after="0" w:line="157" w:lineRule="exact"/>
        <w:rPr>
          <w:sz w:val="20"/>
          <w:szCs w:val="20"/>
          <w:color w:val="auto"/>
        </w:rPr>
      </w:pPr>
    </w:p>
    <w:p>
      <w:pPr>
        <w:jc w:val="both"/>
        <w:ind w:firstLine="1299"/>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for the Borrower and its Subsidiaries for any period, determined on a consolidated basis in accordance with GAAP, total interest expense, including the interest component of any payments in respect of Capital Lease Obligations, capitalized or expensed during such period (whether or not actually paid during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49" w:right="339" w:bottom="1440" w:gutter="0" w:footer="0" w:header="0"/>
        </w:sectPr>
      </w:pPr>
    </w:p>
    <w:bookmarkStart w:id="182" w:name="page183"/>
    <w:bookmarkEnd w:id="182"/>
    <w:p>
      <w:pPr>
        <w:jc w:val="both"/>
        <w:ind w:firstLine="1223"/>
        <w:spacing w:after="0" w:line="260" w:lineRule="auto"/>
        <w:rPr>
          <w:sz w:val="20"/>
          <w:szCs w:val="20"/>
          <w:color w:val="auto"/>
        </w:rPr>
      </w:pPr>
      <w:r>
        <w:rPr>
          <w:rFonts w:ascii="Times New Roman" w:cs="Times New Roman" w:eastAsia="Times New Roman" w:hAnsi="Times New Roman"/>
          <w:sz w:val="20"/>
          <w:szCs w:val="20"/>
          <w:color w:val="auto"/>
        </w:rPr>
        <w:t>ARTICLE 56 “</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for the Borrower and its Subsidiaries for any period, the net income (or loss) of the Borrower and its Subsidiaries for such period determined on a consolidated basis in accordance with GAAP, but excluding therefrom (to the extent otherwise included therein) (i) any extraordinary gains or losses, (ii) any gains attributable to write-ups of assets or the sale of assets (other than the sale of inventory in the ordinary course of business), (iii) any equity interest of the Borrower or any Subsidiary of the Borrower in the unremitted earnings of any Person that is not a Subsidiary and (iv) any income (or loss) of any Person accrued prior to the date it becomes a Subsidiary or is merged into or consolidated with the Borrower or any Subsidiary or the date that such Person’s assets are acquired by the Borrower or any Subsidiary.</w:t>
      </w:r>
    </w:p>
    <w:p>
      <w:pPr>
        <w:spacing w:after="0" w:line="166" w:lineRule="exact"/>
        <w:rPr>
          <w:sz w:val="20"/>
          <w:szCs w:val="20"/>
          <w:color w:val="auto"/>
        </w:rPr>
      </w:pPr>
    </w:p>
    <w:p>
      <w:pPr>
        <w:jc w:val="both"/>
        <w:ind w:firstLine="1223"/>
        <w:spacing w:after="0" w:line="262" w:lineRule="auto"/>
        <w:rPr>
          <w:sz w:val="20"/>
          <w:szCs w:val="20"/>
          <w:color w:val="auto"/>
        </w:rPr>
      </w:pPr>
      <w:r>
        <w:rPr>
          <w:rFonts w:ascii="Times New Roman" w:cs="Times New Roman" w:eastAsia="Times New Roman" w:hAnsi="Times New Roman"/>
          <w:sz w:val="20"/>
          <w:szCs w:val="20"/>
          <w:color w:val="auto"/>
        </w:rPr>
        <w:t>ARTICLE 57 “</w:t>
      </w:r>
      <w:r>
        <w:rPr>
          <w:rFonts w:ascii="Times New Roman" w:cs="Times New Roman" w:eastAsia="Times New Roman" w:hAnsi="Times New Roman"/>
          <w:sz w:val="20"/>
          <w:szCs w:val="20"/>
          <w:u w:val="single" w:color="auto"/>
          <w:color w:val="auto"/>
        </w:rPr>
        <w:t>Continuing Director</w:t>
      </w:r>
      <w:r>
        <w:rPr>
          <w:rFonts w:ascii="Times New Roman" w:cs="Times New Roman" w:eastAsia="Times New Roman" w:hAnsi="Times New Roman"/>
          <w:sz w:val="20"/>
          <w:szCs w:val="20"/>
          <w:color w:val="auto"/>
        </w:rPr>
        <w:t>” means, with respect to any period, any individuals (a) who were members of the board of directors or other equivalent governing body of the Borrower on the first day of such period, (b) whose election or nomination to that board or equivalent governing body was approved by individuals referred to in clause (a) above constituting at the time of such election or nomination at least a majority of that board or equivalent governing body, or (c) whose election or nomination to that board or other equivalent governing body was approved by individuals referred to in clauses (a) and (b) above constituting at the time of such election or nomination at least a majority of that board or equivalent governing body.</w:t>
      </w:r>
    </w:p>
    <w:p>
      <w:pPr>
        <w:spacing w:after="0" w:line="162"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58 “</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of any Person shall mean any provision of any security issued by such Person or of any agreement, instrument or undertaking under which such Person is obligated or by which it or any of the property in which it has an interest is bound.</w:t>
      </w:r>
    </w:p>
    <w:p>
      <w:pPr>
        <w:spacing w:after="0" w:line="146"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59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63"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 the Borrower and each of the Borrower’s Subsidiaries; (b) each Guarantor and any other Person who has pledged (or will pledge) Collateral under any Loan Document; and (c) each Person that, directly or indirectly, Controls a Person described in clause (a) or (b) above.</w:t>
      </w:r>
    </w:p>
    <w:p>
      <w:pPr>
        <w:spacing w:after="0" w:line="176" w:lineRule="exact"/>
        <w:rPr>
          <w:sz w:val="20"/>
          <w:szCs w:val="20"/>
          <w:color w:val="auto"/>
        </w:rPr>
      </w:pPr>
    </w:p>
    <w:p>
      <w:pPr>
        <w:jc w:val="both"/>
        <w:ind w:firstLine="1223"/>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xml:space="preserve"> ”), the interest rate per annum determined by the Administrative Agent (rounded upwards, at the Administrative Agent’s discretion, to the nearest 1/100th of 1%) equal to SOFR for the day (the “</w:t>
      </w:r>
      <w:r>
        <w:rPr>
          <w:rFonts w:ascii="Times New Roman" w:cs="Times New Roman" w:eastAsia="Times New Roman" w:hAnsi="Times New Roman"/>
          <w:sz w:val="20"/>
          <w:szCs w:val="20"/>
          <w:u w:val="single" w:color="auto"/>
          <w:color w:val="auto"/>
        </w:rPr>
        <w:t>SOFR Determination Date</w:t>
      </w:r>
      <w:r>
        <w:rPr>
          <w:rFonts w:ascii="Times New Roman" w:cs="Times New Roman" w:eastAsia="Times New Roman" w:hAnsi="Times New Roman"/>
          <w:sz w:val="20"/>
          <w:szCs w:val="20"/>
          <w:color w:val="auto"/>
        </w:rPr>
        <w:t>”) that is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at http://www.newyorkfed.org, or any successor source identified by the Federal Reserve Bank of New</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50" w:right="339" w:bottom="1440" w:gutter="0" w:footer="0" w:header="0"/>
        </w:sectPr>
      </w:pPr>
    </w:p>
    <w:bookmarkStart w:id="183" w:name="page184"/>
    <w:bookmarkEnd w:id="183"/>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(Eastern time) on the second Business Day immediately following such SOFR Determination Date, then SOFR for such SOFR Determination Date will be SOFR for the first Business Day preceding such SOFR Determination Date for which SOFR was published in accordance with the definition of “SOFR”;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w:t>
      </w:r>
    </w:p>
    <w:p>
      <w:pPr>
        <w:spacing w:after="0" w:line="20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60 “</w:t>
      </w:r>
      <w:r>
        <w:rPr>
          <w:rFonts w:ascii="Times New Roman" w:cs="Times New Roman" w:eastAsia="Times New Roman" w:hAnsi="Times New Roman"/>
          <w:sz w:val="20"/>
          <w:szCs w:val="20"/>
          <w:u w:val="single" w:color="auto"/>
          <w:color w:val="auto"/>
        </w:rPr>
        <w:t>Daily SOFR</w:t>
      </w:r>
      <w:r>
        <w:rPr>
          <w:rFonts w:ascii="Times New Roman" w:cs="Times New Roman" w:eastAsia="Times New Roman" w:hAnsi="Times New Roman"/>
          <w:sz w:val="20"/>
          <w:szCs w:val="20"/>
          <w:color w:val="auto"/>
        </w:rPr>
        <w:t>” means Daily Simple SOFR.</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SOFR Loan</w:t>
      </w:r>
      <w:r>
        <w:rPr>
          <w:rFonts w:ascii="Times New Roman" w:cs="Times New Roman" w:eastAsia="Times New Roman" w:hAnsi="Times New Roman"/>
          <w:sz w:val="20"/>
          <w:szCs w:val="20"/>
          <w:color w:val="auto"/>
        </w:rPr>
        <w:t>” means a Loan that bears interest based on Daily SOFR.</w:t>
      </w:r>
    </w:p>
    <w:p>
      <w:pPr>
        <w:spacing w:after="0" w:line="241"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SOFR Option</w:t>
      </w:r>
      <w:r>
        <w:rPr>
          <w:rFonts w:ascii="Times New Roman" w:cs="Times New Roman" w:eastAsia="Times New Roman" w:hAnsi="Times New Roman"/>
          <w:sz w:val="20"/>
          <w:szCs w:val="20"/>
          <w:color w:val="auto"/>
        </w:rPr>
        <w:t xml:space="preserve">” means the option of the Borrower to have Swingline Loans bear interest at the rate and under the terms specified in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[Swingline Loan Interest Rate].</w:t>
      </w:r>
    </w:p>
    <w:p>
      <w:pPr>
        <w:spacing w:after="0" w:line="159"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61 “</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33" w:lineRule="exact"/>
        <w:rPr>
          <w:sz w:val="20"/>
          <w:szCs w:val="20"/>
          <w:color w:val="auto"/>
        </w:rPr>
      </w:pPr>
    </w:p>
    <w:p>
      <w:pPr>
        <w:jc w:val="both"/>
        <w:ind w:firstLine="1223"/>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xml:space="preserve"> [Defaulting Lender Cure],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Loan Lender or any other Lender any other amount required to be paid by it hereunder (including in respect of its participation in Letters of Credit or Swingline Loans) within two (2) Business Days of the date when due, (b) has notified the Borrower, the Administrative Agent, the Issuing Lender or the Swingline Loan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49" w:right="339" w:bottom="1440" w:gutter="0" w:footer="0" w:header="0"/>
        </w:sectPr>
      </w:pPr>
    </w:p>
    <w:bookmarkStart w:id="184" w:name="page185"/>
    <w:bookmarkEnd w:id="184"/>
    <w:p>
      <w:pPr>
        <w:spacing w:after="0" w:line="1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an Official Body so long as such ownership interest does not result in or provide such Lender with immunity from the jurisdiction of courts within the United States or from the enforcement of judgments or writs of attachment on its assets or permit such Lender (or such Official Body)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xml:space="preserve"> [Defaulting Lender Cure]) upon delivery of written notice of such determination to the Borrower, the Issuing Lender, the Swingline Loan Lender and each Lender.</w:t>
      </w:r>
    </w:p>
    <w:p>
      <w:pPr>
        <w:spacing w:after="0" w:line="200" w:lineRule="exact"/>
        <w:rPr>
          <w:sz w:val="20"/>
          <w:szCs w:val="20"/>
          <w:color w:val="auto"/>
        </w:rPr>
      </w:pPr>
    </w:p>
    <w:p>
      <w:pPr>
        <w:spacing w:after="0" w:line="245"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62 “</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U.S. Dollars</w:t>
      </w:r>
      <w:r>
        <w:rPr>
          <w:rFonts w:ascii="Times New Roman" w:cs="Times New Roman" w:eastAsia="Times New Roman" w:hAnsi="Times New Roman"/>
          <w:sz w:val="20"/>
          <w:szCs w:val="20"/>
          <w:color w:val="auto"/>
        </w:rPr>
        <w:t>” and the symbol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in each case, the lawful currency of the United States of America.</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63 “</w:t>
      </w:r>
      <w:r>
        <w:rPr>
          <w:rFonts w:ascii="Times New Roman" w:cs="Times New Roman" w:eastAsia="Times New Roman" w:hAnsi="Times New Roman"/>
          <w:sz w:val="20"/>
          <w:szCs w:val="20"/>
          <w:u w:val="single" w:color="auto"/>
          <w:color w:val="auto"/>
        </w:rPr>
        <w:t>Domestic Account</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8.12</w:t>
      </w:r>
      <w:r>
        <w:rPr>
          <w:rFonts w:ascii="Times New Roman" w:cs="Times New Roman" w:eastAsia="Times New Roman" w:hAnsi="Times New Roman"/>
          <w:sz w:val="20"/>
          <w:szCs w:val="20"/>
          <w:color w:val="auto"/>
        </w:rPr>
        <w:t xml:space="preserve"> [Cash Management].</w:t>
      </w:r>
    </w:p>
    <w:p>
      <w:pPr>
        <w:spacing w:after="0" w:line="228"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64 “</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of the Borrower that is organized under the Laws of the United States, a State thereof or the District of Columbia.</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65 “</w:t>
      </w:r>
      <w:r>
        <w:rPr>
          <w:rFonts w:ascii="Times New Roman" w:cs="Times New Roman" w:eastAsia="Times New Roman" w:hAnsi="Times New Roman"/>
          <w:sz w:val="20"/>
          <w:szCs w:val="20"/>
          <w:u w:val="single" w:color="auto"/>
          <w:color w:val="auto"/>
        </w:rPr>
        <w:t>Drawing Date</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xml:space="preserve"> [Disbursements, Reimbursement].</w:t>
      </w:r>
    </w:p>
    <w:p>
      <w:pPr>
        <w:spacing w:after="0" w:line="216" w:lineRule="exact"/>
        <w:rPr>
          <w:sz w:val="20"/>
          <w:szCs w:val="20"/>
          <w:color w:val="auto"/>
        </w:rPr>
      </w:pPr>
    </w:p>
    <w:p>
      <w:pPr>
        <w:jc w:val="both"/>
        <w:ind w:firstLine="1223"/>
        <w:spacing w:after="0" w:line="265" w:lineRule="auto"/>
        <w:rPr>
          <w:sz w:val="20"/>
          <w:szCs w:val="20"/>
          <w:color w:val="auto"/>
        </w:rPr>
      </w:pPr>
      <w:r>
        <w:rPr>
          <w:rFonts w:ascii="Times New Roman" w:cs="Times New Roman" w:eastAsia="Times New Roman" w:hAnsi="Times New Roman"/>
          <w:sz w:val="20"/>
          <w:szCs w:val="20"/>
          <w:color w:val="auto"/>
        </w:rPr>
        <w:t>ARTICLE 66 “</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67 “</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Norway.</w:t>
      </w:r>
    </w:p>
    <w:p>
      <w:pPr>
        <w:spacing w:after="0" w:line="206"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68 “</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185" w:name="page186"/>
    <w:bookmarkEnd w:id="185"/>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69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the date indicated in a document or agreement to be the date on which such document or agreement becomes effective, or, if there is no such indication, the date of execution of such document or agreement.</w:t>
      </w:r>
    </w:p>
    <w:p>
      <w:pPr>
        <w:spacing w:after="0" w:line="134" w:lineRule="exact"/>
        <w:rPr>
          <w:sz w:val="20"/>
          <w:szCs w:val="20"/>
          <w:color w:val="auto"/>
        </w:rPr>
      </w:pPr>
    </w:p>
    <w:p>
      <w:pPr>
        <w:jc w:val="both"/>
        <w:ind w:firstLine="1223"/>
        <w:spacing w:after="0" w:line="260" w:lineRule="auto"/>
        <w:rPr>
          <w:sz w:val="20"/>
          <w:szCs w:val="20"/>
          <w:color w:val="auto"/>
        </w:rPr>
      </w:pPr>
      <w:r>
        <w:rPr>
          <w:rFonts w:ascii="Times New Roman" w:cs="Times New Roman" w:eastAsia="Times New Roman" w:hAnsi="Times New Roman"/>
          <w:sz w:val="20"/>
          <w:szCs w:val="20"/>
          <w:color w:val="auto"/>
        </w:rPr>
        <w:t>ARTICLE 70 “</w:t>
      </w:r>
      <w:r>
        <w:rPr>
          <w:rFonts w:ascii="Times New Roman" w:cs="Times New Roman" w:eastAsia="Times New Roman" w:hAnsi="Times New Roman"/>
          <w:sz w:val="20"/>
          <w:szCs w:val="20"/>
          <w:u w:val="single" w:color="auto"/>
          <w:color w:val="auto"/>
        </w:rPr>
        <w:t>Effective Federal Funds Rate</w:t>
      </w:r>
      <w:r>
        <w:rPr>
          <w:rFonts w:ascii="Times New Roman" w:cs="Times New Roman" w:eastAsia="Times New Roman" w:hAnsi="Times New Roman"/>
          <w:sz w:val="20"/>
          <w:szCs w:val="20"/>
          <w:color w:val="auto"/>
        </w:rPr>
        <w:t xml:space="preserve">” means for any day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as of the date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Federal Reserve Bank (or its successor) does not announce such rate on any day, the “Effective Federal Funds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Agreement.</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12.8(b)</w:t>
      </w:r>
    </w:p>
    <w:p>
      <w:pPr>
        <w:spacing w:after="0" w:line="21" w:lineRule="exact"/>
        <w:rPr>
          <w:sz w:val="20"/>
          <w:szCs w:val="20"/>
          <w:color w:val="auto"/>
        </w:rPr>
      </w:pPr>
    </w:p>
    <w:p>
      <w:pPr>
        <w:ind w:firstLine="2"/>
        <w:spacing w:after="0" w:line="252" w:lineRule="auto"/>
        <w:tabs>
          <w:tab w:leader="none" w:pos="358" w:val="left"/>
        </w:tabs>
        <w:numPr>
          <w:ilvl w:val="0"/>
          <w:numId w:val="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[Assignment and Assumption Agreement],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[No Assignment to Certain Persons] 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[No Assignment to Natural Persons] (subject to such consents, if any, as may be required under </w:t>
      </w:r>
      <w:r>
        <w:rPr>
          <w:rFonts w:ascii="Times New Roman" w:cs="Times New Roman" w:eastAsia="Times New Roman" w:hAnsi="Times New Roman"/>
          <w:sz w:val="20"/>
          <w:szCs w:val="20"/>
          <w:u w:val="single" w:color="auto"/>
          <w:color w:val="auto"/>
        </w:rPr>
        <w:t>Section 12.8(b)(iii)</w:t>
      </w:r>
      <w:r>
        <w:rPr>
          <w:rFonts w:ascii="Times New Roman" w:cs="Times New Roman" w:eastAsia="Times New Roman" w:hAnsi="Times New Roman"/>
          <w:sz w:val="20"/>
          <w:szCs w:val="20"/>
          <w:color w:val="auto"/>
        </w:rPr>
        <w:t xml:space="preserve"> [Required Consents]).</w:t>
      </w:r>
    </w:p>
    <w:p>
      <w:pPr>
        <w:ind w:left="1220"/>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ARTICLE 71</w:t>
      </w:r>
    </w:p>
    <w:p>
      <w:pPr>
        <w:spacing w:after="0" w:line="11" w:lineRule="exact"/>
        <w:rPr>
          <w:rFonts w:ascii="Times New Roman" w:cs="Times New Roman" w:eastAsia="Times New Roman" w:hAnsi="Times New Roman"/>
          <w:sz w:val="20"/>
          <w:szCs w:val="20"/>
          <w:u w:val="single" w:color="auto"/>
          <w:color w:val="auto"/>
        </w:rPr>
      </w:pPr>
    </w:p>
    <w:p>
      <w:pPr>
        <w:ind w:firstLine="1223"/>
        <w:spacing w:after="0" w:line="279" w:lineRule="auto"/>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ARTICLE 72 “</w:t>
      </w:r>
      <w:r>
        <w:rPr>
          <w:rFonts w:ascii="Times New Roman" w:cs="Times New Roman" w:eastAsia="Times New Roman" w:hAnsi="Times New Roman"/>
          <w:sz w:val="20"/>
          <w:szCs w:val="20"/>
          <w:u w:val="single" w:color="auto"/>
          <w:color w:val="auto"/>
        </w:rPr>
        <w:t>Eligible Contract Participant</w:t>
      </w:r>
      <w:r>
        <w:rPr>
          <w:rFonts w:ascii="Times New Roman" w:cs="Times New Roman" w:eastAsia="Times New Roman" w:hAnsi="Times New Roman"/>
          <w:sz w:val="20"/>
          <w:szCs w:val="20"/>
          <w:color w:val="auto"/>
        </w:rPr>
        <w:t>” means an “eligible contract participant” as defined in the CEA and regulations thereunder.</w:t>
      </w:r>
    </w:p>
    <w:p>
      <w:pPr>
        <w:spacing w:after="0" w:line="144"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ARTICLE 73 “</w:t>
      </w:r>
      <w:r>
        <w:rPr>
          <w:rFonts w:ascii="Times New Roman" w:cs="Times New Roman" w:eastAsia="Times New Roman" w:hAnsi="Times New Roman"/>
          <w:sz w:val="20"/>
          <w:szCs w:val="20"/>
          <w:u w:val="single" w:color="auto"/>
          <w:color w:val="auto"/>
        </w:rPr>
        <w:t>Eligibility Date</w:t>
      </w:r>
      <w:r>
        <w:rPr>
          <w:rFonts w:ascii="Times New Roman" w:cs="Times New Roman" w:eastAsia="Times New Roman" w:hAnsi="Times New Roman"/>
          <w:sz w:val="20"/>
          <w:szCs w:val="20"/>
          <w:color w:val="auto"/>
        </w:rPr>
        <w:t>” means, with respect to each Loan Party and each Swap, the date on which this Agreement or any other Loan Document becomes effective with respect to such Swap (for the avoidance of doubt, the Eligibility Date shall be the Effective Date of such Swap if this Agreement or any other Loan Document is then in effect with respect to such Loan Party, and otherwise it shall be the Effective Date of this Agreement and/or such other Loan Document(s) to which such Loan Party is a party).</w:t>
      </w:r>
    </w:p>
    <w:p>
      <w:pPr>
        <w:spacing w:after="0" w:line="172"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ARTICLE 74 “</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applicable laws, rules, regulations, codes, ordinances, orders, decrees, judgments, injunctions, notices or binding agreements issued, promulgated or entered into by or with any Official Body relating in any way to the environment, preservation or reclamation of natural resources, the management, Release or threatened Release of any Hazardous Material or to health and safety matters concerning exposure to Hazardous Materials.</w:t>
      </w:r>
    </w:p>
    <w:p>
      <w:pPr>
        <w:spacing w:after="0" w:line="160" w:lineRule="exact"/>
        <w:rPr>
          <w:sz w:val="20"/>
          <w:szCs w:val="20"/>
          <w:color w:val="auto"/>
        </w:rPr>
      </w:pPr>
    </w:p>
    <w:p>
      <w:pPr>
        <w:jc w:val="both"/>
        <w:ind w:firstLine="1223"/>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investigation and remediation, costs of administrative oversight, fines, natural resource damages, penalties or indemnities), of the Borrower or any of its Subsidiaries directly or indirectly resulting from or based upon (i) any actual or alleged violation of any Environmental Law, (ii) the generation, use, handling, transportation, storage, treatment or disposal of any Hazardous Materials, (iii) any actual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50" w:right="339" w:bottom="1440" w:gutter="0" w:footer="0" w:header="0"/>
        </w:sectPr>
      </w:pPr>
    </w:p>
    <w:bookmarkStart w:id="186" w:name="page187"/>
    <w:bookmarkEnd w:id="186"/>
    <w:p>
      <w:pPr>
        <w:jc w:val="both"/>
        <w:spacing w:after="0" w:line="289" w:lineRule="auto"/>
        <w:rPr>
          <w:sz w:val="20"/>
          <w:szCs w:val="20"/>
          <w:color w:val="auto"/>
        </w:rPr>
      </w:pPr>
      <w:r>
        <w:rPr>
          <w:rFonts w:ascii="Times New Roman" w:cs="Times New Roman" w:eastAsia="Times New Roman" w:hAnsi="Times New Roman"/>
          <w:sz w:val="20"/>
          <w:szCs w:val="20"/>
          <w:color w:val="auto"/>
        </w:rPr>
        <w:t>alleged exposure to any Hazardous Materials, (iv) the Release or threatened Release of any Hazardous Materials or (v) any contract, agreement or other consensual arrangement pursuant to which liability is assumed or imposed with respect to any of the foregoing.</w:t>
      </w:r>
    </w:p>
    <w:p>
      <w:pPr>
        <w:spacing w:after="0" w:line="134" w:lineRule="exact"/>
        <w:rPr>
          <w:sz w:val="20"/>
          <w:szCs w:val="20"/>
          <w:color w:val="auto"/>
        </w:rPr>
      </w:pPr>
    </w:p>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3a11-1 of the General Rules and Regulations promulgated by the Securities and Exchange Commission under the Exchange Act).</w:t>
      </w:r>
    </w:p>
    <w:p>
      <w:pPr>
        <w:spacing w:after="0" w:line="153"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75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U.S. Employee Retirement Income Security Act of 1974, as the same may be amended or supplemented from time to time, and any successor statute of similar import, and the rules and regulations thereunder, as from time to time in effect.</w:t>
      </w:r>
    </w:p>
    <w:p>
      <w:pPr>
        <w:spacing w:after="0" w:line="146"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76 “</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Person that for purposes of Title I or Title IV of ERISA or Section 412 of the Code would be deemed at any relevant time to be a “single employer” or otherwise aggregated with the Borrower or any of its Subsidiaries under Section 414(b), (c), (m) or (o) of the Code or Section 4001 of ERISA.</w:t>
      </w:r>
    </w:p>
    <w:p>
      <w:pPr>
        <w:spacing w:after="0" w:line="151" w:lineRule="exact"/>
        <w:rPr>
          <w:sz w:val="20"/>
          <w:szCs w:val="20"/>
          <w:color w:val="auto"/>
        </w:rPr>
      </w:pPr>
    </w:p>
    <w:p>
      <w:pPr>
        <w:jc w:val="both"/>
        <w:ind w:firstLine="1223"/>
        <w:spacing w:after="0" w:line="257" w:lineRule="auto"/>
        <w:rPr>
          <w:sz w:val="20"/>
          <w:szCs w:val="20"/>
          <w:color w:val="auto"/>
        </w:rPr>
      </w:pPr>
      <w:r>
        <w:rPr>
          <w:rFonts w:ascii="Times New Roman" w:cs="Times New Roman" w:eastAsia="Times New Roman" w:hAnsi="Times New Roman"/>
          <w:sz w:val="20"/>
          <w:szCs w:val="20"/>
          <w:color w:val="auto"/>
        </w:rPr>
        <w:t>ARTICLE 77 “</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(i) any “reportable event” as defined in Section 4043 of ERISA with respect to a Pension Plan (other than an event as to which the PBGC has waived under subsection .22, .23, .25, .27 or .28 of PBGC Regulation Section 4043 the requirement of Section 4043(a) of ERISA that it be notified of such event); (ii) any failure to make a required contribution to any Pension Plan that would result in the imposition of a lien or other encumbrance or the provision of security under Section 430 of the Code or Section 303 or 4068 of ERISA, or the arising of such a lien or encumbrance, or there being or arising any “unpaid minimum required contribution” or “accumulated funding deficiency” (as defined or otherwise set forth in Section 4971 of the Code or Part 3 of Subtitle B of Title 1 of ERISA), whether or not waived, or any filing of any request for or receipt of a minimum funding waiver under Section 412 of the Code or Section 302 of ERISA with respect to any Pension Plan or Multiemployer Plan, or that such filing may be made, or any determination that any Pension Plan is, or is expected to be, in at-risk status under Title IV of ERISA;</w:t>
      </w:r>
    </w:p>
    <w:p>
      <w:pPr>
        <w:spacing w:after="0" w:line="9" w:lineRule="exact"/>
        <w:rPr>
          <w:sz w:val="20"/>
          <w:szCs w:val="20"/>
          <w:color w:val="auto"/>
        </w:rPr>
      </w:pPr>
    </w:p>
    <w:p>
      <w:pPr>
        <w:jc w:val="both"/>
        <w:ind w:firstLine="2"/>
        <w:spacing w:after="0" w:line="255" w:lineRule="auto"/>
        <w:tabs>
          <w:tab w:leader="none" w:pos="36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incurrence by the Borrower or any other member of the ERISA Group of any liability under Title IV of ERISA with respect to any Pension Plan or Multiemployer Plan (other than for premiums due and not delinquent under Section 4007 of ERISA); (iv) any institution of proceedings, or the occurrence of an event or condition which would reasonably be expected to constitute grounds for the institution of proceedings by the PBGC, under Section 4042 of ERISA for the termination of, or the appointment of a trustee to administer, any Pension Plan; (v) any incurrence by the Borrower or any other member of the ERISA Group of any liability with respect to the complete withdrawal or partial withdrawal from any Multiemployer Plan, or the receipt by the Borrower or any other member of the ERISA Group of any notice that a Multiemployer Plan is in endangered or critical status under Section 305 of ERISA; (vi) any receipt by the Borrower or any other member of the ERISA Group of any notice concerning the imposition of Withdrawal Liability or a determination that a Multiemployer Plan is, or is expected to be, insolvent within the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49" w:right="339" w:bottom="1440" w:gutter="0" w:footer="0" w:header="0"/>
        </w:sectPr>
      </w:pPr>
    </w:p>
    <w:bookmarkStart w:id="187" w:name="page188"/>
    <w:bookmarkEnd w:id="187"/>
    <w:p>
      <w:pPr>
        <w:jc w:val="both"/>
        <w:spacing w:after="0" w:line="269" w:lineRule="auto"/>
        <w:rPr>
          <w:sz w:val="20"/>
          <w:szCs w:val="20"/>
          <w:color w:val="auto"/>
        </w:rPr>
      </w:pPr>
      <w:r>
        <w:rPr>
          <w:rFonts w:ascii="Times New Roman" w:cs="Times New Roman" w:eastAsia="Times New Roman" w:hAnsi="Times New Roman"/>
          <w:sz w:val="20"/>
          <w:szCs w:val="20"/>
          <w:color w:val="auto"/>
        </w:rPr>
        <w:t>of Title IV of ERISA; or (vii) any filing of a notice of intent to terminate any Pension Plan if such termination would require material additional contributions in order to be considered a standard termination within the meaning of Section 4041(b) of ERISA, any filing under Section 4041(c) of ERISA of a notice of intent to terminate any Pension Plan, or the termination of any Pension Plan under Section 4041(c) of ERISA.</w:t>
      </w:r>
    </w:p>
    <w:p>
      <w:pPr>
        <w:spacing w:after="0" w:line="1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78 “</w:t>
      </w:r>
      <w:r>
        <w:rPr>
          <w:rFonts w:ascii="Times New Roman" w:cs="Times New Roman" w:eastAsia="Times New Roman" w:hAnsi="Times New Roman"/>
          <w:sz w:val="20"/>
          <w:szCs w:val="20"/>
          <w:u w:val="single" w:color="auto"/>
          <w:color w:val="auto"/>
        </w:rPr>
        <w:t>ERISA Group</w:t>
      </w:r>
      <w:r>
        <w:rPr>
          <w:rFonts w:ascii="Times New Roman" w:cs="Times New Roman" w:eastAsia="Times New Roman" w:hAnsi="Times New Roman"/>
          <w:sz w:val="20"/>
          <w:szCs w:val="20"/>
          <w:color w:val="auto"/>
        </w:rPr>
        <w:t>” means, at any time, the Borrower and all of its ERISA Affiliates.</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79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80 “</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81 “</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11.15(d)</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82 “</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83 “</w:t>
      </w:r>
      <w:r>
        <w:rPr>
          <w:rFonts w:ascii="Times New Roman" w:cs="Times New Roman" w:eastAsia="Times New Roman" w:hAnsi="Times New Roman"/>
          <w:sz w:val="20"/>
          <w:szCs w:val="20"/>
          <w:u w:val="single" w:color="auto"/>
          <w:color w:val="auto"/>
        </w:rPr>
        <w:t>Erroneous Payment Subrogation Rights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84 “</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85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means any of the events described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[Events of Default].</w:t>
      </w:r>
    </w:p>
    <w:p>
      <w:pPr>
        <w:spacing w:after="0" w:line="216" w:lineRule="exact"/>
        <w:rPr>
          <w:sz w:val="20"/>
          <w:szCs w:val="20"/>
          <w:color w:val="auto"/>
        </w:rPr>
      </w:pPr>
    </w:p>
    <w:p>
      <w:pPr>
        <w:jc w:val="both"/>
        <w:ind w:firstLine="1223"/>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u w:val="single" w:color="auto"/>
          <w:color w:val="auto"/>
        </w:rPr>
        <w:t>Excluded Accounts</w:t>
      </w:r>
      <w:r>
        <w:rPr>
          <w:rFonts w:ascii="Times New Roman" w:cs="Times New Roman" w:eastAsia="Times New Roman" w:hAnsi="Times New Roman"/>
          <w:sz w:val="20"/>
          <w:szCs w:val="20"/>
          <w:color w:val="auto"/>
        </w:rPr>
        <w:t>” shall mean (a) any deposit, commodities or securities account that is used for payroll, payroll taxes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and other employee wage and benefit payments, (b) any deposit, commodities or securities account that is a trust, fiduciary, escrow or tax payment account, and (c) any other deposit, commodities or securities accounts of the Loan Parties which do not at any time have cash, investment property, or other amounts, including Permitted Investments, on deposit therein in excess of $500,000, individually, or $1,000,000 in the aggregate for all such accounts.</w:t>
      </w:r>
    </w:p>
    <w:p>
      <w:pPr>
        <w:spacing w:after="0" w:line="155" w:lineRule="exact"/>
        <w:rPr>
          <w:sz w:val="20"/>
          <w:szCs w:val="20"/>
          <w:color w:val="auto"/>
        </w:rPr>
      </w:pPr>
    </w:p>
    <w:p>
      <w:pPr>
        <w:jc w:val="both"/>
        <w:ind w:firstLine="1223"/>
        <w:spacing w:after="0" w:line="265" w:lineRule="auto"/>
        <w:rPr>
          <w:sz w:val="20"/>
          <w:szCs w:val="20"/>
          <w:color w:val="auto"/>
        </w:rPr>
      </w:pPr>
      <w:r>
        <w:rPr>
          <w:rFonts w:ascii="Times New Roman" w:cs="Times New Roman" w:eastAsia="Times New Roman" w:hAnsi="Times New Roman"/>
          <w:sz w:val="20"/>
          <w:szCs w:val="20"/>
          <w:color w:val="auto"/>
        </w:rPr>
        <w:t>ARTICLE 86 “</w:t>
      </w:r>
      <w:r>
        <w:rPr>
          <w:rFonts w:ascii="Times New Roman" w:cs="Times New Roman" w:eastAsia="Times New Roman" w:hAnsi="Times New Roman"/>
          <w:sz w:val="20"/>
          <w:szCs w:val="20"/>
          <w:u w:val="single" w:color="auto"/>
          <w:color w:val="auto"/>
        </w:rPr>
        <w:t>Excluded Hedge Liability</w:t>
      </w:r>
      <w:r>
        <w:rPr>
          <w:rFonts w:ascii="Times New Roman" w:cs="Times New Roman" w:eastAsia="Times New Roman" w:hAnsi="Times New Roman"/>
          <w:sz w:val="20"/>
          <w:szCs w:val="20"/>
          <w:color w:val="auto"/>
        </w:rPr>
        <w:t>” means, with respect to each Loan Party, each of its Swap Obligations if, and only to the extent that, all or any portion of this Agreement or any other Loan Document that relates to such Swap Obligation is or becomes illegal under the CEA, or any rule, regulation or order of the CFTC, solely by virtue of such Loan Party’s failure to qualify as an Eligible Contract Participant on the Eligibility Date for such Swap. Notwithstanding anything to the contrary contained in the foregoing or in any other provision of this Agreement or any other Loan Document, the foregoing is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49" w:right="339" w:bottom="1440" w:gutter="0" w:footer="0" w:header="0"/>
        </w:sectPr>
      </w:pPr>
    </w:p>
    <w:bookmarkStart w:id="188" w:name="page189"/>
    <w:bookmarkEnd w:id="188"/>
    <w:p>
      <w:pPr>
        <w:jc w:val="both"/>
        <w:spacing w:after="0" w:line="258" w:lineRule="auto"/>
        <w:rPr>
          <w:sz w:val="20"/>
          <w:szCs w:val="20"/>
          <w:color w:val="auto"/>
        </w:rPr>
      </w:pPr>
      <w:r>
        <w:rPr>
          <w:rFonts w:ascii="Times New Roman" w:cs="Times New Roman" w:eastAsia="Times New Roman" w:hAnsi="Times New Roman"/>
          <w:sz w:val="20"/>
          <w:szCs w:val="20"/>
          <w:color w:val="auto"/>
        </w:rPr>
        <w:t>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(b) 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Loan Party executing this Agreement or the other Loan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spacing w:after="0" w:line="171" w:lineRule="exact"/>
        <w:rPr>
          <w:sz w:val="20"/>
          <w:szCs w:val="20"/>
          <w:color w:val="auto"/>
        </w:rPr>
      </w:pPr>
    </w:p>
    <w:p>
      <w:pPr>
        <w:jc w:val="both"/>
        <w:ind w:firstLine="1223"/>
        <w:spacing w:after="0" w:line="257" w:lineRule="auto"/>
        <w:rPr>
          <w:sz w:val="20"/>
          <w:szCs w:val="20"/>
          <w:color w:val="auto"/>
        </w:rPr>
      </w:pPr>
      <w:r>
        <w:rPr>
          <w:rFonts w:ascii="Times New Roman" w:cs="Times New Roman" w:eastAsia="Times New Roman" w:hAnsi="Times New Roman"/>
          <w:sz w:val="20"/>
          <w:szCs w:val="20"/>
          <w:color w:val="auto"/>
        </w:rPr>
        <w:t>ARTICLE 87 “</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such Loan or Commitment (other than pursuant to an assignment request by the Borrower under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[Replacement of a Lender])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[Taxes],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5.9(g)</w:t>
      </w:r>
      <w:r>
        <w:rPr>
          <w:rFonts w:ascii="Times New Roman" w:cs="Times New Roman" w:eastAsia="Times New Roman" w:hAnsi="Times New Roman"/>
          <w:sz w:val="20"/>
          <w:szCs w:val="20"/>
          <w:color w:val="auto"/>
        </w:rPr>
        <w:t xml:space="preserve"> [Status of Lenders], and (d) any U.S. federal withholding Taxes imposed under FATCA (except to the extent imposed due to the failure of the Borrower to provide documentation or information to the IRS).</w:t>
      </w:r>
    </w:p>
    <w:p>
      <w:pPr>
        <w:spacing w:after="0" w:line="186" w:lineRule="exact"/>
        <w:rPr>
          <w:sz w:val="20"/>
          <w:szCs w:val="20"/>
          <w:color w:val="auto"/>
        </w:rPr>
      </w:pPr>
    </w:p>
    <w:p>
      <w:pPr>
        <w:jc w:val="both"/>
        <w:ind w:firstLine="1223"/>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means that certain Credit Agreement, dated as of February 18, 2022, by and among Kratos Defense &amp; Security Solutions, Inc., as the borrower, the other loan parties from time to time party thereto, the lenders from time to time party thereto and Truist Bank, as the administrative agent (as amended by that certain First Amendment to Credit Agreement, dated as of March 9, 2023, that certain Second Amendment to Credit Agreement, dated as of March 8, 2024, and that certain Third Amendment to Credit Agreement, dated as of November 4, 2025).</w:t>
      </w:r>
    </w:p>
    <w:p>
      <w:pPr>
        <w:spacing w:after="0" w:line="163" w:lineRule="exact"/>
        <w:rPr>
          <w:sz w:val="20"/>
          <w:szCs w:val="20"/>
          <w:color w:val="auto"/>
        </w:rPr>
      </w:pPr>
    </w:p>
    <w:p>
      <w:pPr>
        <w:jc w:val="both"/>
        <w:ind w:firstLine="1223"/>
        <w:spacing w:after="0" w:line="302" w:lineRule="auto"/>
        <w:rPr>
          <w:sz w:val="20"/>
          <w:szCs w:val="20"/>
          <w:color w:val="auto"/>
        </w:rPr>
      </w:pPr>
      <w:r>
        <w:rPr>
          <w:rFonts w:ascii="Times New Roman" w:cs="Times New Roman" w:eastAsia="Times New Roman" w:hAnsi="Times New Roman"/>
          <w:sz w:val="20"/>
          <w:szCs w:val="20"/>
          <w:color w:val="auto"/>
        </w:rPr>
        <w:t>ARTICLE 88 “</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those letters of credit existing on the Closing Date and identified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49" w:right="339" w:bottom="1440" w:gutter="0" w:footer="0" w:header="0"/>
        </w:sectPr>
      </w:pPr>
    </w:p>
    <w:bookmarkStart w:id="189" w:name="page190"/>
    <w:bookmarkEnd w:id="189"/>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xml:space="preserve">” means, with respect to the Revolving Credit Commitments, February 20, 2031, as such date may be extended with respect to certain Lenders’ Revolving Credit Commitments pursuant to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[Modifications, Amendments or Waivers].</w:t>
      </w:r>
    </w:p>
    <w:p>
      <w:pPr>
        <w:spacing w:after="0" w:line="163" w:lineRule="exact"/>
        <w:rPr>
          <w:sz w:val="20"/>
          <w:szCs w:val="20"/>
          <w:color w:val="auto"/>
        </w:rPr>
      </w:pPr>
    </w:p>
    <w:p>
      <w:pPr>
        <w:jc w:val="both"/>
        <w:ind w:firstLine="1223"/>
        <w:spacing w:after="0" w:line="258" w:lineRule="auto"/>
        <w:rPr>
          <w:sz w:val="20"/>
          <w:szCs w:val="20"/>
          <w:color w:val="auto"/>
        </w:rPr>
      </w:pPr>
      <w:r>
        <w:rPr>
          <w:rFonts w:ascii="Times New Roman" w:cs="Times New Roman" w:eastAsia="Times New Roman" w:hAnsi="Times New Roman"/>
          <w:sz w:val="20"/>
          <w:szCs w:val="20"/>
          <w:color w:val="auto"/>
        </w:rPr>
        <w:t>ARTICLE 89 “</w:t>
      </w:r>
      <w:r>
        <w:rPr>
          <w:rFonts w:ascii="Times New Roman" w:cs="Times New Roman" w:eastAsia="Times New Roman" w:hAnsi="Times New Roman"/>
          <w:sz w:val="20"/>
          <w:szCs w:val="20"/>
          <w:u w:val="single" w:color="auto"/>
          <w:color w:val="auto"/>
        </w:rPr>
        <w:t>Facility Termination Date</w:t>
      </w:r>
      <w:r>
        <w:rPr>
          <w:rFonts w:ascii="Times New Roman" w:cs="Times New Roman" w:eastAsia="Times New Roman" w:hAnsi="Times New Roman"/>
          <w:sz w:val="20"/>
          <w:szCs w:val="20"/>
          <w:color w:val="auto"/>
        </w:rPr>
        <w:t>” means the date as of which all of the following shall have occurred: (a) the aggregate Commitments have been terminated, (b) all Obligations have been paid in full (other than (i) contingent indemnification obligations that are not yet due and (ii) obligations and liabilities under any Lender Provided Interest Rate Hedge and any Other Lender Provided Financial Service Product (other than any such obligations for which written notice has been received by the Administrative Agent that either (x) amounts are currently due and payable under such Lender Provided Interest Rate Hedge and any Other Lender Provided Financial Service Product, as applicable, or (y) no arrangements reasonably satisfactory to the applicable Cash Management Bank or Hedge Bank have been made)), and (c) all Letters of Credit have terminated or expired (other than Letters of Credit as to which other arrangements with respect thereto reasonably satisfactory to the Administrative Agent (to the extent the Administrative Agent is a party to such arrangements) and the Issuing Lender, including the provision of cash collateral, shall have been made).</w:t>
      </w:r>
    </w:p>
    <w:p>
      <w:pPr>
        <w:spacing w:after="0" w:line="169" w:lineRule="exact"/>
        <w:rPr>
          <w:sz w:val="20"/>
          <w:szCs w:val="20"/>
          <w:color w:val="auto"/>
        </w:rPr>
      </w:pPr>
    </w:p>
    <w:p>
      <w:pPr>
        <w:jc w:val="both"/>
        <w:ind w:firstLine="1223"/>
        <w:spacing w:after="0" w:line="265" w:lineRule="auto"/>
        <w:rPr>
          <w:sz w:val="20"/>
          <w:szCs w:val="20"/>
          <w:color w:val="auto"/>
        </w:rPr>
      </w:pPr>
      <w:r>
        <w:rPr>
          <w:rFonts w:ascii="Times New Roman" w:cs="Times New Roman" w:eastAsia="Times New Roman" w:hAnsi="Times New Roman"/>
          <w:sz w:val="20"/>
          <w:szCs w:val="20"/>
          <w:color w:val="auto"/>
        </w:rPr>
        <w:t>ARTICLE 90 “</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Official Bodies and implementing such Sections of the Code.</w:t>
      </w:r>
    </w:p>
    <w:p>
      <w:pPr>
        <w:spacing w:after="0" w:line="15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91 “</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shall mean any fiscal quarter of the Borrower.</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92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shall mean any fiscal year of the Borrower.</w:t>
      </w:r>
    </w:p>
    <w:p>
      <w:pPr>
        <w:spacing w:after="0" w:line="228"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93 “</w:t>
      </w:r>
      <w:r>
        <w:rPr>
          <w:rFonts w:ascii="Times New Roman" w:cs="Times New Roman" w:eastAsia="Times New Roman" w:hAnsi="Times New Roman"/>
          <w:sz w:val="20"/>
          <w:szCs w:val="20"/>
          <w:u w:val="single" w:color="auto"/>
          <w:color w:val="auto"/>
        </w:rPr>
        <w:t>Foreign Holding Company</w:t>
      </w:r>
      <w:r>
        <w:rPr>
          <w:rFonts w:ascii="Times New Roman" w:cs="Times New Roman" w:eastAsia="Times New Roman" w:hAnsi="Times New Roman"/>
          <w:sz w:val="20"/>
          <w:szCs w:val="20"/>
          <w:color w:val="auto"/>
        </w:rPr>
        <w:t>” means any Subsidiary of the Borrower all or substantially all of the assets of which are comprised of Equity Interests in one or more CFCs or CFC Debt.</w:t>
      </w:r>
    </w:p>
    <w:p>
      <w:pPr>
        <w:spacing w:after="0" w:line="134"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94 “</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(i) if the Borrower is a U.S. Person, a Lender that is not a U.S. Person, and (ii) if the Borrower is not a U.S. Person, a Lender that is resident or organized under the Laws of a jurisdiction other than that in which the Borrower is resident for tax purposes.</w:t>
      </w:r>
    </w:p>
    <w:p>
      <w:pPr>
        <w:spacing w:after="0" w:line="163"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95 “</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of the Borrower that is organized under the Laws of a jurisdiction other than the United States, a State thereof or the District of Columbia.</w:t>
      </w:r>
    </w:p>
    <w:p>
      <w:pPr>
        <w:spacing w:after="0" w:line="121"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the Issuing Lender, such Defaulting Lender’s Ratable Share of the outstanding Letter of Credit Obligations with respect to Letters of Credit issued by such Issuing Lender other than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349" w:right="339" w:bottom="1440" w:gutter="0" w:footer="0" w:header="0"/>
        </w:sectPr>
      </w:pPr>
    </w:p>
    <w:bookmarkStart w:id="190" w:name="page191"/>
    <w:bookmarkEnd w:id="190"/>
    <w:p>
      <w:pPr>
        <w:jc w:val="both"/>
        <w:spacing w:after="0" w:line="252" w:lineRule="auto"/>
        <w:rPr>
          <w:sz w:val="20"/>
          <w:szCs w:val="20"/>
          <w:color w:val="auto"/>
        </w:rPr>
      </w:pPr>
      <w:r>
        <w:rPr>
          <w:rFonts w:ascii="Times New Roman" w:cs="Times New Roman" w:eastAsia="Times New Roman" w:hAnsi="Times New Roman"/>
          <w:sz w:val="20"/>
          <w:szCs w:val="20"/>
          <w:color w:val="auto"/>
        </w:rPr>
        <w:t>Letter of Credit Obligations as to which such Defaulting Lender’s participation obligation has been reallocated to other Lenders or Cash Collateralized in accordance with the terms hereof, and (b) with respect to any Swingline Loan Lender, such Defaulting Lender’s Ratable Share of outstanding Swingline Loans made by such Swingline Loan Lender other than Swingline Loans as to which such Defaulting Lender’s participation obligation has been reallocated to other Lenders.</w:t>
      </w:r>
    </w:p>
    <w:p>
      <w:pPr>
        <w:ind w:left="1220"/>
        <w:spacing w:after="0"/>
        <w:rPr>
          <w:sz w:val="20"/>
          <w:szCs w:val="20"/>
          <w:color w:val="auto"/>
        </w:rPr>
      </w:pPr>
      <w:r>
        <w:rPr>
          <w:rFonts w:ascii="Times New Roman" w:cs="Times New Roman" w:eastAsia="Times New Roman" w:hAnsi="Times New Roman"/>
          <w:sz w:val="20"/>
          <w:szCs w:val="20"/>
          <w:color w:val="auto"/>
        </w:rPr>
        <w:t>ARTICLE 96</w:t>
      </w:r>
    </w:p>
    <w:p>
      <w:pPr>
        <w:spacing w:after="0" w:line="23" w:lineRule="exact"/>
        <w:rPr>
          <w:sz w:val="20"/>
          <w:szCs w:val="20"/>
          <w:color w:val="auto"/>
        </w:rPr>
      </w:pPr>
    </w:p>
    <w:p>
      <w:pPr>
        <w:jc w:val="both"/>
        <w:ind w:firstLine="1223"/>
        <w:spacing w:after="0" w:line="266" w:lineRule="auto"/>
        <w:rPr>
          <w:sz w:val="20"/>
          <w:szCs w:val="20"/>
          <w:color w:val="auto"/>
        </w:rPr>
      </w:pPr>
      <w:r>
        <w:rPr>
          <w:rFonts w:ascii="Times New Roman" w:cs="Times New Roman" w:eastAsia="Times New Roman" w:hAnsi="Times New Roman"/>
          <w:sz w:val="20"/>
          <w:szCs w:val="20"/>
          <w:color w:val="auto"/>
        </w:rPr>
        <w:t>ARTICLE 97 “</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56"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98 “</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in the United States of America as are in effect from time to time, subject to the provisions of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[Accounting Principles; Changes in GAAP], and applied on a consistent basis both as to classification of items and amounts.</w:t>
      </w:r>
    </w:p>
    <w:p>
      <w:pPr>
        <w:spacing w:after="0" w:line="146" w:lineRule="exact"/>
        <w:rPr>
          <w:sz w:val="20"/>
          <w:szCs w:val="20"/>
          <w:color w:val="auto"/>
        </w:rPr>
      </w:pPr>
    </w:p>
    <w:p>
      <w:pPr>
        <w:jc w:val="both"/>
        <w:ind w:firstLine="1223"/>
        <w:spacing w:after="0" w:line="263" w:lineRule="auto"/>
        <w:rPr>
          <w:sz w:val="20"/>
          <w:szCs w:val="20"/>
          <w:color w:val="auto"/>
        </w:rPr>
      </w:pPr>
      <w:r>
        <w:rPr>
          <w:rFonts w:ascii="Times New Roman" w:cs="Times New Roman" w:eastAsia="Times New Roman" w:hAnsi="Times New Roman"/>
          <w:sz w:val="20"/>
          <w:szCs w:val="20"/>
          <w:color w:val="auto"/>
        </w:rPr>
        <w:t>ARTICLE 99 “</w:t>
      </w:r>
      <w:r>
        <w:rPr>
          <w:rFonts w:ascii="Times New Roman" w:cs="Times New Roman" w:eastAsia="Times New Roman" w:hAnsi="Times New Roman"/>
          <w:sz w:val="20"/>
          <w:szCs w:val="20"/>
          <w:u w:val="single" w:color="auto"/>
          <w:color w:val="auto"/>
        </w:rPr>
        <w:t>Government Contracts</w:t>
      </w:r>
      <w:r>
        <w:rPr>
          <w:rFonts w:ascii="Times New Roman" w:cs="Times New Roman" w:eastAsia="Times New Roman" w:hAnsi="Times New Roman"/>
          <w:sz w:val="20"/>
          <w:szCs w:val="20"/>
          <w:color w:val="auto"/>
        </w:rPr>
        <w:t>” means, individually or collectively, as the context may require, (i) any contract entered into between any Loan Party or any of their respective Subsidiaries and an agency of the United States Government; and</w:t>
      </w:r>
    </w:p>
    <w:p>
      <w:pPr>
        <w:spacing w:after="0" w:line="2" w:lineRule="exact"/>
        <w:rPr>
          <w:sz w:val="20"/>
          <w:szCs w:val="20"/>
          <w:color w:val="auto"/>
        </w:rPr>
      </w:pPr>
    </w:p>
    <w:p>
      <w:pPr>
        <w:jc w:val="both"/>
        <w:ind w:firstLine="2"/>
        <w:spacing w:after="0" w:line="257" w:lineRule="auto"/>
        <w:tabs>
          <w:tab w:leader="none" w:pos="311"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subcontracts at any tier between any Loan Party or any of their respective Subsidiaries and another entity that holds either a prime contract with the United States Government or a subcontract under a prime contract with the Government, in any case including any task orders or delivery orders issued under, or any modifications to, any such prime contract or subcontract (a “</w:t>
      </w:r>
      <w:r>
        <w:rPr>
          <w:rFonts w:ascii="Times New Roman" w:cs="Times New Roman" w:eastAsia="Times New Roman" w:hAnsi="Times New Roman"/>
          <w:sz w:val="20"/>
          <w:szCs w:val="20"/>
          <w:u w:val="single" w:color="auto"/>
          <w:color w:val="auto"/>
        </w:rPr>
        <w:t>Government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Subcontract</w:t>
      </w:r>
      <w:r>
        <w:rPr>
          <w:rFonts w:ascii="Times New Roman" w:cs="Times New Roman" w:eastAsia="Times New Roman" w:hAnsi="Times New Roman"/>
          <w:sz w:val="20"/>
          <w:szCs w:val="20"/>
          <w:color w:val="auto"/>
        </w:rPr>
        <w:t>”). The terms “Government Contracts” and “Government Subcontract” shall also include any offer, proposal or quote for good or services to be delivered by any Loan Party or any of their respective Subsidiaries that if awarded by the United States Government would lead to a Government Contract.</w:t>
      </w:r>
    </w:p>
    <w:p>
      <w:pPr>
        <w:spacing w:after="0" w:line="169"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100“</w:t>
      </w:r>
      <w:r>
        <w:rPr>
          <w:rFonts w:ascii="Times New Roman" w:cs="Times New Roman" w:eastAsia="Times New Roman" w:hAnsi="Times New Roman"/>
          <w:sz w:val="20"/>
          <w:szCs w:val="20"/>
          <w:u w:val="single" w:color="auto"/>
          <w:color w:val="auto"/>
        </w:rPr>
        <w:t>Government Official</w:t>
      </w:r>
      <w:r>
        <w:rPr>
          <w:rFonts w:ascii="Times New Roman" w:cs="Times New Roman" w:eastAsia="Times New Roman" w:hAnsi="Times New Roman"/>
          <w:sz w:val="20"/>
          <w:szCs w:val="20"/>
          <w:color w:val="auto"/>
        </w:rPr>
        <w:t>” means any officer, employee, official, representative, or any Person acting for or on behalf of any Official Body, government-owned or government-controlled association, organization, business, or enterprise, or public international organization, any political party or official thereof and any candidate for political office.</w:t>
      </w:r>
    </w:p>
    <w:p>
      <w:pPr>
        <w:spacing w:after="0" w:line="14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101“</w:t>
      </w:r>
      <w:r>
        <w:rPr>
          <w:rFonts w:ascii="Times New Roman" w:cs="Times New Roman" w:eastAsia="Times New Roman" w:hAnsi="Times New Roman"/>
          <w:sz w:val="20"/>
          <w:szCs w:val="20"/>
          <w:u w:val="single" w:color="auto"/>
          <w:color w:val="auto"/>
        </w:rPr>
        <w:t>Government Subcontract</w:t>
      </w:r>
      <w:r>
        <w:rPr>
          <w:rFonts w:ascii="Times New Roman" w:cs="Times New Roman" w:eastAsia="Times New Roman" w:hAnsi="Times New Roman"/>
          <w:sz w:val="20"/>
          <w:szCs w:val="20"/>
          <w:color w:val="auto"/>
        </w:rPr>
        <w:t>” means as is specified in the definition of “Government Contract”.</w:t>
      </w:r>
    </w:p>
    <w:p>
      <w:pPr>
        <w:spacing w:after="0" w:line="216"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102“</w:t>
      </w:r>
      <w:r>
        <w:rPr>
          <w:rFonts w:ascii="Times New Roman" w:cs="Times New Roman" w:eastAsia="Times New Roman" w:hAnsi="Times New Roman"/>
          <w:sz w:val="20"/>
          <w:szCs w:val="20"/>
          <w:u w:val="single" w:color="auto"/>
          <w:color w:val="auto"/>
        </w:rPr>
        <w:t>Guarantor Joinder</w:t>
      </w:r>
      <w:r>
        <w:rPr>
          <w:rFonts w:ascii="Times New Roman" w:cs="Times New Roman" w:eastAsia="Times New Roman" w:hAnsi="Times New Roman"/>
          <w:sz w:val="20"/>
          <w:szCs w:val="20"/>
          <w:color w:val="auto"/>
        </w:rPr>
        <w:t xml:space="preserve">” means a joinder by a Person as a Guarantor under the Loan Documents in substantially the form of </w:t>
      </w:r>
      <w:r>
        <w:rPr>
          <w:rFonts w:ascii="Times New Roman" w:cs="Times New Roman" w:eastAsia="Times New Roman" w:hAnsi="Times New Roman"/>
          <w:sz w:val="20"/>
          <w:szCs w:val="20"/>
          <w:u w:val="single" w:color="auto"/>
          <w:color w:val="auto"/>
        </w:rPr>
        <w:t>Exhibit B.</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103“</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means any Subsidiary that executes or becomes a party to the Guaranty and Security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205"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104“</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means, with respect to any Person, any obligation of such Person guaranteeing or in effect guaranteeing any liability or obligation of any other Person in any manner, whether directly or indirectly. The amount of obligations under a Guaranty shall be deemed to be an amount equal to the stated or determinable amount of the related 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37" w:right="339" w:bottom="1440" w:gutter="0" w:footer="0" w:header="0"/>
        </w:sectPr>
      </w:pPr>
    </w:p>
    <w:bookmarkStart w:id="191" w:name="page192"/>
    <w:bookmarkEnd w:id="191"/>
    <w:p>
      <w:pPr>
        <w:jc w:val="both"/>
        <w:spacing w:after="0" w:line="271" w:lineRule="auto"/>
        <w:rPr>
          <w:sz w:val="20"/>
          <w:szCs w:val="20"/>
          <w:color w:val="auto"/>
        </w:rPr>
      </w:pPr>
      <w:r>
        <w:rPr>
          <w:rFonts w:ascii="Times New Roman" w:cs="Times New Roman" w:eastAsia="Times New Roman" w:hAnsi="Times New Roman"/>
          <w:sz w:val="20"/>
          <w:szCs w:val="20"/>
          <w:color w:val="auto"/>
        </w:rPr>
        <w:t>obligation, or portion thereof, in respect of which such Guaranty is made or, if not stated or determinable, the maximum reasonably anticipated liability in respect thereof as determined by the Administrative Agent in good faith. The term “Guaranty” used as a verb has a corresponding meaning.</w:t>
      </w:r>
    </w:p>
    <w:p>
      <w:pPr>
        <w:spacing w:after="0" w:line="163"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 and Security Agreement</w:t>
      </w:r>
      <w:r>
        <w:rPr>
          <w:rFonts w:ascii="Times New Roman" w:cs="Times New Roman" w:eastAsia="Times New Roman" w:hAnsi="Times New Roman"/>
          <w:sz w:val="20"/>
          <w:szCs w:val="20"/>
          <w:color w:val="auto"/>
        </w:rPr>
        <w:t>” means shall mean the Guaranty and Security Agreement, dated as of the date hereof, made by the Loan Parties in favor of the Administrative Agent for the benefit of the Secured Parties.</w:t>
      </w:r>
    </w:p>
    <w:p>
      <w:pPr>
        <w:spacing w:after="0" w:line="121" w:lineRule="exact"/>
        <w:rPr>
          <w:sz w:val="20"/>
          <w:szCs w:val="20"/>
          <w:color w:val="auto"/>
        </w:rPr>
      </w:pPr>
    </w:p>
    <w:p>
      <w:pPr>
        <w:jc w:val="both"/>
        <w:ind w:firstLine="1223"/>
        <w:spacing w:after="0" w:line="26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200" w:lineRule="exact"/>
        <w:rPr>
          <w:sz w:val="20"/>
          <w:szCs w:val="20"/>
          <w:color w:val="auto"/>
        </w:rPr>
      </w:pPr>
    </w:p>
    <w:p>
      <w:pPr>
        <w:spacing w:after="0" w:line="204" w:lineRule="exact"/>
        <w:rPr>
          <w:sz w:val="20"/>
          <w:szCs w:val="20"/>
          <w:color w:val="auto"/>
        </w:rPr>
      </w:pPr>
    </w:p>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means (i) as to any Lender Provided Interest Rate Hedge in existence on the Closing Date, any Lender on the Closing Date or Affiliate of such Lender that is a party thereto on the Closing Date, and (ii) as to any Lender Provided Interest Rate Hedge entered into after the Closing Date, any Person that, at the time it enters into such Lender Provided Interest Rate Hedge, is a Lender or an Affiliate of a Lender, in each case in its capacity as a party to such Lender Provided Interest Rate Hedge.</w:t>
      </w:r>
    </w:p>
    <w:p>
      <w:pPr>
        <w:spacing w:after="0" w:line="1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105“</w:t>
      </w:r>
      <w:r>
        <w:rPr>
          <w:rFonts w:ascii="Times New Roman" w:cs="Times New Roman" w:eastAsia="Times New Roman" w:hAnsi="Times New Roman"/>
          <w:sz w:val="20"/>
          <w:szCs w:val="20"/>
          <w:u w:val="single" w:color="auto"/>
          <w:color w:val="auto"/>
        </w:rPr>
        <w:t>Hedge Liabilities</w:t>
      </w:r>
      <w:r>
        <w:rPr>
          <w:rFonts w:ascii="Times New Roman" w:cs="Times New Roman" w:eastAsia="Times New Roman" w:hAnsi="Times New Roman"/>
          <w:sz w:val="20"/>
          <w:szCs w:val="20"/>
          <w:color w:val="auto"/>
        </w:rPr>
        <w:t>” means the Interest Rate Hedge Liabilities.</w:t>
      </w:r>
    </w:p>
    <w:p>
      <w:pPr>
        <w:spacing w:after="0" w:line="216" w:lineRule="exact"/>
        <w:rPr>
          <w:sz w:val="20"/>
          <w:szCs w:val="20"/>
          <w:color w:val="auto"/>
        </w:rPr>
      </w:pPr>
    </w:p>
    <w:p>
      <w:pPr>
        <w:jc w:val="both"/>
        <w:ind w:firstLine="1223"/>
        <w:spacing w:after="0" w:line="260" w:lineRule="auto"/>
        <w:rPr>
          <w:sz w:val="20"/>
          <w:szCs w:val="20"/>
          <w:color w:val="auto"/>
        </w:rPr>
      </w:pPr>
      <w:r>
        <w:rPr>
          <w:rFonts w:ascii="Times New Roman" w:cs="Times New Roman" w:eastAsia="Times New Roman" w:hAnsi="Times New Roman"/>
          <w:sz w:val="20"/>
          <w:szCs w:val="20"/>
          <w:color w:val="auto"/>
        </w:rPr>
        <w:t>ARTICLE 106“</w:t>
      </w:r>
      <w:r>
        <w:rPr>
          <w:rFonts w:ascii="Times New Roman" w:cs="Times New Roman" w:eastAsia="Times New Roman" w:hAnsi="Times New Roman"/>
          <w:sz w:val="20"/>
          <w:szCs w:val="20"/>
          <w:u w:val="single" w:color="auto"/>
          <w:color w:val="auto"/>
        </w:rPr>
        <w:t>Hedge Termination Value</w:t>
      </w:r>
      <w:r>
        <w:rPr>
          <w:rFonts w:ascii="Times New Roman" w:cs="Times New Roman" w:eastAsia="Times New Roman" w:hAnsi="Times New Roman"/>
          <w:sz w:val="20"/>
          <w:szCs w:val="20"/>
          <w:color w:val="auto"/>
        </w:rPr>
        <w:t>” means, in respect of any one or more interest rate hedges, commodity hedges and/or foreign currency hedges, after taking into account the effect of any legally enforceable netting agreement relating to such interest rate hedges, commodity hedges and/or foreign currency hedges, (a) for any date on or after the date such interest rate hedges, commodity hedges and/or foreign currency hedges have been closed out and termination value(s) determined in accordance therewith, such termination value(s), and (b) for any date prior to the date referenced in clause (a), the amount(s) determined as the mark-to-market value(s) for such interest rate hedges, commodity hedges and/or foreign currency hedges, as determined based upon one or more mid-market or other readily available quotations provided by any recognized dealer in such interest rate hedges, commodity hedges and/or foreign currency hedges (which may include an interest rate hedge bank, a commodity hedge bank or foreign currency hedge bank, as applicable).</w:t>
      </w:r>
    </w:p>
    <w:p>
      <w:pPr>
        <w:spacing w:after="0" w:line="200" w:lineRule="exact"/>
        <w:rPr>
          <w:sz w:val="20"/>
          <w:szCs w:val="20"/>
          <w:color w:val="auto"/>
        </w:rPr>
      </w:pPr>
    </w:p>
    <w:p>
      <w:pPr>
        <w:spacing w:after="0" w:line="214"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means, as of any date of determination, any Subsidiary of the Borrower that, in the aggregate with its Subsidiaries, (i) has assets of less than $2,000,000 and (ii) generated less than $4,000,000 in annual revenue during the most recently completed Fiscal Year for which financial statements have been (or are required to have been) delivered hereunder.</w:t>
      </w:r>
    </w:p>
    <w:p>
      <w:pPr>
        <w:spacing w:after="0" w:line="1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Increased Amount Date</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[Incremental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349" w:right="339" w:bottom="1440" w:gutter="0" w:footer="0" w:header="0"/>
        </w:sectPr>
      </w:pPr>
    </w:p>
    <w:bookmarkStart w:id="192" w:name="page193"/>
    <w:bookmarkEnd w:id="192"/>
    <w:p>
      <w:pPr>
        <w:jc w:val="both"/>
        <w:ind w:firstLine="1223"/>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means Indebtedness incurred by any Loan Party consisting of the issuance of one or more series of senior secured notes or loans, junior lien loans or notes, subordinated loans or notes or senior unsecured loans or notes (in each case, in respect of the issuance of notes, whether issued in a public offering, Rule 144A or other private placement or purchase or otherwise) or any bridge financing in lieu of the foregoing, or secured or unsecured “mezzanine” debt, in each case, to the extent secured, subject to (x) with respect to Incremental Equivalent Debt secured on a junior basis to the Obligations, a customary “junior lien” intercreditor agreement in form and substance satisfactory to the Administrative Agent and (y) with respect to Incremental Equivalent Debt secured on a pari passu basis with the Obligations, a “pari passu” intercreditor agreement in form and substance satisfactory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Incremental Equivalent Debt shall be subject to the requirements set forth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[Incremental Loans] applicable to Incremental Term Loan Commitments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except that (a) the requirements set forth in </w:t>
      </w:r>
      <w:r>
        <w:rPr>
          <w:rFonts w:ascii="Times New Roman" w:cs="Times New Roman" w:eastAsia="Times New Roman" w:hAnsi="Times New Roman"/>
          <w:sz w:val="20"/>
          <w:szCs w:val="20"/>
          <w:u w:val="single" w:color="auto"/>
          <w:color w:val="auto"/>
        </w:rPr>
        <w:t>Section 2.11(a)(vi)(1)(I)</w:t>
      </w:r>
      <w:r>
        <w:rPr>
          <w:rFonts w:ascii="Times New Roman" w:cs="Times New Roman" w:eastAsia="Times New Roman" w:hAnsi="Times New Roman"/>
          <w:sz w:val="20"/>
          <w:szCs w:val="20"/>
          <w:color w:val="auto"/>
        </w:rPr>
        <w:t xml:space="preserve"> shall not apply to any Incremental Equivalent Debt consisting of a customary bridge facility so long as, subject to customary conditions, such bridge facility automatically converts into long-term debt satisfying the requirements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2.11(a)(vi)(1)(I)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and (b) such Incremental Equivalent Debt shall not be subject to the requirements set forth </w:t>
      </w:r>
      <w:r>
        <w:rPr>
          <w:rFonts w:ascii="Times New Roman" w:cs="Times New Roman" w:eastAsia="Times New Roman" w:hAnsi="Times New Roman"/>
          <w:sz w:val="20"/>
          <w:szCs w:val="20"/>
          <w:u w:val="single" w:color="auto"/>
          <w:color w:val="auto"/>
        </w:rPr>
        <w:t>Section 2.11(a)(vi)(1)(II)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amount of Incremental Equivalent Debt funded pursuant to the terms of this Agreement shall reduce the total aggregate principal amount for all Incremental Loan Commitments permitted to be incurred hereunder on a dollar-for-dollar basis.</w:t>
      </w:r>
    </w:p>
    <w:p>
      <w:pPr>
        <w:spacing w:after="0" w:line="17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[Incremental Loans].</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Loan Commitments</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[Incremental Loans].</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Loans</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[Incremental Loans].</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u w:val="single" w:color="auto"/>
          <w:color w:val="auto"/>
        </w:rPr>
        <w:t>“Incremental Revolving Credit Commitment</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[Incremental Loans].</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Credit Increase</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[Incremental Loans].</w:t>
      </w:r>
    </w:p>
    <w:p>
      <w:pPr>
        <w:spacing w:after="0" w:line="216" w:lineRule="exact"/>
        <w:rPr>
          <w:sz w:val="20"/>
          <w:szCs w:val="20"/>
          <w:color w:val="auto"/>
        </w:rPr>
      </w:pPr>
    </w:p>
    <w:p>
      <w:pPr>
        <w:jc w:val="both"/>
        <w:ind w:firstLine="1223"/>
        <w:spacing w:after="0" w:line="259" w:lineRule="auto"/>
        <w:rPr>
          <w:sz w:val="20"/>
          <w:szCs w:val="20"/>
          <w:color w:val="auto"/>
        </w:rPr>
      </w:pPr>
      <w:r>
        <w:rPr>
          <w:rFonts w:ascii="Times New Roman" w:cs="Times New Roman" w:eastAsia="Times New Roman" w:hAnsi="Times New Roman"/>
          <w:sz w:val="20"/>
          <w:szCs w:val="20"/>
          <w:color w:val="auto"/>
        </w:rPr>
        <w:t>ARTICLE 107“</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means, of any Person shall mean, without duplication, (i) all obligations of such Person for borrowed money, (ii) all obligations of such Person evidenced by bonds, debentures, notes or other similar instruments, (iii) all obligations of such Person in respect of the deferred purchase price of property or services (other than trade payables incurred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w:t>
      </w:r>
      <w:r>
        <w:rPr>
          <w:rFonts w:ascii="Times New Roman" w:cs="Times New Roman" w:eastAsia="Times New Roman" w:hAnsi="Times New Roman"/>
          <w:sz w:val="20"/>
          <w:szCs w:val="20"/>
          <w:u w:val="single" w:color="auto"/>
          <w:color w:val="auto"/>
        </w:rPr>
        <w:t>Section 8.2(d)</w:t>
      </w:r>
      <w:r>
        <w:rPr>
          <w:rFonts w:ascii="Times New Roman" w:cs="Times New Roman" w:eastAsia="Times New Roman" w:hAnsi="Times New Roman"/>
          <w:sz w:val="20"/>
          <w:szCs w:val="20"/>
          <w:color w:val="auto"/>
        </w:rPr>
        <w:t>, trade payables overdue by more than 180 days shall be included in this definition except to the extent that any of such trade payables are being disputed in good faith and by appropriate measures), (iv) all obligations of such Person under any conditional sale or other title retention agreement(s) relating to property acquired by such Person, (v) all Capital Lease Obligations of such Person, (vi) all obligations, contingent or otherwise, of such Person under or in respect of (x) letters of credit, bankers’ acceptances, demand guarantees and similar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49" w:right="339" w:bottom="1440" w:gutter="0" w:footer="0" w:header="0"/>
        </w:sectPr>
      </w:pPr>
    </w:p>
    <w:bookmarkStart w:id="193" w:name="page194"/>
    <w:bookmarkEnd w:id="193"/>
    <w:p>
      <w:pPr>
        <w:jc w:val="both"/>
        <w:spacing w:after="0" w:line="257" w:lineRule="auto"/>
        <w:rPr>
          <w:sz w:val="20"/>
          <w:szCs w:val="20"/>
          <w:color w:val="auto"/>
        </w:rPr>
      </w:pPr>
      <w:r>
        <w:rPr>
          <w:rFonts w:ascii="Times New Roman" w:cs="Times New Roman" w:eastAsia="Times New Roman" w:hAnsi="Times New Roman"/>
          <w:sz w:val="20"/>
          <w:szCs w:val="20"/>
          <w:color w:val="auto"/>
        </w:rPr>
        <w:t>undertakings or (y) surety bonds, performance bonds and similar instruments issued or created by or for the account of such Person, (vii) all Guarantees of such Person of the type of Indebtedness described in clauses (i) through (vi) above, (viii) all Indebtedness of a third party secured by any Lien on property owned by such Person, whether or not such Indebtedness has been assumed by such Person, (ix) all obligations of such Person, contingent or otherwise, to purchase, redeem, retire or otherwise acquire for value any Equity Interests of such Person, (x) all Off-Balance Sheet Liabilities and (xi) all net Hedge Liabilities. For all purposes hereof, the Indebtedness of any Person shall include the Indebtedness of any partnership or Joint Venture (other than a Joint Venture that is itself a corporation or limited liability company or the foreign equivalent thereof) in which such Person is a general partner or a joint venturer with general liability for the Joint Venture’s obligations, unless such Indebtedness is expressly made non-recourse to such Person. The amount of any net obligation under any Interest Rate Hedge on any date shall be deemed to be the Hedge Termination Value thereof as of such date. The amount of Indebtedness of any Person for purposes of clause (viii) above that is expressly made nonrecourse or limited-recourse (limited solely to the assets securing such Indebtedness) to such Person shall be deemed to be equal to the lesser of (x) the aggregate unpaid amount of such Indebtedness and (y) the fair market value of the property encumbered thereby as determined by such Person in good faith.</w:t>
      </w:r>
    </w:p>
    <w:p>
      <w:pPr>
        <w:spacing w:after="0" w:line="200" w:lineRule="exact"/>
        <w:rPr>
          <w:sz w:val="20"/>
          <w:szCs w:val="20"/>
          <w:color w:val="auto"/>
        </w:rPr>
      </w:pPr>
    </w:p>
    <w:p>
      <w:pPr>
        <w:spacing w:after="0" w:line="219"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108“</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(i) Taxes, other than Excluded Taxes, imposed on or with respect to any payment made by or on account of any obligation of any Loan Party under any Loan Document, and (ii) to the extent not otherwise described in the preceding clause (i), Other Taxes.</w:t>
      </w:r>
    </w:p>
    <w:p>
      <w:pPr>
        <w:spacing w:after="0" w:line="14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109“</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12.3(b)</w:t>
      </w:r>
      <w:r>
        <w:rPr>
          <w:rFonts w:ascii="Times New Roman" w:cs="Times New Roman" w:eastAsia="Times New Roman" w:hAnsi="Times New Roman"/>
          <w:sz w:val="20"/>
          <w:szCs w:val="20"/>
          <w:color w:val="auto"/>
        </w:rPr>
        <w:t xml:space="preserve"> [Indemnification by the Borrower].</w:t>
      </w:r>
    </w:p>
    <w:p>
      <w:pPr>
        <w:spacing w:after="0" w:line="216" w:lineRule="exact"/>
        <w:rPr>
          <w:sz w:val="20"/>
          <w:szCs w:val="20"/>
          <w:color w:val="auto"/>
        </w:rPr>
      </w:pPr>
    </w:p>
    <w:p>
      <w:pPr>
        <w:jc w:val="both"/>
        <w:ind w:firstLine="1223"/>
        <w:spacing w:after="0" w:line="265" w:lineRule="auto"/>
        <w:rPr>
          <w:sz w:val="20"/>
          <w:szCs w:val="20"/>
          <w:color w:val="auto"/>
        </w:rPr>
      </w:pPr>
      <w:r>
        <w:rPr>
          <w:rFonts w:ascii="Times New Roman" w:cs="Times New Roman" w:eastAsia="Times New Roman" w:hAnsi="Times New Roman"/>
          <w:sz w:val="20"/>
          <w:szCs w:val="20"/>
          <w:color w:val="auto"/>
        </w:rPr>
        <w:t>ARTICLE 110“</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the Loan Parties or any of their Subsidiaries relating to the Loan Parties or any of such Subsidiaries or any of their respective businesses, other than any such information that is available to the Administrative Agent, any Lender or the Issuing Lender on a non-confidential basis prior to disclosure by the Loan Parties or any of their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Loan Parties or any of their Subsidiaries after the date of this Agreement, such information is clearly identified at the time of delivery as confidential.</w:t>
      </w:r>
    </w:p>
    <w:p>
      <w:pPr>
        <w:spacing w:after="0" w:line="157" w:lineRule="exact"/>
        <w:rPr>
          <w:sz w:val="20"/>
          <w:szCs w:val="20"/>
          <w:color w:val="auto"/>
        </w:rPr>
      </w:pPr>
    </w:p>
    <w:p>
      <w:pPr>
        <w:jc w:val="both"/>
        <w:ind w:firstLine="1223"/>
        <w:spacing w:after="0" w:line="262" w:lineRule="auto"/>
        <w:rPr>
          <w:sz w:val="20"/>
          <w:szCs w:val="20"/>
          <w:color w:val="auto"/>
        </w:rPr>
      </w:pPr>
      <w:r>
        <w:rPr>
          <w:rFonts w:ascii="Times New Roman" w:cs="Times New Roman" w:eastAsia="Times New Roman" w:hAnsi="Times New Roman"/>
          <w:sz w:val="20"/>
          <w:szCs w:val="20"/>
          <w:color w:val="auto"/>
        </w:rPr>
        <w:t>ARTICLE 111“</w:t>
      </w:r>
      <w:r>
        <w:rPr>
          <w:rFonts w:ascii="Times New Roman" w:cs="Times New Roman" w:eastAsia="Times New Roman" w:hAnsi="Times New Roman"/>
          <w:sz w:val="20"/>
          <w:szCs w:val="20"/>
          <w:u w:val="single" w:color="auto"/>
          <w:color w:val="auto"/>
        </w:rPr>
        <w:t>Insolvency Proceeding</w:t>
      </w:r>
      <w:r>
        <w:rPr>
          <w:rFonts w:ascii="Times New Roman" w:cs="Times New Roman" w:eastAsia="Times New Roman" w:hAnsi="Times New Roman"/>
          <w:sz w:val="20"/>
          <w:szCs w:val="20"/>
          <w:color w:val="auto"/>
        </w:rPr>
        <w:t>” means, with respect to any Person, (a) a case, action or proceeding with respect to such Person (i) before any court or any other Official Body under any bankruptcy, insolvency, reorganization or other similar Law now or hereafter in effect, or (ii) for the appointment of a receiver, liquidator, assignee, custodian, trustee, sequestrator, conservator (or similar official) of any Loan Party or otherwise relating to the liquidation,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49" w:right="339" w:bottom="1440" w:gutter="0" w:footer="0" w:header="0"/>
        </w:sectPr>
      </w:pPr>
    </w:p>
    <w:bookmarkStart w:id="194" w:name="page195"/>
    <w:bookmarkEnd w:id="194"/>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ARTICLE 112“</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means, as of any date, the ratio of (i) Consolidated EBITDA for the four consecutive Fiscal Quarters ending on or immediately prior to such date for which financial statements have been (or are required to have been) delivered under this Agreement to (ii) Consolidated Interest Expense for the four consecutive Fiscal Quarters ending on or immediately prior to such date for which financial statements have been (or are required to have been) delivered under this Agreement.</w:t>
      </w:r>
    </w:p>
    <w:p>
      <w:pPr>
        <w:spacing w:after="0" w:line="153" w:lineRule="exact"/>
        <w:rPr>
          <w:sz w:val="20"/>
          <w:szCs w:val="20"/>
          <w:color w:val="auto"/>
        </w:rPr>
      </w:pPr>
    </w:p>
    <w:p>
      <w:pPr>
        <w:jc w:val="both"/>
        <w:ind w:firstLine="1223"/>
        <w:spacing w:after="0" w:line="258" w:lineRule="auto"/>
        <w:rPr>
          <w:sz w:val="20"/>
          <w:szCs w:val="20"/>
          <w:color w:val="auto"/>
        </w:rPr>
      </w:pPr>
      <w:r>
        <w:rPr>
          <w:rFonts w:ascii="Times New Roman" w:cs="Times New Roman" w:eastAsia="Times New Roman" w:hAnsi="Times New Roman"/>
          <w:sz w:val="20"/>
          <w:szCs w:val="20"/>
          <w:color w:val="auto"/>
        </w:rPr>
        <w:t>ARTICLE 113“</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means the period of time selected by the Borrower in connection with (and to apply to) any election permitted hereunder by the Borrower to have Revolving Credit Loans bear interest under the Term SOFR Rate Option. Subject to the last sentence of this definition, such period shall be, in each case, subject to the availability thereof, one month, three months, or six months. Such Interest Period shall commence on the effective date of such Term SOFR Rate Option, which shall be (i) the Borrowing Date if the Borrower is requesting new Loans, or (ii) the date of renewal of or conversion to the Term SOFR Rate Option if the Borrower is renewing or converting to the Term SOFR Rate Option applicable to outstanding Loans. Notwithstanding the second sentence hereof: (a) any Interest Period which would otherwise end on a date which is not a Business Day shall be extended to the next succeeding Business Day unless such Business Day falls in the next calendar month, in which case such Interest Period shall end on the next preceding Business Day, (b) with respect to Revolving Credit Loans, the Borrower shall not select, convert to or renew an Interest Period for any portion of the Loans that would end after the Expiration Date, and (c)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w:t>
      </w:r>
    </w:p>
    <w:p>
      <w:pPr>
        <w:spacing w:after="0" w:line="166"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114“</w:t>
      </w:r>
      <w:r>
        <w:rPr>
          <w:rFonts w:ascii="Times New Roman" w:cs="Times New Roman" w:eastAsia="Times New Roman" w:hAnsi="Times New Roman"/>
          <w:sz w:val="20"/>
          <w:szCs w:val="20"/>
          <w:u w:val="single" w:color="auto"/>
          <w:color w:val="auto"/>
        </w:rPr>
        <w:t>Interest Rate Hedge</w:t>
      </w:r>
      <w:r>
        <w:rPr>
          <w:rFonts w:ascii="Times New Roman" w:cs="Times New Roman" w:eastAsia="Times New Roman" w:hAnsi="Times New Roman"/>
          <w:sz w:val="20"/>
          <w:szCs w:val="20"/>
          <w:color w:val="auto"/>
        </w:rPr>
        <w:t>” means an interest rate exchange, collar, cap, swap, floor, adjustable strike cap, adjustable strike corridor, cross-currency swap or similar agreement entered into by any Loan Party in order to provide protection to, or minimize the impact upon, such Loan Party of increasing floating rates of interest applicable to Indebtedness.</w:t>
      </w:r>
    </w:p>
    <w:p>
      <w:pPr>
        <w:spacing w:after="0" w:line="1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115“</w:t>
      </w:r>
      <w:r>
        <w:rPr>
          <w:rFonts w:ascii="Times New Roman" w:cs="Times New Roman" w:eastAsia="Times New Roman" w:hAnsi="Times New Roman"/>
          <w:sz w:val="20"/>
          <w:szCs w:val="20"/>
          <w:u w:val="single" w:color="auto"/>
          <w:color w:val="auto"/>
        </w:rPr>
        <w:t>Interest Rate Hedge Liabilities</w:t>
      </w:r>
      <w:r>
        <w:rPr>
          <w:rFonts w:ascii="Times New Roman" w:cs="Times New Roman" w:eastAsia="Times New Roman" w:hAnsi="Times New Roman"/>
          <w:sz w:val="20"/>
          <w:szCs w:val="20"/>
          <w:color w:val="auto"/>
        </w:rPr>
        <w:t>” means as is specified in the definition of Lender Provided Interest Rate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Hedge.</w:t>
      </w:r>
    </w:p>
    <w:p>
      <w:pPr>
        <w:spacing w:after="0" w:line="194"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116“</w:t>
      </w:r>
      <w:r>
        <w:rPr>
          <w:rFonts w:ascii="Times New Roman" w:cs="Times New Roman" w:eastAsia="Times New Roman" w:hAnsi="Times New Roman"/>
          <w:sz w:val="20"/>
          <w:szCs w:val="20"/>
          <w:u w:val="single" w:color="auto"/>
          <w:color w:val="auto"/>
        </w:rPr>
        <w:t>Interest Rate Option</w:t>
      </w:r>
      <w:r>
        <w:rPr>
          <w:rFonts w:ascii="Times New Roman" w:cs="Times New Roman" w:eastAsia="Times New Roman" w:hAnsi="Times New Roman"/>
          <w:sz w:val="20"/>
          <w:szCs w:val="20"/>
          <w:color w:val="auto"/>
        </w:rPr>
        <w:t>” means any Term SOFR Rate Option, Daily SOFR Option or Base Rate Option. Notwithstanding anything contained in this Agreement or in any other Loan Document, only Swingline Loans may bear interest at the Daily SOFR Option.</w:t>
      </w:r>
    </w:p>
    <w:p>
      <w:pPr>
        <w:spacing w:after="0" w:line="1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117“</w:t>
      </w:r>
      <w:r>
        <w:rPr>
          <w:rFonts w:ascii="Times New Roman" w:cs="Times New Roman" w:eastAsia="Times New Roman" w:hAnsi="Times New Roman"/>
          <w:sz w:val="20"/>
          <w:szCs w:val="20"/>
          <w:u w:val="single" w:color="auto"/>
          <w:color w:val="auto"/>
        </w:rPr>
        <w:t>International Trade Laws</w:t>
      </w:r>
      <w:r>
        <w:rPr>
          <w:rFonts w:ascii="Times New Roman" w:cs="Times New Roman" w:eastAsia="Times New Roman" w:hAnsi="Times New Roman"/>
          <w:sz w:val="20"/>
          <w:szCs w:val="20"/>
          <w:color w:val="auto"/>
        </w:rPr>
        <w:t>” means all Laws relating export controls, customs and anti-boycott measures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Sanctions.</w:t>
      </w:r>
    </w:p>
    <w:p>
      <w:pPr>
        <w:spacing w:after="0" w:line="19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118“</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[Investments, Loans].</w:t>
      </w:r>
    </w:p>
    <w:p>
      <w:pPr>
        <w:spacing w:after="0" w:line="216"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119“</w:t>
      </w:r>
      <w:r>
        <w:rPr>
          <w:rFonts w:ascii="Times New Roman" w:cs="Times New Roman" w:eastAsia="Times New Roman" w:hAnsi="Times New Roman"/>
          <w:sz w:val="20"/>
          <w:szCs w:val="20"/>
          <w:u w:val="single" w:color="auto"/>
          <w:color w:val="auto"/>
        </w:rPr>
        <w:t>IP Security Agreement</w:t>
      </w:r>
      <w:r>
        <w:rPr>
          <w:rFonts w:ascii="Times New Roman" w:cs="Times New Roman" w:eastAsia="Times New Roman" w:hAnsi="Times New Roman"/>
          <w:sz w:val="20"/>
          <w:szCs w:val="20"/>
          <w:color w:val="auto"/>
        </w:rPr>
        <w:t>” means the Patent, Trademark and Copyright Security Agreement, dated of even date herewith, executed and delivered by each of the Loan Parties to the Administrative Agent for the benefit of the Secured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49" w:right="339" w:bottom="1440" w:gutter="0" w:footer="0" w:header="0"/>
        </w:sectPr>
      </w:pPr>
    </w:p>
    <w:bookmarkStart w:id="195" w:name="page196"/>
    <w:bookmarkEnd w:id="195"/>
    <w:p>
      <w:pPr>
        <w:ind w:left="1220"/>
        <w:spacing w:after="0"/>
        <w:rPr>
          <w:sz w:val="20"/>
          <w:szCs w:val="20"/>
          <w:color w:val="auto"/>
        </w:rPr>
      </w:pPr>
      <w:r>
        <w:rPr>
          <w:rFonts w:ascii="Times New Roman" w:cs="Times New Roman" w:eastAsia="Times New Roman" w:hAnsi="Times New Roman"/>
          <w:sz w:val="20"/>
          <w:szCs w:val="20"/>
          <w:color w:val="auto"/>
        </w:rPr>
        <w:t>ARTICLE 120“</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47"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Lender</w:t>
      </w:r>
      <w:r>
        <w:rPr>
          <w:rFonts w:ascii="Times New Roman" w:cs="Times New Roman" w:eastAsia="Times New Roman" w:hAnsi="Times New Roman"/>
          <w:sz w:val="20"/>
          <w:szCs w:val="20"/>
          <w:color w:val="auto"/>
        </w:rPr>
        <w:t>” means (a) PNC, in its individual capacity as issuer of Letters of Credit hereunder, (b) any other Lender that the Borrower, the Administrative Agent and such other Lender may reasonably agree may from time to time issue Letters of Credit hereunder, and (c) with respect to the Existing Letters of Credit, Truist Bank, in its capacity as issuer thereof.</w:t>
      </w:r>
    </w:p>
    <w:p>
      <w:pPr>
        <w:spacing w:after="0" w:line="151"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121“</w:t>
      </w:r>
      <w:r>
        <w:rPr>
          <w:rFonts w:ascii="Times New Roman" w:cs="Times New Roman" w:eastAsia="Times New Roman" w:hAnsi="Times New Roman"/>
          <w:sz w:val="20"/>
          <w:szCs w:val="20"/>
          <w:u w:val="single" w:color="auto"/>
          <w:color w:val="auto"/>
        </w:rPr>
        <w:t>Joint Venture</w:t>
      </w:r>
      <w:r>
        <w:rPr>
          <w:rFonts w:ascii="Times New Roman" w:cs="Times New Roman" w:eastAsia="Times New Roman" w:hAnsi="Times New Roman"/>
          <w:sz w:val="20"/>
          <w:szCs w:val="20"/>
          <w:color w:val="auto"/>
        </w:rPr>
        <w:t>” means, with respect to a Loan Party, a corporation, partnership, limited liability company or other entity, other than a Subsidiary, in which any Person other than the Loan Parties and their Subsidiaries holds, directly or indirectly, an equity interest.</w:t>
      </w:r>
    </w:p>
    <w:p>
      <w:pPr>
        <w:spacing w:after="0" w:line="146"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122“</w:t>
      </w:r>
      <w:r>
        <w:rPr>
          <w:rFonts w:ascii="Times New Roman" w:cs="Times New Roman" w:eastAsia="Times New Roman" w:hAnsi="Times New Roman"/>
          <w:sz w:val="20"/>
          <w:szCs w:val="20"/>
          <w:u w:val="single" w:color="auto"/>
          <w:color w:val="auto"/>
        </w:rPr>
        <w:t>Law</w:t>
      </w:r>
      <w:r>
        <w:rPr>
          <w:rFonts w:ascii="Times New Roman" w:cs="Times New Roman" w:eastAsia="Times New Roman" w:hAnsi="Times New Roman"/>
          <w:sz w:val="20"/>
          <w:szCs w:val="20"/>
          <w:color w:val="auto"/>
        </w:rPr>
        <w:t>” means any law(s) (including common law), constitution, statute, treaty, regulation, rule, ordinance, opinion, release, ruling, order, executive order, injunction, writ, decree, bond, judgment, authorization or approval, lien or award, or any settlement arrangement, by agreement, consent or otherwise, of any Official Body, foreign or domestic.</w:t>
      </w:r>
    </w:p>
    <w:p>
      <w:pPr>
        <w:spacing w:after="0" w:line="151" w:lineRule="exact"/>
        <w:rPr>
          <w:sz w:val="20"/>
          <w:szCs w:val="20"/>
          <w:color w:val="auto"/>
        </w:rPr>
      </w:pPr>
    </w:p>
    <w:p>
      <w:pPr>
        <w:jc w:val="both"/>
        <w:ind w:firstLine="1223"/>
        <w:spacing w:after="0" w:line="290" w:lineRule="auto"/>
        <w:rPr>
          <w:sz w:val="20"/>
          <w:szCs w:val="20"/>
          <w:color w:val="auto"/>
        </w:rPr>
      </w:pPr>
      <w:r>
        <w:rPr>
          <w:rFonts w:ascii="Times New Roman" w:cs="Times New Roman" w:eastAsia="Times New Roman" w:hAnsi="Times New Roman"/>
          <w:sz w:val="20"/>
          <w:szCs w:val="20"/>
          <w:color w:val="auto"/>
        </w:rPr>
        <w:t>ARTICLE 123“</w:t>
      </w:r>
      <w:r>
        <w:rPr>
          <w:rFonts w:ascii="Times New Roman" w:cs="Times New Roman" w:eastAsia="Times New Roman" w:hAnsi="Times New Roman"/>
          <w:sz w:val="20"/>
          <w:szCs w:val="20"/>
          <w:u w:val="single" w:color="auto"/>
          <w:color w:val="auto"/>
        </w:rPr>
        <w:t>Lender Joinder Agreement</w:t>
      </w:r>
      <w:r>
        <w:rPr>
          <w:rFonts w:ascii="Times New Roman" w:cs="Times New Roman" w:eastAsia="Times New Roman" w:hAnsi="Times New Roman"/>
          <w:sz w:val="20"/>
          <w:szCs w:val="20"/>
          <w:color w:val="auto"/>
        </w:rPr>
        <w:t xml:space="preserve">” means a joinder agreement in form and substance reasonably satisfactory to the Administrative Agent delivered in connection with any Incremental Loan Commitments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[Incremental Loans].</w:t>
      </w:r>
    </w:p>
    <w:p>
      <w:pPr>
        <w:spacing w:after="0" w:line="387" w:lineRule="exact"/>
        <w:rPr>
          <w:sz w:val="20"/>
          <w:szCs w:val="20"/>
          <w:color w:val="auto"/>
        </w:rPr>
      </w:pPr>
    </w:p>
    <w:p>
      <w:pPr>
        <w:jc w:val="both"/>
        <w:ind w:firstLine="1223"/>
        <w:spacing w:after="0" w:line="259" w:lineRule="auto"/>
        <w:rPr>
          <w:sz w:val="20"/>
          <w:szCs w:val="20"/>
          <w:color w:val="auto"/>
        </w:rPr>
      </w:pPr>
      <w:r>
        <w:rPr>
          <w:rFonts w:ascii="Times New Roman" w:cs="Times New Roman" w:eastAsia="Times New Roman" w:hAnsi="Times New Roman"/>
          <w:sz w:val="20"/>
          <w:szCs w:val="20"/>
          <w:color w:val="auto"/>
        </w:rPr>
        <w:t>ARTICLE 124“</w:t>
      </w:r>
      <w:r>
        <w:rPr>
          <w:rFonts w:ascii="Times New Roman" w:cs="Times New Roman" w:eastAsia="Times New Roman" w:hAnsi="Times New Roman"/>
          <w:sz w:val="20"/>
          <w:szCs w:val="20"/>
          <w:u w:val="single" w:color="auto"/>
          <w:color w:val="auto"/>
        </w:rPr>
        <w:t>Lender Provided Interest Rate Hedge</w:t>
      </w:r>
      <w:r>
        <w:rPr>
          <w:rFonts w:ascii="Times New Roman" w:cs="Times New Roman" w:eastAsia="Times New Roman" w:hAnsi="Times New Roman"/>
          <w:sz w:val="20"/>
          <w:szCs w:val="20"/>
          <w:color w:val="auto"/>
        </w:rPr>
        <w:t>” means an Interest Rate Hedge which is entered into between any Loan Party and any Hedge Bank that: (a) is documented in a standard International Swaps and Derivatives Association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Hedge Bank providing any Lender Provided Interest Rate Hedge (the “</w:t>
      </w:r>
      <w:r>
        <w:rPr>
          <w:rFonts w:ascii="Times New Roman" w:cs="Times New Roman" w:eastAsia="Times New Roman" w:hAnsi="Times New Roman"/>
          <w:sz w:val="20"/>
          <w:szCs w:val="20"/>
          <w:u w:val="single" w:color="auto"/>
          <w:color w:val="auto"/>
        </w:rPr>
        <w:t>Interest Rate Hedge Liabilities</w:t>
      </w:r>
      <w:r>
        <w:rPr>
          <w:rFonts w:ascii="Times New Roman" w:cs="Times New Roman" w:eastAsia="Times New Roman" w:hAnsi="Times New Roman"/>
          <w:sz w:val="20"/>
          <w:szCs w:val="20"/>
          <w:color w:val="auto"/>
        </w:rPr>
        <w:t xml:space="preserve">”) by any Loan Party that is party to such Lender Provided Interest Rate Hedge shall, for purposes of this Agreement and all other Loan Documents, be “Obligations” of such Person and of each other Loan Party, be guaranteed obligations under any Guaranty and Security Agreement and secured obligations under any other Loan Document, as applicable, except to the extent constituting Excluded Hedge Liabilities of such Person. The Liens securing the Hedge Liabilities shall be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with the Liens securing all other Obligations under this Agreement and the other Loan Documents, subject to the express provisions of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[Application of Proceeds from Collateral].</w:t>
      </w:r>
    </w:p>
    <w:p>
      <w:pPr>
        <w:spacing w:after="0" w:line="200" w:lineRule="exact"/>
        <w:rPr>
          <w:sz w:val="20"/>
          <w:szCs w:val="20"/>
          <w:color w:val="auto"/>
        </w:rPr>
      </w:pPr>
    </w:p>
    <w:p>
      <w:pPr>
        <w:spacing w:after="0" w:line="209"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125“</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financial institutions named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and their respective successors and assigns as permitted hereunder, each of which is referred to herein as a Lender. For the purpose of any Loan Document which provides for the granting of a security interest or other Lien to the Lenders or to the Administrative Agent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50" w:right="339" w:bottom="1440" w:gutter="0" w:footer="0" w:header="0"/>
        </w:sectPr>
      </w:pPr>
    </w:p>
    <w:bookmarkStart w:id="196" w:name="page197"/>
    <w:bookmarkEnd w:id="196"/>
    <w:p>
      <w:pPr>
        <w:jc w:val="both"/>
        <w:spacing w:after="0" w:line="289" w:lineRule="auto"/>
        <w:rPr>
          <w:sz w:val="20"/>
          <w:szCs w:val="20"/>
          <w:color w:val="auto"/>
        </w:rPr>
      </w:pPr>
      <w:r>
        <w:rPr>
          <w:rFonts w:ascii="Times New Roman" w:cs="Times New Roman" w:eastAsia="Times New Roman" w:hAnsi="Times New Roman"/>
          <w:sz w:val="20"/>
          <w:szCs w:val="20"/>
          <w:color w:val="auto"/>
        </w:rPr>
        <w:t>benefit of the Secured Parties as security for the Obligations, “Lenders” shall include any Affiliate of a Lender to which such Obligation is owed. Unless the context requires otherwise, the term “Lenders” includes the Swingline Loan Lender, but not the Issuing Lender.</w:t>
      </w:r>
    </w:p>
    <w:p>
      <w:pPr>
        <w:spacing w:after="0" w:line="134"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126“</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the Administrative Agent, the Issuing Lender or any Lender, the office or offices of such Person described as such in such Lender’s Administrative Questionnaire, or such other office or offices as such Person may from time to time notify the Borrower and the Administrative Agent.</w:t>
      </w:r>
    </w:p>
    <w:p>
      <w:pPr>
        <w:spacing w:after="0" w:line="146"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127“</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 xml:space="preserve"> [Issuance of Letters of Credit]. As of the Closing Date, each of the Existing Letters of Credit shall constitute, for all purposes of this Agreement and the other Loan Documents, a Letter of Credit issued and outstanding hereunder.</w:t>
      </w:r>
    </w:p>
    <w:p>
      <w:pPr>
        <w:spacing w:after="0" w:line="1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128“</w:t>
      </w:r>
      <w:r>
        <w:rPr>
          <w:rFonts w:ascii="Times New Roman" w:cs="Times New Roman" w:eastAsia="Times New Roman" w:hAnsi="Times New Roman"/>
          <w:sz w:val="20"/>
          <w:szCs w:val="20"/>
          <w:u w:val="single" w:color="auto"/>
          <w:color w:val="auto"/>
        </w:rPr>
        <w:t>Letter of Credit Borrowing</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2.8(c)(iii)</w:t>
      </w:r>
      <w:r>
        <w:rPr>
          <w:rFonts w:ascii="Times New Roman" w:cs="Times New Roman" w:eastAsia="Times New Roman" w:hAnsi="Times New Roman"/>
          <w:sz w:val="20"/>
          <w:szCs w:val="20"/>
          <w:color w:val="auto"/>
        </w:rPr>
        <w:t xml:space="preserve"> [Disbursements, Reimbursement].</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129“</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2.8(b)</w:t>
      </w:r>
      <w:r>
        <w:rPr>
          <w:rFonts w:ascii="Times New Roman" w:cs="Times New Roman" w:eastAsia="Times New Roman" w:hAnsi="Times New Roman"/>
          <w:sz w:val="20"/>
          <w:szCs w:val="20"/>
          <w:color w:val="auto"/>
        </w:rPr>
        <w:t xml:space="preserve"> [Letter of Credit Fees].</w:t>
      </w:r>
    </w:p>
    <w:p>
      <w:pPr>
        <w:spacing w:after="0" w:line="216"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ARTICLE 130“</w:t>
      </w:r>
      <w:r>
        <w:rPr>
          <w:rFonts w:ascii="Times New Roman" w:cs="Times New Roman" w:eastAsia="Times New Roman" w:hAnsi="Times New Roman"/>
          <w:sz w:val="20"/>
          <w:szCs w:val="20"/>
          <w:u w:val="single" w:color="auto"/>
          <w:color w:val="auto"/>
        </w:rPr>
        <w:t>Letter of Credit Obligation</w:t>
      </w:r>
      <w:r>
        <w:rPr>
          <w:rFonts w:ascii="Times New Roman" w:cs="Times New Roman" w:eastAsia="Times New Roman" w:hAnsi="Times New Roman"/>
          <w:sz w:val="20"/>
          <w:szCs w:val="20"/>
          <w:color w:val="auto"/>
        </w:rPr>
        <w:t xml:space="preserve">” means, as of any date of determination, the aggregate amount available to be drawn under all outstanding Letters of Credit on such date (if any Letter of Credit shall increase in amount automatically in the future, such aggregate amount available to be drawn shall currently give effect to any such future increase)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Reimbursement Obligations and Letter of Credit Borrowings on such date.</w:t>
      </w:r>
    </w:p>
    <w:p>
      <w:pPr>
        <w:spacing w:after="0" w:line="17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131“</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2.8(a)(i)</w:t>
      </w:r>
      <w:r>
        <w:rPr>
          <w:rFonts w:ascii="Times New Roman" w:cs="Times New Roman" w:eastAsia="Times New Roman" w:hAnsi="Times New Roman"/>
          <w:sz w:val="20"/>
          <w:szCs w:val="20"/>
          <w:color w:val="auto"/>
        </w:rPr>
        <w:t xml:space="preserve"> [Issuance of Letters of Credit].</w:t>
      </w:r>
    </w:p>
    <w:p>
      <w:pPr>
        <w:spacing w:after="0" w:line="216"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ARTICLE 132“</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security interest, lien (statutory or otherwise), charge, encumbrance, hypothecation, assignment, deposit arrangement, or other arrangement having the practical effect of any of the foregoing, or any preference, priority or other security agreement or preferential arrangement of any kind or nature whatsoever (including any conditional sale or other title retention agreement and any capital lease having the same economic effect as any of the foregoing).</w:t>
      </w:r>
    </w:p>
    <w:p>
      <w:pPr>
        <w:spacing w:after="0" w:line="17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xml:space="preserve">” shall mean, as of any date of determination,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of (i) (x) the Revolving Credit Commitments </w:t>
      </w:r>
      <w:r>
        <w:rPr>
          <w:rFonts w:ascii="Times New Roman" w:cs="Times New Roman" w:eastAsia="Times New Roman" w:hAnsi="Times New Roman"/>
          <w:sz w:val="20"/>
          <w:szCs w:val="20"/>
          <w:u w:val="single" w:color="auto"/>
          <w:color w:val="auto"/>
        </w:rPr>
        <w:t>minus</w:t>
      </w:r>
    </w:p>
    <w:p>
      <w:pPr>
        <w:spacing w:after="0" w:line="34" w:lineRule="exact"/>
        <w:rPr>
          <w:sz w:val="20"/>
          <w:szCs w:val="20"/>
          <w:color w:val="auto"/>
        </w:rPr>
      </w:pPr>
    </w:p>
    <w:p>
      <w:pPr>
        <w:jc w:val="both"/>
        <w:ind w:firstLine="2"/>
        <w:spacing w:after="0" w:line="259" w:lineRule="auto"/>
        <w:tabs>
          <w:tab w:leader="none" w:pos="31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principal amount of all Revolving Facility Usage,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unrestricted cash and Permitted Investments of the Loan Parties held in domestic deposit or securities accounts with the Administrative Agent or any Lender and, in each case, in which the Administrative Agent has a Lien.</w:t>
      </w:r>
    </w:p>
    <w:p>
      <w:pPr>
        <w:spacing w:after="0" w:line="150"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133“</w:t>
      </w:r>
      <w:r>
        <w:rPr>
          <w:rFonts w:ascii="Times New Roman" w:cs="Times New Roman" w:eastAsia="Times New Roman" w:hAnsi="Times New Roman"/>
          <w:sz w:val="20"/>
          <w:szCs w:val="20"/>
          <w:u w:val="single" w:color="auto"/>
          <w:color w:val="auto"/>
        </w:rPr>
        <w:t>LLC Division</w:t>
      </w:r>
      <w:r>
        <w:rPr>
          <w:rFonts w:ascii="Times New Roman" w:cs="Times New Roman" w:eastAsia="Times New Roman" w:hAnsi="Times New Roman"/>
          <w:sz w:val="20"/>
          <w:szCs w:val="20"/>
          <w:color w:val="auto"/>
        </w:rPr>
        <w:t>” means, in the event a Borrower or Guarantor is a limited liability company, (a) the division of any such Borrower or Guarantor into two or more newly formed limited liability companies (whether or not such Borrower or Guarantor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49" w:right="339" w:bottom="1440" w:gutter="0" w:footer="0" w:header="0"/>
        </w:sectPr>
      </w:pPr>
    </w:p>
    <w:bookmarkStart w:id="197" w:name="page198"/>
    <w:bookmarkEnd w:id="197"/>
    <w:p>
      <w:pPr>
        <w:jc w:val="both"/>
        <w:spacing w:after="0" w:line="269" w:lineRule="auto"/>
        <w:rPr>
          <w:sz w:val="20"/>
          <w:szCs w:val="20"/>
          <w:color w:val="auto"/>
        </w:rPr>
      </w:pPr>
      <w:r>
        <w:rPr>
          <w:rFonts w:ascii="Times New Roman" w:cs="Times New Roman" w:eastAsia="Times New Roman" w:hAnsi="Times New Roman"/>
          <w:sz w:val="20"/>
          <w:szCs w:val="20"/>
          <w:color w:val="auto"/>
        </w:rPr>
        <w:t>surviving entity following any such division) pursuant to Section 18-217 of the Delaware Limited Liability Company Act or any similar provision under any similar act governing limited liability companies organized under the Laws of any other State or Commonwealth or of the District of Columbia, or (b) the adoption of a plan contemplating, or the filing of any certificate with any applicable Official Body that results or may result in, any such division.</w:t>
      </w:r>
    </w:p>
    <w:p>
      <w:pPr>
        <w:spacing w:after="0" w:line="153"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134“</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the Administrative Agent’s Letter, the Collateral Documents, the Notes, and any other instruments, certificates or documents delivered in connection herewith or therewith, in each case as the same may be amended, restated, amended and restated, supplemented, or otherwise modified from time to time.</w:t>
      </w:r>
    </w:p>
    <w:p>
      <w:pPr>
        <w:spacing w:after="0" w:line="15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135“</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the Borrower and any Guarantors.</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136“</w:t>
      </w:r>
      <w:r>
        <w:rPr>
          <w:rFonts w:ascii="Times New Roman" w:cs="Times New Roman" w:eastAsia="Times New Roman" w:hAnsi="Times New Roman"/>
          <w:sz w:val="20"/>
          <w:szCs w:val="20"/>
          <w:u w:val="single" w:color="auto"/>
          <w:color w:val="auto"/>
        </w:rPr>
        <w:t>Loan Request</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xml:space="preserve"> [Revolving Credit Loan Requests; Conversions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Renewals].</w:t>
      </w:r>
    </w:p>
    <w:p>
      <w:pPr>
        <w:spacing w:after="0" w:line="194"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137“</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collectively, and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means, separately, all Revolving Credit Loans and Swingline Loans or any Revolving Credit Loan or Swingline Loan.</w:t>
      </w:r>
    </w:p>
    <w:p>
      <w:pPr>
        <w:spacing w:after="0" w:line="134" w:lineRule="exact"/>
        <w:rPr>
          <w:sz w:val="20"/>
          <w:szCs w:val="20"/>
          <w:color w:val="auto"/>
        </w:rPr>
      </w:pPr>
    </w:p>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xml:space="preserve">” means any Permitted Acquisition with total acquisition consideration of at least $100,000,000;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any acquisition to qualify as a “Material Acquisition,” the Administrative Agent shall have received, prior to, or concurrently with, the consummation of such Acquisition, notice from the Borrower that it has elected to treat such acquisition as a “Material Acquisition.”</w:t>
      </w:r>
    </w:p>
    <w:p>
      <w:pPr>
        <w:spacing w:after="0" w:line="179" w:lineRule="exact"/>
        <w:rPr>
          <w:sz w:val="20"/>
          <w:szCs w:val="20"/>
          <w:color w:val="auto"/>
        </w:rPr>
      </w:pPr>
    </w:p>
    <w:p>
      <w:pPr>
        <w:jc w:val="both"/>
        <w:ind w:firstLine="1223"/>
        <w:spacing w:after="0" w:line="260" w:lineRule="auto"/>
        <w:rPr>
          <w:sz w:val="20"/>
          <w:szCs w:val="20"/>
          <w:color w:val="auto"/>
        </w:rPr>
      </w:pPr>
      <w:r>
        <w:rPr>
          <w:rFonts w:ascii="Times New Roman" w:cs="Times New Roman" w:eastAsia="Times New Roman" w:hAnsi="Times New Roman"/>
          <w:sz w:val="20"/>
          <w:szCs w:val="20"/>
          <w:color w:val="auto"/>
        </w:rPr>
        <w:t>ARTICLE 138“</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with respect to any event, act, condition or occurrence of whatever nature (including any adverse determination in any litigation, arbitration, or governmental investigation or proceeding), whether singularly or in conjunction with any other event or events, act or acts, condition or conditions, occurrence or occurrences whether or not related, resulting in a material adverse change in, or a material adverse effect on, (i) the business, results of operations, financial condition, assets, liabilities or prospects of the Borrower and its Subsidiaries taken as a whole, (ii) the ability of the Loan Parties to perform any of their respective obligations under the Loan Documents, (iii) the rights and remedies of the Administrative Agent, the Issuing Lender, the Swingline Loan Lender or the Lenders under any of the Loan Documents, or (iv) the legality, validity or enforceability of any of the Loan Documents.</w:t>
      </w:r>
    </w:p>
    <w:p>
      <w:pPr>
        <w:spacing w:after="0" w:line="200" w:lineRule="exact"/>
        <w:rPr>
          <w:sz w:val="20"/>
          <w:szCs w:val="20"/>
          <w:color w:val="auto"/>
        </w:rPr>
      </w:pPr>
    </w:p>
    <w:p>
      <w:pPr>
        <w:spacing w:after="0" w:line="221" w:lineRule="exact"/>
        <w:rPr>
          <w:sz w:val="20"/>
          <w:szCs w:val="20"/>
          <w:color w:val="auto"/>
        </w:rPr>
      </w:pPr>
    </w:p>
    <w:p>
      <w:pPr>
        <w:jc w:val="both"/>
        <w:ind w:firstLine="1223"/>
        <w:spacing w:after="0" w:line="261" w:lineRule="auto"/>
        <w:rPr>
          <w:sz w:val="20"/>
          <w:szCs w:val="20"/>
          <w:color w:val="auto"/>
        </w:rPr>
      </w:pPr>
      <w:r>
        <w:rPr>
          <w:rFonts w:ascii="Times New Roman" w:cs="Times New Roman" w:eastAsia="Times New Roman" w:hAnsi="Times New Roman"/>
          <w:sz w:val="20"/>
          <w:szCs w:val="20"/>
          <w:color w:val="auto"/>
        </w:rPr>
        <w:t>ARTICLE 139“</w:t>
      </w:r>
      <w:r>
        <w:rPr>
          <w:rFonts w:ascii="Times New Roman" w:cs="Times New Roman" w:eastAsia="Times New Roman" w:hAnsi="Times New Roman"/>
          <w:sz w:val="20"/>
          <w:szCs w:val="20"/>
          <w:u w:val="single" w:color="auto"/>
          <w:color w:val="auto"/>
        </w:rPr>
        <w:t>Material Agreements</w:t>
      </w:r>
      <w:r>
        <w:rPr>
          <w:rFonts w:ascii="Times New Roman" w:cs="Times New Roman" w:eastAsia="Times New Roman" w:hAnsi="Times New Roman"/>
          <w:sz w:val="20"/>
          <w:szCs w:val="20"/>
          <w:color w:val="auto"/>
        </w:rPr>
        <w:t xml:space="preserve">” means (i) all agreements, indentures or notes governing the terms of any Material Indebtedness, (ii) all agreements, documents, contracts, and instruments representing at least 10% of the consolidated revenues of the Borrower and its Subsidiaries for the most recently ended Fiscal Year for which financial statements have been (or are required to have been) delivered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[Reporting Requirements] and (iii) all other agreements, documents, contracts, and instruments to which a Loan Party is party a default, breach or termination thereof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349" w:right="339" w:bottom="1440" w:gutter="0" w:footer="0" w:header="0"/>
        </w:sectPr>
      </w:pPr>
    </w:p>
    <w:bookmarkStart w:id="198" w:name="page199"/>
    <w:bookmarkEnd w:id="198"/>
    <w:p>
      <w:pPr>
        <w:jc w:val="both"/>
        <w:ind w:firstLine="1223"/>
        <w:spacing w:after="0" w:line="259" w:lineRule="auto"/>
        <w:rPr>
          <w:sz w:val="20"/>
          <w:szCs w:val="20"/>
          <w:color w:val="auto"/>
        </w:rPr>
      </w:pPr>
      <w:r>
        <w:rPr>
          <w:rFonts w:ascii="Times New Roman" w:cs="Times New Roman" w:eastAsia="Times New Roman" w:hAnsi="Times New Roman"/>
          <w:sz w:val="20"/>
          <w:szCs w:val="20"/>
          <w:color w:val="auto"/>
        </w:rPr>
        <w:t>ARTICLE 140“</w:t>
      </w:r>
      <w:r>
        <w:rPr>
          <w:rFonts w:ascii="Times New Roman" w:cs="Times New Roman" w:eastAsia="Times New Roman" w:hAnsi="Times New Roman"/>
          <w:sz w:val="20"/>
          <w:szCs w:val="20"/>
          <w:u w:val="single" w:color="auto"/>
          <w:color w:val="auto"/>
        </w:rPr>
        <w:t>Material Contract</w:t>
      </w:r>
      <w:r>
        <w:rPr>
          <w:rFonts w:ascii="Times New Roman" w:cs="Times New Roman" w:eastAsia="Times New Roman" w:hAnsi="Times New Roman"/>
          <w:sz w:val="20"/>
          <w:szCs w:val="20"/>
          <w:color w:val="auto"/>
        </w:rPr>
        <w:t>” means, as of any date of determination and individually or collectively as the context may require, any or all of the following: (i) any Government Contract of any Loan Party or any of their respective Subsidiaries, pursuant to which, after giving effect to any and all applicable options, renewals, extensions and other similar rights of such Loan Party or Subsidiary to extend the term and/or increase the value of such Government Contract, only if and when such right has actually been exercised pursuant to its terms and has been funded or appropriated, such Loan Party or Subsidiary would be entitled to receive payments and/or other compensation having an aggregate remaining value in excess of $50,000,000, or (ii) any other contract or agreement which the Borrower is (or would be in the event the Borrower ceases to be subject to the reporting requirements of the U.S. Securities and Exchange Commission following the date hereof) required to file as an exhibit to a Current Report on Form 8-K (or successor form) pursuant to the rules and regulations of the U.S. Securities and Exchange Commission (each such contract or agreement, an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Material Contract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5"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ARTICLE 141“</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any Indebtedness of the Borrower or any of its Subsidiaries (other than the Loans, the Letters of Credit and the Nomad Loan) individually or in an aggregate committed or outstanding principal amount exceeding the Threshold Amount. For purposes of determining the amount of attributed Indebtedness from Hedge Liabilities, the “principal amount” of any Hedge Liabilities at any time shall be the Net Mark-to-Market Exposure of such Hedge Liabilities.</w:t>
      </w:r>
    </w:p>
    <w:p>
      <w:pPr>
        <w:spacing w:after="0" w:line="172"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ARTICLE 142“</w:t>
      </w:r>
      <w:r>
        <w:rPr>
          <w:rFonts w:ascii="Times New Roman" w:cs="Times New Roman" w:eastAsia="Times New Roman" w:hAnsi="Times New Roman"/>
          <w:sz w:val="20"/>
          <w:szCs w:val="20"/>
          <w:u w:val="single" w:color="auto"/>
          <w:color w:val="auto"/>
        </w:rPr>
        <w:t>Measurement Period</w:t>
      </w:r>
      <w:r>
        <w:rPr>
          <w:rFonts w:ascii="Times New Roman" w:cs="Times New Roman" w:eastAsia="Times New Roman" w:hAnsi="Times New Roman"/>
          <w:sz w:val="20"/>
          <w:szCs w:val="20"/>
          <w:color w:val="auto"/>
        </w:rPr>
        <w:t xml:space="preserve">” means, at any date of determination, the most recently completed four (4) Fiscal Quarters of the Borrower for which financial statements have been delivered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[Reporting Requirements] (or, prior to the first delivery thereof after the Closing Date, the most recent quarterly or annual financial statements filed by the Borrower with the U.S. Securities and Exchange Commission).</w:t>
      </w:r>
    </w:p>
    <w:p>
      <w:pPr>
        <w:spacing w:after="0" w:line="160" w:lineRule="exact"/>
        <w:rPr>
          <w:sz w:val="20"/>
          <w:szCs w:val="20"/>
          <w:color w:val="auto"/>
        </w:rPr>
      </w:pPr>
    </w:p>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ARTICLE 143“</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means, at any time, (a) with respect to Cash Collateral consisting of cash or deposit account balances, an amount equal to 103% of the Fronting Exposure of the Issuing Lender with respect to Letters of Credit issued and outstanding at such time and (b) otherwise, an amount determined by the Administrative Agent and the Issuing Lender in their sole discretion.</w:t>
      </w:r>
    </w:p>
    <w:p>
      <w:pPr>
        <w:spacing w:after="0" w:line="153" w:lineRule="exact"/>
        <w:rPr>
          <w:sz w:val="20"/>
          <w:szCs w:val="20"/>
          <w:color w:val="auto"/>
        </w:rPr>
      </w:pPr>
    </w:p>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ARTICLE 144“</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pension benefit plan which is a “multiemployer plan” within the meaning of Section 4001(a)(3) of ERISA and to which any member of the ERISA Group is then making or accruing an obligation to make contributions or, within the preceding five (5) plan years, has made or had an obligation to make such contributions, or to which any member of the ERISA Group has any liability (contingent or otherwise).</w:t>
      </w:r>
    </w:p>
    <w:p>
      <w:pPr>
        <w:spacing w:after="0" w:line="153"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Mark-to-Market Exposure</w:t>
      </w:r>
      <w:r>
        <w:rPr>
          <w:rFonts w:ascii="Times New Roman" w:cs="Times New Roman" w:eastAsia="Times New Roman" w:hAnsi="Times New Roman"/>
          <w:sz w:val="20"/>
          <w:szCs w:val="20"/>
          <w:color w:val="auto"/>
        </w:rPr>
        <w:t>” of any Person means, as of any date of determination with respect to any Hedge Liabilities, the excess (if any) of all unrealized losses over all unrealized profits of such Person arising from such Hedge Liabilities. “Unrealized losses” shall mean the fair market value of the cost to such Person of replacing the Interest Rate Hedge giving rise to such Hedge Liabilities as of the date of determination (assuming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349" w:right="339" w:bottom="1440" w:gutter="0" w:footer="0" w:header="0"/>
        </w:sectPr>
      </w:pPr>
    </w:p>
    <w:bookmarkStart w:id="199" w:name="page200"/>
    <w:bookmarkEnd w:id="199"/>
    <w:p>
      <w:pPr>
        <w:jc w:val="both"/>
        <w:spacing w:after="0" w:line="271" w:lineRule="auto"/>
        <w:rPr>
          <w:sz w:val="20"/>
          <w:szCs w:val="20"/>
          <w:color w:val="auto"/>
        </w:rPr>
      </w:pPr>
      <w:r>
        <w:rPr>
          <w:rFonts w:ascii="Times New Roman" w:cs="Times New Roman" w:eastAsia="Times New Roman" w:hAnsi="Times New Roman"/>
          <w:sz w:val="20"/>
          <w:szCs w:val="20"/>
          <w:color w:val="auto"/>
        </w:rPr>
        <w:t>Interest Rate Hedge were to be terminated as of that date), and “unrealized profits” shall mean the fair market value of the gain to such Person of replacing such Interest Rate Hedge as of the date of determination (assuming such Interest Rate Hedge were to be terminated as of that date).</w:t>
      </w:r>
    </w:p>
    <w:p>
      <w:pPr>
        <w:spacing w:after="0" w:line="138"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Nomad</w:t>
      </w:r>
      <w:r>
        <w:rPr>
          <w:rFonts w:ascii="Times New Roman" w:cs="Times New Roman" w:eastAsia="Times New Roman" w:hAnsi="Times New Roman"/>
          <w:sz w:val="20"/>
          <w:szCs w:val="20"/>
          <w:color w:val="auto"/>
        </w:rPr>
        <w:t>” means Nomad Global Communication Solutions, Incorporated, a Montana corporation and a wholly owned subsidiary of the Borrower.</w:t>
      </w:r>
    </w:p>
    <w:p>
      <w:pPr>
        <w:spacing w:after="0" w:line="1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Nomad Loan</w:t>
      </w:r>
      <w:r>
        <w:rPr>
          <w:rFonts w:ascii="Times New Roman" w:cs="Times New Roman" w:eastAsia="Times New Roman" w:hAnsi="Times New Roman"/>
          <w:sz w:val="20"/>
          <w:szCs w:val="20"/>
          <w:color w:val="auto"/>
        </w:rPr>
        <w:t>” means the $9,984,000 loan made to Nomad pursuant to the Nomad Loan Agreement.</w:t>
      </w:r>
    </w:p>
    <w:p>
      <w:pPr>
        <w:spacing w:after="0" w:line="203" w:lineRule="exact"/>
        <w:rPr>
          <w:sz w:val="20"/>
          <w:szCs w:val="20"/>
          <w:color w:val="auto"/>
        </w:rPr>
      </w:pPr>
    </w:p>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Nomad Loan Agreement</w:t>
      </w:r>
      <w:r>
        <w:rPr>
          <w:rFonts w:ascii="Times New Roman" w:cs="Times New Roman" w:eastAsia="Times New Roman" w:hAnsi="Times New Roman"/>
          <w:sz w:val="20"/>
          <w:szCs w:val="20"/>
          <w:color w:val="auto"/>
        </w:rPr>
        <w:t>” means that certain loan agreement, dated as of September 4, 2025 (as amended by that certain First Amendment to Loan Agreement, dated as of February 11, 2026), by and between Nomad Sub CDE, LLC, a Montana limited liability company, and Nomad in connection with Nomad’s participation in the federal new market tax credit program, as in effect on the date hereof.</w:t>
      </w:r>
    </w:p>
    <w:p>
      <w:pPr>
        <w:spacing w:after="0" w:line="14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145“</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means any Lender that does not approve any consent, waiver or amendment that</w:t>
      </w:r>
    </w:p>
    <w:p>
      <w:pPr>
        <w:spacing w:after="0" w:line="34" w:lineRule="exact"/>
        <w:rPr>
          <w:sz w:val="20"/>
          <w:szCs w:val="20"/>
          <w:color w:val="auto"/>
        </w:rPr>
      </w:pPr>
    </w:p>
    <w:p>
      <w:pPr>
        <w:ind w:firstLine="2"/>
        <w:spacing w:after="0" w:line="266" w:lineRule="auto"/>
        <w:tabs>
          <w:tab w:leader="none" w:pos="30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requires the approval of all or all affected Lenders in accordance with the terms of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[Modifications, Amendments or Waivers] and (b) has been approved by the Required Lenders.</w:t>
      </w:r>
    </w:p>
    <w:p>
      <w:pPr>
        <w:spacing w:after="0" w:line="15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146“</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jc w:val="both"/>
        <w:ind w:firstLine="1223"/>
        <w:spacing w:after="0" w:line="262" w:lineRule="auto"/>
        <w:rPr>
          <w:sz w:val="20"/>
          <w:szCs w:val="20"/>
          <w:color w:val="auto"/>
        </w:rPr>
      </w:pPr>
      <w:r>
        <w:rPr>
          <w:rFonts w:ascii="Times New Roman" w:cs="Times New Roman" w:eastAsia="Times New Roman" w:hAnsi="Times New Roman"/>
          <w:sz w:val="20"/>
          <w:szCs w:val="20"/>
          <w:color w:val="auto"/>
        </w:rPr>
        <w:t>ARTICLE 147“</w:t>
      </w:r>
      <w:r>
        <w:rPr>
          <w:rFonts w:ascii="Times New Roman" w:cs="Times New Roman" w:eastAsia="Times New Roman" w:hAnsi="Times New Roman"/>
          <w:sz w:val="20"/>
          <w:szCs w:val="20"/>
          <w:u w:val="single" w:color="auto"/>
          <w:color w:val="auto"/>
        </w:rPr>
        <w:t>Non-U.S. Plan</w:t>
      </w:r>
      <w:r>
        <w:rPr>
          <w:rFonts w:ascii="Times New Roman" w:cs="Times New Roman" w:eastAsia="Times New Roman" w:hAnsi="Times New Roman"/>
          <w:sz w:val="20"/>
          <w:szCs w:val="20"/>
          <w:color w:val="auto"/>
        </w:rPr>
        <w:t>” shall mean any plan, fund (including any superannuation fund) or other similar program established, contributed to (regardless of whether through direct contributions or through employee withholding) or maintained outside the United States by the Borrower or one or more of its Subsidiaries primarily for the benefit of employees of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62" w:lineRule="exact"/>
        <w:rPr>
          <w:sz w:val="20"/>
          <w:szCs w:val="20"/>
          <w:color w:val="auto"/>
        </w:rPr>
      </w:pPr>
    </w:p>
    <w:p>
      <w:pPr>
        <w:jc w:val="both"/>
        <w:ind w:firstLine="1223"/>
        <w:spacing w:after="0" w:line="302" w:lineRule="auto"/>
        <w:rPr>
          <w:sz w:val="20"/>
          <w:szCs w:val="20"/>
          <w:color w:val="auto"/>
        </w:rPr>
      </w:pPr>
      <w:r>
        <w:rPr>
          <w:rFonts w:ascii="Times New Roman" w:cs="Times New Roman" w:eastAsia="Times New Roman" w:hAnsi="Times New Roman"/>
          <w:sz w:val="20"/>
          <w:szCs w:val="20"/>
          <w:color w:val="auto"/>
        </w:rPr>
        <w:t>ARTICLE 148“</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means collectively, and “</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means separately, the promissory notes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evidencing the Revolving Credit Loans and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evidencing the Swingline Loan.</w:t>
      </w:r>
    </w:p>
    <w:p>
      <w:pPr>
        <w:spacing w:after="0" w:line="1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Assignment of Claims</w:t>
      </w:r>
      <w:r>
        <w:rPr>
          <w:rFonts w:ascii="Times New Roman" w:cs="Times New Roman" w:eastAsia="Times New Roman" w:hAnsi="Times New Roman"/>
          <w:sz w:val="20"/>
          <w:szCs w:val="20"/>
          <w:color w:val="auto"/>
        </w:rPr>
        <w:t xml:space="preserve">” means a Notice of Assignment of Claims, in the form of the attached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ind w:firstLine="1223"/>
        <w:spacing w:after="0" w:line="261" w:lineRule="auto"/>
        <w:rPr>
          <w:sz w:val="20"/>
          <w:szCs w:val="20"/>
          <w:color w:val="auto"/>
        </w:rPr>
      </w:pPr>
      <w:r>
        <w:rPr>
          <w:rFonts w:ascii="Times New Roman" w:cs="Times New Roman" w:eastAsia="Times New Roman" w:hAnsi="Times New Roman"/>
          <w:sz w:val="20"/>
          <w:szCs w:val="20"/>
          <w:color w:val="auto"/>
        </w:rPr>
        <w:t>ARTICLE 149“</w:t>
      </w:r>
      <w:r>
        <w:rPr>
          <w:rFonts w:ascii="Times New Roman" w:cs="Times New Roman" w:eastAsia="Times New Roman" w:hAnsi="Times New Roman"/>
          <w:sz w:val="20"/>
          <w:szCs w:val="20"/>
          <w:u w:val="single" w:color="auto"/>
          <w:color w:val="auto"/>
        </w:rPr>
        <w:t>Obligation</w:t>
      </w:r>
      <w:r>
        <w:rPr>
          <w:rFonts w:ascii="Times New Roman" w:cs="Times New Roman" w:eastAsia="Times New Roman" w:hAnsi="Times New Roman"/>
          <w:sz w:val="20"/>
          <w:szCs w:val="20"/>
          <w:color w:val="auto"/>
        </w:rPr>
        <w:t>” means any obligation or liability of any of the Loan Parties or other credit support providers specified in the Loan Documents, howsoever created, arising or evidenced, whether direct or indirect, absolute or contingent, now or hereafter existing, or due or to become due, and whether not allowed or allowable in any bankruptcy proceeding, under or in connection with (a) this Agreement, the Notes, the Letters of Credit, the Administrative Agent’s Letter or any other Loan Document, whether owing to the Administrative Agent, any of the Lenders or their Affiliates, or other Persons provided for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350" w:right="339" w:bottom="1440" w:gutter="0" w:footer="0" w:header="0"/>
        </w:sectPr>
      </w:pPr>
    </w:p>
    <w:bookmarkStart w:id="200" w:name="page201"/>
    <w:bookmarkEnd w:id="200"/>
    <w:p>
      <w:pPr>
        <w:jc w:val="both"/>
        <w:spacing w:after="0" w:line="271" w:lineRule="auto"/>
        <w:rPr>
          <w:sz w:val="20"/>
          <w:szCs w:val="20"/>
          <w:color w:val="auto"/>
        </w:rPr>
      </w:pPr>
      <w:r>
        <w:rPr>
          <w:rFonts w:ascii="Times New Roman" w:cs="Times New Roman" w:eastAsia="Times New Roman" w:hAnsi="Times New Roman"/>
          <w:sz w:val="20"/>
          <w:szCs w:val="20"/>
          <w:color w:val="auto"/>
        </w:rPr>
        <w:t>such Loan Documents, (b) any Lender Provided Interest Rate Hedge, (c) any Erroneous Payment Subrogation Rights, and (d) any Other Lender Provided Financial Service Product. Notwithstanding anything to the contrary contained in the foregoing, the Obligations shall not include any Excluded Hedge Liabilities.</w:t>
      </w:r>
    </w:p>
    <w:p>
      <w:pPr>
        <w:spacing w:after="0" w:line="163" w:lineRule="exact"/>
        <w:rPr>
          <w:sz w:val="20"/>
          <w:szCs w:val="20"/>
          <w:color w:val="auto"/>
        </w:rPr>
      </w:pPr>
    </w:p>
    <w:p>
      <w:pPr>
        <w:jc w:val="both"/>
        <w:ind w:firstLine="1223"/>
        <w:spacing w:after="0" w:line="261" w:lineRule="auto"/>
        <w:rPr>
          <w:sz w:val="20"/>
          <w:szCs w:val="20"/>
          <w:color w:val="auto"/>
        </w:rPr>
      </w:pPr>
      <w:r>
        <w:rPr>
          <w:rFonts w:ascii="Times New Roman" w:cs="Times New Roman" w:eastAsia="Times New Roman" w:hAnsi="Times New Roman"/>
          <w:sz w:val="20"/>
          <w:szCs w:val="20"/>
          <w:color w:val="auto"/>
        </w:rPr>
        <w:t>ARTICLE 150“</w:t>
      </w:r>
      <w:r>
        <w:rPr>
          <w:rFonts w:ascii="Times New Roman" w:cs="Times New Roman" w:eastAsia="Times New Roman" w:hAnsi="Times New Roman"/>
          <w:sz w:val="20"/>
          <w:szCs w:val="20"/>
          <w:u w:val="single" w:color="auto"/>
          <w:color w:val="auto"/>
        </w:rPr>
        <w:t>Off-Balance Sheet Liabilities</w:t>
      </w:r>
      <w:r>
        <w:rPr>
          <w:rFonts w:ascii="Times New Roman" w:cs="Times New Roman" w:eastAsia="Times New Roman" w:hAnsi="Times New Roman"/>
          <w:sz w:val="20"/>
          <w:szCs w:val="20"/>
          <w:color w:val="auto"/>
        </w:rPr>
        <w:t>” of any Person shall mean (i) any repurchase obligation or liability of such Person with respect to accounts or notes receivable 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spacing w:after="0" w:line="176" w:lineRule="exact"/>
        <w:rPr>
          <w:sz w:val="20"/>
          <w:szCs w:val="20"/>
          <w:color w:val="auto"/>
        </w:rPr>
      </w:pPr>
    </w:p>
    <w:p>
      <w:pPr>
        <w:jc w:val="both"/>
        <w:ind w:firstLine="1223"/>
        <w:spacing w:after="0" w:line="261" w:lineRule="auto"/>
        <w:rPr>
          <w:sz w:val="20"/>
          <w:szCs w:val="20"/>
          <w:color w:val="auto"/>
        </w:rPr>
      </w:pPr>
      <w:r>
        <w:rPr>
          <w:rFonts w:ascii="Times New Roman" w:cs="Times New Roman" w:eastAsia="Times New Roman" w:hAnsi="Times New Roman"/>
          <w:sz w:val="20"/>
          <w:szCs w:val="20"/>
          <w:color w:val="auto"/>
        </w:rPr>
        <w:t>ARTICLE 151“</w:t>
      </w:r>
      <w:r>
        <w:rPr>
          <w:rFonts w:ascii="Times New Roman" w:cs="Times New Roman" w:eastAsia="Times New Roman" w:hAnsi="Times New Roman"/>
          <w:sz w:val="20"/>
          <w:szCs w:val="20"/>
          <w:u w:val="single" w:color="auto"/>
          <w:color w:val="auto"/>
        </w:rPr>
        <w:t>Official Body</w:t>
      </w:r>
      <w:r>
        <w:rPr>
          <w:rFonts w:ascii="Times New Roman" w:cs="Times New Roman" w:eastAsia="Times New Roman" w:hAnsi="Times New Roman"/>
          <w:sz w:val="20"/>
          <w:szCs w:val="20"/>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200" w:lineRule="exact"/>
        <w:rPr>
          <w:sz w:val="20"/>
          <w:szCs w:val="20"/>
          <w:color w:val="auto"/>
        </w:rPr>
      </w:pPr>
    </w:p>
    <w:p>
      <w:pPr>
        <w:spacing w:after="0" w:line="210" w:lineRule="exact"/>
        <w:rPr>
          <w:sz w:val="20"/>
          <w:szCs w:val="20"/>
          <w:color w:val="auto"/>
        </w:rPr>
      </w:pPr>
    </w:p>
    <w:p>
      <w:pPr>
        <w:ind w:left="1220"/>
        <w:spacing w:after="0" w:line="370" w:lineRule="auto"/>
        <w:rPr>
          <w:sz w:val="20"/>
          <w:szCs w:val="20"/>
          <w:color w:val="auto"/>
        </w:rPr>
      </w:pPr>
      <w:r>
        <w:rPr>
          <w:rFonts w:ascii="Times New Roman" w:cs="Times New Roman" w:eastAsia="Times New Roman" w:hAnsi="Times New Roman"/>
          <w:sz w:val="20"/>
          <w:szCs w:val="20"/>
          <w:color w:val="auto"/>
        </w:rPr>
        <w:t>ARTICLE 152“</w:t>
      </w:r>
      <w:r>
        <w:rPr>
          <w:rFonts w:ascii="Times New Roman" w:cs="Times New Roman" w:eastAsia="Times New Roman" w:hAnsi="Times New Roman"/>
          <w:sz w:val="20"/>
          <w:szCs w:val="20"/>
          <w:u w:val="single" w:color="auto"/>
          <w:color w:val="auto"/>
        </w:rPr>
        <w:t>Orbit</w:t>
      </w:r>
      <w:r>
        <w:rPr>
          <w:rFonts w:ascii="Times New Roman" w:cs="Times New Roman" w:eastAsia="Times New Roman" w:hAnsi="Times New Roman"/>
          <w:sz w:val="20"/>
          <w:szCs w:val="20"/>
          <w:color w:val="auto"/>
        </w:rPr>
        <w:t>” means Orbit Technologies Ltd., a company organized under the laws of the State of Israel. ARTICLE 153“</w:t>
      </w:r>
      <w:r>
        <w:rPr>
          <w:rFonts w:ascii="Times New Roman" w:cs="Times New Roman" w:eastAsia="Times New Roman" w:hAnsi="Times New Roman"/>
          <w:sz w:val="20"/>
          <w:szCs w:val="20"/>
          <w:u w:val="single" w:color="auto"/>
          <w:color w:val="auto"/>
        </w:rPr>
        <w:t>Orbit Acquisition</w:t>
      </w:r>
      <w:r>
        <w:rPr>
          <w:rFonts w:ascii="Times New Roman" w:cs="Times New Roman" w:eastAsia="Times New Roman" w:hAnsi="Times New Roman"/>
          <w:sz w:val="20"/>
          <w:szCs w:val="20"/>
          <w:color w:val="auto"/>
        </w:rPr>
        <w:t>” means the acquisition of Orbit and its subsidiaries pursuant to the Orbit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94" w:lineRule="exact"/>
        <w:rPr>
          <w:sz w:val="20"/>
          <w:szCs w:val="20"/>
          <w:color w:val="auto"/>
        </w:rPr>
      </w:pPr>
    </w:p>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ARTICLE 154“</w:t>
      </w:r>
      <w:r>
        <w:rPr>
          <w:rFonts w:ascii="Times New Roman" w:cs="Times New Roman" w:eastAsia="Times New Roman" w:hAnsi="Times New Roman"/>
          <w:sz w:val="20"/>
          <w:szCs w:val="20"/>
          <w:u w:val="single" w:color="auto"/>
          <w:color w:val="auto"/>
        </w:rPr>
        <w:t>Orbit Acquisition Agreement</w:t>
      </w:r>
      <w:r>
        <w:rPr>
          <w:rFonts w:ascii="Times New Roman" w:cs="Times New Roman" w:eastAsia="Times New Roman" w:hAnsi="Times New Roman"/>
          <w:sz w:val="20"/>
          <w:szCs w:val="20"/>
          <w:color w:val="auto"/>
        </w:rPr>
        <w:t>” means that certain Agreement and Plan of Merger, dated as of November 4, 2025, by and among the Borrower, as parent, Kratos Holdings UK Limited, a private limited company incorporated under the laws of England and Wales and an indirect wholly owned subsidiary of the Borrower, as buyer, Kratos Acquisition Ltd., as merger subsidiary, and Orbit.</w:t>
      </w:r>
    </w:p>
    <w:p>
      <w:pPr>
        <w:spacing w:after="0" w:line="1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155“</w:t>
      </w:r>
      <w:r>
        <w:rPr>
          <w:rFonts w:ascii="Times New Roman" w:cs="Times New Roman" w:eastAsia="Times New Roman" w:hAnsi="Times New Roman"/>
          <w:sz w:val="20"/>
          <w:szCs w:val="20"/>
          <w:u w:val="single" w:color="auto"/>
          <w:color w:val="auto"/>
        </w:rPr>
        <w:t>Order</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2.8(h)</w:t>
      </w:r>
      <w:r>
        <w:rPr>
          <w:rFonts w:ascii="Times New Roman" w:cs="Times New Roman" w:eastAsia="Times New Roman" w:hAnsi="Times New Roman"/>
          <w:sz w:val="20"/>
          <w:szCs w:val="20"/>
          <w:color w:val="auto"/>
        </w:rPr>
        <w:t xml:space="preserve"> [Liability for Acts and Omissions].</w:t>
      </w:r>
    </w:p>
    <w:p>
      <w:pPr>
        <w:spacing w:after="0" w:line="216" w:lineRule="exact"/>
        <w:rPr>
          <w:sz w:val="20"/>
          <w:szCs w:val="20"/>
          <w:color w:val="auto"/>
        </w:rPr>
      </w:pPr>
    </w:p>
    <w:p>
      <w:pPr>
        <w:jc w:val="both"/>
        <w:ind w:firstLine="1223"/>
        <w:spacing w:after="0" w:line="265" w:lineRule="auto"/>
        <w:rPr>
          <w:sz w:val="20"/>
          <w:szCs w:val="20"/>
          <w:color w:val="auto"/>
        </w:rPr>
      </w:pPr>
      <w:r>
        <w:rPr>
          <w:rFonts w:ascii="Times New Roman" w:cs="Times New Roman" w:eastAsia="Times New Roman" w:hAnsi="Times New Roman"/>
          <w:sz w:val="20"/>
          <w:szCs w:val="20"/>
          <w:color w:val="auto"/>
        </w:rPr>
        <w:t>ARTICLE 156“</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349" w:right="339" w:bottom="1440" w:gutter="0" w:footer="0" w:header="0"/>
        </w:sectPr>
      </w:pPr>
    </w:p>
    <w:bookmarkStart w:id="201" w:name="page202"/>
    <w:bookmarkEnd w:id="201"/>
    <w:p>
      <w:pPr>
        <w:jc w:val="both"/>
        <w:ind w:firstLine="1223"/>
        <w:spacing w:after="0" w:line="260" w:lineRule="auto"/>
        <w:rPr>
          <w:sz w:val="20"/>
          <w:szCs w:val="20"/>
          <w:color w:val="auto"/>
        </w:rPr>
      </w:pPr>
      <w:r>
        <w:rPr>
          <w:rFonts w:ascii="Times New Roman" w:cs="Times New Roman" w:eastAsia="Times New Roman" w:hAnsi="Times New Roman"/>
          <w:sz w:val="20"/>
          <w:szCs w:val="20"/>
          <w:color w:val="auto"/>
        </w:rPr>
        <w:t>ARTICLE 157“</w:t>
      </w:r>
      <w:r>
        <w:rPr>
          <w:rFonts w:ascii="Times New Roman" w:cs="Times New Roman" w:eastAsia="Times New Roman" w:hAnsi="Times New Roman"/>
          <w:sz w:val="20"/>
          <w:szCs w:val="20"/>
          <w:u w:val="single" w:color="auto"/>
          <w:color w:val="auto"/>
        </w:rPr>
        <w:t>Other Lender Provided Financial Service Product</w:t>
      </w:r>
      <w:r>
        <w:rPr>
          <w:rFonts w:ascii="Times New Roman" w:cs="Times New Roman" w:eastAsia="Times New Roman" w:hAnsi="Times New Roman"/>
          <w:sz w:val="20"/>
          <w:szCs w:val="20"/>
          <w:color w:val="auto"/>
        </w:rPr>
        <w:t>” means agreements or other arrangements entered into between any Loan Party and any Cash Management Bank, whether existing on the Closing Date or entered into thereafter, that provides any of the following products or services to any of the Loan Parties: (a) credit cards, (b) credit card processing services, (c) debit cards,</w:t>
      </w:r>
    </w:p>
    <w:p>
      <w:pPr>
        <w:spacing w:after="0" w:line="2" w:lineRule="exact"/>
        <w:rPr>
          <w:sz w:val="20"/>
          <w:szCs w:val="20"/>
          <w:color w:val="auto"/>
        </w:rPr>
      </w:pPr>
    </w:p>
    <w:p>
      <w:pPr>
        <w:ind w:firstLine="2"/>
        <w:spacing w:after="0" w:line="259" w:lineRule="auto"/>
        <w:tabs>
          <w:tab w:leader="none" w:pos="33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cards, (e) ACH transactions, or (f) cash management, including controlled disbursement, overdraft lines, accounts or services.</w:t>
      </w:r>
    </w:p>
    <w:p>
      <w:pPr>
        <w:spacing w:after="0" w:line="200" w:lineRule="exact"/>
        <w:rPr>
          <w:sz w:val="20"/>
          <w:szCs w:val="20"/>
          <w:color w:val="auto"/>
        </w:rPr>
      </w:pPr>
    </w:p>
    <w:p>
      <w:pPr>
        <w:spacing w:after="0" w:line="229" w:lineRule="exact"/>
        <w:rPr>
          <w:sz w:val="20"/>
          <w:szCs w:val="20"/>
          <w:color w:val="auto"/>
        </w:rPr>
      </w:pPr>
    </w:p>
    <w:p>
      <w:pPr>
        <w:jc w:val="both"/>
        <w:ind w:firstLine="1223"/>
        <w:spacing w:after="0" w:line="265" w:lineRule="auto"/>
        <w:rPr>
          <w:sz w:val="20"/>
          <w:szCs w:val="20"/>
          <w:color w:val="auto"/>
        </w:rPr>
      </w:pPr>
      <w:r>
        <w:rPr>
          <w:rFonts w:ascii="Times New Roman" w:cs="Times New Roman" w:eastAsia="Times New Roman" w:hAnsi="Times New Roman"/>
          <w:sz w:val="20"/>
          <w:szCs w:val="20"/>
          <w:color w:val="auto"/>
        </w:rPr>
        <w:t>ARTICLE 158“</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[Replacement of a Lender]).</w:t>
      </w:r>
    </w:p>
    <w:p>
      <w:pPr>
        <w:spacing w:after="0" w:line="157"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159“</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51" w:lineRule="exact"/>
        <w:rPr>
          <w:sz w:val="20"/>
          <w:szCs w:val="20"/>
          <w:color w:val="auto"/>
        </w:rPr>
      </w:pPr>
    </w:p>
    <w:p>
      <w:pPr>
        <w:jc w:val="both"/>
        <w:ind w:firstLine="1223"/>
        <w:spacing w:after="0" w:line="259" w:lineRule="auto"/>
        <w:rPr>
          <w:sz w:val="20"/>
          <w:szCs w:val="20"/>
          <w:color w:val="auto"/>
        </w:rPr>
      </w:pPr>
      <w:r>
        <w:rPr>
          <w:rFonts w:ascii="Times New Roman" w:cs="Times New Roman" w:eastAsia="Times New Roman" w:hAnsi="Times New Roman"/>
          <w:sz w:val="20"/>
          <w:szCs w:val="20"/>
          <w:color w:val="auto"/>
        </w:rPr>
        <w:t>ARTICLE 160“</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xml:space="preserve">” means for any day, the rate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Administrative Agent for the purpose of displaying such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day is not a Business Day, the Overnight Bank Funding Rate for such day shall be such rate on the immediately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Such rate of interest charged shall be adjusted as of each Business Day based on changes in the Overnight Bank Funding Rate without notice to the Borrower.</w:t>
      </w:r>
    </w:p>
    <w:p>
      <w:pPr>
        <w:spacing w:after="0" w:line="16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161“</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12.8(d)</w:t>
      </w:r>
      <w:r>
        <w:rPr>
          <w:rFonts w:ascii="Times New Roman" w:cs="Times New Roman" w:eastAsia="Times New Roman" w:hAnsi="Times New Roman"/>
          <w:sz w:val="20"/>
          <w:szCs w:val="20"/>
          <w:color w:val="auto"/>
        </w:rPr>
        <w:t xml:space="preserve"> [Participations].</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162“</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12.8(d)</w:t>
      </w:r>
      <w:r>
        <w:rPr>
          <w:rFonts w:ascii="Times New Roman" w:cs="Times New Roman" w:eastAsia="Times New Roman" w:hAnsi="Times New Roman"/>
          <w:sz w:val="20"/>
          <w:szCs w:val="20"/>
          <w:color w:val="auto"/>
        </w:rPr>
        <w:t xml:space="preserve"> [Participations].</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163“</w:t>
      </w:r>
      <w:r>
        <w:rPr>
          <w:rFonts w:ascii="Times New Roman" w:cs="Times New Roman" w:eastAsia="Times New Roman" w:hAnsi="Times New Roman"/>
          <w:sz w:val="20"/>
          <w:szCs w:val="20"/>
          <w:u w:val="single" w:color="auto"/>
          <w:color w:val="auto"/>
        </w:rPr>
        <w:t>Participation Advance</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2.8(c)(iii)</w:t>
      </w:r>
      <w:r>
        <w:rPr>
          <w:rFonts w:ascii="Times New Roman" w:cs="Times New Roman" w:eastAsia="Times New Roman" w:hAnsi="Times New Roman"/>
          <w:sz w:val="20"/>
          <w:szCs w:val="20"/>
          <w:color w:val="auto"/>
        </w:rPr>
        <w:t xml:space="preserve"> [Disbursements, Reimbursement].</w:t>
      </w:r>
    </w:p>
    <w:p>
      <w:pPr>
        <w:spacing w:after="0" w:line="216"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164“</w:t>
      </w:r>
      <w:r>
        <w:rPr>
          <w:rFonts w:ascii="Times New Roman" w:cs="Times New Roman" w:eastAsia="Times New Roman" w:hAnsi="Times New Roman"/>
          <w:sz w:val="20"/>
          <w:szCs w:val="20"/>
          <w:u w:val="single" w:color="auto"/>
          <w:color w:val="auto"/>
        </w:rPr>
        <w:t>Payment Date</w:t>
      </w:r>
      <w:r>
        <w:rPr>
          <w:rFonts w:ascii="Times New Roman" w:cs="Times New Roman" w:eastAsia="Times New Roman" w:hAnsi="Times New Roman"/>
          <w:sz w:val="20"/>
          <w:szCs w:val="20"/>
          <w:color w:val="auto"/>
        </w:rPr>
        <w:t>” means the first day of each Fiscal Quarter after the Closing Date and on the Expiration Date or upon acceleration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349" w:right="339" w:bottom="1440" w:gutter="0" w:footer="0" w:header="0"/>
        </w:sectPr>
      </w:pPr>
    </w:p>
    <w:bookmarkStart w:id="202" w:name="page203"/>
    <w:bookmarkEnd w:id="202"/>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165“</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U.S. Pension Benefit Guaranty Corporation established pursuant to Subtitle A of Title IV of ERISA or any successor.</w:t>
      </w:r>
    </w:p>
    <w:p>
      <w:pPr>
        <w:spacing w:after="0" w:line="134" w:lineRule="exact"/>
        <w:rPr>
          <w:sz w:val="20"/>
          <w:szCs w:val="20"/>
          <w:color w:val="auto"/>
        </w:rPr>
      </w:pPr>
    </w:p>
    <w:p>
      <w:pPr>
        <w:jc w:val="both"/>
        <w:ind w:firstLine="1223"/>
        <w:spacing w:after="0" w:line="261" w:lineRule="auto"/>
        <w:rPr>
          <w:sz w:val="20"/>
          <w:szCs w:val="20"/>
          <w:color w:val="auto"/>
        </w:rPr>
      </w:pPr>
      <w:r>
        <w:rPr>
          <w:rFonts w:ascii="Times New Roman" w:cs="Times New Roman" w:eastAsia="Times New Roman" w:hAnsi="Times New Roman"/>
          <w:sz w:val="20"/>
          <w:szCs w:val="20"/>
          <w:color w:val="auto"/>
        </w:rPr>
        <w:t>ARTICLE 166“</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at any time an “employee pension benefit plan” (as such term is defined in Section 3(2) of ERISA) (including a “multiple employer plan” as described in Sections 4063 and 4064 of ERISA, but not a Multiemployer Plan) which is covered by Title IV of ERISA or is subject to the minimum funding standards under Section 412 or Section 430 of the Code and either (a) is sponsored, maintained or contributed to or required to be contributed to by any member of the ERISA Group for employees of any member of the ERISA Group, or (b) has at any time within the preceding five (5) years been sponsored, maintained or contributed to or been required to be contributed to by any entity which was at such time a member of the ERISA Group for employees of any entity which was at such time a member of the ERISA Group, or in the case of a “multiple employer” or other plan described in Section 4064(a) of ERISA, has made contributions at any time during the immediately preceding five plan years.</w:t>
      </w:r>
    </w:p>
    <w:p>
      <w:pPr>
        <w:spacing w:after="0" w:line="164"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shall mean the Perfection Certificate, dated as of the date hereof, made by the Loan Parties in favor of the Administrative Agent.</w:t>
      </w:r>
    </w:p>
    <w:p>
      <w:pPr>
        <w:spacing w:after="0" w:line="121"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any Acquisition by the Borrower or any of its Subsidiaries that occurs when the following conditions have been satisfied:</w:t>
      </w:r>
    </w:p>
    <w:p>
      <w:pPr>
        <w:spacing w:after="0" w:line="96" w:lineRule="exact"/>
        <w:rPr>
          <w:sz w:val="20"/>
          <w:szCs w:val="20"/>
          <w:color w:val="auto"/>
        </w:rPr>
      </w:pPr>
    </w:p>
    <w:p>
      <w:pPr>
        <w:jc w:val="both"/>
        <w:ind w:firstLine="1224"/>
        <w:spacing w:after="0" w:line="234" w:lineRule="auto"/>
        <w:tabs>
          <w:tab w:leader="none" w:pos="183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and after giving effect to such Acquisition, no Potential Default or Event of Default has occurred and is continuing or would result therefrom, and all representations and warranties of the Borrower and its Subsidiaries set forth in the Loan Documents shall be and remain true and correct in all material respects;</w:t>
      </w:r>
    </w:p>
    <w:p>
      <w:pPr>
        <w:spacing w:after="0" w:line="142" w:lineRule="exact"/>
        <w:rPr>
          <w:rFonts w:ascii="Times New Roman" w:cs="Times New Roman" w:eastAsia="Times New Roman" w:hAnsi="Times New Roman"/>
          <w:sz w:val="20"/>
          <w:szCs w:val="20"/>
          <w:color w:val="auto"/>
        </w:rPr>
      </w:pPr>
    </w:p>
    <w:p>
      <w:pPr>
        <w:jc w:val="both"/>
        <w:ind w:firstLine="1224"/>
        <w:spacing w:after="0" w:line="221" w:lineRule="auto"/>
        <w:tabs>
          <w:tab w:leader="none" w:pos="182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before and after giving effect to such Acquisition, the Borrower is in compliance with the covenants set forth in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xml:space="preserve"> [Total Net Leverage Ratio] and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[Interest Coverage Ratio], in each case, calculated on a Pro Forma Basis as of the last day of the most recently ended Fiscal Quarter for which financial statements have been (or are required to have been) delivered pursuant to </w:t>
      </w:r>
      <w:r>
        <w:rPr>
          <w:rFonts w:ascii="Times New Roman" w:cs="Times New Roman" w:eastAsia="Times New Roman" w:hAnsi="Times New Roman"/>
          <w:sz w:val="20"/>
          <w:szCs w:val="20"/>
          <w:u w:val="single" w:color="auto"/>
          <w:color w:val="auto"/>
        </w:rPr>
        <w:t>Section 8.1 (a)</w:t>
      </w:r>
      <w:r>
        <w:rPr>
          <w:rFonts w:ascii="Times New Roman" w:cs="Times New Roman" w:eastAsia="Times New Roman" w:hAnsi="Times New Roman"/>
          <w:sz w:val="20"/>
          <w:szCs w:val="20"/>
          <w:color w:val="auto"/>
        </w:rPr>
        <w:t xml:space="preserve"> [Annual Financial Statements] and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xml:space="preserve"> [Quarterly Financial Statements] as if such Acquisition had occurred, and any Indebtedness incurred in connection therewith was incurred, on the first day of the relevant period for testing compliance, and the Borrower shall have delivered to the Administrative Agent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Compliance Certificate signed by an Authorized Officer certifying to the foregoing at least five (5) days prior to the date of the consummation of such Acquisition;</w:t>
      </w:r>
    </w:p>
    <w:p>
      <w:pPr>
        <w:spacing w:after="0" w:line="147" w:lineRule="exact"/>
        <w:rPr>
          <w:rFonts w:ascii="Times New Roman" w:cs="Times New Roman" w:eastAsia="Times New Roman" w:hAnsi="Times New Roman"/>
          <w:sz w:val="20"/>
          <w:szCs w:val="20"/>
          <w:color w:val="auto"/>
        </w:rPr>
      </w:pPr>
    </w:p>
    <w:p>
      <w:pPr>
        <w:jc w:val="both"/>
        <w:ind w:firstLine="1224"/>
        <w:spacing w:after="0" w:line="225" w:lineRule="auto"/>
        <w:tabs>
          <w:tab w:leader="none" w:pos="183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ten (10) days prior to the date of the consummation of such Acquisition, the Borrower shall have delivered to the Administrative Agent notice of such Acquisition, together with historical financial information and analysis with respect to the Person whose stock or assets are being acquired and copies of the acquisition agreement and related documents (including financial information and analysis, environmental assessments and reports, opinions, certificates and lien searches) and information reasonably requested by the Administrative Agent;</w:t>
      </w:r>
    </w:p>
    <w:p>
      <w:pPr>
        <w:spacing w:after="0" w:line="144"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is consensual and approved by the board of directors (or the equivalent thereof) of the Person whose stock or assets are being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350" w:right="339" w:bottom="1440" w:gutter="0" w:footer="0" w:header="0"/>
        </w:sectPr>
      </w:pPr>
    </w:p>
    <w:bookmarkStart w:id="203" w:name="page204"/>
    <w:bookmarkEnd w:id="203"/>
    <w:p>
      <w:pPr>
        <w:ind w:firstLine="1224"/>
        <w:spacing w:after="0" w:line="249" w:lineRule="auto"/>
        <w:tabs>
          <w:tab w:leader="none" w:pos="1831"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or assets being acquired is in the same type of business conducted by the Borrower and its Subsidiaries on the date hereof or any business reasonably related thereto;</w:t>
      </w:r>
    </w:p>
    <w:p>
      <w:pPr>
        <w:spacing w:after="0" w:line="134" w:lineRule="exact"/>
        <w:rPr>
          <w:rFonts w:ascii="Times New Roman" w:cs="Times New Roman" w:eastAsia="Times New Roman" w:hAnsi="Times New Roman"/>
          <w:sz w:val="20"/>
          <w:szCs w:val="20"/>
          <w:color w:val="auto"/>
        </w:rPr>
      </w:pPr>
    </w:p>
    <w:p>
      <w:pPr>
        <w:ind w:firstLine="1224"/>
        <w:spacing w:after="0" w:line="249" w:lineRule="auto"/>
        <w:tabs>
          <w:tab w:leader="none" w:pos="183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is consummated in compliance with all Requirements of Law, and all consents and approvals from any Official Body or other Person required in connection with such Acquisition have been obtained;</w:t>
      </w:r>
    </w:p>
    <w:p>
      <w:pPr>
        <w:spacing w:after="0" w:line="134"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7"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executed and delivered, or caused its Subsidiaries to execute and deliver, all guarantees, Collateral Documents and other related documents required under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[Additional Subsidiaries and Collateral];</w:t>
      </w:r>
    </w:p>
    <w:p>
      <w:pPr>
        <w:spacing w:after="0" w:line="134" w:lineRule="exact"/>
        <w:rPr>
          <w:rFonts w:ascii="Times New Roman" w:cs="Times New Roman" w:eastAsia="Times New Roman" w:hAnsi="Times New Roman"/>
          <w:sz w:val="20"/>
          <w:szCs w:val="20"/>
          <w:color w:val="auto"/>
        </w:rPr>
      </w:pPr>
    </w:p>
    <w:p>
      <w:pPr>
        <w:jc w:val="both"/>
        <w:ind w:firstLine="1224"/>
        <w:spacing w:after="0" w:line="220" w:lineRule="auto"/>
        <w:tabs>
          <w:tab w:leader="none" w:pos="182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consideration (excluding Equity Interests of the Borrower, but including cash, other equity and Indebtedness or liabilities incurred or assumed and all transaction costs) payable by Loan Parties in connection with such Acquisition attributable to the acquisition of entities that do not become Guarantors and the acquisition of assets by Subsidiaries that are not Loan Parties, (x) taken together with the aggregate consideration (excluding Equity Interests of the Borrower) paid or payable by Loan Parties attributable to the acquisition of such entities and such assets for all Permitted Acquisitions consummated in such Fiscal Year, does not exceed $100,000,000 and (y) taken together with the aggregate consideration (excluding Equity Interests of the Borrower) paid or payable by Loan Parties attributable to the acquisition of such entities and such assets for all Permitted Acquisitions consummated after the Closing Date, does not exceed $300,000,000; and</w:t>
      </w:r>
    </w:p>
    <w:p>
      <w:pPr>
        <w:spacing w:after="0" w:line="147" w:lineRule="exact"/>
        <w:rPr>
          <w:rFonts w:ascii="Times New Roman" w:cs="Times New Roman" w:eastAsia="Times New Roman" w:hAnsi="Times New Roman"/>
          <w:sz w:val="20"/>
          <w:szCs w:val="20"/>
          <w:color w:val="auto"/>
        </w:rPr>
      </w:pPr>
    </w:p>
    <w:p>
      <w:pPr>
        <w:ind w:firstLine="1224"/>
        <w:spacing w:after="0" w:line="249" w:lineRule="auto"/>
        <w:tabs>
          <w:tab w:leader="none" w:pos="182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delivered to the Administrative Agent a Permitted Acquisition Certificate executed by an Authorized Officer certifying that each of the conditions set forth above has been satisfied.</w:t>
      </w:r>
    </w:p>
    <w:p>
      <w:pPr>
        <w:spacing w:after="0" w:line="160" w:lineRule="exact"/>
        <w:rPr>
          <w:sz w:val="20"/>
          <w:szCs w:val="20"/>
          <w:color w:val="auto"/>
        </w:rPr>
      </w:pPr>
    </w:p>
    <w:p>
      <w:pPr>
        <w:ind w:firstLine="1223"/>
        <w:spacing w:after="0" w:line="289" w:lineRule="auto"/>
        <w:rPr>
          <w:sz w:val="20"/>
          <w:szCs w:val="20"/>
          <w:color w:val="auto"/>
        </w:rPr>
      </w:pPr>
      <w:r>
        <w:rPr>
          <w:rFonts w:ascii="Times New Roman" w:cs="Times New Roman" w:eastAsia="Times New Roman" w:hAnsi="Times New Roman"/>
          <w:sz w:val="20"/>
          <w:szCs w:val="20"/>
          <w:color w:val="auto"/>
        </w:rPr>
        <w:t>ARTICLE 167“</w:t>
      </w:r>
      <w:r>
        <w:rPr>
          <w:rFonts w:ascii="Times New Roman" w:cs="Times New Roman" w:eastAsia="Times New Roman" w:hAnsi="Times New Roman"/>
          <w:sz w:val="20"/>
          <w:szCs w:val="20"/>
          <w:u w:val="single" w:color="auto"/>
          <w:color w:val="auto"/>
        </w:rPr>
        <w:t>Permitted Acquisition Certificate</w:t>
      </w:r>
      <w:r>
        <w:rPr>
          <w:rFonts w:ascii="Times New Roman" w:cs="Times New Roman" w:eastAsia="Times New Roman" w:hAnsi="Times New Roman"/>
          <w:sz w:val="20"/>
          <w:szCs w:val="20"/>
          <w:color w:val="auto"/>
        </w:rPr>
        <w:t xml:space="preserve">” means a certificate substantially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or any other form approved by the Administrative Agent.</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168“</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03" w:lineRule="exact"/>
        <w:rPr>
          <w:sz w:val="20"/>
          <w:szCs w:val="20"/>
          <w:color w:val="auto"/>
        </w:rPr>
      </w:pPr>
    </w:p>
    <w:p>
      <w:pPr>
        <w:ind w:firstLine="1224"/>
        <w:spacing w:after="0" w:line="249" w:lineRule="auto"/>
        <w:tabs>
          <w:tab w:leader="none" w:pos="1831"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for taxes not yet delinquent or which are being contested in good faith by appropriate proceedings diligently conducted and with respect to which adequate reserves are being maintained in accordance with GAAP;</w:t>
      </w:r>
    </w:p>
    <w:p>
      <w:pPr>
        <w:spacing w:after="0" w:line="134"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Liens of landlords, carriers, warehousemen, mechanics, materialmen and other Liens imposed by law in the ordinary course of business for amounts not yet due or which are being contested in good faith by appropriate proceedings diligently conducted and with respect to which adequate reserves are being maintained in accordance with GAAP;</w:t>
      </w:r>
    </w:p>
    <w:p>
      <w:pPr>
        <w:spacing w:after="0" w:line="142" w:lineRule="exact"/>
        <w:rPr>
          <w:rFonts w:ascii="Times New Roman" w:cs="Times New Roman" w:eastAsia="Times New Roman" w:hAnsi="Times New Roman"/>
          <w:sz w:val="20"/>
          <w:szCs w:val="20"/>
          <w:color w:val="auto"/>
        </w:rPr>
      </w:pPr>
    </w:p>
    <w:p>
      <w:pPr>
        <w:ind w:firstLine="1224"/>
        <w:spacing w:after="0" w:line="249" w:lineRule="auto"/>
        <w:tabs>
          <w:tab w:leader="none" w:pos="1831"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w:t>
      </w:r>
    </w:p>
    <w:p>
      <w:pPr>
        <w:spacing w:after="0" w:line="134"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324" w:right="339" w:bottom="1440" w:gutter="0" w:footer="0" w:header="0"/>
        </w:sectPr>
      </w:pPr>
    </w:p>
    <w:bookmarkStart w:id="204" w:name="page205"/>
    <w:bookmarkEnd w:id="204"/>
    <w:p>
      <w:pPr>
        <w:jc w:val="both"/>
        <w:ind w:firstLine="1224"/>
        <w:spacing w:after="0" w:line="234" w:lineRule="auto"/>
        <w:tabs>
          <w:tab w:leader="none" w:pos="1831"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and attachment liens not giving rise to an Event of Default or Liens created by or existing from any litigation or legal proceeding that are currently being contested in good faith by appropriate proceedings diligently conducted and with respect to which adequate reserves are being maintained in accordance with GAAP;</w:t>
      </w:r>
    </w:p>
    <w:p>
      <w:pPr>
        <w:spacing w:after="0" w:line="142"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3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rights of set-off, revocation, refund or chargeback under deposit agreements or under the Uniform Commercial Code or common law of banks or other financial institutions where the Borrower or any of its Subsidiaries maintains deposits (other than deposits intended as cash collateral) in the ordinary course of business; and</w:t>
      </w:r>
    </w:p>
    <w:p>
      <w:pPr>
        <w:spacing w:after="0" w:line="142"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and its Subsidiaries taken as a whole;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169</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“Permitted Encumbrances” shall not include any Lien securing Consolidated Funded Debt.</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170“</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190" w:lineRule="exact"/>
        <w:rPr>
          <w:sz w:val="20"/>
          <w:szCs w:val="20"/>
          <w:color w:val="auto"/>
        </w:rPr>
      </w:pPr>
    </w:p>
    <w:p>
      <w:pPr>
        <w:jc w:val="both"/>
        <w:ind w:firstLine="1224"/>
        <w:spacing w:after="0" w:line="234" w:lineRule="auto"/>
        <w:tabs>
          <w:tab w:leader="none" w:pos="1831"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spacing w:after="0" w:line="142"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having the highest rating, at the time of acquisition thereof, of S&amp;P or Moody’s and in either case maturing within six months from the date of acquisition thereof;</w:t>
      </w:r>
    </w:p>
    <w:p>
      <w:pPr>
        <w:spacing w:after="0" w:line="134"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31"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bankers’ acceptances and time deposits maturing within 180 days of the date of acquisition thereof issued or guaranteed by or placed with, and money market deposit accounts issued or offered by, any domestic office of (A) any Lender, or (B) any other commercial bank organized under the laws of the United States or any state thereof or any foreign bank, in each case under this clause (B), which has a combined capital and surplus and undivided profits of not less than $500,000,000;</w:t>
      </w:r>
    </w:p>
    <w:p>
      <w:pPr>
        <w:spacing w:after="0" w:line="140"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collateralized repurchase agreements with a term of not more than 30 days for securities described in clause</w:t>
      </w:r>
    </w:p>
    <w:p>
      <w:pPr>
        <w:ind w:left="280" w:hanging="278"/>
        <w:spacing w:after="0"/>
        <w:tabs>
          <w:tab w:leader="none" w:pos="2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and entered into with a financial institution satisfying the criteria described in clause (c) above; and</w:t>
      </w:r>
    </w:p>
    <w:p>
      <w:pPr>
        <w:spacing w:after="0" w:line="155"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31"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short-term money market and similar highly liquid funds having a rating of at least P-2 or A-2 from either Moody’s or S&amp;P, respectively (or, if at any time neither Moody’s nor S&amp;P shall be rating such obligations, an equivalent rating from another nationally recognized statistical rating agency);</w:t>
      </w:r>
    </w:p>
    <w:p>
      <w:pPr>
        <w:spacing w:after="0" w:line="138"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funds investing solely in any one or more of the Permitted Investments described in clauses (a) through (e)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and</w:t>
      </w:r>
    </w:p>
    <w:p>
      <w:pPr>
        <w:spacing w:after="0" w:line="155"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with respect to Foreign Subsidiaries, (A) investments of the types and maturities described in clauses (a) through (f) above of foreign obligors, which investments or obligors have the ratings described in such clauses or equivalent ratings from comparable foreign rating agencies and (B) other short-term investments utilized by non-U.S. Persons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324" w:right="339" w:bottom="1440" w:gutter="0" w:footer="0" w:header="0"/>
        </w:sectPr>
      </w:pPr>
    </w:p>
    <w:bookmarkStart w:id="205" w:name="page206"/>
    <w:bookmarkEnd w:id="205"/>
    <w:p>
      <w:pPr>
        <w:jc w:val="both"/>
        <w:spacing w:after="0" w:line="249" w:lineRule="auto"/>
        <w:rPr>
          <w:sz w:val="20"/>
          <w:szCs w:val="20"/>
          <w:color w:val="auto"/>
        </w:rPr>
      </w:pPr>
      <w:r>
        <w:rPr>
          <w:rFonts w:ascii="Times New Roman" w:cs="Times New Roman" w:eastAsia="Times New Roman" w:hAnsi="Times New Roman"/>
          <w:sz w:val="20"/>
          <w:szCs w:val="20"/>
          <w:color w:val="auto"/>
        </w:rPr>
        <w:t>accordance with ordinary course investment practices for cash management in investments analogous to the foregoing investments in clauses (a) through (f) above.</w:t>
      </w:r>
    </w:p>
    <w:p>
      <w:pPr>
        <w:spacing w:after="0" w:line="160"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171“</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Official Body or other entity.</w:t>
      </w:r>
    </w:p>
    <w:p>
      <w:pPr>
        <w:spacing w:after="0" w:line="134"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172“</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within the meaning of Section 3(3) of ERISA (including a Pension Plan, but not a Multiemployer Plan), maintained for employees of any member of the ERISA Group or any such Plan to which any member of the ERISA Group is required to contribute on behalf of any of its employees.</w:t>
      </w:r>
    </w:p>
    <w:p>
      <w:pPr>
        <w:spacing w:after="0" w:line="133" w:lineRule="exact"/>
        <w:rPr>
          <w:sz w:val="20"/>
          <w:szCs w:val="20"/>
          <w:color w:val="auto"/>
        </w:rPr>
      </w:pPr>
    </w:p>
    <w:p>
      <w:pPr>
        <w:ind w:left="1220" w:right="1020"/>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means Debt Domain, Intralinks, Syndtrak or a substantially similar electronic transmission system. ARTICLE 173</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174“</w:t>
      </w:r>
      <w:r>
        <w:rPr>
          <w:rFonts w:ascii="Times New Roman" w:cs="Times New Roman" w:eastAsia="Times New Roman" w:hAnsi="Times New Roman"/>
          <w:sz w:val="20"/>
          <w:szCs w:val="20"/>
          <w:u w:val="single" w:color="auto"/>
          <w:color w:val="auto"/>
        </w:rPr>
        <w:t>PNC</w:t>
      </w:r>
      <w:r>
        <w:rPr>
          <w:rFonts w:ascii="Times New Roman" w:cs="Times New Roman" w:eastAsia="Times New Roman" w:hAnsi="Times New Roman"/>
          <w:sz w:val="20"/>
          <w:szCs w:val="20"/>
          <w:color w:val="auto"/>
        </w:rPr>
        <w:t>” means PNC Bank, National Association, its successors and assigns.</w:t>
      </w:r>
    </w:p>
    <w:p>
      <w:pPr>
        <w:spacing w:after="0" w:line="205"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175“</w:t>
      </w:r>
      <w:r>
        <w:rPr>
          <w:rFonts w:ascii="Times New Roman" w:cs="Times New Roman" w:eastAsia="Times New Roman" w:hAnsi="Times New Roman"/>
          <w:sz w:val="20"/>
          <w:szCs w:val="20"/>
          <w:u w:val="single" w:color="auto"/>
          <w:color w:val="auto"/>
        </w:rPr>
        <w:t>Potential Default</w:t>
      </w:r>
      <w:r>
        <w:rPr>
          <w:rFonts w:ascii="Times New Roman" w:cs="Times New Roman" w:eastAsia="Times New Roman" w:hAnsi="Times New Roman"/>
          <w:sz w:val="20"/>
          <w:szCs w:val="20"/>
          <w:color w:val="auto"/>
        </w:rPr>
        <w:t>” means any event or condition which with notice or passage of time, or both, would constitute an Event of Default.</w:t>
      </w:r>
    </w:p>
    <w:p>
      <w:pPr>
        <w:spacing w:after="0" w:line="134" w:lineRule="exact"/>
        <w:rPr>
          <w:sz w:val="20"/>
          <w:szCs w:val="20"/>
          <w:color w:val="auto"/>
        </w:rPr>
      </w:pPr>
    </w:p>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ARTICLE 176“</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interest rate per annum announced from time to time by the Administrative Agent at its Principal Office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spacing w:after="0" w:line="1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177“</w:t>
      </w:r>
      <w:r>
        <w:rPr>
          <w:rFonts w:ascii="Times New Roman" w:cs="Times New Roman" w:eastAsia="Times New Roman" w:hAnsi="Times New Roman"/>
          <w:sz w:val="20"/>
          <w:szCs w:val="20"/>
          <w:u w:val="single" w:color="auto"/>
          <w:color w:val="auto"/>
        </w:rPr>
        <w:t>Principal Office</w:t>
      </w:r>
      <w:r>
        <w:rPr>
          <w:rFonts w:ascii="Times New Roman" w:cs="Times New Roman" w:eastAsia="Times New Roman" w:hAnsi="Times New Roman"/>
          <w:sz w:val="20"/>
          <w:szCs w:val="20"/>
          <w:color w:val="auto"/>
        </w:rPr>
        <w:t>” means the main banking office of the Administrative Agent in Pittsburgh, Pennsylvania.</w:t>
      </w:r>
    </w:p>
    <w:p>
      <w:pPr>
        <w:spacing w:after="0" w:line="216" w:lineRule="exact"/>
        <w:rPr>
          <w:sz w:val="20"/>
          <w:szCs w:val="20"/>
          <w:color w:val="auto"/>
        </w:rPr>
      </w:pPr>
    </w:p>
    <w:p>
      <w:pPr>
        <w:jc w:val="both"/>
        <w:ind w:firstLine="1223"/>
        <w:spacing w:after="0" w:line="260" w:lineRule="auto"/>
        <w:rPr>
          <w:sz w:val="20"/>
          <w:szCs w:val="20"/>
          <w:color w:val="auto"/>
        </w:rPr>
      </w:pPr>
      <w:r>
        <w:rPr>
          <w:rFonts w:ascii="Times New Roman" w:cs="Times New Roman" w:eastAsia="Times New Roman" w:hAnsi="Times New Roman"/>
          <w:sz w:val="20"/>
          <w:szCs w:val="20"/>
          <w:color w:val="auto"/>
        </w:rPr>
        <w:t>ARTICLE 178“</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 Forma Effect</w:t>
      </w:r>
      <w:r>
        <w:rPr>
          <w:rFonts w:ascii="Times New Roman" w:cs="Times New Roman" w:eastAsia="Times New Roman" w:hAnsi="Times New Roman"/>
          <w:sz w:val="20"/>
          <w:szCs w:val="20"/>
          <w:color w:val="auto"/>
        </w:rPr>
        <w:t>” means, (i) with respect to any Person, business, property or asset acquired in a Permitted Acquisition, the inclusion as “Consolidated EBITDA” of the EBITDA (i.e. net income before interest, taxes, depreciation and amortization) for such Person, business, property or asset as if such Acquisition had been consummated on the first day of the applicable period, based on historical results accounted for in accordance with GAAP, (ii) with respect to any Person, business, property or asset sold, transferred or otherwise disposed of, the exclusion from “Consolidated EBITDA” of the EBITDA (i.e. net income before interest, taxes, depreciation and amortization) for such Person, business, property or asset so disposed of during such period as if such disposition had been consummated on the first day of the applicable period, in accordance with GAAP and (iii) with respect to any Indebtedness incurred or Investment made, that such Indebtedness had been incurred or such Investment had been made (and all Indebtedness in connection with such Investment had been incurred), as applicable, on the first day of the applicable period.</w:t>
      </w:r>
    </w:p>
    <w:p>
      <w:pPr>
        <w:spacing w:after="0" w:line="164"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179“</w:t>
      </w:r>
      <w:r>
        <w:rPr>
          <w:rFonts w:ascii="Times New Roman" w:cs="Times New Roman" w:eastAsia="Times New Roman" w:hAnsi="Times New Roman"/>
          <w:sz w:val="20"/>
          <w:szCs w:val="20"/>
          <w:u w:val="single" w:color="auto"/>
          <w:color w:val="auto"/>
        </w:rPr>
        <w:t>Prometheus Energetics Joint Venture</w:t>
      </w:r>
      <w:r>
        <w:rPr>
          <w:rFonts w:ascii="Times New Roman" w:cs="Times New Roman" w:eastAsia="Times New Roman" w:hAnsi="Times New Roman"/>
          <w:sz w:val="20"/>
          <w:szCs w:val="20"/>
          <w:color w:val="auto"/>
        </w:rPr>
        <w:t>” means that certain Joint Venture named Prometheus Energetics, LLC, between Borrower’s Subsidiary Kratos Defense &amp;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324"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0"/>
          <w:szCs w:val="20"/>
          <w:color w:val="auto"/>
        </w:rPr>
        <w:t>Rocket Support Services, Inc. (49.9% Joint Venture member) and Rafael USA Inc. (50.1% Joint Venture member).</w:t>
      </w:r>
    </w:p>
    <w:p>
      <w:pPr>
        <w:spacing w:after="0" w:line="216"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180“</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[Certificates; Notices; Additional Information].</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181“</w:t>
      </w:r>
      <w:r>
        <w:rPr>
          <w:rFonts w:ascii="Times New Roman" w:cs="Times New Roman" w:eastAsia="Times New Roman" w:hAnsi="Times New Roman"/>
          <w:sz w:val="20"/>
          <w:szCs w:val="20"/>
          <w:u w:val="single" w:color="auto"/>
          <w:color w:val="auto"/>
        </w:rPr>
        <w:t>Ratable Share</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firstLine="1223"/>
        <w:spacing w:after="0" w:line="265" w:lineRule="auto"/>
        <w:rPr>
          <w:sz w:val="20"/>
          <w:szCs w:val="20"/>
          <w:color w:val="auto"/>
        </w:rPr>
      </w:pPr>
      <w:r>
        <w:rPr>
          <w:rFonts w:ascii="Times New Roman" w:cs="Times New Roman" w:eastAsia="Times New Roman" w:hAnsi="Times New Roman"/>
          <w:sz w:val="20"/>
          <w:szCs w:val="20"/>
          <w:color w:val="auto"/>
        </w:rPr>
        <w:t xml:space="preserve">ARTICLE 182(a) with respect to a Lender’s obligation to make Revolving Credit Loans, participate in Letters of Credit and other Letter of Credit Obligations, participate in Swingline Loans, and receive payments, interest, and fees related thereto, the proportion that such Lender’s Revolving Credit Commitment bears to the Revolving Credit Commitments of all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Revolving Credit Commitments have terminated or expired, the Ratable Shares for purposes of this clause shall be determined based upon the Revolving Credit Commitments most recently in effect, giving effect to any assignments;</w:t>
      </w:r>
    </w:p>
    <w:p>
      <w:pPr>
        <w:spacing w:after="0" w:line="157" w:lineRule="exact"/>
        <w:rPr>
          <w:sz w:val="20"/>
          <w:szCs w:val="20"/>
          <w:color w:val="auto"/>
        </w:rPr>
      </w:pPr>
    </w:p>
    <w:p>
      <w:pPr>
        <w:jc w:val="both"/>
        <w:ind w:firstLine="1223"/>
        <w:spacing w:after="0" w:line="265" w:lineRule="auto"/>
        <w:rPr>
          <w:sz w:val="20"/>
          <w:szCs w:val="20"/>
          <w:color w:val="auto"/>
        </w:rPr>
      </w:pPr>
      <w:r>
        <w:rPr>
          <w:rFonts w:ascii="Times New Roman" w:cs="Times New Roman" w:eastAsia="Times New Roman" w:hAnsi="Times New Roman"/>
          <w:sz w:val="20"/>
          <w:szCs w:val="20"/>
          <w:color w:val="auto"/>
        </w:rPr>
        <w:t xml:space="preserve">ARTICLE 183(b) with respect to all other matters as to a particular Lender, the percentage obtained by dividing (i) such Lender’s Revolving Credit Commitment, by (ii) the sum of the aggregate amount of the Revolving Credit Commitments of all Lenders;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if the Revolving Credit Commitments have terminated or expired, the computation in this clause shall be determined based upon the Revolving Credit Commitments most recently in effect, giving effect to any assignments, and not on the current amount of the Revolving Credit Commitments, but subject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[Defaulting Lenders].</w:t>
      </w:r>
    </w:p>
    <w:p>
      <w:pPr>
        <w:spacing w:after="0" w:line="15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184“</w:t>
      </w:r>
      <w:r>
        <w:rPr>
          <w:rFonts w:ascii="Times New Roman" w:cs="Times New Roman" w:eastAsia="Times New Roman" w:hAnsi="Times New Roman"/>
          <w:sz w:val="20"/>
          <w:szCs w:val="20"/>
          <w:u w:val="single" w:color="auto"/>
          <w:color w:val="auto"/>
        </w:rPr>
        <w:t>Real Estate</w:t>
      </w:r>
      <w:r>
        <w:rPr>
          <w:rFonts w:ascii="Times New Roman" w:cs="Times New Roman" w:eastAsia="Times New Roman" w:hAnsi="Times New Roman"/>
          <w:sz w:val="20"/>
          <w:szCs w:val="20"/>
          <w:color w:val="auto"/>
        </w:rPr>
        <w:t>” shall mean all real property owned by the Borrower and its Subsidiaries.</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185“</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 the Administrative Agent, (b) any Lender and (c) any Issuing Lender, as applicable.</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186“</w:t>
      </w:r>
      <w:r>
        <w:rPr>
          <w:rFonts w:ascii="Times New Roman" w:cs="Times New Roman" w:eastAsia="Times New Roman" w:hAnsi="Times New Roman"/>
          <w:sz w:val="20"/>
          <w:szCs w:val="20"/>
          <w:u w:val="single" w:color="auto"/>
          <w:color w:val="auto"/>
        </w:rPr>
        <w:t>Reimbursement Obligation</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xml:space="preserve"> [Disbursements, Reimbursement].</w:t>
      </w:r>
    </w:p>
    <w:p>
      <w:pPr>
        <w:spacing w:after="0" w:line="216"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187“</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managers, members, administrators, trustees, partners, directors, officers, employees, agents, advisors and other representatives of such Person and of such Person’s Affiliates.</w:t>
      </w:r>
    </w:p>
    <w:p>
      <w:pPr>
        <w:spacing w:after="0" w:line="146" w:lineRule="exact"/>
        <w:rPr>
          <w:sz w:val="20"/>
          <w:szCs w:val="20"/>
          <w:color w:val="auto"/>
        </w:rPr>
      </w:pPr>
    </w:p>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ARTICLE 188“</w:t>
      </w:r>
      <w:r>
        <w:rPr>
          <w:rFonts w:ascii="Times New Roman" w:cs="Times New Roman" w:eastAsia="Times New Roman" w:hAnsi="Times New Roman"/>
          <w:sz w:val="20"/>
          <w:szCs w:val="20"/>
          <w:u w:val="single" w:color="auto"/>
          <w:color w:val="auto"/>
        </w:rPr>
        <w:t>Relief Proceeding</w:t>
      </w:r>
      <w:r>
        <w:rPr>
          <w:rFonts w:ascii="Times New Roman" w:cs="Times New Roman" w:eastAsia="Times New Roman" w:hAnsi="Times New Roman"/>
          <w:sz w:val="20"/>
          <w:szCs w:val="20"/>
          <w:color w:val="auto"/>
        </w:rPr>
        <w:t>” means any proceeding seeking a decree or order for relief in respect of any Loan Party or Subsidiary of a Loan Party in a voluntary or involuntary case under any applicable bankruptcy, insolvency, reorganization or other similar law now or hereafter in effect, or for the appointment of a receiver, liquidator, assignee, custodian, trustee, sequestrator, conservator (or similar official) of any Loan Party or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349" w:right="339" w:bottom="1440" w:gutter="0" w:footer="0" w:header="0"/>
        </w:sectPr>
      </w:pPr>
    </w:p>
    <w:bookmarkStart w:id="207" w:name="page208"/>
    <w:bookmarkEnd w:id="207"/>
    <w:p>
      <w:pPr>
        <w:jc w:val="both"/>
        <w:spacing w:after="0" w:line="289" w:lineRule="auto"/>
        <w:rPr>
          <w:sz w:val="20"/>
          <w:szCs w:val="20"/>
          <w:color w:val="auto"/>
        </w:rPr>
      </w:pPr>
      <w:r>
        <w:rPr>
          <w:rFonts w:ascii="Times New Roman" w:cs="Times New Roman" w:eastAsia="Times New Roman" w:hAnsi="Times New Roman"/>
          <w:sz w:val="20"/>
          <w:szCs w:val="20"/>
          <w:color w:val="auto"/>
        </w:rPr>
        <w:t>of a Loan Party for any substantial part of its property, or for the winding-up or liquidation of its affairs, or an assignment for the benefit of its creditors.</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189“</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11.6(b)</w:t>
      </w:r>
      <w:r>
        <w:rPr>
          <w:rFonts w:ascii="Times New Roman" w:cs="Times New Roman" w:eastAsia="Times New Roman" w:hAnsi="Times New Roman"/>
          <w:sz w:val="20"/>
          <w:szCs w:val="20"/>
          <w:color w:val="auto"/>
        </w:rPr>
        <w:t xml:space="preserve"> [Resignation of Administrative Agent].</w:t>
      </w:r>
    </w:p>
    <w:p>
      <w:pPr>
        <w:spacing w:after="0" w:line="228" w:lineRule="exact"/>
        <w:rPr>
          <w:sz w:val="20"/>
          <w:szCs w:val="20"/>
          <w:color w:val="auto"/>
        </w:rPr>
      </w:pPr>
    </w:p>
    <w:p>
      <w:pPr>
        <w:jc w:val="both"/>
        <w:ind w:firstLine="1223"/>
        <w:spacing w:after="0" w:line="260" w:lineRule="auto"/>
        <w:rPr>
          <w:sz w:val="20"/>
          <w:szCs w:val="20"/>
          <w:color w:val="auto"/>
        </w:rPr>
      </w:pPr>
      <w:r>
        <w:rPr>
          <w:rFonts w:ascii="Times New Roman" w:cs="Times New Roman" w:eastAsia="Times New Roman" w:hAnsi="Times New Roman"/>
          <w:sz w:val="20"/>
          <w:szCs w:val="20"/>
          <w:color w:val="auto"/>
        </w:rPr>
        <w:t>ARTICLE 190“</w:t>
      </w:r>
      <w:r>
        <w:rPr>
          <w:rFonts w:ascii="Times New Roman" w:cs="Times New Roman" w:eastAsia="Times New Roman" w:hAnsi="Times New Roman"/>
          <w:sz w:val="20"/>
          <w:szCs w:val="20"/>
          <w:u w:val="single" w:color="auto"/>
          <w:color w:val="auto"/>
        </w:rPr>
        <w:t>Reportable Compliance Event</w:t>
      </w:r>
      <w:r>
        <w:rPr>
          <w:rFonts w:ascii="Times New Roman" w:cs="Times New Roman" w:eastAsia="Times New Roman" w:hAnsi="Times New Roman"/>
          <w:sz w:val="20"/>
          <w:szCs w:val="20"/>
          <w:color w:val="auto"/>
        </w:rPr>
        <w:t>” means that: (a)(i) the Borrower is proposed for suspension or debarment under or in relation to any Government Contract, (ii) the Borrower makes a mandatory disclosure as required by Federal Acquisition Regulation Subpart 3.1003 or Federal Acquisition Regulation clause 52.203-13, Contractor Code of Business Ethics and Conduct,</w:t>
      </w:r>
    </w:p>
    <w:p>
      <w:pPr>
        <w:jc w:val="both"/>
        <w:ind w:firstLine="2"/>
        <w:spacing w:after="0" w:line="256" w:lineRule="auto"/>
        <w:tabs>
          <w:tab w:leader="none" w:pos="36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in connection with the award, performance, or closeout of a Government Contract, makes a voluntary disclosure to an Official Body or a higher-tier Official Body regarding or relating credible evidence of a violation of Federal criminal law involving fraud, conflict of interest, bribery, or gratuity violations found in Title 18 of the United States Code or a violation of the civil False Claims Act, 31 U.S.C. §§ 3729–3733, or (iv) any Covered Entity is a target of any investigation by an Official Body arising from or relating to a violation of the civil False Claims Act, 31 U.S.C. §§ 3729–3733; (b) any Covered Entity becomes a Sanctioned Person, or is charged by indictment, criminal complaint, or similar charging instrument, arraigned, custodially detained, penalized or the subject of an assessment for a penalty, by, or enters into a settlement with an Official Body in connection with any Anti-Corruption Law, Anti-Money Laundering Law or International Trade Law, or any predicate crime to any Anti-Corruption Law, Anti-Money Laundering Law or International Trade Law; (c) any Covered Entity engages in a transaction that has caused or would cause any Person hereunder (including the Administrative Agent, the Collateral Agent, any lead arranger, the Issuing Lender, the Lenders, and any underwriter, advisor, investor, or otherwise) to be in violation of any Anti-Corruption Law or International Trade Law or become a Sanctioned Person, including a Covered Entity’s use of any proceeds of the Loans hereunder to directly or indirectly fund any activities or business of, with, or for the benefit of any Person that is a Sanctioned Person, or to directly or indirectly fund or facilitate any activities or business of or in any Sanctioned Jurisdiction; (d) any pledged Collateral qualifies as Blocked Property; or (e) any Covered Entity otherwise violates, or reasonably believes that it will violate, any of the Anti-Corruption Law or International Trade Law-specific representations and covenants herein.</w:t>
      </w:r>
    </w:p>
    <w:p>
      <w:pPr>
        <w:spacing w:after="0" w:line="17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191“</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192 (a) If there exists fewer than three (3) Lenders, all Lenders (other than any Defaulting Lender), and</w:t>
      </w:r>
    </w:p>
    <w:p>
      <w:pPr>
        <w:spacing w:after="0" w:line="216" w:lineRule="exact"/>
        <w:rPr>
          <w:sz w:val="20"/>
          <w:szCs w:val="20"/>
          <w:color w:val="auto"/>
        </w:rPr>
      </w:pPr>
    </w:p>
    <w:p>
      <w:pPr>
        <w:jc w:val="both"/>
        <w:ind w:firstLine="1223"/>
        <w:spacing w:after="0" w:line="262" w:lineRule="auto"/>
        <w:rPr>
          <w:sz w:val="20"/>
          <w:szCs w:val="20"/>
          <w:color w:val="auto"/>
        </w:rPr>
      </w:pPr>
      <w:r>
        <w:rPr>
          <w:rFonts w:ascii="Times New Roman" w:cs="Times New Roman" w:eastAsia="Times New Roman" w:hAnsi="Times New Roman"/>
          <w:sz w:val="20"/>
          <w:szCs w:val="20"/>
          <w:color w:val="auto"/>
        </w:rPr>
        <w:t xml:space="preserve">ARTICLE 193 (b) If there exist three (3) or more Lenders, Lenders (other than any Defaulting Lender) having more than 50% of the sum of the aggregate amount of the Revolving Credit Commitments of the Lenders (excluding any Defaulting Lender) or, after the termination of the Revolving Credit Commitments, the outstanding Revolving Credit Loans and Ratable Share of Letter of Credit Obligations of the Lenders (excluding any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at any time when there are more than two (2) non-affiliated Lenders that are not Defaulting Lenders, Required Lenders must at all times include at least two (2) non-affiliated Lenders that are not Defaulting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349" w:right="339" w:bottom="1440" w:gutter="0" w:footer="0" w:header="0"/>
        </w:sectPr>
      </w:pPr>
    </w:p>
    <w:bookmarkStart w:id="208" w:name="page209"/>
    <w:bookmarkEnd w:id="208"/>
    <w:p>
      <w:pPr>
        <w:ind w:left="1220"/>
        <w:spacing w:after="0"/>
        <w:rPr>
          <w:sz w:val="20"/>
          <w:szCs w:val="20"/>
          <w:color w:val="auto"/>
        </w:rPr>
      </w:pPr>
      <w:r>
        <w:rPr>
          <w:rFonts w:ascii="Times New Roman" w:cs="Times New Roman" w:eastAsia="Times New Roman" w:hAnsi="Times New Roman"/>
          <w:sz w:val="20"/>
          <w:szCs w:val="20"/>
          <w:color w:val="auto"/>
        </w:rPr>
        <w:t>ARTICLE 194“</w:t>
      </w:r>
      <w:r>
        <w:rPr>
          <w:rFonts w:ascii="Times New Roman" w:cs="Times New Roman" w:eastAsia="Times New Roman" w:hAnsi="Times New Roman"/>
          <w:sz w:val="20"/>
          <w:szCs w:val="20"/>
          <w:u w:val="single" w:color="auto"/>
          <w:color w:val="auto"/>
        </w:rPr>
        <w:t>Required Share</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[Settlement Date Procedures].</w:t>
      </w:r>
    </w:p>
    <w:p>
      <w:pPr>
        <w:spacing w:after="0" w:line="216" w:lineRule="exact"/>
        <w:rPr>
          <w:sz w:val="20"/>
          <w:szCs w:val="20"/>
          <w:color w:val="auto"/>
        </w:rPr>
      </w:pPr>
    </w:p>
    <w:p>
      <w:pPr>
        <w:jc w:val="both"/>
        <w:ind w:firstLine="1223"/>
        <w:spacing w:after="0" w:line="266" w:lineRule="auto"/>
        <w:rPr>
          <w:sz w:val="20"/>
          <w:szCs w:val="20"/>
          <w:color w:val="auto"/>
        </w:rPr>
      </w:pPr>
      <w:r>
        <w:rPr>
          <w:rFonts w:ascii="Times New Roman" w:cs="Times New Roman" w:eastAsia="Times New Roman" w:hAnsi="Times New Roman"/>
          <w:sz w:val="20"/>
          <w:szCs w:val="20"/>
          <w:color w:val="auto"/>
        </w:rPr>
        <w:t>ARTICLE 195“</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for any Person shall mean (a) the articles or certificate of incorporation, bylaws, partnership certificate and agreement, or limited liability company certificate of organization and agreement, as the case may be, and other organizational and governing documents of such Person, and (b) any law, treaty, rule or regulation, or determination of an Official Body, in each case applicable to or binding upon such Person or any of its property or to which such Person or any of its property is subject.</w:t>
      </w:r>
    </w:p>
    <w:p>
      <w:pPr>
        <w:spacing w:after="0" w:line="200" w:lineRule="exact"/>
        <w:rPr>
          <w:sz w:val="20"/>
          <w:szCs w:val="20"/>
          <w:color w:val="auto"/>
        </w:rPr>
      </w:pP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196“</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11.6(a)</w:t>
      </w:r>
      <w:r>
        <w:rPr>
          <w:rFonts w:ascii="Times New Roman" w:cs="Times New Roman" w:eastAsia="Times New Roman" w:hAnsi="Times New Roman"/>
          <w:sz w:val="20"/>
          <w:szCs w:val="20"/>
          <w:color w:val="auto"/>
        </w:rPr>
        <w:t xml:space="preserve"> [Resignation of Administrative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206"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197“</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34" w:lineRule="exact"/>
        <w:rPr>
          <w:sz w:val="20"/>
          <w:szCs w:val="20"/>
          <w:color w:val="auto"/>
        </w:rPr>
      </w:pPr>
    </w:p>
    <w:p>
      <w:pPr>
        <w:jc w:val="both"/>
        <w:ind w:firstLine="1223"/>
        <w:spacing w:after="0" w:line="265" w:lineRule="auto"/>
        <w:rPr>
          <w:sz w:val="20"/>
          <w:szCs w:val="20"/>
          <w:color w:val="auto"/>
        </w:rPr>
      </w:pPr>
      <w:r>
        <w:rPr>
          <w:rFonts w:ascii="Times New Roman" w:cs="Times New Roman" w:eastAsia="Times New Roman" w:hAnsi="Times New Roman"/>
          <w:sz w:val="20"/>
          <w:szCs w:val="20"/>
          <w:color w:val="auto"/>
        </w:rPr>
        <w:t>ARTICLE 198“</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for any Person, any dividend or distribution on any class of its Equity Interests, or any payment on account of, or set apart assets for a sinking or other analogous fund for, the purchase, redemption, retirement, defeasance or other acquisition of any shares of its Equity Interests, any Indebtedness subordinated to the Obligations or any Guaranty thereof or any options, warrants or other rights to purchase such Equity Interests or such Indebtedness, whether now or hereafter outstanding, or any management or similar fees.</w:t>
      </w:r>
    </w:p>
    <w:p>
      <w:pPr>
        <w:spacing w:after="0" w:line="157"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ARTICLE 199“</w:t>
      </w:r>
      <w:r>
        <w:rPr>
          <w:rFonts w:ascii="Times New Roman" w:cs="Times New Roman" w:eastAsia="Times New Roman" w:hAnsi="Times New Roman"/>
          <w:sz w:val="20"/>
          <w:szCs w:val="20"/>
          <w:u w:val="single" w:color="auto"/>
          <w:color w:val="auto"/>
        </w:rPr>
        <w:t>Revolving Credit Commitment</w:t>
      </w:r>
      <w:r>
        <w:rPr>
          <w:rFonts w:ascii="Times New Roman" w:cs="Times New Roman" w:eastAsia="Times New Roman" w:hAnsi="Times New Roman"/>
          <w:sz w:val="20"/>
          <w:szCs w:val="20"/>
          <w:color w:val="auto"/>
        </w:rPr>
        <w:t xml:space="preserve">” means, as to any Lender at any time, the amount initially specified opposite its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in the column labeled “Amount of Commitment for Revolving Credit Loans,” as such Commitment is thereafter assigned or modified, and “</w:t>
      </w:r>
      <w:r>
        <w:rPr>
          <w:rFonts w:ascii="Times New Roman" w:cs="Times New Roman" w:eastAsia="Times New Roman" w:hAnsi="Times New Roman"/>
          <w:sz w:val="20"/>
          <w:szCs w:val="20"/>
          <w:u w:val="single" w:color="auto"/>
          <w:color w:val="auto"/>
        </w:rPr>
        <w:t>Revolving Credit Commitments</w:t>
      </w:r>
      <w:r>
        <w:rPr>
          <w:rFonts w:ascii="Times New Roman" w:cs="Times New Roman" w:eastAsia="Times New Roman" w:hAnsi="Times New Roman"/>
          <w:sz w:val="20"/>
          <w:szCs w:val="20"/>
          <w:color w:val="auto"/>
        </w:rPr>
        <w:t>” means the aggregate Revolving Credit Commitments of all of the Lenders.</w:t>
      </w:r>
    </w:p>
    <w:p>
      <w:pPr>
        <w:spacing w:after="0" w:line="17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200“</w:t>
      </w:r>
      <w:r>
        <w:rPr>
          <w:rFonts w:ascii="Times New Roman" w:cs="Times New Roman" w:eastAsia="Times New Roman" w:hAnsi="Times New Roman"/>
          <w:sz w:val="20"/>
          <w:szCs w:val="20"/>
          <w:u w:val="single" w:color="auto"/>
          <w:color w:val="auto"/>
        </w:rPr>
        <w:t>Revolving Credit Facility</w:t>
      </w:r>
      <w:r>
        <w:rPr>
          <w:rFonts w:ascii="Times New Roman" w:cs="Times New Roman" w:eastAsia="Times New Roman" w:hAnsi="Times New Roman"/>
          <w:sz w:val="20"/>
          <w:szCs w:val="20"/>
          <w:color w:val="auto"/>
        </w:rPr>
        <w:t xml:space="preserve">” means the revolving loan facility provided pursuant to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201“</w:t>
      </w:r>
      <w:r>
        <w:rPr>
          <w:rFonts w:ascii="Times New Roman" w:cs="Times New Roman" w:eastAsia="Times New Roman" w:hAnsi="Times New Roman"/>
          <w:sz w:val="20"/>
          <w:szCs w:val="20"/>
          <w:u w:val="single" w:color="auto"/>
          <w:color w:val="auto"/>
        </w:rPr>
        <w:t>Revolving Credit Loans</w:t>
      </w:r>
      <w:r>
        <w:rPr>
          <w:rFonts w:ascii="Times New Roman" w:cs="Times New Roman" w:eastAsia="Times New Roman" w:hAnsi="Times New Roman"/>
          <w:sz w:val="20"/>
          <w:szCs w:val="20"/>
          <w:color w:val="auto"/>
        </w:rPr>
        <w:t>” means, collectively, and “</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means, separately, all Revolving Credit Loans or any Revolving Credit Loan made by the Lenders or one of the Lenders to the Borrower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[Revolving Credit Commitments] or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xml:space="preserve"> [Disbursements, Reimbursement].</w:t>
      </w:r>
    </w:p>
    <w:p>
      <w:pPr>
        <w:spacing w:after="0" w:line="151" w:lineRule="exact"/>
        <w:rPr>
          <w:sz w:val="20"/>
          <w:szCs w:val="20"/>
          <w:color w:val="auto"/>
        </w:rPr>
      </w:pPr>
    </w:p>
    <w:p>
      <w:pPr>
        <w:jc w:val="both"/>
        <w:ind w:firstLine="1223"/>
        <w:spacing w:after="0" w:line="302" w:lineRule="auto"/>
        <w:rPr>
          <w:sz w:val="20"/>
          <w:szCs w:val="20"/>
          <w:color w:val="auto"/>
        </w:rPr>
      </w:pPr>
      <w:r>
        <w:rPr>
          <w:rFonts w:ascii="Times New Roman" w:cs="Times New Roman" w:eastAsia="Times New Roman" w:hAnsi="Times New Roman"/>
          <w:sz w:val="20"/>
          <w:szCs w:val="20"/>
          <w:color w:val="auto"/>
        </w:rPr>
        <w:t>ARTICLE 202“</w:t>
      </w:r>
      <w:r>
        <w:rPr>
          <w:rFonts w:ascii="Times New Roman" w:cs="Times New Roman" w:eastAsia="Times New Roman" w:hAnsi="Times New Roman"/>
          <w:sz w:val="20"/>
          <w:szCs w:val="20"/>
          <w:u w:val="single" w:color="auto"/>
          <w:color w:val="auto"/>
        </w:rPr>
        <w:t>Revolving Facility Usage</w:t>
      </w:r>
      <w:r>
        <w:rPr>
          <w:rFonts w:ascii="Times New Roman" w:cs="Times New Roman" w:eastAsia="Times New Roman" w:hAnsi="Times New Roman"/>
          <w:sz w:val="20"/>
          <w:szCs w:val="20"/>
          <w:color w:val="auto"/>
        </w:rPr>
        <w:t>” means at any time the sum of the outstanding Revolving Credit Loans, the outstanding Swingline Loans, and the Letter of Credit Obligations.</w:t>
      </w:r>
    </w:p>
    <w:p>
      <w:pPr>
        <w:spacing w:after="0" w:line="1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203“</w:t>
      </w:r>
      <w:r>
        <w:rPr>
          <w:rFonts w:ascii="Times New Roman" w:cs="Times New Roman" w:eastAsia="Times New Roman" w:hAnsi="Times New Roman"/>
          <w:sz w:val="20"/>
          <w:szCs w:val="20"/>
          <w:u w:val="single" w:color="auto"/>
          <w:color w:val="auto"/>
        </w:rPr>
        <w:t>Sale/Leaseback Transaction</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9.9</w:t>
      </w:r>
      <w:r>
        <w:rPr>
          <w:rFonts w:ascii="Times New Roman" w:cs="Times New Roman" w:eastAsia="Times New Roman" w:hAnsi="Times New Roman"/>
          <w:sz w:val="20"/>
          <w:szCs w:val="20"/>
          <w:color w:val="auto"/>
        </w:rPr>
        <w:t xml:space="preserve"> [Sale and Leaseback</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349" w:right="339" w:bottom="1440" w:gutter="0" w:footer="0" w:header="0"/>
        </w:sectPr>
      </w:pPr>
    </w:p>
    <w:bookmarkStart w:id="209" w:name="page210"/>
    <w:bookmarkEnd w:id="209"/>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204“</w:t>
      </w:r>
      <w:r>
        <w:rPr>
          <w:rFonts w:ascii="Times New Roman" w:cs="Times New Roman" w:eastAsia="Times New Roman" w:hAnsi="Times New Roman"/>
          <w:sz w:val="20"/>
          <w:szCs w:val="20"/>
          <w:u w:val="single" w:color="auto"/>
          <w:color w:val="auto"/>
        </w:rPr>
        <w:t>Sanctioned Jurisdiction</w:t>
      </w:r>
      <w:r>
        <w:rPr>
          <w:rFonts w:ascii="Times New Roman" w:cs="Times New Roman" w:eastAsia="Times New Roman" w:hAnsi="Times New Roman"/>
          <w:sz w:val="20"/>
          <w:szCs w:val="20"/>
          <w:color w:val="auto"/>
        </w:rPr>
        <w:t>” means, at any time, a country, area, territory, or jurisdiction that is the subject or target of any Sanctions, including the Crimea, “Donetsk People’s Republic,” and “Luhansk People’s Republic” regions of Ukraine, Cuba, Iran, North Korea and Syria.</w:t>
      </w:r>
    </w:p>
    <w:p>
      <w:pPr>
        <w:spacing w:after="0" w:line="163"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ARTICLE 205“</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any Person that is the subject of Sanctions, including any Person that is (a) located or operating in, organized under the laws of, or ordinarily resident in a Sanctioned Jurisdiction; (b) identified on any sanctions-related list maintained by any Compliance Authority; or (c) owned 50% or more, in the aggregate, directly or indirectly by, controlled by, or acting for, on behalf of, or at the direction of, one or more Persons described in clauses (a) or (b) above.</w:t>
      </w:r>
    </w:p>
    <w:p>
      <w:pPr>
        <w:spacing w:after="0" w:line="160" w:lineRule="exact"/>
        <w:rPr>
          <w:sz w:val="20"/>
          <w:szCs w:val="20"/>
          <w:color w:val="auto"/>
        </w:rPr>
      </w:pPr>
    </w:p>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ARTICLE 206“</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shall mean economic or financial sanctions or trade embargoes imposed, administered or enforced from time to time by (a) the U.S. government, including those administered by OFAC or the U.S. Department of State, (b) the United Nations Security Council, the European Union or His Majesty’s Treasury of the United Kingdom or (c) any other relevant sanctions authority.</w:t>
      </w:r>
    </w:p>
    <w:p>
      <w:pPr>
        <w:spacing w:after="0" w:line="1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207“</w:t>
      </w:r>
      <w:r>
        <w:rPr>
          <w:rFonts w:ascii="Times New Roman" w:cs="Times New Roman" w:eastAsia="Times New Roman" w:hAnsi="Times New Roman"/>
          <w:sz w:val="20"/>
          <w:szCs w:val="20"/>
          <w:u w:val="single" w:color="auto"/>
          <w:color w:val="auto"/>
        </w:rPr>
        <w:t>SEC Material Contract</w:t>
      </w:r>
      <w:r>
        <w:rPr>
          <w:rFonts w:ascii="Times New Roman" w:cs="Times New Roman" w:eastAsia="Times New Roman" w:hAnsi="Times New Roman"/>
          <w:sz w:val="20"/>
          <w:szCs w:val="20"/>
          <w:color w:val="auto"/>
        </w:rPr>
        <w:t>” means as is specified in the definition of “Material Contract.”</w:t>
      </w:r>
    </w:p>
    <w:p>
      <w:pPr>
        <w:spacing w:after="0" w:line="216" w:lineRule="exact"/>
        <w:rPr>
          <w:sz w:val="20"/>
          <w:szCs w:val="20"/>
          <w:color w:val="auto"/>
        </w:rPr>
      </w:pPr>
    </w:p>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ARTICLE 208“</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means, collectively, the Administrative Agent, the Lenders, the Issuing Lenders, the Cash Management Banks, the Hedge Banks,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[Delegation of Duties], and the other Persons the Obligations owing to which are or are purported to be secured by the Collateral under the terms of the Collateral Documents.</w:t>
      </w:r>
    </w:p>
    <w:p>
      <w:pPr>
        <w:spacing w:after="0" w:line="153"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209“</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xml:space="preserve">” means the applicable Business Day on which the Administrative Agent elects to effect settlement pursuant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[Settlement Date Procedures].</w:t>
      </w:r>
    </w:p>
    <w:p>
      <w:pPr>
        <w:spacing w:after="0" w:line="134" w:lineRule="exact"/>
        <w:rPr>
          <w:sz w:val="20"/>
          <w:szCs w:val="20"/>
          <w:color w:val="auto"/>
        </w:rPr>
      </w:pPr>
    </w:p>
    <w:p>
      <w:pPr>
        <w:jc w:val="both"/>
        <w:ind w:firstLine="1223"/>
        <w:spacing w:after="0" w:line="302" w:lineRule="auto"/>
        <w:rPr>
          <w:sz w:val="20"/>
          <w:szCs w:val="20"/>
          <w:color w:val="auto"/>
        </w:rPr>
      </w:pPr>
      <w:r>
        <w:rPr>
          <w:rFonts w:ascii="Times New Roman" w:cs="Times New Roman" w:eastAsia="Times New Roman" w:hAnsi="Times New Roman"/>
          <w:sz w:val="20"/>
          <w:szCs w:val="20"/>
          <w:color w:val="auto"/>
        </w:rPr>
        <w:t>ARTICLE 210“</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for any day, a rate equal to the secured overnight financing rate as administered by the Federal Reserve Bank of New York (or a successor administrator of the secured overnight financing rate).</w:t>
      </w:r>
    </w:p>
    <w:p>
      <w:pPr>
        <w:spacing w:after="0" w:line="1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211“</w:t>
      </w:r>
      <w:r>
        <w:rPr>
          <w:rFonts w:ascii="Times New Roman" w:cs="Times New Roman" w:eastAsia="Times New Roman" w:hAnsi="Times New Roman"/>
          <w:sz w:val="20"/>
          <w:szCs w:val="20"/>
          <w:u w:val="single" w:color="auto"/>
          <w:color w:val="auto"/>
        </w:rPr>
        <w:t>SOFR Floor</w:t>
      </w:r>
      <w:r>
        <w:rPr>
          <w:rFonts w:ascii="Times New Roman" w:cs="Times New Roman" w:eastAsia="Times New Roman" w:hAnsi="Times New Roman"/>
          <w:sz w:val="20"/>
          <w:szCs w:val="20"/>
          <w:color w:val="auto"/>
        </w:rPr>
        <w:t>” means a rate of interest per annum equal to zero basis points (0.00%).</w:t>
      </w:r>
    </w:p>
    <w:p>
      <w:pPr>
        <w:spacing w:after="0" w:line="216" w:lineRule="exact"/>
        <w:rPr>
          <w:sz w:val="20"/>
          <w:szCs w:val="20"/>
          <w:color w:val="auto"/>
        </w:rPr>
      </w:pPr>
    </w:p>
    <w:p>
      <w:pPr>
        <w:jc w:val="both"/>
        <w:ind w:firstLine="1223"/>
        <w:spacing w:after="0" w:line="263" w:lineRule="auto"/>
        <w:rPr>
          <w:sz w:val="20"/>
          <w:szCs w:val="20"/>
          <w:color w:val="auto"/>
        </w:rPr>
      </w:pPr>
      <w:r>
        <w:rPr>
          <w:rFonts w:ascii="Times New Roman" w:cs="Times New Roman" w:eastAsia="Times New Roman" w:hAnsi="Times New Roman"/>
          <w:sz w:val="20"/>
          <w:szCs w:val="20"/>
          <w:color w:val="auto"/>
        </w:rPr>
        <w:t>ARTICLE 212“</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means, with respect to any Person on a particular date, that on such date (a) the fair value of the property of such Person is greater than the total amount of liabilities, including subordinated and contingent liabilities, of such Person;</w:t>
      </w:r>
    </w:p>
    <w:p>
      <w:pPr>
        <w:spacing w:after="0" w:line="2" w:lineRule="exact"/>
        <w:rPr>
          <w:sz w:val="20"/>
          <w:szCs w:val="20"/>
          <w:color w:val="auto"/>
        </w:rPr>
      </w:pPr>
    </w:p>
    <w:p>
      <w:pPr>
        <w:jc w:val="both"/>
        <w:ind w:firstLine="2"/>
        <w:spacing w:after="0" w:line="261" w:lineRule="auto"/>
        <w:tabs>
          <w:tab w:leader="none" w:pos="289"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present fair saleable value of the assets of 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and (d) such Person is not engaged in a business or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349" w:right="339" w:bottom="1440" w:gutter="0" w:footer="0" w:header="0"/>
        </w:sectPr>
      </w:pPr>
    </w:p>
    <w:bookmarkStart w:id="210" w:name="page211"/>
    <w:bookmarkEnd w:id="210"/>
    <w:p>
      <w:pPr>
        <w:jc w:val="both"/>
        <w:spacing w:after="0" w:line="269" w:lineRule="auto"/>
        <w:rPr>
          <w:sz w:val="20"/>
          <w:szCs w:val="20"/>
          <w:color w:val="auto"/>
        </w:rPr>
      </w:pPr>
      <w:r>
        <w:rPr>
          <w:rFonts w:ascii="Times New Roman" w:cs="Times New Roman" w:eastAsia="Times New Roman" w:hAnsi="Times New Roman"/>
          <w:sz w:val="20"/>
          <w:szCs w:val="20"/>
          <w:color w:val="auto"/>
        </w:rPr>
        <w:t>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would reasonably be expected to become an actual or matured liability.</w:t>
      </w:r>
    </w:p>
    <w:p>
      <w:pPr>
        <w:spacing w:after="0" w:line="1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213“</w:t>
      </w:r>
      <w:r>
        <w:rPr>
          <w:rFonts w:ascii="Times New Roman" w:cs="Times New Roman" w:eastAsia="Times New Roman" w:hAnsi="Times New Roman"/>
          <w:sz w:val="20"/>
          <w:szCs w:val="20"/>
          <w:u w:val="single" w:color="auto"/>
          <w:color w:val="auto"/>
        </w:rPr>
        <w:t>Standard &amp; Poor’s</w:t>
      </w:r>
      <w:r>
        <w:rPr>
          <w:rFonts w:ascii="Times New Roman" w:cs="Times New Roman" w:eastAsia="Times New Roman" w:hAnsi="Times New Roman"/>
          <w:sz w:val="20"/>
          <w:szCs w:val="20"/>
          <w:color w:val="auto"/>
        </w:rPr>
        <w:t>” means S&amp;P Global Ratings Services, a division of S&amp;P Global, Inc.</w:t>
      </w:r>
    </w:p>
    <w:p>
      <w:pPr>
        <w:spacing w:after="0" w:line="216" w:lineRule="exact"/>
        <w:rPr>
          <w:sz w:val="20"/>
          <w:szCs w:val="20"/>
          <w:color w:val="auto"/>
        </w:rPr>
      </w:pPr>
    </w:p>
    <w:p>
      <w:pPr>
        <w:jc w:val="both"/>
        <w:ind w:firstLine="1223"/>
        <w:spacing w:after="0" w:line="262" w:lineRule="auto"/>
        <w:rPr>
          <w:sz w:val="20"/>
          <w:szCs w:val="20"/>
          <w:color w:val="auto"/>
        </w:rPr>
      </w:pPr>
      <w:r>
        <w:rPr>
          <w:rFonts w:ascii="Times New Roman" w:cs="Times New Roman" w:eastAsia="Times New Roman" w:hAnsi="Times New Roman"/>
          <w:sz w:val="20"/>
          <w:szCs w:val="20"/>
          <w:color w:val="auto"/>
        </w:rPr>
        <w:t>ARTICLE 214“</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for any Person at any time, any corporation, trust, partnership, limited liability company or other business entity (a) of which more than 50% of the outstanding voting securities or other interests normally entitled to vote for the election of one or more directors, trustees or managers (regardless of any contingency which does or may suspend or dilute the voting rights) is at such time owned directly or indirectly by such Person or one or more of such Person’s Subsidiaries, or (b) which is Controlled or capable of being Controlled by such Person or one or more of such Person’s Subsidiaries. For the avoidance of doubt, the Prometheus Energetics Joint Venture shall not be deemed to be a Subsidiary of the Borrower or any of its Subsidiaries.</w:t>
      </w:r>
    </w:p>
    <w:p>
      <w:pPr>
        <w:spacing w:after="0" w:line="16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215“</w:t>
      </w:r>
      <w:r>
        <w:rPr>
          <w:rFonts w:ascii="Times New Roman" w:cs="Times New Roman" w:eastAsia="Times New Roman" w:hAnsi="Times New Roman"/>
          <w:sz w:val="20"/>
          <w:szCs w:val="20"/>
          <w:u w:val="single" w:color="auto"/>
          <w:color w:val="auto"/>
        </w:rPr>
        <w:t>Swap</w:t>
      </w:r>
      <w:r>
        <w:rPr>
          <w:rFonts w:ascii="Times New Roman" w:cs="Times New Roman" w:eastAsia="Times New Roman" w:hAnsi="Times New Roman"/>
          <w:sz w:val="20"/>
          <w:szCs w:val="20"/>
          <w:color w:val="auto"/>
        </w:rPr>
        <w:t>” means any “swap” as defined in Section 1a(47) of the CEA and regulations thereunder, other than</w:t>
      </w:r>
    </w:p>
    <w:p>
      <w:pPr>
        <w:spacing w:after="0" w:line="34" w:lineRule="exact"/>
        <w:rPr>
          <w:sz w:val="20"/>
          <w:szCs w:val="20"/>
          <w:color w:val="auto"/>
        </w:rPr>
      </w:pPr>
    </w:p>
    <w:p>
      <w:pPr>
        <w:ind w:firstLine="2"/>
        <w:spacing w:after="0" w:line="266" w:lineRule="auto"/>
        <w:tabs>
          <w:tab w:leader="none" w:pos="28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swap entered into, or subject to the rules of, a board of trade designated as a contract market under Section 5 of the CEA, or (b) a commodity option entered into pursuant to CFTC Regulation 32.3(a).</w:t>
      </w:r>
    </w:p>
    <w:p>
      <w:pPr>
        <w:spacing w:after="0" w:line="169"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216“</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any obligation to pay or perform under any agreement, contract or transaction that constitutes a Swap which is also a Lender Provided Interest Rate Hedge.</w:t>
      </w:r>
    </w:p>
    <w:p>
      <w:pPr>
        <w:spacing w:after="0" w:line="134"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217“</w:t>
      </w:r>
      <w:r>
        <w:rPr>
          <w:rFonts w:ascii="Times New Roman" w:cs="Times New Roman" w:eastAsia="Times New Roman" w:hAnsi="Times New Roman"/>
          <w:sz w:val="20"/>
          <w:szCs w:val="20"/>
          <w:u w:val="single" w:color="auto"/>
          <w:color w:val="auto"/>
        </w:rPr>
        <w:t>Swingline Loan Commitment</w:t>
      </w:r>
      <w:r>
        <w:rPr>
          <w:rFonts w:ascii="Times New Roman" w:cs="Times New Roman" w:eastAsia="Times New Roman" w:hAnsi="Times New Roman"/>
          <w:sz w:val="20"/>
          <w:szCs w:val="20"/>
          <w:color w:val="auto"/>
        </w:rPr>
        <w:t xml:space="preserve">” means PNC’s commitment to make Swingline Loans to the Borrower pursuant to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[Swingline Loan Commitment] hereof in an aggregate principal amount up to $35,000,000.</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218“</w:t>
      </w:r>
      <w:r>
        <w:rPr>
          <w:rFonts w:ascii="Times New Roman" w:cs="Times New Roman" w:eastAsia="Times New Roman" w:hAnsi="Times New Roman"/>
          <w:sz w:val="20"/>
          <w:szCs w:val="20"/>
          <w:u w:val="single" w:color="auto"/>
          <w:color w:val="auto"/>
        </w:rPr>
        <w:t>Swingline Loan Lender</w:t>
      </w:r>
      <w:r>
        <w:rPr>
          <w:rFonts w:ascii="Times New Roman" w:cs="Times New Roman" w:eastAsia="Times New Roman" w:hAnsi="Times New Roman"/>
          <w:sz w:val="20"/>
          <w:szCs w:val="20"/>
          <w:color w:val="auto"/>
        </w:rPr>
        <w:t>” means PNC, in its capacity as a lender of Swingline Loans.</w:t>
      </w:r>
    </w:p>
    <w:p>
      <w:pPr>
        <w:spacing w:after="0" w:line="228"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219“</w:t>
      </w:r>
      <w:r>
        <w:rPr>
          <w:rFonts w:ascii="Times New Roman" w:cs="Times New Roman" w:eastAsia="Times New Roman" w:hAnsi="Times New Roman"/>
          <w:sz w:val="20"/>
          <w:szCs w:val="20"/>
          <w:u w:val="single" w:color="auto"/>
          <w:color w:val="auto"/>
        </w:rPr>
        <w:t>Swingline Loan Note</w:t>
      </w:r>
      <w:r>
        <w:rPr>
          <w:rFonts w:ascii="Times New Roman" w:cs="Times New Roman" w:eastAsia="Times New Roman" w:hAnsi="Times New Roman"/>
          <w:sz w:val="20"/>
          <w:szCs w:val="20"/>
          <w:color w:val="auto"/>
        </w:rPr>
        <w:t xml:space="preserve">” means the Swingline Loan Note of the Borrower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evidencing the Swingline Loans, together with all amendments, extensions, renewals, replacements, refinancings or refundings thereof in whole or in part.</w:t>
      </w:r>
    </w:p>
    <w:p>
      <w:pPr>
        <w:spacing w:after="0" w:line="151"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220“</w:t>
      </w:r>
      <w:r>
        <w:rPr>
          <w:rFonts w:ascii="Times New Roman" w:cs="Times New Roman" w:eastAsia="Times New Roman" w:hAnsi="Times New Roman"/>
          <w:sz w:val="20"/>
          <w:szCs w:val="20"/>
          <w:u w:val="single" w:color="auto"/>
          <w:color w:val="auto"/>
        </w:rPr>
        <w:t>Swingline Loan Request</w:t>
      </w:r>
      <w:r>
        <w:rPr>
          <w:rFonts w:ascii="Times New Roman" w:cs="Times New Roman" w:eastAsia="Times New Roman" w:hAnsi="Times New Roman"/>
          <w:sz w:val="20"/>
          <w:szCs w:val="20"/>
          <w:color w:val="auto"/>
        </w:rPr>
        <w:t xml:space="preserve">” means a request for Swingline Loans made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2.5(b)</w:t>
      </w:r>
      <w:r>
        <w:rPr>
          <w:rFonts w:ascii="Times New Roman" w:cs="Times New Roman" w:eastAsia="Times New Roman" w:hAnsi="Times New Roman"/>
          <w:sz w:val="20"/>
          <w:szCs w:val="20"/>
          <w:color w:val="auto"/>
        </w:rPr>
        <w:t xml:space="preserve"> [Swingline Loan Requests] hereof.</w:t>
      </w:r>
    </w:p>
    <w:p>
      <w:pPr>
        <w:spacing w:after="0" w:line="147"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221“</w:t>
      </w: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xml:space="preserve">” means, collectively, and </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xml:space="preserve"> means, separately, all Swingline Loans or any Swingline Loan made by the Swingline Loan Lender to the Borrower pursuant to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[Swingline Loan Commitment]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349" w:right="339" w:bottom="1440" w:gutter="0" w:footer="0" w:header="0"/>
        </w:sectPr>
      </w:pPr>
    </w:p>
    <w:bookmarkStart w:id="211" w:name="page212"/>
    <w:bookmarkEnd w:id="211"/>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222“</w:t>
      </w:r>
      <w:r>
        <w:rPr>
          <w:rFonts w:ascii="Times New Roman" w:cs="Times New Roman" w:eastAsia="Times New Roman" w:hAnsi="Times New Roman"/>
          <w:sz w:val="20"/>
          <w:szCs w:val="20"/>
          <w:u w:val="single" w:color="auto"/>
          <w:color w:val="auto"/>
        </w:rPr>
        <w:t>Synthetic Lease</w:t>
      </w:r>
      <w:r>
        <w:rPr>
          <w:rFonts w:ascii="Times New Roman" w:cs="Times New Roman" w:eastAsia="Times New Roman" w:hAnsi="Times New Roman"/>
          <w:sz w:val="20"/>
          <w:szCs w:val="20"/>
          <w:color w:val="auto"/>
        </w:rPr>
        <w:t>” means a lease transaction under which the parties intend that (i) the lease will be treated as an “operating lease” by the lessee pursuant to Accounting Standards Codification Sections 840-10 and 840-20, as amended, and (ii) the lessee will be entitled to various tax and other benefits ordinarily available to owners (as opposed to lessees) of like property.</w:t>
      </w:r>
    </w:p>
    <w:p>
      <w:pPr>
        <w:spacing w:after="0" w:line="163"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ARTICLE 223“</w:t>
      </w:r>
      <w:r>
        <w:rPr>
          <w:rFonts w:ascii="Times New Roman" w:cs="Times New Roman" w:eastAsia="Times New Roman" w:hAnsi="Times New Roman"/>
          <w:sz w:val="20"/>
          <w:szCs w:val="20"/>
          <w:u w:val="single" w:color="auto"/>
          <w:color w:val="auto"/>
        </w:rPr>
        <w:t>Synthetic Lease Obligation</w:t>
      </w:r>
      <w:r>
        <w:rPr>
          <w:rFonts w:ascii="Times New Roman" w:cs="Times New Roman" w:eastAsia="Times New Roman" w:hAnsi="Times New Roman"/>
          <w:sz w:val="20"/>
          <w:szCs w:val="20"/>
          <w:color w:val="auto"/>
        </w:rPr>
        <w:t>” means,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spacing w:after="0" w:line="160" w:lineRule="exact"/>
        <w:rPr>
          <w:sz w:val="20"/>
          <w:szCs w:val="20"/>
          <w:color w:val="auto"/>
        </w:rPr>
      </w:pPr>
    </w:p>
    <w:p>
      <w:pPr>
        <w:jc w:val="both"/>
        <w:ind w:firstLine="1223"/>
        <w:spacing w:after="0" w:line="277" w:lineRule="auto"/>
        <w:rPr>
          <w:sz w:val="20"/>
          <w:szCs w:val="20"/>
          <w:color w:val="auto"/>
        </w:rPr>
      </w:pPr>
      <w:r>
        <w:rPr>
          <w:rFonts w:ascii="Times New Roman" w:cs="Times New Roman" w:eastAsia="Times New Roman" w:hAnsi="Times New Roman"/>
          <w:sz w:val="20"/>
          <w:szCs w:val="20"/>
          <w:color w:val="auto"/>
        </w:rPr>
        <w:t>ARTICLE 224“</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Official Body, including any interest, additions to tax or penalties applicable thereto.</w:t>
      </w:r>
    </w:p>
    <w:p>
      <w:pPr>
        <w:spacing w:after="0" w:line="146"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225“</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34" w:lineRule="exact"/>
        <w:rPr>
          <w:sz w:val="20"/>
          <w:szCs w:val="20"/>
          <w:color w:val="auto"/>
        </w:rPr>
      </w:pPr>
    </w:p>
    <w:p>
      <w:pPr>
        <w:jc w:val="both"/>
        <w:ind w:firstLine="1223"/>
        <w:spacing w:after="0" w:line="258" w:lineRule="auto"/>
        <w:rPr>
          <w:sz w:val="20"/>
          <w:szCs w:val="20"/>
          <w:color w:val="auto"/>
        </w:rPr>
      </w:pPr>
      <w:r>
        <w:rPr>
          <w:rFonts w:ascii="Times New Roman" w:cs="Times New Roman" w:eastAsia="Times New Roman" w:hAnsi="Times New Roman"/>
          <w:sz w:val="20"/>
          <w:szCs w:val="20"/>
          <w:color w:val="auto"/>
        </w:rPr>
        <w:t>ARTICLE 226“</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shall mean, with respect to any amount to which the Term SOFR Rate Option applies, for any Interest Period, the interest rate per annum determined by the Administrative Agent (rounded upwards, at the Administrative Agent’s discretion, to the nearest 1/100th of 1%) equal to the Term SOFR Reference Rate for a tenor comparable to such Interest Period, as such rate is published by the Term SOFR Administrator on the day (the “</w:t>
      </w:r>
      <w:r>
        <w:rPr>
          <w:rFonts w:ascii="Times New Roman" w:cs="Times New Roman" w:eastAsia="Times New Roman" w:hAnsi="Times New Roman"/>
          <w:sz w:val="20"/>
          <w:szCs w:val="20"/>
          <w:u w:val="single" w:color="auto"/>
          <w:color w:val="auto"/>
        </w:rPr>
        <w:t>Term SOFR Determination Date</w:t>
      </w:r>
      <w:r>
        <w:rPr>
          <w:rFonts w:ascii="Times New Roman" w:cs="Times New Roman" w:eastAsia="Times New Roman" w:hAnsi="Times New Roman"/>
          <w:sz w:val="20"/>
          <w:szCs w:val="20"/>
          <w:color w:val="auto"/>
        </w:rPr>
        <w:t>”) that is two (2) Business Days prior to the first day of such Interest Period. If the Term SOFR Reference Rate for the applicable tenor has not been published or replaced with a Benchmark Replacement by 5:00 p.m. (Eastern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the first day of each Interest Period.</w:t>
      </w:r>
    </w:p>
    <w:p>
      <w:pPr>
        <w:spacing w:after="0" w:line="200" w:lineRule="exact"/>
        <w:rPr>
          <w:sz w:val="20"/>
          <w:szCs w:val="20"/>
          <w:color w:val="auto"/>
        </w:rPr>
      </w:pP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227“</w:t>
      </w:r>
      <w:r>
        <w:rPr>
          <w:rFonts w:ascii="Times New Roman" w:cs="Times New Roman" w:eastAsia="Times New Roman" w:hAnsi="Times New Roman"/>
          <w:sz w:val="20"/>
          <w:szCs w:val="20"/>
          <w:u w:val="single" w:color="auto"/>
          <w:color w:val="auto"/>
        </w:rPr>
        <w:t>Term SOFR Rate Loan</w:t>
      </w:r>
      <w:r>
        <w:rPr>
          <w:rFonts w:ascii="Times New Roman" w:cs="Times New Roman" w:eastAsia="Times New Roman" w:hAnsi="Times New Roman"/>
          <w:sz w:val="20"/>
          <w:szCs w:val="20"/>
          <w:color w:val="auto"/>
        </w:rPr>
        <w:t>” means a Loan that bears interest based on the Term SOFR Rate.</w:t>
      </w:r>
    </w:p>
    <w:p>
      <w:pPr>
        <w:spacing w:after="0" w:line="216"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228“</w:t>
      </w:r>
      <w:r>
        <w:rPr>
          <w:rFonts w:ascii="Times New Roman" w:cs="Times New Roman" w:eastAsia="Times New Roman" w:hAnsi="Times New Roman"/>
          <w:sz w:val="20"/>
          <w:szCs w:val="20"/>
          <w:u w:val="single" w:color="auto"/>
          <w:color w:val="auto"/>
        </w:rPr>
        <w:t>Term SOFR Rate Option</w:t>
      </w:r>
      <w:r>
        <w:rPr>
          <w:rFonts w:ascii="Times New Roman" w:cs="Times New Roman" w:eastAsia="Times New Roman" w:hAnsi="Times New Roman"/>
          <w:sz w:val="20"/>
          <w:szCs w:val="20"/>
          <w:color w:val="auto"/>
        </w:rPr>
        <w:t xml:space="preserve">” means the option of the Borrower to have Loans bear interest at the rate and under the terms specified in </w:t>
      </w:r>
      <w:r>
        <w:rPr>
          <w:rFonts w:ascii="Times New Roman" w:cs="Times New Roman" w:eastAsia="Times New Roman" w:hAnsi="Times New Roman"/>
          <w:sz w:val="20"/>
          <w:szCs w:val="20"/>
          <w:u w:val="single" w:color="auto"/>
          <w:color w:val="auto"/>
        </w:rPr>
        <w:t>Section 4.1(a)(ii)</w:t>
      </w:r>
      <w:r>
        <w:rPr>
          <w:rFonts w:ascii="Times New Roman" w:cs="Times New Roman" w:eastAsia="Times New Roman" w:hAnsi="Times New Roman"/>
          <w:sz w:val="20"/>
          <w:szCs w:val="20"/>
          <w:color w:val="auto"/>
        </w:rPr>
        <w:t xml:space="preserve"> [Revolving Credit Term SOFR Rate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350" w:right="339" w:bottom="1440" w:gutter="0" w:footer="0" w:header="0"/>
        </w:sectPr>
      </w:pPr>
    </w:p>
    <w:bookmarkStart w:id="212" w:name="page213"/>
    <w:bookmarkEnd w:id="212"/>
    <w:p>
      <w:pPr>
        <w:ind w:left="1220"/>
        <w:spacing w:after="0"/>
        <w:rPr>
          <w:sz w:val="20"/>
          <w:szCs w:val="20"/>
          <w:color w:val="auto"/>
        </w:rPr>
      </w:pPr>
      <w:r>
        <w:rPr>
          <w:rFonts w:ascii="Times New Roman" w:cs="Times New Roman" w:eastAsia="Times New Roman" w:hAnsi="Times New Roman"/>
          <w:sz w:val="20"/>
          <w:szCs w:val="20"/>
          <w:color w:val="auto"/>
        </w:rPr>
        <w:t>ARTICLE 229“</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shall mean the forward-looking term rate based on SOFR.</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$7,000,000.</w:t>
      </w:r>
    </w:p>
    <w:p>
      <w:pPr>
        <w:spacing w:after="0" w:line="203" w:lineRule="exact"/>
        <w:rPr>
          <w:sz w:val="20"/>
          <w:szCs w:val="20"/>
          <w:color w:val="auto"/>
        </w:rPr>
      </w:pPr>
    </w:p>
    <w:p>
      <w:pPr>
        <w:jc w:val="both"/>
        <w:ind w:firstLine="1223"/>
        <w:spacing w:after="0" w:line="265" w:lineRule="auto"/>
        <w:rPr>
          <w:sz w:val="20"/>
          <w:szCs w:val="20"/>
          <w:color w:val="auto"/>
        </w:rPr>
      </w:pPr>
      <w:r>
        <w:rPr>
          <w:rFonts w:ascii="Times New Roman" w:cs="Times New Roman" w:eastAsia="Times New Roman" w:hAnsi="Times New Roman"/>
          <w:sz w:val="20"/>
          <w:szCs w:val="20"/>
          <w:color w:val="auto"/>
        </w:rPr>
        <w:t>ARTICLE 230“</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means, as of any date, the ratio of (i) Consolidated Funded Debt as of such date minus the aggregate amount, as of such date, of the unrestricted cash and Permitted Investments of the Loan Parties held in domestic deposit or securities accounts with the Administrative Agent or any Lender to (ii) Consolidated EBITDA for the four consecutive Fiscal Quarters ending on or immediately prior to such date for which financial statements have been (or are required to have been) delivered under this Agreement.</w:t>
      </w:r>
    </w:p>
    <w:p>
      <w:pPr>
        <w:spacing w:after="0" w:line="157" w:lineRule="exact"/>
        <w:rPr>
          <w:sz w:val="20"/>
          <w:szCs w:val="20"/>
          <w:color w:val="auto"/>
        </w:rPr>
      </w:pPr>
    </w:p>
    <w:p>
      <w:pPr>
        <w:jc w:val="both"/>
        <w:ind w:firstLine="1223"/>
        <w:spacing w:after="0" w:line="266" w:lineRule="auto"/>
        <w:rPr>
          <w:sz w:val="20"/>
          <w:szCs w:val="20"/>
          <w:color w:val="auto"/>
        </w:rPr>
      </w:pPr>
      <w:r>
        <w:rPr>
          <w:rFonts w:ascii="Times New Roman" w:cs="Times New Roman" w:eastAsia="Times New Roman" w:hAnsi="Times New Roman"/>
          <w:sz w:val="20"/>
          <w:szCs w:val="20"/>
          <w:color w:val="auto"/>
        </w:rPr>
        <w:t>ARTICLE 231“</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7" w:lineRule="exact"/>
        <w:rPr>
          <w:sz w:val="20"/>
          <w:szCs w:val="20"/>
          <w:color w:val="auto"/>
        </w:rPr>
      </w:pPr>
    </w:p>
    <w:p>
      <w:pPr>
        <w:jc w:val="both"/>
        <w:ind w:firstLine="1223"/>
        <w:spacing w:after="0" w:line="289" w:lineRule="auto"/>
        <w:rPr>
          <w:sz w:val="20"/>
          <w:szCs w:val="20"/>
          <w:color w:val="auto"/>
        </w:rPr>
      </w:pPr>
      <w:r>
        <w:rPr>
          <w:rFonts w:ascii="Times New Roman" w:cs="Times New Roman" w:eastAsia="Times New Roman" w:hAnsi="Times New Roman"/>
          <w:sz w:val="20"/>
          <w:szCs w:val="20"/>
          <w:color w:val="auto"/>
        </w:rPr>
        <w:t>ARTICLE 232“</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34" w:lineRule="exact"/>
        <w:rPr>
          <w:sz w:val="20"/>
          <w:szCs w:val="20"/>
          <w:color w:val="auto"/>
        </w:rPr>
      </w:pPr>
    </w:p>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ARTICLE 233“</w:t>
      </w:r>
      <w:r>
        <w:rPr>
          <w:rFonts w:ascii="Times New Roman" w:cs="Times New Roman" w:eastAsia="Times New Roman" w:hAnsi="Times New Roman"/>
          <w:sz w:val="20"/>
          <w:szCs w:val="20"/>
          <w:u w:val="single" w:color="auto"/>
          <w:color w:val="auto"/>
        </w:rPr>
        <w:t>Unfunded Pension Liability</w:t>
      </w:r>
      <w:r>
        <w:rPr>
          <w:rFonts w:ascii="Times New Roman" w:cs="Times New Roman" w:eastAsia="Times New Roman" w:hAnsi="Times New Roman"/>
          <w:sz w:val="20"/>
          <w:szCs w:val="20"/>
          <w:color w:val="auto"/>
        </w:rPr>
        <w:t>” of any Plan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spacing w:after="0" w:line="153"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234“</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Public Law 107-56, as the same has been, or shall hereafter be, renewed, extended, amended or replaced.</w:t>
      </w:r>
    </w:p>
    <w:p>
      <w:pPr>
        <w:spacing w:after="0" w:line="16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235“</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means any Borrower that is a U.S. Person.</w:t>
      </w:r>
    </w:p>
    <w:p>
      <w:pPr>
        <w:spacing w:after="0" w:line="216" w:lineRule="exact"/>
        <w:rPr>
          <w:sz w:val="20"/>
          <w:szCs w:val="20"/>
          <w:color w:val="auto"/>
        </w:rPr>
      </w:pPr>
    </w:p>
    <w:p>
      <w:pPr>
        <w:jc w:val="both"/>
        <w:ind w:firstLine="1223"/>
        <w:spacing w:after="0" w:line="271" w:lineRule="auto"/>
        <w:rPr>
          <w:sz w:val="20"/>
          <w:szCs w:val="20"/>
          <w:color w:val="auto"/>
        </w:rPr>
      </w:pPr>
      <w:r>
        <w:rPr>
          <w:rFonts w:ascii="Times New Roman" w:cs="Times New Roman" w:eastAsia="Times New Roman" w:hAnsi="Times New Roman"/>
          <w:sz w:val="20"/>
          <w:szCs w:val="20"/>
          <w:color w:val="auto"/>
        </w:rPr>
        <w:t>ARTICLE 236“</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5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237“</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349" w:right="339" w:bottom="1440" w:gutter="0" w:footer="0" w:header="0"/>
        </w:sectPr>
      </w:pPr>
    </w:p>
    <w:bookmarkStart w:id="213" w:name="page214"/>
    <w:bookmarkEnd w:id="213"/>
    <w:p>
      <w:pPr>
        <w:ind w:left="1220"/>
        <w:spacing w:after="0"/>
        <w:rPr>
          <w:sz w:val="20"/>
          <w:szCs w:val="20"/>
          <w:color w:val="auto"/>
        </w:rPr>
      </w:pPr>
      <w:r>
        <w:rPr>
          <w:rFonts w:ascii="Times New Roman" w:cs="Times New Roman" w:eastAsia="Times New Roman" w:hAnsi="Times New Roman"/>
          <w:sz w:val="20"/>
          <w:szCs w:val="20"/>
          <w:color w:val="auto"/>
        </w:rPr>
        <w:t>ARTICLE 238“</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means as is specified in </w:t>
      </w:r>
      <w:r>
        <w:rPr>
          <w:rFonts w:ascii="Times New Roman" w:cs="Times New Roman" w:eastAsia="Times New Roman" w:hAnsi="Times New Roman"/>
          <w:sz w:val="20"/>
          <w:szCs w:val="20"/>
          <w:u w:val="single" w:color="auto"/>
          <w:color w:val="auto"/>
        </w:rPr>
        <w:t>Section 5.9(g)(ii)(2)(III)</w:t>
      </w:r>
      <w:r>
        <w:rPr>
          <w:rFonts w:ascii="Times New Roman" w:cs="Times New Roman" w:eastAsia="Times New Roman" w:hAnsi="Times New Roman"/>
          <w:sz w:val="20"/>
          <w:szCs w:val="20"/>
          <w:color w:val="auto"/>
        </w:rPr>
        <w:t xml:space="preserve"> [Status of Lenders].</w:t>
      </w:r>
    </w:p>
    <w:p>
      <w:pPr>
        <w:spacing w:after="0" w:line="216"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ARTICLE 239“</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shall mean liability of any member of the ERISA Group to a Multiemployer Plan as a result of a complete or partial withdrawal from such Multiemployer Plan, as such terms are defined in Part I of Subtitle E of Title IV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ERISA.</w:t>
      </w:r>
    </w:p>
    <w:p>
      <w:pPr>
        <w:spacing w:after="0" w:line="20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ARTICLE 240“</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any Loan Party and the Administrative Agent.</w:t>
      </w:r>
    </w:p>
    <w:p>
      <w:pPr>
        <w:spacing w:after="0" w:line="216" w:lineRule="exact"/>
        <w:rPr>
          <w:sz w:val="20"/>
          <w:szCs w:val="20"/>
          <w:color w:val="auto"/>
        </w:rPr>
      </w:pPr>
    </w:p>
    <w:p>
      <w:pPr>
        <w:jc w:val="both"/>
        <w:ind w:firstLine="1223"/>
        <w:spacing w:after="0" w:line="259" w:lineRule="auto"/>
        <w:rPr>
          <w:sz w:val="20"/>
          <w:szCs w:val="20"/>
          <w:color w:val="auto"/>
        </w:rPr>
      </w:pPr>
      <w:r>
        <w:rPr>
          <w:rFonts w:ascii="Times New Roman" w:cs="Times New Roman" w:eastAsia="Times New Roman" w:hAnsi="Times New Roman"/>
          <w:sz w:val="20"/>
          <w:szCs w:val="20"/>
          <w:color w:val="auto"/>
        </w:rPr>
        <w:t>ARTICLE 241“</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1" w:lineRule="exact"/>
        <w:rPr>
          <w:sz w:val="20"/>
          <w:szCs w:val="20"/>
          <w:color w:val="auto"/>
        </w:rPr>
      </w:pPr>
    </w:p>
    <w:p>
      <w:pPr>
        <w:jc w:val="both"/>
        <w:ind w:firstLine="611"/>
        <w:spacing w:after="0" w:line="220" w:lineRule="auto"/>
        <w:rPr>
          <w:sz w:val="20"/>
          <w:szCs w:val="20"/>
          <w:color w:val="auto"/>
        </w:rPr>
      </w:pPr>
      <w:r>
        <w:rPr>
          <w:rFonts w:ascii="Times New Roman" w:cs="Times New Roman" w:eastAsia="Times New Roman" w:hAnsi="Times New Roman"/>
          <w:sz w:val="20"/>
          <w:szCs w:val="20"/>
          <w:color w:val="auto"/>
        </w:rPr>
        <w:t xml:space="preserve">241.1 </w:t>
      </w: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Unless the context of this Agreement otherwise clearly requires, the following rules of construction shall apply to this Agreement and each of the other Loan Documents: (a) references to the plural include the singular, the plural, the part and the whole, and the words “include,” “includes” and “including” shall be deemed to be followed by the phrase “without limitation”;</w:t>
      </w:r>
    </w:p>
    <w:p>
      <w:pPr>
        <w:spacing w:after="0" w:line="1" w:lineRule="exact"/>
        <w:rPr>
          <w:sz w:val="20"/>
          <w:szCs w:val="20"/>
          <w:color w:val="auto"/>
        </w:rPr>
      </w:pPr>
    </w:p>
    <w:p>
      <w:pPr>
        <w:jc w:val="both"/>
        <w:ind w:firstLine="2"/>
        <w:spacing w:after="0" w:line="227" w:lineRule="auto"/>
        <w:tabs>
          <w:tab w:leader="none" w:pos="323"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“will” shall be construed to have the same meaning and effect as the word “shall”; (c) the words “hereof,” “herein,” “hereunder,” “hereto” and similar terms in this Agreement or any other Loan Document refer to this Agreement or such other Loan Document as a whole; (d) article, section, subsection, clause, schedule and exhibit references are to this Agreement or other Loan Document, as the case may be, unless otherwise specified; (e) reference to any Person includes such Person’s successors and assigns; (f) reference to this Agreement or any other Loan Document, means this Agreement or such other Loan Document, together with the schedules and exhibits hereto or thereto, as amended, modified, replaced, substituted for, superseded or restated from time to time (subject to any restrictions thereon specified in this Agreement or the other applicable Loan Document); (g) relative to the determination of any period of time, “from” means “from and including,” “to” means “to but excluding,” and “through” means “through and including”; (h) any reference to any law or regulation herein shall, unless otherwise specified, refer to such law or regulation as amended, modified or supplemented from time to time (i) the words “asset” and “property” shall be construed to have the same meaning and effect and to refer to any and all tangible and intangible assets and properties, including cash, securities, accounts and contract rights; (j) whenever the context may require, any pronoun shall include the corresponding masculine, feminine and neuter forms; (k) section headings herein and in each other Loan Document are included for convenience and shall not affect the interpretation of this Agreement or such Loan Document, and (l) unless otherwise specified, all references herein to times of day shall constitute references to Eastern Time.</w:t>
      </w:r>
    </w:p>
    <w:p>
      <w:pPr>
        <w:spacing w:after="0" w:line="10" w:lineRule="exact"/>
        <w:rPr>
          <w:rFonts w:ascii="Times New Roman" w:cs="Times New Roman" w:eastAsia="Times New Roman" w:hAnsi="Times New Roman"/>
          <w:sz w:val="20"/>
          <w:szCs w:val="20"/>
          <w:color w:val="auto"/>
        </w:rPr>
      </w:pPr>
    </w:p>
    <w:p>
      <w:pPr>
        <w:jc w:val="both"/>
        <w:ind w:firstLine="611"/>
        <w:spacing w:after="0" w:line="22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241.2 </w:t>
      </w:r>
      <w:r>
        <w:rPr>
          <w:rFonts w:ascii="Times New Roman" w:cs="Times New Roman" w:eastAsia="Times New Roman" w:hAnsi="Times New Roman"/>
          <w:sz w:val="20"/>
          <w:szCs w:val="20"/>
          <w:u w:val="single" w:color="auto"/>
          <w:color w:val="auto"/>
        </w:rPr>
        <w:t>Accounting Principles; Changes in GAAP</w:t>
      </w:r>
      <w:r>
        <w:rPr>
          <w:rFonts w:ascii="Times New Roman" w:cs="Times New Roman" w:eastAsia="Times New Roman" w:hAnsi="Times New Roman"/>
          <w:sz w:val="20"/>
          <w:szCs w:val="20"/>
          <w:color w:val="auto"/>
        </w:rPr>
        <w:t>. Except as otherwise provided in this Agreement, all computations and determinations as to accounting or financial matters and all financial statements to be delivered pursuant to this Agreement shall be made and prepared in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349" w:right="339" w:bottom="1440" w:gutter="0" w:footer="0" w:header="0"/>
        </w:sectPr>
      </w:pPr>
    </w:p>
    <w:bookmarkStart w:id="214" w:name="page215"/>
    <w:bookmarkEnd w:id="214"/>
    <w:p>
      <w:pPr>
        <w:jc w:val="both"/>
        <w:spacing w:after="0" w:line="213" w:lineRule="auto"/>
        <w:rPr>
          <w:sz w:val="20"/>
          <w:szCs w:val="20"/>
          <w:color w:val="auto"/>
        </w:rPr>
      </w:pPr>
      <w:r>
        <w:rPr>
          <w:rFonts w:ascii="Times New Roman" w:cs="Times New Roman" w:eastAsia="Times New Roman" w:hAnsi="Times New Roman"/>
          <w:sz w:val="20"/>
          <w:szCs w:val="20"/>
          <w:color w:val="auto"/>
        </w:rPr>
        <w:t xml:space="preserve">accordance with GAAP (including principles of consolidation where appropriate), and all accounting or financial terms shall have the meanings ascribed to such terms by GAAP as in effect on the Closing Date applied on a basis consistent with those used in preparing the financial statements referred to in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[Financial Statements]. Notwithstanding the foregoing,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anything herein to the contrary, all terms of an accounting or financial nature used herein shall be construed, and all computations of amounts and ratios referred to herein (including the determination of Indebtedness and Consolidated Interest Expense) shall be made, without giving effect to Financial Accounting Standards Board (FASB) Standard ASC 842 (Leases), International Financial Reporting Standards 16 (Leases), (or any other applicable financial accounting standard having a similar result or effect) and related interpretations, in each case, to the extent any lease (or similar arrangement conveying the right to use any real or personal property or a combination thereof) would be required to be treated as a capital lease thereunder where such lease (or similar arrangement) would have been treated as an operating lease under GAAP as in effect immediately prior to the effectiveness of the ASC 842.</w:t>
      </w:r>
    </w:p>
    <w:p>
      <w:pPr>
        <w:spacing w:after="0" w:line="16" w:lineRule="exact"/>
        <w:rPr>
          <w:sz w:val="20"/>
          <w:szCs w:val="20"/>
          <w:color w:val="auto"/>
        </w:rPr>
      </w:pP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241.3 </w:t>
      </w:r>
      <w:r>
        <w:rPr>
          <w:rFonts w:ascii="Times New Roman" w:cs="Times New Roman" w:eastAsia="Times New Roman" w:hAnsi="Times New Roman"/>
          <w:sz w:val="20"/>
          <w:szCs w:val="20"/>
          <w:u w:val="single" w:color="auto"/>
          <w:color w:val="auto"/>
        </w:rPr>
        <w:t>Benchmark Replacement Notification; Rates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4.4(d)</w:t>
      </w:r>
      <w:r>
        <w:rPr>
          <w:rFonts w:ascii="Times New Roman" w:cs="Times New Roman" w:eastAsia="Times New Roman" w:hAnsi="Times New Roman"/>
          <w:sz w:val="20"/>
          <w:szCs w:val="20"/>
          <w:color w:val="auto"/>
        </w:rPr>
        <w:t xml:space="preserve"> [Benchmark Replacement Setting] of this Agreement provides a mechanism for determining an alternative rate of interest in the event that any Benchmark is no longer available or in certain other circumstances. The Administrative Agent does not warrant or accept any responsibility for and shall not have any liability with respect to, (a) the continuation of, administration of, submission of or calculation of, or any other matter related to, any Benchmark or any component definition thereof or rates referred to in the definition thereof, or any alternative or successor rate thereto, or replacement rate therefor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prior to its discontinuance or unavailability, or (b) the effect, implementation or composition of any Conforming Changes. The Administrative Agent and its affiliates or other related entities may engage in transactions that affect the calculation of any Benchmark, any alternative, successor or replacement rate (including any Benchmark Replacement) or any relevant adjustments thereto, in each case, in a manner adverse to the Borrower or any other Person.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242</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REVOLVING CREDIT AND SWINGLINE LOAN FACILITIES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242.1  </w:t>
      </w:r>
      <w:r>
        <w:rPr>
          <w:rFonts w:ascii="Times New Roman" w:cs="Times New Roman" w:eastAsia="Times New Roman" w:hAnsi="Times New Roman"/>
          <w:sz w:val="20"/>
          <w:szCs w:val="20"/>
          <w:u w:val="single" w:color="auto"/>
          <w:color w:val="auto"/>
        </w:rPr>
        <w:t>Revolving Credit Commitments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24" w:right="339" w:bottom="1440" w:gutter="0" w:footer="0" w:header="0"/>
        </w:sectPr>
      </w:pPr>
    </w:p>
    <w:bookmarkStart w:id="215" w:name="page216"/>
    <w:bookmarkEnd w:id="215"/>
    <w:p>
      <w:pPr>
        <w:jc w:val="both"/>
        <w:ind w:firstLine="1224"/>
        <w:spacing w:after="0" w:line="220" w:lineRule="auto"/>
        <w:tabs>
          <w:tab w:leader="none" w:pos="1831"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Loans</w:t>
      </w:r>
      <w:r>
        <w:rPr>
          <w:rFonts w:ascii="Times New Roman" w:cs="Times New Roman" w:eastAsia="Times New Roman" w:hAnsi="Times New Roman"/>
          <w:sz w:val="20"/>
          <w:szCs w:val="20"/>
          <w:color w:val="auto"/>
        </w:rPr>
        <w:t xml:space="preserve">. Subject to the terms and conditions hereof and relying upon the representations and warranties herein specified, each Lender severally agrees to make Revolving Credit Loans to the Borrower at any time or from time to time on or after the Closing Date and on or prior to the Expiration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each such Loan (i) the aggregate amount of Revolving Credit Loans from such Lender shall not exceed such Lender’s Revolving Credit Commitment minus such Lender’s Ratable Share of the outstanding Swingline Loans and Letter of Credit Obligations and (ii) the Revolving Facility Usage shall not exceed the Revolving Credit Commitments. Within such limits of time and amount and subject to the other provisions of this Agreement, the Borrower may borrow, repay and reborrow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Revolving Credit Loans may be Base Rate Loans or Term SOFR Rate Loans, as further provided herein.</w:t>
      </w:r>
    </w:p>
    <w:p>
      <w:pPr>
        <w:spacing w:after="0" w:line="147" w:lineRule="exact"/>
        <w:rPr>
          <w:rFonts w:ascii="Times New Roman" w:cs="Times New Roman" w:eastAsia="Times New Roman" w:hAnsi="Times New Roman"/>
          <w:sz w:val="20"/>
          <w:szCs w:val="20"/>
          <w:color w:val="auto"/>
        </w:rPr>
      </w:pPr>
    </w:p>
    <w:p>
      <w:pPr>
        <w:jc w:val="both"/>
        <w:ind w:firstLine="1224"/>
        <w:spacing w:after="0" w:line="218" w:lineRule="auto"/>
        <w:tabs>
          <w:tab w:leader="none" w:pos="182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Swingline Loan Commitment</w:t>
      </w:r>
      <w:r>
        <w:rPr>
          <w:rFonts w:ascii="Times New Roman" w:cs="Times New Roman" w:eastAsia="Times New Roman" w:hAnsi="Times New Roman"/>
          <w:sz w:val="20"/>
          <w:szCs w:val="20"/>
          <w:color w:val="auto"/>
        </w:rPr>
        <w:t xml:space="preserve">. Subject to the terms and conditions hereof and relying upon the representations and warranties herein specified and the agreements of the other Lenders specified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[Making Revolving Credit Loans and Swingline Loans; Presumptions by the Administrative Agent; Repayment of Revolving Credit Loans; Borrowings to Repay Swingline Loans] with respect to Swingline Loans, PNC may, at its option, cancelable at any time for any reason whatsoever, make Swingline Loans (the “</w:t>
      </w: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xml:space="preserve">”) to the Borrower at any time or from time to time after the Closing Date to, but not including, the Expiration Date, in an aggregate principal amount up to but not in excess of the Swingline Loan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such Swingline Loan (i) the aggregate amount of any Lender’s Revolving Credit Loans plus such Lender’s Ratable Share of the outstanding Swingline Loans and Letter of Credit Obligations shall not exceed such Lender’s Revolving Credit Commitment and (ii) the Revolving Facility Usage shall not exceed the aggregate Revolving Credit Commitments of the Lenders. Within such limits of time and amount and subject to the other provisions of this Agreement, the Borrower may borrow, repay and reborrow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2.1(b)</w:t>
      </w:r>
      <w:r>
        <w:rPr>
          <w:rFonts w:ascii="Times New Roman" w:cs="Times New Roman" w:eastAsia="Times New Roman" w:hAnsi="Times New Roman"/>
          <w:sz w:val="20"/>
          <w:szCs w:val="20"/>
          <w:color w:val="auto"/>
        </w:rPr>
        <w:t>. Swingline Loans shall be Daily SOFR Loans, as further provided herein.</w:t>
      </w:r>
    </w:p>
    <w:p>
      <w:pPr>
        <w:spacing w:after="0" w:line="147" w:lineRule="exact"/>
        <w:rPr>
          <w:sz w:val="20"/>
          <w:szCs w:val="20"/>
          <w:color w:val="auto"/>
        </w:rPr>
      </w:pP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242.2 </w:t>
      </w:r>
      <w:r>
        <w:rPr>
          <w:rFonts w:ascii="Times New Roman" w:cs="Times New Roman" w:eastAsia="Times New Roman" w:hAnsi="Times New Roman"/>
          <w:sz w:val="20"/>
          <w:szCs w:val="20"/>
          <w:u w:val="single" w:color="auto"/>
          <w:color w:val="auto"/>
        </w:rPr>
        <w:t>Nature of Lenders’ Obligations with Respect to Revolving Credit Loans</w:t>
      </w:r>
      <w:r>
        <w:rPr>
          <w:rFonts w:ascii="Times New Roman" w:cs="Times New Roman" w:eastAsia="Times New Roman" w:hAnsi="Times New Roman"/>
          <w:sz w:val="20"/>
          <w:szCs w:val="20"/>
          <w:color w:val="auto"/>
        </w:rPr>
        <w:t xml:space="preserve">. Each Lender shall be obligated to fund each request for Revolving Credit Loans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[Revolving Credit Loan Requests; Conversions and Renewals; Swingline Loan Requests] in accordance with its Ratable Share. The aggregate of each Lender’s Revolving Credit Loans outstanding hereunder to the Borrower at any time shall never exceed its Revolving Credit Commitment minus its Ratable Share of the outstanding Swingline Loans and Letter of Credit Obligations. The obligations of each Lender hereunder are several. The failure of any Lender to perform its obligations hereunder shall not affect the Obligations of the Borrower to any other party nor shall any other party be liable for the failure of such Lender to perform its obligations hereunder. The Lenders shall have no obligation to make Revolving Credit Loans hereunder on or after the Expiration Date.</w:t>
      </w:r>
    </w:p>
    <w:p>
      <w:pPr>
        <w:spacing w:after="0" w:line="4" w:lineRule="exact"/>
        <w:rPr>
          <w:sz w:val="20"/>
          <w:szCs w:val="20"/>
          <w:color w:val="auto"/>
        </w:rPr>
      </w:pPr>
    </w:p>
    <w:p>
      <w:pPr>
        <w:jc w:val="both"/>
        <w:ind w:firstLine="611"/>
        <w:spacing w:after="0" w:line="216" w:lineRule="auto"/>
        <w:rPr>
          <w:sz w:val="20"/>
          <w:szCs w:val="20"/>
          <w:color w:val="auto"/>
        </w:rPr>
      </w:pPr>
      <w:r>
        <w:rPr>
          <w:rFonts w:ascii="Times New Roman" w:cs="Times New Roman" w:eastAsia="Times New Roman" w:hAnsi="Times New Roman"/>
          <w:sz w:val="20"/>
          <w:szCs w:val="20"/>
          <w:color w:val="auto"/>
        </w:rPr>
        <w:t xml:space="preserve">242.3 </w:t>
      </w:r>
      <w:r>
        <w:rPr>
          <w:rFonts w:ascii="Times New Roman" w:cs="Times New Roman" w:eastAsia="Times New Roman" w:hAnsi="Times New Roman"/>
          <w:sz w:val="20"/>
          <w:szCs w:val="20"/>
          <w:u w:val="single" w:color="auto"/>
          <w:color w:val="auto"/>
        </w:rPr>
        <w:t>Commitment Fees</w:t>
      </w:r>
      <w:r>
        <w:rPr>
          <w:rFonts w:ascii="Times New Roman" w:cs="Times New Roman" w:eastAsia="Times New Roman" w:hAnsi="Times New Roman"/>
          <w:sz w:val="20"/>
          <w:szCs w:val="20"/>
          <w:color w:val="auto"/>
        </w:rPr>
        <w:t>. Accruing for each day from the Closing Date until the Expiration Date (and without regard to whether the conditions to making Revolving Credit Loans are then met), the Borrower agrees to pay to the Administrative Agent for the account of each Lender according to its Ratable Share, a nonrefundable commitment fee (the “</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equal to the Applicable Margin for Commitment Fee for such day (computed on the basis of a year of 360 days and actual days elapsed) multiplied by the difference for such day between the amount of (a) the Revolving Credit Commitments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Revolving Facility Usage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solely in connection with determining the share of each Lender in the Commitment Fee, the Revolving Facility Usage with respect to the portion of the Commitment Fee allocated to PNC shall include the full amount of the outstanding Swingline Loans, and with respect to the portion of the Commitment Fee allocated by the Administrative Agent to all of the Lenders other than PNC, such portion of the Commitment Fee shall be calculated (according to each such Lender’s Ratable Share) as if the Revolving Facility Usage excludes the outstanding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Defaulting Lender shall be entitled to receive 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324" w:right="339" w:bottom="1440" w:gutter="0" w:footer="0" w:header="0"/>
        </w:sectPr>
      </w:pPr>
    </w:p>
    <w:bookmarkStart w:id="216" w:name="page217"/>
    <w:bookmarkEnd w:id="216"/>
    <w:p>
      <w:pPr>
        <w:jc w:val="both"/>
        <w:spacing w:after="0" w:line="220" w:lineRule="auto"/>
        <w:rPr>
          <w:sz w:val="20"/>
          <w:szCs w:val="20"/>
          <w:color w:val="auto"/>
        </w:rPr>
      </w:pPr>
      <w:r>
        <w:rPr>
          <w:rFonts w:ascii="Times New Roman" w:cs="Times New Roman" w:eastAsia="Times New Roman" w:hAnsi="Times New Roman"/>
          <w:sz w:val="20"/>
          <w:szCs w:val="20"/>
          <w:color w:val="auto"/>
        </w:rPr>
        <w:t>Commitment Fee for any period during which that Lender is a Defaulting Lender (and the Borrower shall not be required to pay any such Commitment Fee that otherwise would have been required to have been paid to that Defaulting Lender). Subject to the proviso in the directly preceding sentence, all Commitment Fees shall be payable in arrears on each Payment Date.</w:t>
      </w:r>
    </w:p>
    <w:p>
      <w:pPr>
        <w:ind w:left="620"/>
        <w:spacing w:after="0" w:line="213" w:lineRule="auto"/>
        <w:rPr>
          <w:sz w:val="20"/>
          <w:szCs w:val="20"/>
          <w:color w:val="auto"/>
        </w:rPr>
      </w:pPr>
      <w:r>
        <w:rPr>
          <w:rFonts w:ascii="Times New Roman" w:cs="Times New Roman" w:eastAsia="Times New Roman" w:hAnsi="Times New Roman"/>
          <w:sz w:val="20"/>
          <w:szCs w:val="20"/>
          <w:color w:val="auto"/>
        </w:rPr>
        <w:t xml:space="preserve">242.4  </w:t>
      </w:r>
      <w:r>
        <w:rPr>
          <w:rFonts w:ascii="Times New Roman" w:cs="Times New Roman" w:eastAsia="Times New Roman" w:hAnsi="Times New Roman"/>
          <w:sz w:val="20"/>
          <w:szCs w:val="20"/>
          <w:u w:val="single" w:color="auto"/>
          <w:color w:val="auto"/>
        </w:rPr>
        <w:t>Termination or Reduction of Revolving Credit Commitments</w:t>
      </w:r>
      <w:r>
        <w:rPr>
          <w:rFonts w:ascii="Times New Roman" w:cs="Times New Roman" w:eastAsia="Times New Roman" w:hAnsi="Times New Roman"/>
          <w:sz w:val="20"/>
          <w:szCs w:val="20"/>
          <w:color w:val="auto"/>
        </w:rPr>
        <w:t>. The Borrower shall have the right, upon not less than three</w:t>
      </w:r>
    </w:p>
    <w:p>
      <w:pPr>
        <w:jc w:val="both"/>
        <w:ind w:firstLine="2"/>
        <w:spacing w:after="0" w:line="212" w:lineRule="auto"/>
        <w:tabs>
          <w:tab w:leader="none" w:pos="29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Days’ notice to the Administrative Agent, to terminate the Revolving Credit Commitments or, from time to time, to reduce the aggregate amount of the Revolving Credit Commitments (ratably among the Lenders in proportion to their Ratable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termination or reduction of Revolving Credit Commitments shall be permitted if, after giving effect thereto and to any prepayments of the Revolving Credit Loans made on the effective date thereof, the Revolving Facility Usage would exceed the aggregate Revolving Credit Commitments of the Lenders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the event the Revolving Credit Commitments are reduced to an aggregate amount less than the Letter of Credit Sublimit or the Swingline Loan Commitment then in effect, the Letter of Credit Sublimit and the Swingline Loan Commitment, as applicable, shall be reduced by an amount such that none of the Letter of Credit Sublimit and the Swingline Loan Commitment, as applicable, exceed the Revolving Credit Commitments. Any such reduction shall be in an amount of at least $5,000,000 and any larger multiple of $1,000,000, and shall reduce permanently the Revolving Credit Commitments then in effect. Any such reduction or termination shall be accompanied by prepayment of the Notes, together with outstanding Commitment Fees, and the full amount of interest accrued on the principal sum to be prepaid (and all amounts referred to in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[Indemnity] hereof) to the extent necessary to cause the aggregate Revolving Facility Usage after giving effect to such prepayments to be equal to or less than the Revolving Credit Commitments as so reduced or terminated. Any notice to reduce the Revolving Credit Commitments under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shall be irrevocable.</w:t>
      </w:r>
    </w:p>
    <w:p>
      <w:pPr>
        <w:spacing w:after="0" w:line="8" w:lineRule="exact"/>
        <w:rPr>
          <w:rFonts w:ascii="Times New Roman" w:cs="Times New Roman" w:eastAsia="Times New Roman" w:hAnsi="Times New Roman"/>
          <w:sz w:val="20"/>
          <w:szCs w:val="20"/>
          <w:color w:val="auto"/>
        </w:rPr>
      </w:pPr>
    </w:p>
    <w:p>
      <w:pPr>
        <w:ind w:left="620"/>
        <w:spacing w:after="0" w:line="21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242.5  </w:t>
      </w:r>
      <w:r>
        <w:rPr>
          <w:rFonts w:ascii="Times New Roman" w:cs="Times New Roman" w:eastAsia="Times New Roman" w:hAnsi="Times New Roman"/>
          <w:sz w:val="20"/>
          <w:szCs w:val="20"/>
          <w:u w:val="single" w:color="auto"/>
          <w:color w:val="auto"/>
        </w:rPr>
        <w:t>Revolving Credit Loan Requests; Loan Conversions and Renewals; Swingline Loan Requests</w:t>
      </w:r>
      <w:r>
        <w:rPr>
          <w:rFonts w:ascii="Times New Roman" w:cs="Times New Roman" w:eastAsia="Times New Roman" w:hAnsi="Times New Roman"/>
          <w:sz w:val="20"/>
          <w:szCs w:val="20"/>
          <w:color w:val="auto"/>
        </w:rPr>
        <w:t>.</w:t>
      </w:r>
    </w:p>
    <w:p>
      <w:pPr>
        <w:jc w:val="both"/>
        <w:ind w:firstLine="1224"/>
        <w:spacing w:after="0" w:line="226" w:lineRule="auto"/>
        <w:tabs>
          <w:tab w:leader="none" w:pos="1831"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Loan Requests; Loan Conversions and Renewals</w:t>
      </w:r>
      <w:r>
        <w:rPr>
          <w:rFonts w:ascii="Times New Roman" w:cs="Times New Roman" w:eastAsia="Times New Roman" w:hAnsi="Times New Roman"/>
          <w:sz w:val="20"/>
          <w:szCs w:val="20"/>
          <w:color w:val="auto"/>
        </w:rPr>
        <w:t>. Except as otherwise provided herein, the Borrower may from time to time prior to the Expiration Date request the Lenders to make Revolving Credit Loans, or renew or convert the Interest Rate Option applicable to existing Loans, by delivering to the Administrative Agent, not later than 10:00 a.m. Eastern Time,</w:t>
      </w:r>
    </w:p>
    <w:p>
      <w:pPr>
        <w:spacing w:after="0" w:line="143" w:lineRule="exact"/>
        <w:rPr>
          <w:rFonts w:ascii="Times New Roman" w:cs="Times New Roman" w:eastAsia="Times New Roman" w:hAnsi="Times New Roman"/>
          <w:sz w:val="20"/>
          <w:szCs w:val="20"/>
          <w:color w:val="auto"/>
        </w:rPr>
      </w:pPr>
    </w:p>
    <w:p>
      <w:pPr>
        <w:jc w:val="both"/>
        <w:ind w:left="540" w:firstLine="1219"/>
        <w:spacing w:after="0" w:line="234" w:lineRule="auto"/>
        <w:tabs>
          <w:tab w:leader="none" w:pos="2438" w:val="left"/>
        </w:tabs>
        <w:numPr>
          <w:ilvl w:val="2"/>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same Business Day of the proposed Borrowing Date with respect to the making of a Revolving Credit Loan to which the Base Rate Option applies, or the last day of the preceding Interest Period with respect to the conversion to the Base Rate Option for any Loan, and</w:t>
      </w:r>
    </w:p>
    <w:p>
      <w:pPr>
        <w:spacing w:after="0" w:line="142" w:lineRule="exact"/>
        <w:rPr>
          <w:rFonts w:ascii="Times New Roman" w:cs="Times New Roman" w:eastAsia="Times New Roman" w:hAnsi="Times New Roman"/>
          <w:sz w:val="20"/>
          <w:szCs w:val="20"/>
          <w:color w:val="auto"/>
        </w:rPr>
      </w:pPr>
    </w:p>
    <w:p>
      <w:pPr>
        <w:jc w:val="both"/>
        <w:ind w:left="540" w:firstLine="1219"/>
        <w:spacing w:after="0" w:line="234" w:lineRule="auto"/>
        <w:tabs>
          <w:tab w:leader="none" w:pos="2444" w:val="left"/>
        </w:tabs>
        <w:numPr>
          <w:ilvl w:val="2"/>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(3) Business Days prior to the proposed Borrowing Date with respect to (a) the making of Revolving Credit Loans to which the Term SOFR Rate Option applies or (b) the conversion to or the renewal of the Term SOFR Rate Option for any Loans;</w:t>
      </w:r>
    </w:p>
    <w:p>
      <w:pPr>
        <w:spacing w:after="0" w:line="168" w:lineRule="exact"/>
        <w:rPr>
          <w:sz w:val="20"/>
          <w:szCs w:val="20"/>
          <w:color w:val="auto"/>
        </w:rPr>
      </w:pPr>
    </w:p>
    <w:p>
      <w:pPr>
        <w:jc w:val="both"/>
        <w:ind w:firstLine="2"/>
        <w:spacing w:after="0" w:line="260" w:lineRule="auto"/>
        <w:tabs>
          <w:tab w:leader="none" w:pos="611"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each case, a duly completed request therefor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or a request by telephone immediately confirmed in writing by letter or electronic mail in such form (each, a “</w:t>
      </w:r>
      <w:r>
        <w:rPr>
          <w:rFonts w:ascii="Times New Roman" w:cs="Times New Roman" w:eastAsia="Times New Roman" w:hAnsi="Times New Roman"/>
          <w:sz w:val="20"/>
          <w:szCs w:val="20"/>
          <w:u w:val="single" w:color="auto"/>
          <w:color w:val="auto"/>
        </w:rPr>
        <w:t>Loan Request</w:t>
      </w:r>
      <w:r>
        <w:rPr>
          <w:rFonts w:ascii="Times New Roman" w:cs="Times New Roman" w:eastAsia="Times New Roman" w:hAnsi="Times New Roman"/>
          <w:sz w:val="20"/>
          <w:szCs w:val="20"/>
          <w:color w:val="auto"/>
        </w:rPr>
        <w:t>”), it being understood that the Administrative Agent may rely on the authority of any individual making such a telephonic request without the necessity of receipt of such written confirmation. Each Loan Request shall be irrevocable and shall specify the Interest Rate Option and the aggregate amount of the proposed Loans comprising each Borrowing Tranche, and, if applicable, the Interest Period, which amounts shall be in (x) not be less than $1,000,000 or a larger multiple of $100,000 for each Borrowing Tranche under the Term SOFR Rate Option, and (y) not be less than $1,000,000 or a larger multiple of $100,000 for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324" w:right="339" w:bottom="1440" w:gutter="0" w:footer="0" w:header="0"/>
        </w:sectPr>
      </w:pPr>
    </w:p>
    <w:bookmarkStart w:id="217" w:name="page218"/>
    <w:bookmarkEnd w:id="217"/>
    <w:p>
      <w:pPr>
        <w:jc w:val="both"/>
        <w:spacing w:after="0" w:line="271" w:lineRule="auto"/>
        <w:rPr>
          <w:sz w:val="20"/>
          <w:szCs w:val="20"/>
          <w:color w:val="auto"/>
        </w:rPr>
      </w:pPr>
      <w:r>
        <w:rPr>
          <w:rFonts w:ascii="Times New Roman" w:cs="Times New Roman" w:eastAsia="Times New Roman" w:hAnsi="Times New Roman"/>
          <w:sz w:val="20"/>
          <w:szCs w:val="20"/>
          <w:color w:val="auto"/>
        </w:rPr>
        <w:t>Borrowing Tranche under the Base Rate Option. In the case of the renewal of a Term SOFR Rate Option at the end of an Interest Period, the first day of the new Interest Period shall be the last day of the preceding Interest Period, without duplication in payment of interest for such day.</w:t>
      </w:r>
    </w:p>
    <w:p>
      <w:pPr>
        <w:spacing w:after="0" w:line="138" w:lineRule="exact"/>
        <w:rPr>
          <w:sz w:val="20"/>
          <w:szCs w:val="20"/>
          <w:color w:val="auto"/>
        </w:rPr>
      </w:pPr>
    </w:p>
    <w:p>
      <w:pPr>
        <w:jc w:val="both"/>
        <w:ind w:firstLine="1224"/>
        <w:spacing w:after="0" w:line="220" w:lineRule="auto"/>
        <w:tabs>
          <w:tab w:leader="none" w:pos="182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Swingline Loan Requests</w:t>
      </w:r>
      <w:r>
        <w:rPr>
          <w:rFonts w:ascii="Times New Roman" w:cs="Times New Roman" w:eastAsia="Times New Roman" w:hAnsi="Times New Roman"/>
          <w:sz w:val="20"/>
          <w:szCs w:val="20"/>
          <w:color w:val="auto"/>
        </w:rPr>
        <w:t xml:space="preserve">. Except as otherwise provided herein, the Borrower may from time to time prior to the Expiration Date request the Swingline Loan Lender to make Swingline Loans by delivery to the Swingline Loan Lender not later than 12:00 noon on the proposed Borrowing Date of a duly completed request therefor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hereto or a request by telephone immediately confirmed in writing by letter or electronic mail (each, a “</w:t>
      </w:r>
      <w:r>
        <w:rPr>
          <w:rFonts w:ascii="Times New Roman" w:cs="Times New Roman" w:eastAsia="Times New Roman" w:hAnsi="Times New Roman"/>
          <w:sz w:val="20"/>
          <w:szCs w:val="20"/>
          <w:u w:val="single" w:color="auto"/>
          <w:color w:val="auto"/>
        </w:rPr>
        <w:t>Swingline Loan Request</w:t>
      </w:r>
      <w:r>
        <w:rPr>
          <w:rFonts w:ascii="Times New Roman" w:cs="Times New Roman" w:eastAsia="Times New Roman" w:hAnsi="Times New Roman"/>
          <w:sz w:val="20"/>
          <w:szCs w:val="20"/>
          <w:color w:val="auto"/>
        </w:rPr>
        <w:t>”), it being understood that the Administrative Agent may rely on the authority of any individual making such a telephonic request without the necessity of receipt of such written confirmation. Each Swingline Loan Request shall be irrevocable and shall specify the proposed Borrowing Date and the principal amount of such Swingline Loan, which shall not be less than $100,000 or a larger multiple of $50,000, or such other minimum amounts agreed to by the Swingline Loan Lender and the Borrower.</w:t>
      </w:r>
    </w:p>
    <w:p>
      <w:pPr>
        <w:spacing w:after="0" w:line="147" w:lineRule="exact"/>
        <w:rPr>
          <w:sz w:val="20"/>
          <w:szCs w:val="20"/>
          <w:color w:val="auto"/>
        </w:rPr>
      </w:pPr>
    </w:p>
    <w:p>
      <w:pPr>
        <w:ind w:firstLine="611"/>
        <w:spacing w:after="0" w:line="224" w:lineRule="auto"/>
        <w:rPr>
          <w:sz w:val="20"/>
          <w:szCs w:val="20"/>
          <w:color w:val="auto"/>
        </w:rPr>
      </w:pPr>
      <w:r>
        <w:rPr>
          <w:rFonts w:ascii="Times New Roman" w:cs="Times New Roman" w:eastAsia="Times New Roman" w:hAnsi="Times New Roman"/>
          <w:sz w:val="20"/>
          <w:szCs w:val="20"/>
          <w:color w:val="auto"/>
        </w:rPr>
        <w:t xml:space="preserve">242.6 </w:t>
      </w:r>
      <w:r>
        <w:rPr>
          <w:rFonts w:ascii="Times New Roman" w:cs="Times New Roman" w:eastAsia="Times New Roman" w:hAnsi="Times New Roman"/>
          <w:sz w:val="20"/>
          <w:szCs w:val="20"/>
          <w:u w:val="single" w:color="auto"/>
          <w:color w:val="auto"/>
        </w:rPr>
        <w:t>Making Revolving Credit Loans and Swingline Loans; Presumptions by the Administrative Agent; Repayment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Revolving Credit Loans; Borrowings to Repay Swingline Loans</w:t>
      </w:r>
      <w:r>
        <w:rPr>
          <w:rFonts w:ascii="Times New Roman" w:cs="Times New Roman" w:eastAsia="Times New Roman" w:hAnsi="Times New Roman"/>
          <w:sz w:val="20"/>
          <w:szCs w:val="20"/>
          <w:color w:val="auto"/>
        </w:rPr>
        <w:t>.</w:t>
      </w:r>
    </w:p>
    <w:p>
      <w:pPr>
        <w:jc w:val="both"/>
        <w:ind w:firstLine="1224"/>
        <w:spacing w:after="0" w:line="216" w:lineRule="auto"/>
        <w:tabs>
          <w:tab w:leader="none" w:pos="183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Making Revolving Credit Loans</w:t>
      </w:r>
      <w:r>
        <w:rPr>
          <w:rFonts w:ascii="Times New Roman" w:cs="Times New Roman" w:eastAsia="Times New Roman" w:hAnsi="Times New Roman"/>
          <w:sz w:val="20"/>
          <w:szCs w:val="20"/>
          <w:color w:val="auto"/>
        </w:rPr>
        <w:t xml:space="preserve">. The Administrative Agent shall, promptly after receipt by it of a Loan Request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[Revolving Credit Loan Requests; Conversions and Renewals; Swingline Loan Requests], notify the applicable Lenders of its receipt of such Loan Request specifying the information provided by the Borrower and the apportionment among the Lenders of the requested Revolving Credit Loans as determined by the Administrative Agent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[Nature of Lenders’ Obligations with Respect to Revolving Credit Loans]. Each Lender shall remit its apportioned share (as provided to it by the Administrative Agent) of the principal amount of each Revolving Credit Loan to the Administrative Agent such that the Administrative Agent is able to, and the Administrative Agent shall, to the extent the Lenders have made funds available to it for such purpose and subject to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[Each Loan or Letter of Credit], fund such Revolving Credit Loans to the Borrower in U.S. Dollars and immediately available funds at the Principal Office prior to 2:00 p.m. Eastern Time, on the applicable Borrowing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Lender fails to remit such funds to the Administrative Agent in a timely manner, the Administrative Agent may elect in its sole discretion to fund with its own funds the Revolving Credit Loans of such Lender on such Borrowing Date, and such Lender shall be subject to the repayment obligation in </w:t>
      </w:r>
      <w:r>
        <w:rPr>
          <w:rFonts w:ascii="Times New Roman" w:cs="Times New Roman" w:eastAsia="Times New Roman" w:hAnsi="Times New Roman"/>
          <w:sz w:val="20"/>
          <w:szCs w:val="20"/>
          <w:u w:val="single" w:color="auto"/>
          <w:color w:val="auto"/>
        </w:rPr>
        <w:t>Section 2.6(b)</w:t>
      </w:r>
      <w:r>
        <w:rPr>
          <w:rFonts w:ascii="Times New Roman" w:cs="Times New Roman" w:eastAsia="Times New Roman" w:hAnsi="Times New Roman"/>
          <w:sz w:val="20"/>
          <w:szCs w:val="20"/>
          <w:color w:val="auto"/>
        </w:rPr>
        <w:t xml:space="preserve"> [Presumptions by the Administrative Agent].</w:t>
      </w:r>
    </w:p>
    <w:p>
      <w:pPr>
        <w:spacing w:after="0" w:line="142" w:lineRule="exact"/>
        <w:rPr>
          <w:rFonts w:ascii="Times New Roman" w:cs="Times New Roman" w:eastAsia="Times New Roman" w:hAnsi="Times New Roman"/>
          <w:sz w:val="20"/>
          <w:szCs w:val="20"/>
          <w:color w:val="auto"/>
        </w:rPr>
      </w:pPr>
    </w:p>
    <w:p>
      <w:pPr>
        <w:jc w:val="both"/>
        <w:ind w:firstLine="1224"/>
        <w:spacing w:after="0" w:line="237" w:lineRule="auto"/>
        <w:tabs>
          <w:tab w:leader="none" w:pos="1829"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Presumptions by the Administrative Agent</w:t>
      </w:r>
      <w:r>
        <w:rPr>
          <w:rFonts w:ascii="Times New Roman" w:cs="Times New Roman" w:eastAsia="Times New Roman" w:hAnsi="Times New Roman"/>
          <w:sz w:val="20"/>
          <w:szCs w:val="20"/>
          <w:color w:val="auto"/>
        </w:rPr>
        <w:t xml:space="preserve">. Unless the Administrative Agent shall have received notice from a Lender prior to the proposed time of any Loan that such Lender will not make available to the Administrative Agent such Lender’s share of such Loan,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 xml:space="preserve"> [Making Revolving Credit Loans]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Effective Federal Funds Rate and a rate determined by the Administrative Agent in accordance with banking industry rules on interbank compensation and (ii) in the case of a payment to be made by the Borrower, the interest rate applicable to Loans under the Base Rate Option. If such Lender pays its share of the applicable Loan to the Administrative Agent, then the amount so paid shall constitute such Lender’s Loan.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349" w:right="339" w:bottom="1440" w:gutter="0" w:footer="0" w:header="0"/>
        </w:sectPr>
      </w:pPr>
    </w:p>
    <w:bookmarkStart w:id="218" w:name="page219"/>
    <w:bookmarkEnd w:id="218"/>
    <w:p>
      <w:pPr>
        <w:spacing w:after="0" w:line="249" w:lineRule="auto"/>
        <w:rPr>
          <w:sz w:val="20"/>
          <w:szCs w:val="20"/>
          <w:color w:val="auto"/>
        </w:rPr>
      </w:pPr>
      <w:r>
        <w:rPr>
          <w:rFonts w:ascii="Times New Roman" w:cs="Times New Roman" w:eastAsia="Times New Roman" w:hAnsi="Times New Roman"/>
          <w:sz w:val="20"/>
          <w:szCs w:val="20"/>
          <w:color w:val="auto"/>
        </w:rPr>
        <w:t>payment by the Borrower shall be without prejudice to any claim the Borrower may have against a Lender that shall have failed to make such payment to the Administrative Agent.</w:t>
      </w:r>
    </w:p>
    <w:p>
      <w:pPr>
        <w:spacing w:after="0" w:line="134" w:lineRule="exact"/>
        <w:rPr>
          <w:sz w:val="20"/>
          <w:szCs w:val="20"/>
          <w:color w:val="auto"/>
        </w:rPr>
      </w:pPr>
    </w:p>
    <w:p>
      <w:pPr>
        <w:jc w:val="both"/>
        <w:ind w:firstLine="1224"/>
        <w:spacing w:after="0" w:line="228" w:lineRule="auto"/>
        <w:tabs>
          <w:tab w:leader="none" w:pos="183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Making Swingline Loans</w:t>
      </w:r>
      <w:r>
        <w:rPr>
          <w:rFonts w:ascii="Times New Roman" w:cs="Times New Roman" w:eastAsia="Times New Roman" w:hAnsi="Times New Roman"/>
          <w:sz w:val="20"/>
          <w:szCs w:val="20"/>
          <w:color w:val="auto"/>
        </w:rPr>
        <w:t xml:space="preserve">. So long as PNC elects to make Swingline Loans, PNC shall, after receipt by it of a Swingline Loan Request pursuant to </w:t>
      </w:r>
      <w:r>
        <w:rPr>
          <w:rFonts w:ascii="Times New Roman" w:cs="Times New Roman" w:eastAsia="Times New Roman" w:hAnsi="Times New Roman"/>
          <w:sz w:val="20"/>
          <w:szCs w:val="20"/>
          <w:u w:val="single" w:color="auto"/>
          <w:color w:val="auto"/>
        </w:rPr>
        <w:t>Section 2.5(b)</w:t>
      </w:r>
      <w:r>
        <w:rPr>
          <w:rFonts w:ascii="Times New Roman" w:cs="Times New Roman" w:eastAsia="Times New Roman" w:hAnsi="Times New Roman"/>
          <w:sz w:val="20"/>
          <w:szCs w:val="20"/>
          <w:color w:val="auto"/>
        </w:rPr>
        <w:t xml:space="preserve"> [Swingline Loan Requests], fund such Swingline Loan to the Borrower in U.S. Dollars and immediately available funds at the Principal Office prior to 4:00 p.m. Eastern Time on the Borrowing Date. A Swingline Loan Note shall, if required by PNC, evidence the Swingline Loans.</w:t>
      </w:r>
    </w:p>
    <w:p>
      <w:pPr>
        <w:spacing w:after="0" w:line="144"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Revolving Credit Loans</w:t>
      </w:r>
      <w:r>
        <w:rPr>
          <w:rFonts w:ascii="Times New Roman" w:cs="Times New Roman" w:eastAsia="Times New Roman" w:hAnsi="Times New Roman"/>
          <w:sz w:val="20"/>
          <w:szCs w:val="20"/>
          <w:color w:val="auto"/>
        </w:rPr>
        <w:t>. The Borrower shall repay the outstanding principal amount of all Revolving Credit Loans, together with all outstanding interest thereon, on the Expiration Date.</w:t>
      </w:r>
    </w:p>
    <w:p>
      <w:pPr>
        <w:spacing w:after="0" w:line="134"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Borrowings to Repay Swingline Loans</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jc w:val="both"/>
        <w:ind w:left="540" w:firstLine="1219"/>
        <w:spacing w:after="0" w:line="227" w:lineRule="auto"/>
        <w:tabs>
          <w:tab w:leader="none" w:pos="2438"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making of a Swingline Loan (whether before or after the occurrence of a Default or an Event of Default and regardless of whether a settlement has been requested with respect to such Swingline Loan), each Lender shall be deemed, without further action by any party hereto, to have unconditionally and irrevocably purchased from PNC, without recourse or warranty, an undivided interest and participation in such Swingline Loan in proportion to its Ratable Share. PNC may, at its option, exercisable at any time for any reason whatsoever, demand repayment of any or all of the outstanding Swingline Loans, and each Lender shall immediately either (A) make a Revolving Credit Loan in an amount equal to such Lender’s Ratable Share of the aggregate principal amount of the outstanding Swingline Loans with respect to which repayment is demanded, plus, if PNC so requests, accrued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be obligated in any event to make Revolving Credit Loans in excess of its Revolving Credit Commitment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its Ratable Share of Letter of Credit Obligations and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its Ratable Share of any Swingline Loans not so being repaid or (B) during the continuance of an Insolvency Proceeding or Relief Proceeding with respect to the Borrower, fund such Swingline Loan participations by paying to PNC such Lender’s Ratable Share of the outstanding Swingline Loans. Revolving Credit Loans made pursuant to the preceding sentence shall bear interest at the Daily SOFR Option and shall be deemed to have been properly requested in accordance with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xml:space="preserve"> [Revolving Credit Loan Requests; Conversions and Renewals] without regard to any of the requirements of that provision. PNC shall provide notice to the Lenders (which may be telephonic or written notice by letter or electronic mail) that such Revolving Credit Loans are to be made under this </w:t>
      </w:r>
      <w:r>
        <w:rPr>
          <w:rFonts w:ascii="Times New Roman" w:cs="Times New Roman" w:eastAsia="Times New Roman" w:hAnsi="Times New Roman"/>
          <w:sz w:val="20"/>
          <w:szCs w:val="20"/>
          <w:u w:val="single" w:color="auto"/>
          <w:color w:val="auto"/>
        </w:rPr>
        <w:t>Section 2.6(e)</w:t>
      </w:r>
      <w:r>
        <w:rPr>
          <w:rFonts w:ascii="Times New Roman" w:cs="Times New Roman" w:eastAsia="Times New Roman" w:hAnsi="Times New Roman"/>
          <w:sz w:val="20"/>
          <w:szCs w:val="20"/>
          <w:color w:val="auto"/>
        </w:rPr>
        <w:t xml:space="preserve"> and of the apportionment among the Lenders, and the Lenders shall be unconditionally obligated to fund such Revolving Credit Loans (whether or not the conditions specified in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xml:space="preserve"> [Revolving Credit Loan Requests; Conversions and Renewals] or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[Each Loan or Letter of Credit] are then satisfied) by the time PNC so requests, which shall not be earlier than 3:00 p.m. Eastern Time on the Business Day next after the date the Lenders receive such notice from PNC.</w:t>
      </w:r>
    </w:p>
    <w:p>
      <w:pPr>
        <w:spacing w:after="0" w:line="145" w:lineRule="exact"/>
        <w:rPr>
          <w:rFonts w:ascii="Times New Roman" w:cs="Times New Roman" w:eastAsia="Times New Roman" w:hAnsi="Times New Roman"/>
          <w:sz w:val="20"/>
          <w:szCs w:val="20"/>
          <w:color w:val="auto"/>
        </w:rPr>
      </w:pPr>
    </w:p>
    <w:p>
      <w:pPr>
        <w:jc w:val="both"/>
        <w:ind w:left="540" w:firstLine="1219"/>
        <w:spacing w:after="0" w:line="223" w:lineRule="auto"/>
        <w:tabs>
          <w:tab w:leader="none" w:pos="244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PNC (as the Swingline Loan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2.6(e)</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2.6(e)(i)</w:t>
      </w:r>
      <w:r>
        <w:rPr>
          <w:rFonts w:ascii="Times New Roman" w:cs="Times New Roman" w:eastAsia="Times New Roman" w:hAnsi="Times New Roman"/>
          <w:sz w:val="20"/>
          <w:szCs w:val="20"/>
          <w:color w:val="auto"/>
        </w:rPr>
        <w:t>, the Swingline Loan Lender shall be entitled to recover from such Lender (acting through the Administrative Agent), on demand, such amount with interest thereon for the period from the date such payment is required to the date on which such payment is immediately available to the Swingline Loan Lender at a rate per annum equal to the greater of the Effective Federal Funds Rate and a rate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324" w:right="339" w:bottom="1440" w:gutter="0" w:footer="0" w:header="0"/>
        </w:sectPr>
      </w:pPr>
    </w:p>
    <w:bookmarkStart w:id="219" w:name="page220"/>
    <w:bookmarkEnd w:id="219"/>
    <w:p>
      <w:pPr>
        <w:jc w:val="both"/>
        <w:ind w:left="540"/>
        <w:spacing w:after="0" w:line="225" w:lineRule="auto"/>
        <w:rPr>
          <w:sz w:val="20"/>
          <w:szCs w:val="20"/>
          <w:color w:val="auto"/>
        </w:rPr>
      </w:pPr>
      <w:r>
        <w:rPr>
          <w:rFonts w:ascii="Times New Roman" w:cs="Times New Roman" w:eastAsia="Times New Roman" w:hAnsi="Times New Roman"/>
          <w:sz w:val="20"/>
          <w:szCs w:val="20"/>
          <w:color w:val="auto"/>
        </w:rPr>
        <w:t xml:space="preserve">Administrative Agent in accordance with banking industry rules on interbank compensation, plus any administrative, processing or similar fees customarily charged by the Swingline Loan Lender in connection with the foregoing. If such Lender pays such amount (with interest and fees as aforesaid), the amount so paid shall constitute such Lender’s Revolving Credit Loan with respect to such prepayment. A certificate of the Swingline Loan Lender submitted to any Lender (through the Administrative Agent) with respect to any amounts owing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conclusive absent manifest error.</w:t>
      </w:r>
    </w:p>
    <w:p>
      <w:pPr>
        <w:spacing w:after="0" w:line="144" w:lineRule="exact"/>
        <w:rPr>
          <w:sz w:val="20"/>
          <w:szCs w:val="20"/>
          <w:color w:val="auto"/>
        </w:rPr>
      </w:pPr>
    </w:p>
    <w:p>
      <w:pPr>
        <w:jc w:val="both"/>
        <w:ind w:firstLine="1224"/>
        <w:spacing w:after="0" w:line="215" w:lineRule="auto"/>
        <w:tabs>
          <w:tab w:leader="none" w:pos="183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Swingline Loans Under Cash Management Agreements</w:t>
      </w:r>
      <w:r>
        <w:rPr>
          <w:rFonts w:ascii="Times New Roman" w:cs="Times New Roman" w:eastAsia="Times New Roman" w:hAnsi="Times New Roman"/>
          <w:sz w:val="20"/>
          <w:szCs w:val="20"/>
          <w:color w:val="auto"/>
        </w:rPr>
        <w:t xml:space="preserve">. In addition to making Swingline Loans pursuant to the foregoing provisions of </w:t>
      </w:r>
      <w:r>
        <w:rPr>
          <w:rFonts w:ascii="Times New Roman" w:cs="Times New Roman" w:eastAsia="Times New Roman" w:hAnsi="Times New Roman"/>
          <w:sz w:val="20"/>
          <w:szCs w:val="20"/>
          <w:u w:val="single" w:color="auto"/>
          <w:color w:val="auto"/>
        </w:rPr>
        <w:t>Section 2.6(c)</w:t>
      </w:r>
      <w:r>
        <w:rPr>
          <w:rFonts w:ascii="Times New Roman" w:cs="Times New Roman" w:eastAsia="Times New Roman" w:hAnsi="Times New Roman"/>
          <w:sz w:val="20"/>
          <w:szCs w:val="20"/>
          <w:color w:val="auto"/>
        </w:rPr>
        <w:t xml:space="preserve"> [Making Swingline Loans], without the requirement for a specific request from the Borrower pursuant to </w:t>
      </w:r>
      <w:r>
        <w:rPr>
          <w:rFonts w:ascii="Times New Roman" w:cs="Times New Roman" w:eastAsia="Times New Roman" w:hAnsi="Times New Roman"/>
          <w:sz w:val="20"/>
          <w:szCs w:val="20"/>
          <w:u w:val="single" w:color="auto"/>
          <w:color w:val="auto"/>
        </w:rPr>
        <w:t>Section 2.5(b)</w:t>
      </w:r>
      <w:r>
        <w:rPr>
          <w:rFonts w:ascii="Times New Roman" w:cs="Times New Roman" w:eastAsia="Times New Roman" w:hAnsi="Times New Roman"/>
          <w:sz w:val="20"/>
          <w:szCs w:val="20"/>
          <w:color w:val="auto"/>
        </w:rPr>
        <w:t xml:space="preserve"> [Swingline Loan Requests], PNC as the Swingline Loan Lender may make Swingline Loans to the Borrower in accordance with the provisions of the agreements between the Borrower and such Swingline Loan Lender relating to the Borrower’s deposit, sweep and other accounts at such Swingline Loan Lender and related arrangements and agreements regarding the management and investment of the Borrower’s cash assets as in effect from time to time (the “</w:t>
      </w:r>
      <w:r>
        <w:rPr>
          <w:rFonts w:ascii="Times New Roman" w:cs="Times New Roman" w:eastAsia="Times New Roman" w:hAnsi="Times New Roman"/>
          <w:sz w:val="20"/>
          <w:szCs w:val="20"/>
          <w:u w:val="single" w:color="auto"/>
          <w:color w:val="auto"/>
        </w:rPr>
        <w:t>Cash Management Agreements</w:t>
      </w:r>
      <w:r>
        <w:rPr>
          <w:rFonts w:ascii="Times New Roman" w:cs="Times New Roman" w:eastAsia="Times New Roman" w:hAnsi="Times New Roman"/>
          <w:sz w:val="20"/>
          <w:szCs w:val="20"/>
          <w:color w:val="auto"/>
        </w:rPr>
        <w:t xml:space="preserve">”) to the extent of the daily aggregate net negative balance in the Borrower’s accounts which are subject to the provisions of the Cash Management Agreements. Swingline Loans made pursuant to this </w:t>
      </w:r>
      <w:r>
        <w:rPr>
          <w:rFonts w:ascii="Times New Roman" w:cs="Times New Roman" w:eastAsia="Times New Roman" w:hAnsi="Times New Roman"/>
          <w:sz w:val="20"/>
          <w:szCs w:val="20"/>
          <w:u w:val="single" w:color="auto"/>
          <w:color w:val="auto"/>
        </w:rPr>
        <w:t>Section 2.6(f)</w:t>
      </w:r>
      <w:r>
        <w:rPr>
          <w:rFonts w:ascii="Times New Roman" w:cs="Times New Roman" w:eastAsia="Times New Roman" w:hAnsi="Times New Roman"/>
          <w:sz w:val="20"/>
          <w:szCs w:val="20"/>
          <w:color w:val="auto"/>
        </w:rPr>
        <w:t xml:space="preserve"> in accordance with the provisions of the Cash Management Agreements shall (i) be subject to the limitations as to aggregate amount specified in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[Swingline Loan Commitment],</w:t>
      </w:r>
    </w:p>
    <w:p>
      <w:pPr>
        <w:spacing w:after="0" w:line="1" w:lineRule="exact"/>
        <w:rPr>
          <w:rFonts w:ascii="Times New Roman" w:cs="Times New Roman" w:eastAsia="Times New Roman" w:hAnsi="Times New Roman"/>
          <w:sz w:val="20"/>
          <w:szCs w:val="20"/>
          <w:color w:val="auto"/>
        </w:rPr>
      </w:pPr>
    </w:p>
    <w:p>
      <w:pPr>
        <w:jc w:val="both"/>
        <w:ind w:firstLine="2"/>
        <w:spacing w:after="0" w:line="218" w:lineRule="auto"/>
        <w:tabs>
          <w:tab w:leader="none" w:pos="30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 be subject to the limitations as to individual amount specified in </w:t>
      </w:r>
      <w:r>
        <w:rPr>
          <w:rFonts w:ascii="Times New Roman" w:cs="Times New Roman" w:eastAsia="Times New Roman" w:hAnsi="Times New Roman"/>
          <w:sz w:val="20"/>
          <w:szCs w:val="20"/>
          <w:u w:val="single" w:color="auto"/>
          <w:color w:val="auto"/>
        </w:rPr>
        <w:t>Section 2.5(b)</w:t>
      </w:r>
      <w:r>
        <w:rPr>
          <w:rFonts w:ascii="Times New Roman" w:cs="Times New Roman" w:eastAsia="Times New Roman" w:hAnsi="Times New Roman"/>
          <w:sz w:val="20"/>
          <w:szCs w:val="20"/>
          <w:color w:val="auto"/>
        </w:rPr>
        <w:t xml:space="preserve"> [Swingline Loan Requests], (iii) be payable by the Borrower, both as to principal and interest, at the rates and times specified in the Cash Management Agreements (but in no event later than the Expiration Date), (iv) not be made at any time after such Swingline Loan Lender has received written notice of the occurrence of an Event of Default and so long as such shall continue to exist, or, unless consented to by the Required Lenders, a Potential Default and so long as such shall continue to exist, (v) if not repaid by the Borrower in accordance with the provisions of the Cash Management Agreements, be subject to each Lender’s obligation pursuant to </w:t>
      </w:r>
      <w:r>
        <w:rPr>
          <w:rFonts w:ascii="Times New Roman" w:cs="Times New Roman" w:eastAsia="Times New Roman" w:hAnsi="Times New Roman"/>
          <w:sz w:val="20"/>
          <w:szCs w:val="20"/>
          <w:u w:val="single" w:color="auto"/>
          <w:color w:val="auto"/>
        </w:rPr>
        <w:t>Section 2.6(e)</w:t>
      </w:r>
      <w:r>
        <w:rPr>
          <w:rFonts w:ascii="Times New Roman" w:cs="Times New Roman" w:eastAsia="Times New Roman" w:hAnsi="Times New Roman"/>
          <w:sz w:val="20"/>
          <w:szCs w:val="20"/>
          <w:color w:val="auto"/>
        </w:rPr>
        <w:t xml:space="preserve"> [Borrowings to Repay Swingline Loans], and (vi) except as provided in the foregoing subsections (i) through (v), be subject to all of the terms and conditions of this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11"/>
        <w:spacing w:after="0" w:line="218" w:lineRule="auto"/>
        <w:rPr>
          <w:sz w:val="20"/>
          <w:szCs w:val="20"/>
          <w:color w:val="auto"/>
        </w:rPr>
      </w:pPr>
      <w:r>
        <w:rPr>
          <w:rFonts w:ascii="Times New Roman" w:cs="Times New Roman" w:eastAsia="Times New Roman" w:hAnsi="Times New Roman"/>
          <w:sz w:val="20"/>
          <w:szCs w:val="20"/>
          <w:color w:val="auto"/>
        </w:rPr>
        <w:t xml:space="preserve">242.7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The obligations of the Borrower to repay the aggregate unpaid principal amount of the Revolving Credit Loans and Swingline Loans made to it by each Lender, together with interest thereon, shall be evidenced by a revolving credit Note and a swing Note payable to such Lender in a face amount equal to the Revolving Credit Commitment or Swingline Loan Commitment, as applicable, of such Lender.</w:t>
      </w:r>
    </w:p>
    <w:p>
      <w:pPr>
        <w:ind w:left="620"/>
        <w:spacing w:after="0" w:line="214" w:lineRule="auto"/>
        <w:rPr>
          <w:sz w:val="20"/>
          <w:szCs w:val="20"/>
          <w:color w:val="auto"/>
        </w:rPr>
      </w:pPr>
      <w:r>
        <w:rPr>
          <w:rFonts w:ascii="Times New Roman" w:cs="Times New Roman" w:eastAsia="Times New Roman" w:hAnsi="Times New Roman"/>
          <w:sz w:val="20"/>
          <w:szCs w:val="20"/>
          <w:color w:val="auto"/>
        </w:rPr>
        <w:t xml:space="preserve">242.8  </w:t>
      </w:r>
      <w:r>
        <w:rPr>
          <w:rFonts w:ascii="Times New Roman" w:cs="Times New Roman" w:eastAsia="Times New Roman" w:hAnsi="Times New Roman"/>
          <w:sz w:val="20"/>
          <w:szCs w:val="20"/>
          <w:u w:val="single" w:color="auto"/>
          <w:color w:val="auto"/>
        </w:rPr>
        <w:t>Letter of Credit Subfacility</w:t>
      </w:r>
      <w:r>
        <w:rPr>
          <w:rFonts w:ascii="Times New Roman" w:cs="Times New Roman" w:eastAsia="Times New Roman" w:hAnsi="Times New Roman"/>
          <w:sz w:val="20"/>
          <w:szCs w:val="20"/>
          <w:color w:val="auto"/>
        </w:rPr>
        <w:t>.</w:t>
      </w:r>
    </w:p>
    <w:p>
      <w:pPr>
        <w:jc w:val="both"/>
        <w:ind w:firstLine="1224"/>
        <w:spacing w:after="0" w:line="216" w:lineRule="auto"/>
        <w:tabs>
          <w:tab w:leader="none" w:pos="1831"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Letters of Credit</w:t>
      </w:r>
      <w:r>
        <w:rPr>
          <w:rFonts w:ascii="Times New Roman" w:cs="Times New Roman" w:eastAsia="Times New Roman" w:hAnsi="Times New Roman"/>
          <w:sz w:val="20"/>
          <w:szCs w:val="20"/>
          <w:color w:val="auto"/>
        </w:rPr>
        <w:t>. The Borrower or any other Loan Party may at any time prior to the Expiration Date request the issuance of a letter of credit (each, a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for its own account or the account of another Loan Party or any Subsidiary or the amendment or extension of an existing Letter of Credit, by delivering or transmitting electronically, or having such other Loan Party deliver or transmit electronically to the Issuing Lender (with a copy to the Administrative Agent) a completed application for letter of credit, or request for such amendment or extension, as applicable, in such form as the Issuing Lender may specify from time to time reasonably in advance of the proposed date of issuance, amendment or extension. Each Letter of Credit shall be a standby letter of credit (and may not be a commercial letter of credit). The Borrower or any Loan Party shall authorize and direct the Issuing Lender to name the Borrower or any Loan Party or any Subsidiary as the “Applicant” or “Account Party” of each Letter of Credit. Promptly after receipt of any letter of credit application, the Issuing Lender shall confirm with the Administrative Agent (by telephone or in writing) that the Administrative Agent has received a copy of such Letter of Credit application and if not, the Issuing Lender will provide the Administrative Agent with a copy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324" w:right="339" w:bottom="1440" w:gutter="0" w:footer="0" w:header="0"/>
        </w:sectPr>
      </w:pPr>
    </w:p>
    <w:bookmarkStart w:id="220" w:name="page221"/>
    <w:bookmarkEnd w:id="220"/>
    <w:p>
      <w:pPr>
        <w:jc w:val="both"/>
        <w:ind w:firstLine="613"/>
        <w:spacing w:after="0" w:line="272" w:lineRule="auto"/>
        <w:tabs>
          <w:tab w:leader="none" w:pos="121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each of the Existing Letters of Credit shall constitute, for all purposes of this Agreement and the other Loan Documents, a Letter of Credit issued and outstanding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notwithstanding anything herein to the contrary, Truist Bank as Issuing Lender shall have no obligation to agree to any extension or amendment of the Existing Letters of Credit.</w:t>
      </w:r>
    </w:p>
    <w:p>
      <w:pPr>
        <w:spacing w:after="0" w:line="376" w:lineRule="exact"/>
        <w:rPr>
          <w:rFonts w:ascii="Times New Roman" w:cs="Times New Roman" w:eastAsia="Times New Roman" w:hAnsi="Times New Roman"/>
          <w:sz w:val="20"/>
          <w:szCs w:val="20"/>
          <w:color w:val="auto"/>
        </w:rPr>
      </w:pPr>
    </w:p>
    <w:p>
      <w:pPr>
        <w:jc w:val="both"/>
        <w:ind w:left="540" w:firstLine="1219"/>
        <w:spacing w:after="0" w:line="225" w:lineRule="auto"/>
        <w:tabs>
          <w:tab w:leader="none" w:pos="2438"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Issuing Lender has received notice from any Lender, the Administrative Agent or any Loan Party, at least one (1) day prior to the requested date of issuance, amendment or extension of the applicable Letter of Credit, that one or more applicable conditions in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[Conditions of Lending and Issuance of Letters of Credit] is not satisfied, then, subject to the terms and conditions hereof and in reliance on the agreements of the other Lenders specified in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the Issuing Lender or any of the Issuing Lender’s Affiliates will issue the proposed Letter of Credit or agree to such amendment or extension;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Letter of Credit shall (A) have a maximum maturity of twelve (12) months from the date of issuance;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 Credit with a one-year tenor may provide for the renewal thereof for additional one-year periods (which shall in no event extend beyond the date referred to in the following clause (B)), and (B) in no event expire later than five (5) Business Days before the Expiration Date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in no event shall (1) the Letter of Credit Obligations exceed, at any one time, $50,000,000 (the “</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xml:space="preserve">”) or (2) the Revolving Facility Usage exceed, at any one time, the Revolving Credit Commitments. Each request by the Borrower for the issuance, amendment or extension of a Letter of Credit shall be deemed to be a representation by the Borrower that it shall be in compliance with the preceding sentence and with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[Conditions of Lending and Issuance of Letters of Credit] after giving effect to the requested issuance, amendment or extension of such Letter of Credit. Promptly after its delivery of any Letter of Credit or any amendment to a Letter of Credit to the beneficiary thereof, the applicable Issuing Lender will also deliver to the Borrower and the Administrative Agent a true and complete copy of such Letter of Credit or amendment. Upon the request of the Administrative Agent, (x) if any Issuing Lender has honored any full or partial drawing request under any Letter of Credit and such drawing has resulted in a Letter of Credit Borrowing, or (y) if, on the Expiration Date, any Letter of Credit Obligation for any reason remains outstanding, the Borrower shall, in each case, immediately Cash Collateralize the then outstanding amount of all Letter of Credit Obligations in an amount equal to 103% of such Letter of Credit Obligations as of such date. The Borrower hereby grants to the Administrative Agent, for the benefit of each Issuing Lender and the Lenders, a security interest in all cash collateral pledged pursuant to this Section or otherwise under this Agreement.</w:t>
      </w:r>
    </w:p>
    <w:p>
      <w:pPr>
        <w:spacing w:after="0" w:line="158" w:lineRule="exact"/>
        <w:rPr>
          <w:rFonts w:ascii="Times New Roman" w:cs="Times New Roman" w:eastAsia="Times New Roman" w:hAnsi="Times New Roman"/>
          <w:sz w:val="20"/>
          <w:szCs w:val="20"/>
          <w:color w:val="auto"/>
        </w:rPr>
      </w:pPr>
    </w:p>
    <w:p>
      <w:pPr>
        <w:jc w:val="both"/>
        <w:ind w:left="540" w:firstLine="1219"/>
        <w:spacing w:after="0" w:line="219" w:lineRule="auto"/>
        <w:tabs>
          <w:tab w:leader="none" w:pos="244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2.8(a)(i),</w:t>
      </w:r>
      <w:r>
        <w:rPr>
          <w:rFonts w:ascii="Times New Roman" w:cs="Times New Roman" w:eastAsia="Times New Roman" w:hAnsi="Times New Roman"/>
          <w:sz w:val="20"/>
          <w:szCs w:val="20"/>
          <w:color w:val="auto"/>
        </w:rPr>
        <w:t xml:space="preserve"> the Issuing Lender shall not be under any obligation to issue any Letter of Credit if (A) any order, judgment or decree of any Official Body or arbitrator shall by its terms purport to enjoin or restrain the Issuing Lender from issuing the Letter of Credit, or any Law applicable to the Issuing Lender or any request or directive (whether or not having the force of law) from any Official Body with jurisdiction over the Issuing Lender shall prohibit, or request that the Issuing Lender refrain from, the issuance of letters of credit generally or the Letter of Credit in particular or shall impose upon the Issuing Lender with respect to the Letter of Credit any restriction, reserve or capital requirement (for which the Issuing Lender is not otherwise compensated hereunder) not in effect on the Closing Date, or any such order, judgment or decree, or Law request or directive, shall impose upon the Issuing Lender any unreimbursed loss, cost or expense which was not applicable on the Closing Date and which the Issuing Lender in good faith deems material to it, (B) the issuance of the Letter of Credit would violate one or more policies of the Issuing Lender applicable to letters of credit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349" w:right="339" w:bottom="1440" w:gutter="0" w:footer="0" w:header="0"/>
        </w:sectPr>
      </w:pPr>
    </w:p>
    <w:bookmarkStart w:id="221" w:name="page222"/>
    <w:bookmarkEnd w:id="221"/>
    <w:p>
      <w:pPr>
        <w:jc w:val="both"/>
        <w:ind w:left="540"/>
        <w:spacing w:after="0" w:line="223" w:lineRule="auto"/>
        <w:rPr>
          <w:sz w:val="20"/>
          <w:szCs w:val="20"/>
          <w:color w:val="auto"/>
        </w:rPr>
      </w:pPr>
      <w:r>
        <w:rPr>
          <w:rFonts w:ascii="Times New Roman" w:cs="Times New Roman" w:eastAsia="Times New Roman" w:hAnsi="Times New Roman"/>
          <w:sz w:val="20"/>
          <w:szCs w:val="20"/>
          <w:color w:val="auto"/>
        </w:rPr>
        <w:t xml:space="preserve">or (C) any Lender is at that time a Defaulting Lender, unless the Issuing Lender has entered into arrangements, including the delivery of Cash Collateral, satisfactory to the Issuing Lender (in its sole discretion) with the Borrower or such Lender to eliminate the Issuing Lender’s actual or potential Fronting Exposure (after giving effect to </w:t>
      </w:r>
      <w:r>
        <w:rPr>
          <w:rFonts w:ascii="Times New Roman" w:cs="Times New Roman" w:eastAsia="Times New Roman" w:hAnsi="Times New Roman"/>
          <w:sz w:val="20"/>
          <w:szCs w:val="20"/>
          <w:u w:val="single" w:color="auto"/>
          <w:color w:val="auto"/>
        </w:rPr>
        <w:t>Section 2.9(a)(iv)</w:t>
      </w:r>
      <w:r>
        <w:rPr>
          <w:rFonts w:ascii="Times New Roman" w:cs="Times New Roman" w:eastAsia="Times New Roman" w:hAnsi="Times New Roman"/>
          <w:sz w:val="20"/>
          <w:szCs w:val="20"/>
          <w:color w:val="auto"/>
        </w:rPr>
        <w:t xml:space="preserve"> [Reallocation of Participations to Reduce Fronting Exposure]) with respect to the Defaulting Lender arising from either the Letter of Credit then proposed to be issued or that Letter of Credit and all other Letter of Credit Obligations as to which the Issuing Lender has actual or potential Fronting Exposure, as it may elect in its sole discretion.</w:t>
      </w:r>
    </w:p>
    <w:p>
      <w:pPr>
        <w:spacing w:after="0" w:line="144" w:lineRule="exact"/>
        <w:rPr>
          <w:sz w:val="20"/>
          <w:szCs w:val="20"/>
          <w:color w:val="auto"/>
        </w:rPr>
      </w:pPr>
    </w:p>
    <w:p>
      <w:pPr>
        <w:jc w:val="both"/>
        <w:ind w:left="540" w:firstLine="1219"/>
        <w:spacing w:after="0" w:line="219" w:lineRule="auto"/>
        <w:tabs>
          <w:tab w:leader="none" w:pos="245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by an Issuing Lender when a Letter of Credit is issued or amended (including any such agreement applicable to an Existing Letter of Credit), the rules of the ISP shall be stated therein to apply to each standby letter of credit. Notwithstanding the foregoing, no Issuing Lender shall be responsible to the Borrower for, and such Issuing Lender’s rights and remedies against the Borrower shall not be impaired by, any action or inaction of such Issuing Lender required or permitted under any law, order, or practice that is required or permitted to be applied to any Letter of Credit or this Agreement, including the Laws or any order of a jurisdiction where such Issuing Lender or the beneficiary is located, the practice stated in the ISP,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spacing w:after="0" w:line="148" w:lineRule="exact"/>
        <w:rPr>
          <w:rFonts w:ascii="Times New Roman" w:cs="Times New Roman" w:eastAsia="Times New Roman" w:hAnsi="Times New Roman"/>
          <w:sz w:val="20"/>
          <w:szCs w:val="20"/>
          <w:color w:val="auto"/>
        </w:rPr>
      </w:pPr>
    </w:p>
    <w:p>
      <w:pPr>
        <w:jc w:val="both"/>
        <w:ind w:firstLine="1224"/>
        <w:spacing w:after="0" w:line="219" w:lineRule="auto"/>
        <w:tabs>
          <w:tab w:leader="none" w:pos="183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The Borrower shall pay (i) to the Administrative Agent for the ratable account of the Lenders a fee (the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equal to the Applicable Letter of Credit Fee Rate multiplied by the daily amount available to be drawn under each Letter of Credit (it being understood and agreed that in no event shall the fee under this subsection (i) in respect of any Letter of Credit be less than the Administrative Agent’s minimum fee in effect from time to time), and (ii) to the Issuing Lender for its own account a fronting fee equal to 0.125% per annum on the daily amount available to be drawn under each Letter of Credit. All Letter of Credit Fees and fronting fees shall be computed on the basis of a year of 360 days and actual days elapsed and shall be payable quarterly in arrears on the first Business Day of each Fiscal Quarter. The Borrower shall also pay to the Issuing Lender for the Issuing Lender’s sole account the Issuing Lender’s then-in-effect customary fees and administrative expenses payable with respect to the Letters of Credit as the Issuing Lender may generally charge or incur from time to time in connection with the issuance, maintenance, amendment (if any), assignment or transfer (if any), renewal or extension, presentment, negotiation, cancellation, and administration of Letters of Credit.</w:t>
      </w:r>
    </w:p>
    <w:p>
      <w:pPr>
        <w:spacing w:after="0" w:line="142"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2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Disbursements, Reimbursement</w:t>
      </w:r>
      <w:r>
        <w:rPr>
          <w:rFonts w:ascii="Times New Roman" w:cs="Times New Roman" w:eastAsia="Times New Roman" w:hAnsi="Times New Roman"/>
          <w:sz w:val="20"/>
          <w:szCs w:val="20"/>
          <w:color w:val="auto"/>
        </w:rPr>
        <w:t>. Immediately upon the issuance of each Letter of Credit, each Lender shall be deemed to, and hereby irrevocably and unconditionally agrees to, purchase from the Issuing Lender a participation in such Letter of Credit and each drawing thereunder in an amount equal to such Lender’s Ratable Share of the maximum amount available to be drawn under such Letter of Credit and the amount of such drawing, respectively.</w:t>
      </w:r>
    </w:p>
    <w:p>
      <w:pPr>
        <w:spacing w:after="0" w:line="144" w:lineRule="exact"/>
        <w:rPr>
          <w:rFonts w:ascii="Times New Roman" w:cs="Times New Roman" w:eastAsia="Times New Roman" w:hAnsi="Times New Roman"/>
          <w:sz w:val="20"/>
          <w:szCs w:val="20"/>
          <w:color w:val="auto"/>
        </w:rPr>
      </w:pPr>
    </w:p>
    <w:p>
      <w:pPr>
        <w:jc w:val="both"/>
        <w:ind w:left="540" w:firstLine="1219"/>
        <w:spacing w:after="0" w:line="221" w:lineRule="auto"/>
        <w:tabs>
          <w:tab w:leader="none" w:pos="2438"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request for a drawing under a Letter of Credit by the beneficiary or transferee thereof, the Issuing Lender will promptly notify the Borrower and the Administrative Agent thereof. Provided that it shall have received such notice, the Borrower shall reimburse (such obligation to reimburse the Issuing Lender shall sometimes be referred to as a “</w:t>
      </w:r>
      <w:r>
        <w:rPr>
          <w:rFonts w:ascii="Times New Roman" w:cs="Times New Roman" w:eastAsia="Times New Roman" w:hAnsi="Times New Roman"/>
          <w:sz w:val="20"/>
          <w:szCs w:val="20"/>
          <w:u w:val="single" w:color="auto"/>
          <w:color w:val="auto"/>
        </w:rPr>
        <w:t>Reimbursement Obligation</w:t>
      </w:r>
      <w:r>
        <w:rPr>
          <w:rFonts w:ascii="Times New Roman" w:cs="Times New Roman" w:eastAsia="Times New Roman" w:hAnsi="Times New Roman"/>
          <w:sz w:val="20"/>
          <w:szCs w:val="20"/>
          <w:color w:val="auto"/>
        </w:rPr>
        <w:t>”) the Issuing Lender prior to 12:00 noon on each date that an amount is paid by the Issuing Lender under any Letter of Credit (each such date, a “</w:t>
      </w:r>
      <w:r>
        <w:rPr>
          <w:rFonts w:ascii="Times New Roman" w:cs="Times New Roman" w:eastAsia="Times New Roman" w:hAnsi="Times New Roman"/>
          <w:sz w:val="20"/>
          <w:szCs w:val="20"/>
          <w:u w:val="single" w:color="auto"/>
          <w:color w:val="auto"/>
        </w:rPr>
        <w:t>Drawing Date</w:t>
      </w:r>
      <w:r>
        <w:rPr>
          <w:rFonts w:ascii="Times New Roman" w:cs="Times New Roman" w:eastAsia="Times New Roman" w:hAnsi="Times New Roman"/>
          <w:sz w:val="20"/>
          <w:szCs w:val="20"/>
          <w:color w:val="auto"/>
        </w:rPr>
        <w:t>”) by paying to the Administrative Agent for the account of the Issuing Lender an amount equal to the amount so paid by the Issuing Lender. In the event the Borrower fails to reimburse the Issuing Lender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324" w:right="339" w:bottom="1440" w:gutter="0" w:footer="0" w:header="0"/>
        </w:sectPr>
      </w:pPr>
    </w:p>
    <w:bookmarkStart w:id="222" w:name="page223"/>
    <w:bookmarkEnd w:id="222"/>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Administrative Agent) for the full amount of any drawing under any Letter of Credit by 12:00 noon on the Drawing Date, the Administrative Agent will promptly notify each Lender thereof, and the Borrower shall be deemed to have requested that Revolving Credit Loans be made by the Lenders under the Base Rate Option to be disbursed on the Drawing Date under such Letter of Credit, subject to the amount of the unutilized portion of the Revolving Credit Commitment and subject to the conditions specified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[Each Loan or Letter of Credit] other than any notice requirements. Any notice given by the Administrative Agent or Issuing Lender pursuant to this </w:t>
      </w:r>
      <w:r>
        <w:rPr>
          <w:rFonts w:ascii="Times New Roman" w:cs="Times New Roman" w:eastAsia="Times New Roman" w:hAnsi="Times New Roman"/>
          <w:sz w:val="20"/>
          <w:szCs w:val="20"/>
          <w:u w:val="single" w:color="auto"/>
          <w:color w:val="auto"/>
        </w:rPr>
        <w:t>Section 2.8(c)(i)</w:t>
      </w:r>
      <w:r>
        <w:rPr>
          <w:rFonts w:ascii="Times New Roman" w:cs="Times New Roman" w:eastAsia="Times New Roman" w:hAnsi="Times New Roman"/>
          <w:sz w:val="20"/>
          <w:szCs w:val="20"/>
          <w:color w:val="auto"/>
        </w:rPr>
        <w:t xml:space="preserve"> may be oral if immediately confirmed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48" w:lineRule="exact"/>
        <w:rPr>
          <w:sz w:val="20"/>
          <w:szCs w:val="20"/>
          <w:color w:val="auto"/>
        </w:rPr>
      </w:pPr>
    </w:p>
    <w:p>
      <w:pPr>
        <w:jc w:val="both"/>
        <w:ind w:firstLine="1219"/>
        <w:spacing w:after="0" w:line="232" w:lineRule="auto"/>
        <w:tabs>
          <w:tab w:leader="none" w:pos="1904"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upon any notice pursuant to </w:t>
      </w:r>
      <w:r>
        <w:rPr>
          <w:rFonts w:ascii="Times New Roman" w:cs="Times New Roman" w:eastAsia="Times New Roman" w:hAnsi="Times New Roman"/>
          <w:sz w:val="20"/>
          <w:szCs w:val="20"/>
          <w:u w:val="single" w:color="auto"/>
          <w:color w:val="auto"/>
        </w:rPr>
        <w:t>Section 2.8(c)(i)</w:t>
      </w:r>
      <w:r>
        <w:rPr>
          <w:rFonts w:ascii="Times New Roman" w:cs="Times New Roman" w:eastAsia="Times New Roman" w:hAnsi="Times New Roman"/>
          <w:sz w:val="20"/>
          <w:szCs w:val="20"/>
          <w:color w:val="auto"/>
        </w:rPr>
        <w:t xml:space="preserve"> make available to the Administrative Agent for the account of the Issuing Lender an amount in immediately available funds equal to its Ratable Share of the amount of the drawing, whereupon the participating Lenders shall (subject to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xml:space="preserve"> [Disbursements; Reimbursement]) each be deemed to have (A) made a Revolving Credit Loan under the Base Rate Option to the Borrower in that amount, or (B) during the continuance of an Insolvency Proceeding or Relief Proceeding with respect to the Borrower, funded its Ratable Share of the Reimbursement Obligations arising by reason of such drawing. If any Lender so notified fails to make available to the Administrative Agent for the account of the Issuing Lender the amount of such Lender’s Ratable Share of such amount by no later than 2:00 p.m. Eastern Time on the Drawing Date, then interest shall accrue on such Lender’s obligation to make such payment, from the Drawing Date to the date on which such Lender makes such payment (A) at a rate per annum equal to the Effective Federal Funds Rate during the first three (3) days following the Drawing Date and (B) at a rate per annum equal to the rate applicable to Revolving Credit Loans under the Base Rate Option on and after the fourth day following the Drawing Date. The Administrative Agent and the Issuing Lender will promptly give notice (as described in </w:t>
      </w:r>
      <w:r>
        <w:rPr>
          <w:rFonts w:ascii="Times New Roman" w:cs="Times New Roman" w:eastAsia="Times New Roman" w:hAnsi="Times New Roman"/>
          <w:sz w:val="20"/>
          <w:szCs w:val="20"/>
          <w:u w:val="single" w:color="auto"/>
          <w:color w:val="auto"/>
        </w:rPr>
        <w:t>Section 2.8(c)(i)</w:t>
      </w:r>
      <w:r>
        <w:rPr>
          <w:rFonts w:ascii="Times New Roman" w:cs="Times New Roman" w:eastAsia="Times New Roman" w:hAnsi="Times New Roman"/>
          <w:sz w:val="20"/>
          <w:szCs w:val="20"/>
          <w:color w:val="auto"/>
        </w:rPr>
        <w:t xml:space="preserve"> above) of the occurrence of the Drawing Date, but failure of the Administrative Agent or the Issuing Lender to give any such notice on the Drawing Date or in sufficient time to enable any Lender to effect such payment on such date shall not relieve such Lender from its obligation under this </w:t>
      </w:r>
      <w:r>
        <w:rPr>
          <w:rFonts w:ascii="Times New Roman" w:cs="Times New Roman" w:eastAsia="Times New Roman" w:hAnsi="Times New Roman"/>
          <w:sz w:val="20"/>
          <w:szCs w:val="20"/>
          <w:u w:val="single" w:color="auto"/>
          <w:color w:val="auto"/>
        </w:rPr>
        <w:t>Section 2.8(c)(ii).</w:t>
      </w:r>
    </w:p>
    <w:p>
      <w:pPr>
        <w:spacing w:after="0" w:line="147" w:lineRule="exact"/>
        <w:rPr>
          <w:rFonts w:ascii="Times New Roman" w:cs="Times New Roman" w:eastAsia="Times New Roman" w:hAnsi="Times New Roman"/>
          <w:sz w:val="20"/>
          <w:szCs w:val="20"/>
          <w:color w:val="auto"/>
        </w:rPr>
      </w:pPr>
    </w:p>
    <w:p>
      <w:pPr>
        <w:jc w:val="both"/>
        <w:ind w:firstLine="1219"/>
        <w:spacing w:after="0" w:line="219" w:lineRule="auto"/>
        <w:tabs>
          <w:tab w:leader="none" w:pos="191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drawing that is not converted into Revolving Credit Loans under the Base Rate Option to the Borrower in whole or in part as contemplated by </w:t>
      </w:r>
      <w:r>
        <w:rPr>
          <w:rFonts w:ascii="Times New Roman" w:cs="Times New Roman" w:eastAsia="Times New Roman" w:hAnsi="Times New Roman"/>
          <w:sz w:val="20"/>
          <w:szCs w:val="20"/>
          <w:u w:val="single" w:color="auto"/>
          <w:color w:val="auto"/>
        </w:rPr>
        <w:t>Section 2.8(c)(i)</w:t>
      </w:r>
      <w:r>
        <w:rPr>
          <w:rFonts w:ascii="Times New Roman" w:cs="Times New Roman" w:eastAsia="Times New Roman" w:hAnsi="Times New Roman"/>
          <w:sz w:val="20"/>
          <w:szCs w:val="20"/>
          <w:color w:val="auto"/>
        </w:rPr>
        <w:t xml:space="preserve">, because of the Borrower’s failure to satisfy the conditions specified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[Each Loan or Letter of Credit] other than any notice requirements, or for any other reason, the Borrower shall be deemed to have incurred from the Issuing Lender a borrowing (each a “</w:t>
      </w:r>
      <w:r>
        <w:rPr>
          <w:rFonts w:ascii="Times New Roman" w:cs="Times New Roman" w:eastAsia="Times New Roman" w:hAnsi="Times New Roman"/>
          <w:sz w:val="20"/>
          <w:szCs w:val="20"/>
          <w:u w:val="single" w:color="auto"/>
          <w:color w:val="auto"/>
        </w:rPr>
        <w:t>Letter of Credit Borrowing</w:t>
      </w:r>
      <w:r>
        <w:rPr>
          <w:rFonts w:ascii="Times New Roman" w:cs="Times New Roman" w:eastAsia="Times New Roman" w:hAnsi="Times New Roman"/>
          <w:sz w:val="20"/>
          <w:szCs w:val="20"/>
          <w:color w:val="auto"/>
        </w:rPr>
        <w:t xml:space="preserve">”) in the amount of such drawing. Such Letter of Credit Borrowing shall be due and payable on demand (together with interest) and shall bear interest at the rate per annum applicable to the Revolving Credit Loans under the Base Rate Option. Each Lender’s payment to the Administrative Agent for the account of the Issuing Lender pursuant to this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xml:space="preserve"> shall be deemed to be a payment in respect of its participation in such Letter of Credit Borrowing (each, a “</w:t>
      </w:r>
      <w:r>
        <w:rPr>
          <w:rFonts w:ascii="Times New Roman" w:cs="Times New Roman" w:eastAsia="Times New Roman" w:hAnsi="Times New Roman"/>
          <w:sz w:val="20"/>
          <w:szCs w:val="20"/>
          <w:u w:val="single" w:color="auto"/>
          <w:color w:val="auto"/>
        </w:rPr>
        <w:t>Participation Advance</w:t>
      </w:r>
      <w:r>
        <w:rPr>
          <w:rFonts w:ascii="Times New Roman" w:cs="Times New Roman" w:eastAsia="Times New Roman" w:hAnsi="Times New Roman"/>
          <w:sz w:val="20"/>
          <w:szCs w:val="20"/>
          <w:color w:val="auto"/>
        </w:rPr>
        <w:t xml:space="preserve">”) from such Lender in satisfaction of its participation obligation under this </w:t>
      </w:r>
      <w:r>
        <w:rPr>
          <w:rFonts w:ascii="Times New Roman" w:cs="Times New Roman" w:eastAsia="Times New Roman" w:hAnsi="Times New Roman"/>
          <w:sz w:val="20"/>
          <w:szCs w:val="20"/>
          <w:u w:val="single" w:color="auto"/>
          <w:color w:val="auto"/>
        </w:rPr>
        <w:t>Section 2.8(c).</w:t>
      </w:r>
    </w:p>
    <w:p>
      <w:pPr>
        <w:spacing w:after="0" w:line="148" w:lineRule="exact"/>
        <w:rPr>
          <w:rFonts w:ascii="Times New Roman" w:cs="Times New Roman" w:eastAsia="Times New Roman" w:hAnsi="Times New Roman"/>
          <w:sz w:val="20"/>
          <w:szCs w:val="20"/>
          <w:color w:val="auto"/>
        </w:rPr>
      </w:pPr>
    </w:p>
    <w:p>
      <w:pPr>
        <w:ind w:left="1300" w:hanging="616"/>
        <w:spacing w:after="0"/>
        <w:tabs>
          <w:tab w:leader="none" w:pos="13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 Advances</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jc w:val="both"/>
        <w:ind w:firstLine="1219"/>
        <w:spacing w:after="0" w:line="228" w:lineRule="auto"/>
        <w:tabs>
          <w:tab w:leader="none" w:pos="1898"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(and only upon) receipt by the Administrative Agent for the account of the Issuing Lender of immediately available funds from the Borrower (A) in reimbursement of any payment made by the Issuing Lender under the Letter of Credit with respect to which any Lender has made a Participation Advance to the Administrative Agent, or (B) in payment of interest on such a payment made by the Issuing Lender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0700"/>
          </w:cols>
          <w:pgMar w:left="860" w:top="1324" w:right="339" w:bottom="1440" w:gutter="0" w:footer="0" w:header="0"/>
        </w:sectPr>
      </w:pPr>
    </w:p>
    <w:bookmarkStart w:id="223" w:name="page224"/>
    <w:bookmarkEnd w:id="223"/>
    <w:p>
      <w:pPr>
        <w:jc w:val="both"/>
        <w:ind w:left="540"/>
        <w:spacing w:after="0" w:line="228" w:lineRule="auto"/>
        <w:rPr>
          <w:sz w:val="20"/>
          <w:szCs w:val="20"/>
          <w:color w:val="auto"/>
        </w:rPr>
      </w:pPr>
      <w:r>
        <w:rPr>
          <w:rFonts w:ascii="Times New Roman" w:cs="Times New Roman" w:eastAsia="Times New Roman" w:hAnsi="Times New Roman"/>
          <w:sz w:val="20"/>
          <w:szCs w:val="20"/>
          <w:color w:val="auto"/>
        </w:rPr>
        <w:t>such a Letter of Credit, the Administrative Agent on behalf of the Issuing Lender will pay to each Lender, in the same funds as those received by the Administrative Agent, the amount of such Lender’s Ratable Share of such funds, except the Administrative Agent shall retain for the account of the Issuing Lender the amount of the Ratable Share of such funds of any Lender that did not make a Participation Advance in respect of such payment by the Issuing Lender.</w:t>
      </w:r>
    </w:p>
    <w:p>
      <w:pPr>
        <w:spacing w:after="0" w:line="145" w:lineRule="exact"/>
        <w:rPr>
          <w:sz w:val="20"/>
          <w:szCs w:val="20"/>
          <w:color w:val="auto"/>
        </w:rPr>
      </w:pPr>
    </w:p>
    <w:p>
      <w:pPr>
        <w:jc w:val="both"/>
        <w:ind w:left="540" w:firstLine="1219"/>
        <w:spacing w:after="0" w:line="221" w:lineRule="auto"/>
        <w:tabs>
          <w:tab w:leader="none" w:pos="2444"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is required at any time to return to any Loan Party, or to a trustee, receiver, liquidator, custodian, or any official in any Insolvency Proceeding, any portion of any payment made by any Loan Party to the Administrative Agent for the account of the Issuing Lender pursuant to this Section in reimbursement of a payment made under any Letter of Credit or interest or fees thereon, each Lender shall, on demand of the Administrative Agent, forthwith return to the Administrative Agent for the account of the Issuing Lender the amount of its Ratable Share of any amounts so returned by the Administrative Agent plus interest thereon from the date such demand is made to the date such amounts are returned by such Lender to the Administrative Agent, at a rate per annum equal to the Effective Federal Funds Rate in effect from time to time.</w:t>
      </w:r>
    </w:p>
    <w:p>
      <w:pPr>
        <w:spacing w:after="0" w:line="147" w:lineRule="exact"/>
        <w:rPr>
          <w:rFonts w:ascii="Times New Roman" w:cs="Times New Roman" w:eastAsia="Times New Roman" w:hAnsi="Times New Roman"/>
          <w:sz w:val="20"/>
          <w:szCs w:val="20"/>
          <w:color w:val="auto"/>
        </w:rPr>
      </w:pPr>
    </w:p>
    <w:p>
      <w:pPr>
        <w:jc w:val="both"/>
        <w:ind w:firstLine="1224"/>
        <w:spacing w:after="0"/>
        <w:tabs>
          <w:tab w:leader="none" w:pos="183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Each Loan Party agrees to be bound by the terms of the Issuing Lender’s application and agreement for letters of credit and the Issuing Lender’s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gross negligence or willful misconduct, the Issuing Lender shall not be liable for any error, negligence and/or mistakes, whether of omission or commission, in following any Loan Party’s instructions or those contained in the Letters of Credit or any modifications, amendments or supplements thereto.</w:t>
      </w:r>
    </w:p>
    <w:p>
      <w:pPr>
        <w:spacing w:after="0" w:line="250"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29"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Determinations to Honor Drawing Requests</w:t>
      </w:r>
      <w:r>
        <w:rPr>
          <w:rFonts w:ascii="Times New Roman" w:cs="Times New Roman" w:eastAsia="Times New Roman" w:hAnsi="Times New Roman"/>
          <w:sz w:val="20"/>
          <w:szCs w:val="20"/>
          <w:color w:val="auto"/>
        </w:rPr>
        <w:t>. 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spacing w:after="0" w:line="144" w:lineRule="exact"/>
        <w:rPr>
          <w:rFonts w:ascii="Times New Roman" w:cs="Times New Roman" w:eastAsia="Times New Roman" w:hAnsi="Times New Roman"/>
          <w:sz w:val="20"/>
          <w:szCs w:val="20"/>
          <w:color w:val="auto"/>
        </w:rPr>
      </w:pPr>
    </w:p>
    <w:p>
      <w:pPr>
        <w:jc w:val="both"/>
        <w:ind w:firstLine="1224"/>
        <w:spacing w:after="0" w:line="225" w:lineRule="auto"/>
        <w:tabs>
          <w:tab w:leader="none" w:pos="1829"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Participation and Reimbursement Obligations</w:t>
      </w:r>
      <w:r>
        <w:rPr>
          <w:rFonts w:ascii="Times New Roman" w:cs="Times New Roman" w:eastAsia="Times New Roman" w:hAnsi="Times New Roman"/>
          <w:sz w:val="20"/>
          <w:szCs w:val="20"/>
          <w:color w:val="auto"/>
        </w:rPr>
        <w:t xml:space="preserve">. Each Lender’s obligation in accordance with this Agreement to make the Revolving Credit Loans or Participation Advances, as contemplated by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xml:space="preserve"> [Disbursements, Reimbursement], as a result of a drawing under a Letter of Credit, and the Obligations of the Borrower to reimburse the Issuing Lender upon a draw under a Letter of Credit, shall be absolute, unconditional and irrevocable, and shall be performed strictly in accordance with the terms of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under all circumstances, including the following circumstances:</w:t>
      </w:r>
    </w:p>
    <w:p>
      <w:pPr>
        <w:spacing w:after="0" w:line="144" w:lineRule="exact"/>
        <w:rPr>
          <w:rFonts w:ascii="Times New Roman" w:cs="Times New Roman" w:eastAsia="Times New Roman" w:hAnsi="Times New Roman"/>
          <w:sz w:val="20"/>
          <w:szCs w:val="20"/>
          <w:color w:val="auto"/>
        </w:rPr>
      </w:pPr>
    </w:p>
    <w:p>
      <w:pPr>
        <w:jc w:val="both"/>
        <w:ind w:left="540" w:firstLine="1219"/>
        <w:spacing w:after="0" w:line="234" w:lineRule="auto"/>
        <w:tabs>
          <w:tab w:leader="none" w:pos="2438"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set-off, counterclaim, recoupment, defense or other right which such Lender may have against the Issuing Lender or any of its Affiliates, the Borrower or any other Person for any reason whatsoever, or which any Loan Party may have against the Issuing Lender or any of its Affiliates, any Lender or any other Person for any reason whatsoever;</w:t>
      </w:r>
    </w:p>
    <w:p>
      <w:pPr>
        <w:spacing w:after="0" w:line="142" w:lineRule="exact"/>
        <w:rPr>
          <w:sz w:val="20"/>
          <w:szCs w:val="20"/>
          <w:color w:val="auto"/>
        </w:rPr>
      </w:pPr>
    </w:p>
    <w:p>
      <w:pPr>
        <w:jc w:val="both"/>
        <w:ind w:left="540" w:firstLine="1219"/>
        <w:spacing w:after="0" w:line="225" w:lineRule="auto"/>
        <w:tabs>
          <w:tab w:leader="none" w:pos="244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failure of any Loan Party or any other Person to comply, in connection with a Letter of Credit Borrowing, with the conditions specified in </w:t>
      </w:r>
      <w:r>
        <w:rPr>
          <w:rFonts w:ascii="Times New Roman" w:cs="Times New Roman" w:eastAsia="Times New Roman" w:hAnsi="Times New Roman"/>
          <w:sz w:val="20"/>
          <w:szCs w:val="20"/>
          <w:u w:val="single" w:color="auto"/>
          <w:color w:val="auto"/>
        </w:rPr>
        <w:t>Sections 2.1</w:t>
      </w:r>
      <w:r>
        <w:rPr>
          <w:rFonts w:ascii="Times New Roman" w:cs="Times New Roman" w:eastAsia="Times New Roman" w:hAnsi="Times New Roman"/>
          <w:sz w:val="20"/>
          <w:szCs w:val="20"/>
          <w:color w:val="auto"/>
        </w:rPr>
        <w:t xml:space="preserve"> [Revolving Credit Commitments], </w:t>
      </w:r>
      <w:r>
        <w:rPr>
          <w:rFonts w:ascii="Times New Roman" w:cs="Times New Roman" w:eastAsia="Times New Roman" w:hAnsi="Times New Roman"/>
          <w:sz w:val="20"/>
          <w:szCs w:val="20"/>
          <w:u w:val="single" w:color="auto"/>
          <w:color w:val="auto"/>
        </w:rPr>
        <w:t>2.5</w:t>
      </w:r>
      <w:r>
        <w:rPr>
          <w:rFonts w:ascii="Times New Roman" w:cs="Times New Roman" w:eastAsia="Times New Roman" w:hAnsi="Times New Roman"/>
          <w:sz w:val="20"/>
          <w:szCs w:val="20"/>
          <w:color w:val="auto"/>
        </w:rPr>
        <w:t xml:space="preserve"> [Revolving Credit Loan Requests; Conversions and Renewals; Swingline Loan Requests],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[Making Revolving Credit Loans and Swingline Loans; Etc.] or </w:t>
      </w:r>
      <w:r>
        <w:rPr>
          <w:rFonts w:ascii="Times New Roman" w:cs="Times New Roman" w:eastAsia="Times New Roman" w:hAnsi="Times New Roman"/>
          <w:sz w:val="20"/>
          <w:szCs w:val="20"/>
          <w:u w:val="single" w:color="auto"/>
          <w:color w:val="auto"/>
        </w:rPr>
        <w:t>7.2</w:t>
      </w:r>
      <w:r>
        <w:rPr>
          <w:rFonts w:ascii="Times New Roman" w:cs="Times New Roman" w:eastAsia="Times New Roman" w:hAnsi="Times New Roman"/>
          <w:sz w:val="20"/>
          <w:szCs w:val="20"/>
          <w:color w:val="auto"/>
        </w:rPr>
        <w:t xml:space="preserve"> [Each Loan or Letter of Credit] or as otherwise specified in this Agreement for the making of a Revolving Credit Loan, it being acknowledged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324" w:right="339" w:bottom="1440" w:gutter="0" w:footer="0" w:header="0"/>
        </w:sectPr>
      </w:pPr>
    </w:p>
    <w:bookmarkStart w:id="224" w:name="page225"/>
    <w:bookmarkEnd w:id="224"/>
    <w:p>
      <w:pPr>
        <w:spacing w:after="0" w:line="249" w:lineRule="auto"/>
        <w:rPr>
          <w:sz w:val="20"/>
          <w:szCs w:val="20"/>
          <w:color w:val="auto"/>
        </w:rPr>
      </w:pPr>
      <w:r>
        <w:rPr>
          <w:rFonts w:ascii="Times New Roman" w:cs="Times New Roman" w:eastAsia="Times New Roman" w:hAnsi="Times New Roman"/>
          <w:sz w:val="20"/>
          <w:szCs w:val="20"/>
          <w:color w:val="auto"/>
        </w:rPr>
        <w:t xml:space="preserve">conditions are not required for the making of a Letter of Credit Borrowing and the obligation of the Lenders to make Participation Advances under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xml:space="preserve"> [Disbursements, Reimbursement];</w:t>
      </w:r>
    </w:p>
    <w:p>
      <w:pPr>
        <w:spacing w:after="0" w:line="134" w:lineRule="exact"/>
        <w:rPr>
          <w:sz w:val="20"/>
          <w:szCs w:val="20"/>
          <w:color w:val="auto"/>
        </w:rPr>
      </w:pPr>
    </w:p>
    <w:p>
      <w:pPr>
        <w:ind w:left="1900" w:hanging="681"/>
        <w:spacing w:after="0"/>
        <w:tabs>
          <w:tab w:leader="none" w:pos="19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any Letter of Credit;</w:t>
      </w:r>
    </w:p>
    <w:p>
      <w:pPr>
        <w:spacing w:after="0" w:line="177" w:lineRule="exact"/>
        <w:rPr>
          <w:rFonts w:ascii="Times New Roman" w:cs="Times New Roman" w:eastAsia="Times New Roman" w:hAnsi="Times New Roman"/>
          <w:sz w:val="20"/>
          <w:szCs w:val="20"/>
          <w:color w:val="auto"/>
        </w:rPr>
      </w:pPr>
    </w:p>
    <w:p>
      <w:pPr>
        <w:jc w:val="both"/>
        <w:ind w:firstLine="1219"/>
        <w:spacing w:after="0" w:line="221" w:lineRule="auto"/>
        <w:tabs>
          <w:tab w:leader="none" w:pos="189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of breach of warranty that might be made by any Loan Party or any Lender against any beneficiary of a Letter of Credit, or the existence of any claim, set-off, recoupment, counterclaim, cross claim, defense or other right which any Loan Party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any Loan Party or Subsidiaries of a Loan Party and the beneficiary for which any Letter of Credit was procured);</w:t>
      </w:r>
    </w:p>
    <w:p>
      <w:pPr>
        <w:spacing w:after="0" w:line="147" w:lineRule="exact"/>
        <w:rPr>
          <w:rFonts w:ascii="Times New Roman" w:cs="Times New Roman" w:eastAsia="Times New Roman" w:hAnsi="Times New Roman"/>
          <w:sz w:val="20"/>
          <w:szCs w:val="20"/>
          <w:color w:val="auto"/>
        </w:rPr>
      </w:pPr>
    </w:p>
    <w:p>
      <w:pPr>
        <w:jc w:val="both"/>
        <w:ind w:firstLine="1219"/>
        <w:spacing w:after="0" w:line="225" w:lineRule="auto"/>
        <w:tabs>
          <w:tab w:leader="none" w:pos="190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spacing w:after="0" w:line="144" w:lineRule="exact"/>
        <w:rPr>
          <w:rFonts w:ascii="Times New Roman" w:cs="Times New Roman" w:eastAsia="Times New Roman" w:hAnsi="Times New Roman"/>
          <w:sz w:val="20"/>
          <w:szCs w:val="20"/>
          <w:color w:val="auto"/>
        </w:rPr>
      </w:pPr>
    </w:p>
    <w:p>
      <w:pPr>
        <w:ind w:firstLine="1219"/>
        <w:spacing w:after="0" w:line="249" w:lineRule="auto"/>
        <w:tabs>
          <w:tab w:leader="none" w:pos="189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the Issuing Lender or any of its Affiliates under any Letter of Credit against presentation of a demand, draft or certificate or other document which does not comply with the terms of such Letter of Credit;</w:t>
      </w:r>
    </w:p>
    <w:p>
      <w:pPr>
        <w:spacing w:after="0" w:line="134" w:lineRule="exact"/>
        <w:rPr>
          <w:rFonts w:ascii="Times New Roman" w:cs="Times New Roman" w:eastAsia="Times New Roman" w:hAnsi="Times New Roman"/>
          <w:sz w:val="20"/>
          <w:szCs w:val="20"/>
          <w:color w:val="auto"/>
        </w:rPr>
      </w:pPr>
    </w:p>
    <w:p>
      <w:pPr>
        <w:jc w:val="both"/>
        <w:ind w:firstLine="1219"/>
        <w:spacing w:after="0" w:line="234" w:lineRule="auto"/>
        <w:tabs>
          <w:tab w:leader="none" w:pos="190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42" w:lineRule="exact"/>
        <w:rPr>
          <w:rFonts w:ascii="Times New Roman" w:cs="Times New Roman" w:eastAsia="Times New Roman" w:hAnsi="Times New Roman"/>
          <w:sz w:val="20"/>
          <w:szCs w:val="20"/>
          <w:color w:val="auto"/>
        </w:rPr>
      </w:pPr>
    </w:p>
    <w:p>
      <w:pPr>
        <w:jc w:val="both"/>
        <w:ind w:firstLine="1219"/>
        <w:spacing w:after="0" w:line="228" w:lineRule="auto"/>
        <w:tabs>
          <w:tab w:leader="none" w:pos="191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Issuing Lender or any of its Affiliates to issue any Letter of Credit in the form requested by any Loan Party, unless the Issuing Lender has received written notice from such Loan Party of such failure within three (3) Business Days after the Issuing Lender shall have furnished such Loan Party and the Administrative Agent a copy of such Letter of Credit and such error is material and no drawing has been made thereon prior to receipt of such notice;</w:t>
      </w:r>
    </w:p>
    <w:p>
      <w:pPr>
        <w:spacing w:after="0" w:line="144" w:lineRule="exact"/>
        <w:rPr>
          <w:rFonts w:ascii="Times New Roman" w:cs="Times New Roman" w:eastAsia="Times New Roman" w:hAnsi="Times New Roman"/>
          <w:sz w:val="20"/>
          <w:szCs w:val="20"/>
          <w:color w:val="auto"/>
        </w:rPr>
      </w:pPr>
    </w:p>
    <w:p>
      <w:pPr>
        <w:ind w:firstLine="1219"/>
        <w:spacing w:after="0" w:line="249" w:lineRule="auto"/>
        <w:tabs>
          <w:tab w:leader="none" w:pos="189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business, operations, properties, assets, condition (financial or otherwise) or prospects of any Loan Party or Subsidiaries of a Loan Party;</w:t>
      </w:r>
    </w:p>
    <w:p>
      <w:pPr>
        <w:spacing w:after="0" w:line="134" w:lineRule="exact"/>
        <w:rPr>
          <w:rFonts w:ascii="Times New Roman" w:cs="Times New Roman" w:eastAsia="Times New Roman" w:hAnsi="Times New Roman"/>
          <w:sz w:val="20"/>
          <w:szCs w:val="20"/>
          <w:color w:val="auto"/>
        </w:rPr>
      </w:pPr>
    </w:p>
    <w:p>
      <w:pPr>
        <w:ind w:left="1900" w:hanging="681"/>
        <w:spacing w:after="0"/>
        <w:tabs>
          <w:tab w:leader="none" w:pos="19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this Agreement or any other Loan Document by any party thereto;</w:t>
      </w:r>
    </w:p>
    <w:p>
      <w:pPr>
        <w:spacing w:after="0" w:line="177" w:lineRule="exact"/>
        <w:rPr>
          <w:rFonts w:ascii="Times New Roman" w:cs="Times New Roman" w:eastAsia="Times New Roman" w:hAnsi="Times New Roman"/>
          <w:sz w:val="20"/>
          <w:szCs w:val="20"/>
          <w:color w:val="auto"/>
        </w:rPr>
      </w:pPr>
    </w:p>
    <w:p>
      <w:pPr>
        <w:ind w:left="1900" w:hanging="681"/>
        <w:spacing w:after="0"/>
        <w:tabs>
          <w:tab w:leader="none" w:pos="19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or continuance of an Insolvency Proceeding with respect to any Loan Party;</w:t>
      </w:r>
    </w:p>
    <w:p>
      <w:pPr>
        <w:spacing w:after="0" w:line="177" w:lineRule="exact"/>
        <w:rPr>
          <w:rFonts w:ascii="Times New Roman" w:cs="Times New Roman" w:eastAsia="Times New Roman" w:hAnsi="Times New Roman"/>
          <w:sz w:val="20"/>
          <w:szCs w:val="20"/>
          <w:color w:val="auto"/>
        </w:rPr>
      </w:pPr>
    </w:p>
    <w:p>
      <w:pPr>
        <w:ind w:left="1900" w:hanging="681"/>
        <w:spacing w:after="0"/>
        <w:tabs>
          <w:tab w:leader="none" w:pos="19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an Event of Default or a Potential Default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0700"/>
          </w:cols>
          <w:pgMar w:left="860" w:top="1324" w:right="339" w:bottom="1440" w:gutter="0" w:footer="0" w:header="0"/>
        </w:sectPr>
      </w:pPr>
    </w:p>
    <w:bookmarkStart w:id="225" w:name="page226"/>
    <w:bookmarkEnd w:id="225"/>
    <w:p>
      <w:pPr>
        <w:ind w:left="540" w:firstLine="1219"/>
        <w:spacing w:after="0" w:line="249" w:lineRule="auto"/>
        <w:tabs>
          <w:tab w:leader="none" w:pos="2450"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the Expiration Date shall have passed or this Agreement or the Commitments hereunder shall have been terminated; and</w:t>
      </w:r>
    </w:p>
    <w:p>
      <w:pPr>
        <w:spacing w:after="0" w:line="134" w:lineRule="exact"/>
        <w:rPr>
          <w:rFonts w:ascii="Times New Roman" w:cs="Times New Roman" w:eastAsia="Times New Roman" w:hAnsi="Times New Roman"/>
          <w:sz w:val="20"/>
          <w:szCs w:val="20"/>
          <w:color w:val="auto"/>
        </w:rPr>
      </w:pPr>
    </w:p>
    <w:p>
      <w:pPr>
        <w:ind w:left="2440" w:hanging="681"/>
        <w:spacing w:after="0"/>
        <w:tabs>
          <w:tab w:leader="none" w:pos="2440"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w:t>
      </w:r>
    </w:p>
    <w:p>
      <w:pPr>
        <w:spacing w:after="0" w:line="177" w:lineRule="exact"/>
        <w:rPr>
          <w:rFonts w:ascii="Times New Roman" w:cs="Times New Roman" w:eastAsia="Times New Roman" w:hAnsi="Times New Roman"/>
          <w:sz w:val="20"/>
          <w:szCs w:val="20"/>
          <w:color w:val="auto"/>
        </w:rPr>
      </w:pPr>
    </w:p>
    <w:p>
      <w:pPr>
        <w:jc w:val="both"/>
        <w:ind w:firstLine="1224"/>
        <w:spacing w:after="0" w:line="213" w:lineRule="auto"/>
        <w:tabs>
          <w:tab w:leader="none" w:pos="1822"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 for Acts and Omissions</w:t>
      </w:r>
      <w:r>
        <w:rPr>
          <w:rFonts w:ascii="Times New Roman" w:cs="Times New Roman" w:eastAsia="Times New Roman" w:hAnsi="Times New Roman"/>
          <w:sz w:val="20"/>
          <w:szCs w:val="20"/>
          <w:color w:val="auto"/>
        </w:rPr>
        <w:t>. As between any Loan Party and the Issuing Lender, or the Issuing Lender’s Affiliates, such Loan Party assumes all risks of the acts and omissions of, or misuse of the Letters of Credit by, the respective beneficiaries of such Letters of Credit. In furtherance and not in limitation of the foregoing, the Issuing Lender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or its Affiliates, as applicable, including any act or omission of any Official Body, and none of the above shall affect or impair, or prevent the vesting of, any of the Issuing Lender’s or its Affiliates rights or powers hereunder. Nothing in the preceding sentence shall relieve the Issuing Lender from liability for the Issuing Lender’s gross negligence, intentional breach, or willful misconduct in connection with actions or omissions described in such clauses (i) through</w:t>
      </w:r>
    </w:p>
    <w:p>
      <w:pPr>
        <w:spacing w:after="0" w:line="14" w:lineRule="exact"/>
        <w:rPr>
          <w:rFonts w:ascii="Times New Roman" w:cs="Times New Roman" w:eastAsia="Times New Roman" w:hAnsi="Times New Roman"/>
          <w:sz w:val="20"/>
          <w:szCs w:val="20"/>
          <w:color w:val="auto"/>
        </w:rPr>
      </w:pPr>
    </w:p>
    <w:p>
      <w:pPr>
        <w:jc w:val="both"/>
        <w:ind w:firstLine="2"/>
        <w:spacing w:after="0" w:line="226" w:lineRule="auto"/>
        <w:tabs>
          <w:tab w:leader="none" w:pos="4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such sentence. Notwithstanding the foregoing, except in the case of actual fraud, in no event shall the Issuing Lender or its Affiliates be liable to any Loan Party for any indirect, consequential, incidental, punitive, exemplary or special damages or expenses (including attorneys’ fees), or for any damages resulting from any change in the value of any property relating to a Letter of Credit.</w:t>
      </w:r>
    </w:p>
    <w:p>
      <w:pPr>
        <w:spacing w:after="0" w:line="169" w:lineRule="exact"/>
        <w:rPr>
          <w:sz w:val="20"/>
          <w:szCs w:val="20"/>
          <w:color w:val="auto"/>
        </w:rPr>
      </w:pPr>
    </w:p>
    <w:p>
      <w:pPr>
        <w:jc w:val="both"/>
        <w:ind w:firstLine="1223"/>
        <w:spacing w:after="0" w:line="259" w:lineRule="auto"/>
        <w:rPr>
          <w:sz w:val="20"/>
          <w:szCs w:val="20"/>
          <w:color w:val="auto"/>
        </w:rPr>
      </w:pPr>
      <w:r>
        <w:rPr>
          <w:rFonts w:ascii="Times New Roman" w:cs="Times New Roman" w:eastAsia="Times New Roman" w:hAnsi="Times New Roman"/>
          <w:sz w:val="20"/>
          <w:szCs w:val="20"/>
          <w:color w:val="auto"/>
        </w:rPr>
        <w:t>ARTICLE 243Without limiting the generality of the foregoing, the Issuing Lender and each of its Affiliates (i) may rely on any oral or other communication believed in good faith by the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 (iv) may honor any drawing that is payable upon presentation of a statement advising negotiation or payment, upon receipt of such statement (even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324" w:right="339" w:bottom="1440" w:gutter="0" w:footer="0" w:header="0"/>
        </w:sectPr>
      </w:pPr>
    </w:p>
    <w:bookmarkStart w:id="226" w:name="page227"/>
    <w:bookmarkEnd w:id="226"/>
    <w:p>
      <w:pPr>
        <w:jc w:val="both"/>
        <w:spacing w:after="0" w:line="260" w:lineRule="auto"/>
        <w:rPr>
          <w:sz w:val="20"/>
          <w:szCs w:val="20"/>
          <w:color w:val="auto"/>
        </w:rPr>
      </w:pPr>
      <w:r>
        <w:rPr>
          <w:rFonts w:ascii="Times New Roman" w:cs="Times New Roman" w:eastAsia="Times New Roman" w:hAnsi="Times New Roman"/>
          <w:sz w:val="20"/>
          <w:szCs w:val="20"/>
          <w:color w:val="auto"/>
        </w:rPr>
        <w:t>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Issuing Lender or its Affiliate in any way related to any order issued at the applicant’s request to an air carrier, a letter of guarantee or of indemnity issued to a carrier or any similar document (each, an “</w:t>
      </w:r>
      <w:r>
        <w:rPr>
          <w:rFonts w:ascii="Times New Roman" w:cs="Times New Roman" w:eastAsia="Times New Roman" w:hAnsi="Times New Roman"/>
          <w:sz w:val="20"/>
          <w:szCs w:val="20"/>
          <w:u w:val="single" w:color="auto"/>
          <w:color w:val="auto"/>
        </w:rPr>
        <w:t>Order</w:t>
      </w:r>
      <w:r>
        <w:rPr>
          <w:rFonts w:ascii="Times New Roman" w:cs="Times New Roman" w:eastAsia="Times New Roman" w:hAnsi="Times New Roman"/>
          <w:sz w:val="20"/>
          <w:szCs w:val="20"/>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66" w:lineRule="exact"/>
        <w:rPr>
          <w:sz w:val="20"/>
          <w:szCs w:val="20"/>
          <w:color w:val="auto"/>
        </w:rPr>
      </w:pPr>
    </w:p>
    <w:p>
      <w:pPr>
        <w:jc w:val="both"/>
        <w:ind w:firstLine="1223"/>
        <w:spacing w:after="0" w:line="269" w:lineRule="auto"/>
        <w:rPr>
          <w:sz w:val="20"/>
          <w:szCs w:val="20"/>
          <w:color w:val="auto"/>
        </w:rPr>
      </w:pPr>
      <w:r>
        <w:rPr>
          <w:rFonts w:ascii="Times New Roman" w:cs="Times New Roman" w:eastAsia="Times New Roman" w:hAnsi="Times New Roman"/>
          <w:sz w:val="20"/>
          <w:szCs w:val="20"/>
          <w:color w:val="auto"/>
        </w:rPr>
        <w:t>ARTICLE 244In furtherance and extension and not in limitation of the specific provisions specified above, any action taken or omitted by the Issuing Lender or its Affiliates under or in connection with the Letters of Credit issued by it or any documents and certificates delivered thereunder, if taken or omitted in good faith, shall not put the Issuing Lender or its Affiliates under any resulting liability to the Borrower or any Lender.</w:t>
      </w:r>
    </w:p>
    <w:p>
      <w:pPr>
        <w:spacing w:after="0" w:line="128" w:lineRule="exact"/>
        <w:rPr>
          <w:sz w:val="20"/>
          <w:szCs w:val="20"/>
          <w:color w:val="auto"/>
        </w:rPr>
      </w:pPr>
    </w:p>
    <w:p>
      <w:pPr>
        <w:jc w:val="both"/>
        <w:ind w:firstLine="1224"/>
        <w:spacing w:after="0" w:line="225" w:lineRule="auto"/>
        <w:tabs>
          <w:tab w:leader="none" w:pos="1831"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Issuing Lender Reporting Requirements</w:t>
      </w:r>
      <w:r>
        <w:rPr>
          <w:rFonts w:ascii="Times New Roman" w:cs="Times New Roman" w:eastAsia="Times New Roman" w:hAnsi="Times New Roman"/>
          <w:sz w:val="20"/>
          <w:szCs w:val="20"/>
          <w:color w:val="auto"/>
        </w:rPr>
        <w:t>. Each Issuing Lender shall, on the first Business Day of each month, provide to Administrative Agent and Borrower a schedule of the Letters of Credit issued by it, in form and substance satisfactory to Administrative Agent, showing the date of issuance of each Letter of Credit, the account party, the original face amount (if any), and the expiration date of any Letter of Credit outstanding at any time during the preceding month, and any other information relating to such Letter of Credit that the Administrative Agent may request.</w:t>
      </w:r>
    </w:p>
    <w:p>
      <w:pPr>
        <w:spacing w:after="0" w:line="144" w:lineRule="exact"/>
        <w:rPr>
          <w:rFonts w:ascii="Times New Roman" w:cs="Times New Roman" w:eastAsia="Times New Roman" w:hAnsi="Times New Roman"/>
          <w:sz w:val="20"/>
          <w:szCs w:val="20"/>
          <w:color w:val="auto"/>
        </w:rPr>
      </w:pPr>
    </w:p>
    <w:p>
      <w:pPr>
        <w:jc w:val="both"/>
        <w:ind w:firstLine="1224"/>
        <w:spacing w:after="0" w:line="214" w:lineRule="auto"/>
        <w:tabs>
          <w:tab w:leader="none" w:pos="1829"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Account of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Subsidiary, the Borrower shall be obligated as a primary obligor to reimburse the applicable Issuing Lender hereunder for any and all drawings under such Letter of Credit and irrevocably waives any defenses that might otherwise be available to it as a guarantor or surety of obligations of such Subsidiary. The Borrower hereby acknowledges that the issuance of Letters of Credit for the account of Subsidiaries inures to the benefit of the Borrower, and that the Borrower’s business derives substantial benefits from the businesses of such Subsidiaries. To the extent that any Letter of Credit is issued for the account of any Subsidiary of the Borrower, the Borrower agrees that (i) such Subsidiary shall have no rights against the Issuing Lender, the Administrative Agent or any Lender, (ii) the Borrower shall be responsible for the obligations in respect of such Letter of Credit under this Agreement and any application or reimbursement agreement, (iii) the Borrower shall have sole right to give instructions and make agreements with respect to this Agreement and the Letter of Credit, and the disposition of documents related thereto, and</w:t>
      </w:r>
    </w:p>
    <w:p>
      <w:pPr>
        <w:spacing w:after="0" w:line="8" w:lineRule="exact"/>
        <w:rPr>
          <w:rFonts w:ascii="Times New Roman" w:cs="Times New Roman" w:eastAsia="Times New Roman" w:hAnsi="Times New Roman"/>
          <w:sz w:val="20"/>
          <w:szCs w:val="20"/>
          <w:color w:val="auto"/>
        </w:rPr>
      </w:pPr>
    </w:p>
    <w:p>
      <w:pPr>
        <w:jc w:val="both"/>
        <w:ind w:firstLine="2"/>
        <w:spacing w:after="0" w:line="226" w:lineRule="auto"/>
        <w:tabs>
          <w:tab w:leader="none" w:pos="37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all powers and rights in respect of any security arising in connection with the Letter of Credit and the transaction related thereto. The Borrower shall, at the request of the Issuing Lender, cause such Subsidiary to execute and deliver an agreement confirming the terms specified in the immediately preceding sentence and acknowledging that it is bound thereby.</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244.1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w:t>
      </w:r>
    </w:p>
    <w:p>
      <w:pPr>
        <w:jc w:val="both"/>
        <w:ind w:firstLine="1224"/>
        <w:spacing w:after="0" w:line="226" w:lineRule="auto"/>
        <w:tabs>
          <w:tab w:leader="none" w:pos="1831"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350" w:right="339" w:bottom="1440" w:gutter="0" w:footer="0" w:header="0"/>
        </w:sectPr>
      </w:pPr>
    </w:p>
    <w:bookmarkStart w:id="227" w:name="page228"/>
    <w:bookmarkEnd w:id="227"/>
    <w:p>
      <w:pPr>
        <w:ind w:left="-580" w:firstLine="1219"/>
        <w:spacing w:after="0" w:line="249" w:lineRule="auto"/>
        <w:tabs>
          <w:tab w:leader="none" w:pos="131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Such Defaulting Lender’s right to approve or disapprove any amendment, waiver or consent with respect to this Agreement shall be restricted as specified in the definition of Required Lenders.</w:t>
      </w:r>
    </w:p>
    <w:p>
      <w:pPr>
        <w:spacing w:after="0" w:line="134" w:lineRule="exact"/>
        <w:rPr>
          <w:rFonts w:ascii="Times New Roman" w:cs="Times New Roman" w:eastAsia="Times New Roman" w:hAnsi="Times New Roman"/>
          <w:sz w:val="20"/>
          <w:szCs w:val="20"/>
          <w:color w:val="auto"/>
        </w:rPr>
      </w:pPr>
    </w:p>
    <w:p>
      <w:pPr>
        <w:jc w:val="both"/>
        <w:ind w:left="-580" w:firstLine="1219"/>
        <w:spacing w:after="0" w:line="222" w:lineRule="auto"/>
        <w:tabs>
          <w:tab w:leader="none" w:pos="132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[Default]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any Issuing Lender or Swingline Loan Lender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Cash Collateralize the Issuing Lender’s Fronting Exposure with respect to such Defaulting Lender in accordance with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[Cash Collateral];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as the Borrower may request (so long as no Potential Default or Event of Default exists), to the funding of any Loan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Lender’s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[Cash Collateral];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to the payment of any amounts owing to the Lenders, the Issuing Lender or Swingline Loan Lender as a result of any judgment of a court of competent jurisdiction obtained by any Lender, the Issuing Lender or Swingline Loan Lender against such Defaulting Lender as a result of such Defaulting Lender’s breach of its obligations under this Agreement;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so long as no Potential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Letter of Credit Borrowing in respect of which such Defaulting Lender has not fully funded its appropriate share, and (y) such Loans were made or the related Letters of Credit were issued at a time when the conditions specified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[Each Loan or Letter of Credit] were satisfied or waived, such payment shall be applied solely to pay the Loans of, and Letter of Credit Borrowings owed to, all Non-Defaulting Lenders on a pro rata basis prior to being applied to the payment of any Loans of, or Letter of Credit Borrowing owed to, such Defaulting Lender until such time as all Loans and funded and unfunded participations in Letter of Credit Obligations and Swingline Loans are held by the Lenders pro rata in accordance with the Commitments under the applicable Facility without giving effect to </w:t>
      </w:r>
      <w:r>
        <w:rPr>
          <w:rFonts w:ascii="Times New Roman" w:cs="Times New Roman" w:eastAsia="Times New Roman" w:hAnsi="Times New Roman"/>
          <w:sz w:val="20"/>
          <w:szCs w:val="20"/>
          <w:u w:val="single" w:color="auto"/>
          <w:color w:val="auto"/>
        </w:rPr>
        <w:t>Section 2.9(a)(iv)</w:t>
      </w:r>
      <w:r>
        <w:rPr>
          <w:rFonts w:ascii="Times New Roman" w:cs="Times New Roman" w:eastAsia="Times New Roman" w:hAnsi="Times New Roman"/>
          <w:sz w:val="20"/>
          <w:szCs w:val="20"/>
          <w:color w:val="auto"/>
        </w:rPr>
        <w:t xml:space="preserve"> [Reallocation of Participation to Reduce Fronting Exposure].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2.9(a)(ii)</w:t>
      </w:r>
      <w:r>
        <w:rPr>
          <w:rFonts w:ascii="Times New Roman" w:cs="Times New Roman" w:eastAsia="Times New Roman" w:hAnsi="Times New Roman"/>
          <w:sz w:val="20"/>
          <w:szCs w:val="20"/>
          <w:color w:val="auto"/>
        </w:rPr>
        <w:t xml:space="preserve"> [Defaulting Lender Waterfall] shall be deemed paid to and redirected by such Defaulting Lender, and each Lender irrevocably consents hereto.</w:t>
      </w:r>
    </w:p>
    <w:p>
      <w:pPr>
        <w:spacing w:after="0" w:line="146" w:lineRule="exact"/>
        <w:rPr>
          <w:rFonts w:ascii="Times New Roman" w:cs="Times New Roman" w:eastAsia="Times New Roman" w:hAnsi="Times New Roman"/>
          <w:sz w:val="20"/>
          <w:szCs w:val="20"/>
          <w:color w:val="auto"/>
        </w:rPr>
      </w:pPr>
    </w:p>
    <w:p>
      <w:pPr>
        <w:ind w:left="1320" w:hanging="681"/>
        <w:spacing w:after="0"/>
        <w:tabs>
          <w:tab w:leader="none" w:pos="132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jc w:val="both"/>
        <w:ind w:left="100" w:firstLine="1227"/>
        <w:spacing w:after="0" w:line="234" w:lineRule="auto"/>
        <w:tabs>
          <w:tab w:leader="none" w:pos="1929"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0120"/>
          </w:cols>
          <w:pgMar w:left="1440" w:top="1324" w:right="339" w:bottom="1440" w:gutter="0" w:footer="0" w:header="0"/>
        </w:sectPr>
      </w:pPr>
    </w:p>
    <w:bookmarkStart w:id="228" w:name="page229"/>
    <w:bookmarkEnd w:id="228"/>
    <w:p>
      <w:pPr>
        <w:jc w:val="both"/>
        <w:ind w:left="1220" w:firstLine="1227"/>
        <w:spacing w:after="0" w:line="234" w:lineRule="auto"/>
        <w:tabs>
          <w:tab w:leader="none" w:pos="3049" w:val="left"/>
        </w:tabs>
        <w:numPr>
          <w:ilvl w:val="2"/>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Defaulting Lender shall be entitled to receive Letter of Credit Fees for any period during which that Lender is a Defaulting Lender only to the extent allocable to its Ratable Share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[Cash Collateral].</w:t>
      </w:r>
    </w:p>
    <w:p>
      <w:pPr>
        <w:spacing w:after="0" w:line="142" w:lineRule="exact"/>
        <w:rPr>
          <w:rFonts w:ascii="Times New Roman" w:cs="Times New Roman" w:eastAsia="Times New Roman" w:hAnsi="Times New Roman"/>
          <w:sz w:val="20"/>
          <w:szCs w:val="20"/>
          <w:color w:val="auto"/>
        </w:rPr>
      </w:pPr>
    </w:p>
    <w:p>
      <w:pPr>
        <w:jc w:val="both"/>
        <w:ind w:left="1220" w:firstLine="1227"/>
        <w:spacing w:after="0"/>
        <w:tabs>
          <w:tab w:leader="none" w:pos="3049" w:val="left"/>
        </w:tabs>
        <w:numPr>
          <w:ilvl w:val="2"/>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Commitment Fee or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 of Credit Obligations or Swingline Loans that has been reallocated to such Non-Defaulting Lender pursuant to clause (iv) below, (y) pay to each Issuing Lender and Swingline Loan Lender, as applicable, the amount of any such fee otherwise payable to such Defaulting Lender to the extent allocable to such Issuing Lender’s or Swingline Loan Lender’s Fronting Exposure to such Defaulting Lender, and (z) not be required to pay the remaining amount of any such fee.</w:t>
      </w:r>
    </w:p>
    <w:p>
      <w:pPr>
        <w:spacing w:after="0" w:line="223" w:lineRule="exact"/>
        <w:rPr>
          <w:rFonts w:ascii="Times New Roman" w:cs="Times New Roman" w:eastAsia="Times New Roman" w:hAnsi="Times New Roman"/>
          <w:sz w:val="20"/>
          <w:szCs w:val="20"/>
          <w:color w:val="auto"/>
        </w:rPr>
      </w:pPr>
    </w:p>
    <w:p>
      <w:pPr>
        <w:jc w:val="both"/>
        <w:ind w:left="540" w:firstLine="1219"/>
        <w:spacing w:after="0" w:line="220" w:lineRule="auto"/>
        <w:tabs>
          <w:tab w:leader="none" w:pos="2438"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Participations to Reduce Fronting Exposure</w:t>
      </w:r>
      <w:r>
        <w:rPr>
          <w:rFonts w:ascii="Times New Roman" w:cs="Times New Roman" w:eastAsia="Times New Roman" w:hAnsi="Times New Roman"/>
          <w:sz w:val="20"/>
          <w:szCs w:val="20"/>
          <w:color w:val="auto"/>
        </w:rPr>
        <w:t>. All or any part of such Defaulting Lender’s participation in Letter of Credit Obligations and Swingline Loans shall be reallocated among the Non-Defaulting Lenders in accordance with their respective Ratable Shares (calculated without regard to such Defaulting Lender’s Commitment) but only to the extent that such reallocation does not cause the aggregate Revolving Facility Usage of any Non-Defaulting Lender to exceed such Non-Defaulting Lender’s Revolving Credit Commitment. Subject to Section 12.12 [Acknowledgement and Consent to Bail-In of Affected Financial Institutions],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47" w:lineRule="exact"/>
        <w:rPr>
          <w:rFonts w:ascii="Times New Roman" w:cs="Times New Roman" w:eastAsia="Times New Roman" w:hAnsi="Times New Roman"/>
          <w:sz w:val="20"/>
          <w:szCs w:val="20"/>
          <w:color w:val="auto"/>
        </w:rPr>
      </w:pPr>
    </w:p>
    <w:p>
      <w:pPr>
        <w:jc w:val="both"/>
        <w:ind w:left="540" w:firstLine="1219"/>
        <w:spacing w:after="0"/>
        <w:tabs>
          <w:tab w:leader="none" w:pos="2446"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Swingline Loans</w:t>
      </w:r>
      <w:r>
        <w:rPr>
          <w:rFonts w:ascii="Times New Roman" w:cs="Times New Roman" w:eastAsia="Times New Roman" w:hAnsi="Times New Roman"/>
          <w:sz w:val="20"/>
          <w:szCs w:val="20"/>
          <w:color w:val="auto"/>
        </w:rPr>
        <w:t xml:space="preserve">. If the reallocation described in clause (iv) above cannot, or can only partially, be effected, the Borrower shall, without prejudice to any right or remedy available to it hereunder or under Law, (x) first, prepay Swingline Loans in an amount equal to the Swingline Loan Lender’s Fronting Exposure and (y) second, Cash Collateralize the Issuing Lender’s Fronting Exposure in accordance with the procedures specified in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[Cash Collateral].</w:t>
      </w:r>
    </w:p>
    <w:p>
      <w:pPr>
        <w:spacing w:after="0" w:line="302" w:lineRule="exact"/>
        <w:rPr>
          <w:rFonts w:ascii="Times New Roman" w:cs="Times New Roman" w:eastAsia="Times New Roman" w:hAnsi="Times New Roman"/>
          <w:sz w:val="20"/>
          <w:szCs w:val="20"/>
          <w:color w:val="auto"/>
        </w:rPr>
      </w:pPr>
    </w:p>
    <w:p>
      <w:pPr>
        <w:jc w:val="both"/>
        <w:ind w:firstLine="1224"/>
        <w:spacing w:after="0" w:line="237" w:lineRule="auto"/>
        <w:tabs>
          <w:tab w:leader="none" w:pos="1829"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and each Swingline Loan Lender and Issuing Lender agree in writing that a Lender is no longer a Defaulting Lender, the Administrative Agent will so notify the parties hereto, whereupon as of the effective date specified in such notice and subject to any conditions specified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Commitments under the applicable Facility (without giving effect to </w:t>
      </w:r>
      <w:r>
        <w:rPr>
          <w:rFonts w:ascii="Times New Roman" w:cs="Times New Roman" w:eastAsia="Times New Roman" w:hAnsi="Times New Roman"/>
          <w:sz w:val="20"/>
          <w:szCs w:val="20"/>
          <w:u w:val="single" w:color="auto"/>
          <w:color w:val="auto"/>
        </w:rPr>
        <w:t>Section 2.9(a)(iv)</w:t>
      </w:r>
      <w:r>
        <w:rPr>
          <w:rFonts w:ascii="Times New Roman" w:cs="Times New Roman" w:eastAsia="Times New Roman" w:hAnsi="Times New Roman"/>
          <w:sz w:val="20"/>
          <w:szCs w:val="20"/>
          <w:color w:val="auto"/>
        </w:rPr>
        <w:t xml:space="preserve"> [Reallocation of Participations to Reduce Fronting Exposure],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324" w:right="339" w:bottom="1440" w:gutter="0" w:footer="0" w:header="0"/>
        </w:sectPr>
      </w:pPr>
    </w:p>
    <w:bookmarkStart w:id="229" w:name="page230"/>
    <w:bookmarkEnd w:id="229"/>
    <w:p>
      <w:pPr>
        <w:jc w:val="both"/>
        <w:ind w:firstLine="1224"/>
        <w:spacing w:after="0" w:line="228" w:lineRule="auto"/>
        <w:tabs>
          <w:tab w:leader="none" w:pos="1831"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Swingline Loans/Letters of Credit</w:t>
      </w:r>
      <w:r>
        <w:rPr>
          <w:rFonts w:ascii="Times New Roman" w:cs="Times New Roman" w:eastAsia="Times New Roman" w:hAnsi="Times New Roman"/>
          <w:sz w:val="20"/>
          <w:szCs w:val="20"/>
          <w:color w:val="auto"/>
        </w:rPr>
        <w:t>. So long as any Lender is a Defaulting Lender, (i) the Swingline Loan Lender shall not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244.2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ind w:left="620"/>
        <w:spacing w:after="0"/>
        <w:rPr>
          <w:sz w:val="20"/>
          <w:szCs w:val="20"/>
          <w:color w:val="auto"/>
        </w:rPr>
      </w:pPr>
      <w:r>
        <w:rPr>
          <w:rFonts w:ascii="Times New Roman" w:cs="Times New Roman" w:eastAsia="Times New Roman" w:hAnsi="Times New Roman"/>
          <w:sz w:val="20"/>
          <w:szCs w:val="20"/>
          <w:color w:val="auto"/>
        </w:rPr>
        <w:t xml:space="preserve">244.3  </w:t>
      </w:r>
      <w:r>
        <w:rPr>
          <w:rFonts w:ascii="Times New Roman" w:cs="Times New Roman" w:eastAsia="Times New Roman" w:hAnsi="Times New Roman"/>
          <w:sz w:val="20"/>
          <w:szCs w:val="20"/>
          <w:u w:val="single" w:color="auto"/>
          <w:color w:val="auto"/>
        </w:rPr>
        <w:t>Incremental Loans</w:t>
      </w:r>
      <w:r>
        <w:rPr>
          <w:rFonts w:ascii="Times New Roman" w:cs="Times New Roman" w:eastAsia="Times New Roman" w:hAnsi="Times New Roman"/>
          <w:sz w:val="20"/>
          <w:szCs w:val="20"/>
          <w:color w:val="auto"/>
        </w:rPr>
        <w:t>.</w:t>
      </w:r>
    </w:p>
    <w:p>
      <w:pPr>
        <w:ind w:left="620"/>
        <w:spacing w:after="0"/>
        <w:rPr>
          <w:sz w:val="20"/>
          <w:szCs w:val="20"/>
          <w:color w:val="auto"/>
        </w:rPr>
      </w:pPr>
      <w:r>
        <w:rPr>
          <w:rFonts w:ascii="Times New Roman" w:cs="Times New Roman" w:eastAsia="Times New Roman" w:hAnsi="Times New Roman"/>
          <w:sz w:val="20"/>
          <w:szCs w:val="20"/>
          <w:color w:val="auto"/>
        </w:rPr>
        <w:t>At any time, the Borrower may by written notice to the Administrative Agent elect to request the establishment of:</w:t>
      </w:r>
    </w:p>
    <w:p>
      <w:pPr>
        <w:spacing w:after="0" w:line="168" w:lineRule="exact"/>
        <w:rPr>
          <w:sz w:val="20"/>
          <w:szCs w:val="20"/>
          <w:color w:val="auto"/>
        </w:rPr>
      </w:pPr>
    </w:p>
    <w:p>
      <w:pPr>
        <w:jc w:val="both"/>
        <w:ind w:firstLine="1224"/>
        <w:spacing w:after="0" w:line="226" w:lineRule="auto"/>
        <w:tabs>
          <w:tab w:leader="none" w:pos="1831"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increases in the Revolving Credit Commitments (any such increase, an “</w:t>
      </w:r>
      <w:r>
        <w:rPr>
          <w:rFonts w:ascii="Times New Roman" w:cs="Times New Roman" w:eastAsia="Times New Roman" w:hAnsi="Times New Roman"/>
          <w:sz w:val="20"/>
          <w:szCs w:val="20"/>
          <w:u w:val="single" w:color="auto"/>
          <w:color w:val="auto"/>
        </w:rPr>
        <w:t>Incremental Revolving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u w:val="single" w:color="auto"/>
          <w:color w:val="auto"/>
        </w:rPr>
        <w:t>Incremental Loan Commitments</w:t>
      </w:r>
      <w:r>
        <w:rPr>
          <w:rFonts w:ascii="Times New Roman" w:cs="Times New Roman" w:eastAsia="Times New Roman" w:hAnsi="Times New Roman"/>
          <w:sz w:val="20"/>
          <w:szCs w:val="20"/>
          <w:color w:val="auto"/>
        </w:rPr>
        <w:t>”) to make revolving credit loans under the Revolving Credit Facility (any such increase, an “</w:t>
      </w:r>
      <w:r>
        <w:rPr>
          <w:rFonts w:ascii="Times New Roman" w:cs="Times New Roman" w:eastAsia="Times New Roman" w:hAnsi="Times New Roman"/>
          <w:sz w:val="20"/>
          <w:szCs w:val="20"/>
          <w:u w:val="single" w:color="auto"/>
          <w:color w:val="auto"/>
        </w:rPr>
        <w:t>Incremental Revolving Credit Increase</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u w:val="single" w:color="auto"/>
          <w:color w:val="auto"/>
        </w:rPr>
        <w:t>Incremental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total aggregate principal amount for all such Incremental Loan Commitments shall not (as of any date of incurrence thereof) exceed (A) the greater of (x) $135,000,000 and (y) 100% of Consolidated EBITDA, plus (B) an amount (not less than $0) equal to the amount of additional Indebtedness that would cause the Total Net Leverage Ratio as of the most recently ended Measurement Period prior to the incurrence of such additional Indebtedness, calculated on a Pro Forma Basis after giving effect to the incurrence of such additional Indebtedness (assuming any Incremental Revolving Credit Commitment is fully-drawn), not to exceed 3.25 to 1.00 (provided that such amount in this clause (B) may be in the form of Incremental Equivalent Debt, as permitted under </w:t>
      </w:r>
      <w:r>
        <w:rPr>
          <w:rFonts w:ascii="Times New Roman" w:cs="Times New Roman" w:eastAsia="Times New Roman" w:hAnsi="Times New Roman"/>
          <w:sz w:val="20"/>
          <w:szCs w:val="20"/>
          <w:u w:val="single" w:color="auto"/>
          <w:color w:val="auto"/>
        </w:rPr>
        <w:t>Section 9.1(m)</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any amount of Incremental Loans funded pursuant to the terms of this Agreement shall reduce the total aggregate principal amount for all Incremental Equivalent Debt permitted to be incurred hereunder on a dollar-for-dollar basis) and (ii) the total aggregate principal amount for each Incremental Loan Commitment (and the Incremental Loans made thereunder) shall not be less than a minimum principal amount of $10,000,000. Each such notice shall specify the date (each, an “</w:t>
      </w:r>
      <w:r>
        <w:rPr>
          <w:rFonts w:ascii="Times New Roman" w:cs="Times New Roman" w:eastAsia="Times New Roman" w:hAnsi="Times New Roman"/>
          <w:sz w:val="20"/>
          <w:szCs w:val="20"/>
          <w:u w:val="single" w:color="auto"/>
          <w:color w:val="auto"/>
        </w:rPr>
        <w:t>Increased Amount Date</w:t>
      </w:r>
      <w:r>
        <w:rPr>
          <w:rFonts w:ascii="Times New Roman" w:cs="Times New Roman" w:eastAsia="Times New Roman" w:hAnsi="Times New Roman"/>
          <w:sz w:val="20"/>
          <w:szCs w:val="20"/>
          <w:color w:val="auto"/>
        </w:rPr>
        <w:t>”) on which the Borrower proposes that any Incremental Loan Commitment shall be effective, which shall be a date not less than twenty (20) Business Days after the date on which such notice is delivered to Administrative Agent. The Borrower shall first invite existing Lenders and may then invite any Affiliate of any Lender and/or any Approved Fund and/or any other Person reasonably satisfactory to the Administrative Agent to provide an Incremental Loan Commitment (any such Person, an “</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both the Swingline Loan Lender and the Issuing Lender shall consent to each Incremental Lender providing any portion of an Incremental Revolving Credit Commitment. Any proposed Incremental Lender offered or approached to provide all or a portion of any Incremental Loan Commitment may elect or decline, in its sole discretion, to provide such Incremental Loan Commitment. Any Incremental Loan Commitment shall become effective as of such Increased Amount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51" w:lineRule="exact"/>
        <w:rPr>
          <w:rFonts w:ascii="Times New Roman" w:cs="Times New Roman" w:eastAsia="Times New Roman" w:hAnsi="Times New Roman"/>
          <w:sz w:val="20"/>
          <w:szCs w:val="20"/>
          <w:color w:val="auto"/>
        </w:rPr>
      </w:pPr>
    </w:p>
    <w:p>
      <w:pPr>
        <w:jc w:val="both"/>
        <w:ind w:left="540" w:firstLine="1219"/>
        <w:spacing w:after="0" w:line="234" w:lineRule="auto"/>
        <w:tabs>
          <w:tab w:leader="none" w:pos="243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Potential Default or Event of Default shall exist on such Increased Amount Date before or after giving effect to (1) any Incremental Loan Commitment, (2) the making of any Incremental Loans pursuant thereto and (3) any Permitted Acquisition consummated in connection therewith;</w:t>
      </w:r>
    </w:p>
    <w:p>
      <w:pPr>
        <w:spacing w:after="0" w:line="142" w:lineRule="exact"/>
        <w:rPr>
          <w:rFonts w:ascii="Times New Roman" w:cs="Times New Roman" w:eastAsia="Times New Roman" w:hAnsi="Times New Roman"/>
          <w:sz w:val="20"/>
          <w:szCs w:val="20"/>
          <w:color w:val="auto"/>
        </w:rPr>
      </w:pPr>
    </w:p>
    <w:p>
      <w:pPr>
        <w:jc w:val="both"/>
        <w:ind w:left="540" w:firstLine="1219"/>
        <w:spacing w:after="0" w:line="220" w:lineRule="auto"/>
        <w:tabs>
          <w:tab w:leader="none" w:pos="2444"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the Lenders shall have received from the Borrower a Compliance Certificate demonstrating, in form and substance reasonably satisfactory to the Administrative Agent, that the Borrower is in compliance with the financial covenants specified in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xml:space="preserve"> [Total Net Leverage Ratio] and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[Interest Coverage Ratio], based on</w:t>
      </w:r>
    </w:p>
    <w:p>
      <w:pPr>
        <w:spacing w:after="0" w:line="1" w:lineRule="exact"/>
        <w:rPr>
          <w:sz w:val="20"/>
          <w:szCs w:val="20"/>
          <w:color w:val="auto"/>
        </w:rPr>
      </w:pPr>
    </w:p>
    <w:p>
      <w:pPr>
        <w:ind w:left="540"/>
        <w:spacing w:after="0" w:line="233" w:lineRule="auto"/>
        <w:rPr>
          <w:sz w:val="20"/>
          <w:szCs w:val="20"/>
          <w:color w:val="auto"/>
        </w:rPr>
      </w:pPr>
      <w:r>
        <w:rPr>
          <w:rFonts w:ascii="Times New Roman" w:cs="Times New Roman" w:eastAsia="Times New Roman" w:hAnsi="Times New Roman"/>
          <w:sz w:val="20"/>
          <w:szCs w:val="20"/>
          <w:color w:val="auto"/>
        </w:rPr>
        <w:t xml:space="preserve">the financial statements most recently delivered pursuant to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[Annual Financial Statements] or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xml:space="preserve">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324" w:right="339" w:bottom="1440" w:gutter="0" w:footer="0" w:header="0"/>
        </w:sectPr>
      </w:pPr>
    </w:p>
    <w:bookmarkStart w:id="230" w:name="page231"/>
    <w:bookmarkEnd w:id="230"/>
    <w:p>
      <w:pPr>
        <w:jc w:val="both"/>
        <w:spacing w:after="0" w:line="234" w:lineRule="auto"/>
        <w:rPr>
          <w:sz w:val="20"/>
          <w:szCs w:val="20"/>
          <w:color w:val="auto"/>
        </w:rPr>
      </w:pPr>
      <w:r>
        <w:rPr>
          <w:rFonts w:ascii="Times New Roman" w:cs="Times New Roman" w:eastAsia="Times New Roman" w:hAnsi="Times New Roman"/>
          <w:sz w:val="20"/>
          <w:szCs w:val="20"/>
          <w:color w:val="auto"/>
        </w:rPr>
        <w:t>Financial Statements], as applicable, both before and after giving effect (on a Pro Forma Basis) to (x) any Incremental Loan Commitment, (y) the making of any Incremental Loans pursuant thereto (with any Incremental Loan Commitment being deemed to be fully drawn) and (z) any Permitted Acquisition consummated in connection therewith;</w:t>
      </w:r>
    </w:p>
    <w:p>
      <w:pPr>
        <w:spacing w:after="0" w:line="142" w:lineRule="exact"/>
        <w:rPr>
          <w:sz w:val="20"/>
          <w:szCs w:val="20"/>
          <w:color w:val="auto"/>
        </w:rPr>
      </w:pPr>
    </w:p>
    <w:p>
      <w:pPr>
        <w:jc w:val="both"/>
        <w:ind w:firstLine="1219"/>
        <w:spacing w:after="0" w:line="225" w:lineRule="auto"/>
        <w:tabs>
          <w:tab w:leader="none" w:pos="191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representations and warranties contained in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shall be true and correct in all material respects, except to the extent any such representation and warranty is qualified by materiality or reference to Material Adverse Effect, in which case, such representation and warranty shall be true, correct and complete in all respects, on such Increased Amount Date with the same effect as if made on and as of such date (except for any such representation and warranty that by its terms is made only as of an earlier date, which representation and warranty shall remain true and correct as of such earlier date);</w:t>
      </w:r>
    </w:p>
    <w:p>
      <w:pPr>
        <w:spacing w:after="0" w:line="144" w:lineRule="exact"/>
        <w:rPr>
          <w:rFonts w:ascii="Times New Roman" w:cs="Times New Roman" w:eastAsia="Times New Roman" w:hAnsi="Times New Roman"/>
          <w:sz w:val="20"/>
          <w:szCs w:val="20"/>
          <w:color w:val="auto"/>
        </w:rPr>
      </w:pPr>
    </w:p>
    <w:p>
      <w:pPr>
        <w:ind w:firstLine="1219"/>
        <w:spacing w:after="0" w:line="249" w:lineRule="auto"/>
        <w:tabs>
          <w:tab w:leader="none" w:pos="189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any Incremental Loans shall be used for general corporate purposes of the Borrower and its Subsidiaries (including Permitted Acquisitions);</w:t>
      </w:r>
    </w:p>
    <w:p>
      <w:pPr>
        <w:spacing w:after="0" w:line="129" w:lineRule="exact"/>
        <w:rPr>
          <w:rFonts w:ascii="Times New Roman" w:cs="Times New Roman" w:eastAsia="Times New Roman" w:hAnsi="Times New Roman"/>
          <w:sz w:val="20"/>
          <w:szCs w:val="20"/>
          <w:color w:val="auto"/>
        </w:rPr>
      </w:pPr>
    </w:p>
    <w:p>
      <w:pPr>
        <w:ind w:left="1900" w:hanging="681"/>
        <w:spacing w:after="0"/>
        <w:tabs>
          <w:tab w:leader="none" w:pos="19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proposed Incremental Lender shall join this Agreement as a Lender pursuant to a Lender Joinder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55" w:lineRule="exact"/>
        <w:rPr>
          <w:rFonts w:ascii="Times New Roman" w:cs="Times New Roman" w:eastAsia="Times New Roman" w:hAnsi="Times New Roman"/>
          <w:sz w:val="20"/>
          <w:szCs w:val="20"/>
          <w:color w:val="auto"/>
        </w:rPr>
      </w:pPr>
    </w:p>
    <w:p>
      <w:pPr>
        <w:ind w:firstLine="1219"/>
        <w:spacing w:after="0" w:line="249" w:lineRule="auto"/>
        <w:tabs>
          <w:tab w:leader="none" w:pos="189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Incremental Loan Commitment (and the Incremental Loans made thereunder) shall constitute Obligations of the Borrower and shall be secured and guaranteed with the other Obligations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w:t>
      </w:r>
    </w:p>
    <w:p>
      <w:pPr>
        <w:spacing w:after="0" w:line="134" w:lineRule="exact"/>
        <w:rPr>
          <w:rFonts w:ascii="Times New Roman" w:cs="Times New Roman" w:eastAsia="Times New Roman" w:hAnsi="Times New Roman"/>
          <w:sz w:val="20"/>
          <w:szCs w:val="20"/>
          <w:color w:val="auto"/>
        </w:rPr>
      </w:pPr>
    </w:p>
    <w:p>
      <w:pPr>
        <w:ind w:left="2520" w:hanging="613"/>
        <w:spacing w:after="0"/>
        <w:tabs>
          <w:tab w:leader="none" w:pos="252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Incremental Revolving Credit Increase:</w:t>
      </w:r>
    </w:p>
    <w:p>
      <w:pPr>
        <w:spacing w:after="0" w:line="178" w:lineRule="exact"/>
        <w:rPr>
          <w:sz w:val="20"/>
          <w:szCs w:val="20"/>
          <w:color w:val="auto"/>
        </w:rPr>
      </w:pPr>
    </w:p>
    <w:p>
      <w:pPr>
        <w:jc w:val="both"/>
        <w:ind w:left="1300" w:firstLine="1218"/>
        <w:spacing w:after="0" w:line="228" w:lineRule="auto"/>
        <w:tabs>
          <w:tab w:leader="none" w:pos="313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Incremental Revolving Credit Increase shall be part of the Revolving Credit Facility, shall mature on the Expiration Date, shall bear interest and be entitled to fees, in each case at the rate applicable to the Revolving Credit Facility, and shall otherwise be subject to the same terms and conditions as the Revolving Credit Facility;</w:t>
      </w:r>
    </w:p>
    <w:p>
      <w:pPr>
        <w:spacing w:after="0" w:line="145" w:lineRule="exact"/>
        <w:rPr>
          <w:sz w:val="20"/>
          <w:szCs w:val="20"/>
          <w:color w:val="auto"/>
        </w:rPr>
      </w:pPr>
    </w:p>
    <w:p>
      <w:pPr>
        <w:jc w:val="both"/>
        <w:ind w:left="1300" w:firstLine="1218"/>
        <w:spacing w:after="0"/>
        <w:tabs>
          <w:tab w:leader="none" w:pos="312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Incremental Lender making any Incremental Revolving Credit Increase shall be entitled to the same voting rights as the existing Revolving Credit Lenders under the Revolving Credit Facility and (unless otherwise agreed by the applicable Incremental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 allow the Revolving Credit Commitments with respect to the Incremental Revolving Credit Increase to be terminated prior to termination of the existing Revolving Credit Commitments) each Revolving Credit Loan funded by an Incremental Revolving Credit Increase shall receive proceeds of prepayments on the same basis as the existing Revolving Credit Loans (such prepayments to be shared pro rata on the basis of the original aggregate funded amount thereof); and</w:t>
      </w:r>
    </w:p>
    <w:p>
      <w:pPr>
        <w:spacing w:after="0" w:line="224" w:lineRule="exact"/>
        <w:rPr>
          <w:sz w:val="20"/>
          <w:szCs w:val="20"/>
          <w:color w:val="auto"/>
        </w:rPr>
      </w:pPr>
    </w:p>
    <w:p>
      <w:pPr>
        <w:jc w:val="both"/>
        <w:ind w:left="1300" w:firstLine="1218"/>
        <w:spacing w:after="0"/>
        <w:tabs>
          <w:tab w:leader="none" w:pos="3129"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Revolving Credit Loans and Ratable Shares of Swingline Loans and Letter of Credit Obligations will be reallocated by the Administrative Agent on the applicable Increased Amount Date among the Lenders to the Revolving Credit Facility (including the Incremental Lenders providing such Incremental Revolving Credit Increase) in accordance with their revised Ratable Shares, and the Lenders to the Revolving Credit Facility (including the Incremental Lenders providing such Incremental Revolving Credit Increase) agree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0700"/>
          </w:cols>
          <w:pgMar w:left="860" w:top="1324" w:right="339" w:bottom="1440" w:gutter="0" w:footer="0" w:header="0"/>
        </w:sectPr>
      </w:pPr>
    </w:p>
    <w:bookmarkStart w:id="231" w:name="page232"/>
    <w:bookmarkEnd w:id="231"/>
    <w:p>
      <w:pPr>
        <w:ind w:left="1840"/>
        <w:spacing w:after="0" w:line="249" w:lineRule="auto"/>
        <w:rPr>
          <w:sz w:val="20"/>
          <w:szCs w:val="20"/>
          <w:color w:val="auto"/>
        </w:rPr>
      </w:pPr>
      <w:r>
        <w:rPr>
          <w:rFonts w:ascii="Times New Roman" w:cs="Times New Roman" w:eastAsia="Times New Roman" w:hAnsi="Times New Roman"/>
          <w:sz w:val="20"/>
          <w:szCs w:val="20"/>
          <w:color w:val="auto"/>
        </w:rPr>
        <w:t>make all payments and adjustments necessary to effect such reallocation and the Borrower shall pay any and all costs required.</w:t>
      </w:r>
    </w:p>
    <w:p>
      <w:pPr>
        <w:spacing w:after="0" w:line="134" w:lineRule="exact"/>
        <w:rPr>
          <w:sz w:val="20"/>
          <w:szCs w:val="20"/>
          <w:color w:val="auto"/>
        </w:rPr>
      </w:pPr>
    </w:p>
    <w:p>
      <w:pPr>
        <w:jc w:val="both"/>
        <w:ind w:left="1220" w:firstLine="1227"/>
        <w:spacing w:after="0" w:line="234" w:lineRule="auto"/>
        <w:tabs>
          <w:tab w:leader="none" w:pos="3049"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Incremental Loan Commitments shall be effected pursuant to such amendments to this Agreement and the other Loan Documents as may be necessary or appropriate, in the opinion of the Administrative Agent, to effect the provisions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without the consent of any other Lenders; and</w:t>
      </w:r>
    </w:p>
    <w:p>
      <w:pPr>
        <w:spacing w:after="0" w:line="142" w:lineRule="exact"/>
        <w:rPr>
          <w:rFonts w:ascii="Times New Roman" w:cs="Times New Roman" w:eastAsia="Times New Roman" w:hAnsi="Times New Roman"/>
          <w:sz w:val="20"/>
          <w:szCs w:val="20"/>
          <w:color w:val="auto"/>
        </w:rPr>
      </w:pPr>
    </w:p>
    <w:p>
      <w:pPr>
        <w:jc w:val="both"/>
        <w:ind w:left="1220" w:firstLine="1227"/>
        <w:spacing w:after="0" w:line="228" w:lineRule="auto"/>
        <w:tabs>
          <w:tab w:leader="none" w:pos="3049"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deliver or cause to be delivered any customary legal opinions or other documents (including a resolution duly adopted by the board of directors (or equivalent governing body) of each Loan Party authorizing such Incremental Loans and/or Incremental Loan Commitments) reasonably requested by Administrative Agent in connection with any such transaction.</w:t>
      </w:r>
    </w:p>
    <w:p>
      <w:pPr>
        <w:spacing w:after="0" w:line="144"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Incremental Lenders shall be included in any determination of the Required Lenders and, unless otherwise agreed, the Incremental Lenders will not constitute a separate voting class for any purposes under this Agreement.</w:t>
      </w:r>
    </w:p>
    <w:p>
      <w:pPr>
        <w:spacing w:after="0" w:line="134"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31"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Increased Amount Date on which any Incremental Revolving Credit Increase becomes effective, subject to the foregoing terms and conditions, each Incremental Lender with an Incremental Revolving Credit Commitment shall become a Lender under the Revolving Credit Facility hereunder with respect to such Incremental Revolving Credit Commitment.</w:t>
      </w:r>
    </w:p>
    <w:p>
      <w:pPr>
        <w:spacing w:after="0" w:line="13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ARTICLE 245</w:t>
      </w:r>
    </w:p>
    <w:p>
      <w:pPr>
        <w:ind w:left="5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246</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INTEREST RATES</w:t>
      </w:r>
    </w:p>
    <w:p>
      <w:pPr>
        <w:spacing w:after="0" w:line="156" w:lineRule="exact"/>
        <w:rPr>
          <w:sz w:val="20"/>
          <w:szCs w:val="20"/>
          <w:color w:val="auto"/>
        </w:rPr>
      </w:pPr>
    </w:p>
    <w:p>
      <w:pPr>
        <w:jc w:val="both"/>
        <w:ind w:firstLine="611"/>
        <w:spacing w:after="0" w:line="231" w:lineRule="auto"/>
        <w:rPr>
          <w:sz w:val="20"/>
          <w:szCs w:val="20"/>
          <w:color w:val="auto"/>
        </w:rPr>
      </w:pPr>
      <w:r>
        <w:rPr>
          <w:rFonts w:ascii="Times New Roman" w:cs="Times New Roman" w:eastAsia="Times New Roman" w:hAnsi="Times New Roman"/>
          <w:sz w:val="20"/>
          <w:szCs w:val="20"/>
          <w:color w:val="auto"/>
        </w:rPr>
        <w:t xml:space="preserve">246.1 </w:t>
      </w:r>
      <w:r>
        <w:rPr>
          <w:rFonts w:ascii="Times New Roman" w:cs="Times New Roman" w:eastAsia="Times New Roman" w:hAnsi="Times New Roman"/>
          <w:sz w:val="20"/>
          <w:szCs w:val="20"/>
          <w:u w:val="single" w:color="auto"/>
          <w:color w:val="auto"/>
        </w:rPr>
        <w:t>Interest Rate Options</w:t>
      </w:r>
      <w:r>
        <w:rPr>
          <w:rFonts w:ascii="Times New Roman" w:cs="Times New Roman" w:eastAsia="Times New Roman" w:hAnsi="Times New Roman"/>
          <w:sz w:val="20"/>
          <w:szCs w:val="20"/>
          <w:color w:val="auto"/>
        </w:rPr>
        <w:t xml:space="preserve">. The Borrower shall pay interest in respect of the outstanding unpaid principal amount of the Loans as selected by it from the Base Rate Option or Term SOFR Rate Option or Daily SOFR Option specified below applicable to the Revolving Credit Loans or the Swingline Loans, respectively, it being understood that, subject to the provisions of this Agreement, the Borrower may select different Interest Rate Options and different Interest Periods to apply simultaneously to the Loans comprising different Borrowing Tranches and may convert to or renew one or more Interest Rate Options with respect to all or any portion of the Loans comprising any Borrowing Tranche;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be at any one time outstanding more than five (5) Borrowing Tranches of Revolving Credit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an Event of Default or Potential Default exists and is continuing and the Administrative Agent, at the request of the Required Lenders, so notifies the Borrower, then for so long as such Event of Default or Potential Default is continuing, (i) no outstanding Borrowing Tranche may be converted to, or continued as, a Term SOFR Rate Loan or Daily SOFR Loan and (ii) Required Lenders may demand that (x) each Daily SOFR Loan be automatically converted to a Base Rate Loan immediately and (y) each Term SOFR Rate Loan be automatically converted to a Base Rate Loan immediately, subject to the obligation of the Borrower to pay any indemnity under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[Indemnity] in connection with any such conversion, or at the end of the applicable Interest Period. If at any time the designated rate applicable to any Loan made by any Lender exceeds such Lender’s highest lawful rate, the rate of interest on such Lender’s Loan shall be limited to such Lender’s highest lawful rate. The applicable Base Rate or Term SOFR Rate or Daily SOFR shall be determined by the Administrative Agent, and such determination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324" w:right="339" w:bottom="1440" w:gutter="0" w:footer="0" w:header="0"/>
        </w:sectPr>
      </w:pPr>
    </w:p>
    <w:bookmarkStart w:id="232" w:name="page233"/>
    <w:bookmarkEnd w:id="232"/>
    <w:p>
      <w:pPr>
        <w:ind w:firstLine="1224"/>
        <w:spacing w:after="0" w:line="249" w:lineRule="auto"/>
        <w:tabs>
          <w:tab w:leader="none" w:pos="183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Interest Rate Options</w:t>
      </w:r>
      <w:r>
        <w:rPr>
          <w:rFonts w:ascii="Times New Roman" w:cs="Times New Roman" w:eastAsia="Times New Roman" w:hAnsi="Times New Roman"/>
          <w:sz w:val="20"/>
          <w:szCs w:val="20"/>
          <w:color w:val="auto"/>
        </w:rPr>
        <w:t>. The Borrower shall have the right to select from the following Interest Rate Options applicable to the Revolving Credit Loans:</w:t>
      </w:r>
    </w:p>
    <w:p>
      <w:pPr>
        <w:spacing w:after="0" w:line="134" w:lineRule="exact"/>
        <w:rPr>
          <w:rFonts w:ascii="Times New Roman" w:cs="Times New Roman" w:eastAsia="Times New Roman" w:hAnsi="Times New Roman"/>
          <w:sz w:val="20"/>
          <w:szCs w:val="20"/>
          <w:color w:val="auto"/>
        </w:rPr>
      </w:pPr>
    </w:p>
    <w:p>
      <w:pPr>
        <w:jc w:val="both"/>
        <w:ind w:left="540" w:firstLine="1219"/>
        <w:spacing w:after="0" w:line="234" w:lineRule="auto"/>
        <w:tabs>
          <w:tab w:leader="none" w:pos="2438"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Base Rate Option</w:t>
      </w:r>
      <w:r>
        <w:rPr>
          <w:rFonts w:ascii="Times New Roman" w:cs="Times New Roman" w:eastAsia="Times New Roman" w:hAnsi="Times New Roman"/>
          <w:sz w:val="20"/>
          <w:szCs w:val="20"/>
          <w:color w:val="auto"/>
        </w:rPr>
        <w:t>: A fluctuating rate per annum (computed on the basis of a year of 365 or 366 days, as the case may be, and actual days elapsed) equal to the Base Rate plus the Applicable Margin, such interest rate to change automatically from time to time effective as of the effective date of each change in the Base Rate; or</w:t>
      </w:r>
    </w:p>
    <w:p>
      <w:pPr>
        <w:spacing w:after="0" w:line="142" w:lineRule="exact"/>
        <w:rPr>
          <w:rFonts w:ascii="Times New Roman" w:cs="Times New Roman" w:eastAsia="Times New Roman" w:hAnsi="Times New Roman"/>
          <w:sz w:val="20"/>
          <w:szCs w:val="20"/>
          <w:color w:val="auto"/>
        </w:rPr>
      </w:pPr>
    </w:p>
    <w:p>
      <w:pPr>
        <w:jc w:val="both"/>
        <w:ind w:left="540" w:firstLine="1219"/>
        <w:spacing w:after="0"/>
        <w:tabs>
          <w:tab w:leader="none" w:pos="2444"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Term SOFR Rate Option</w:t>
      </w:r>
      <w:r>
        <w:rPr>
          <w:rFonts w:ascii="Times New Roman" w:cs="Times New Roman" w:eastAsia="Times New Roman" w:hAnsi="Times New Roman"/>
          <w:sz w:val="20"/>
          <w:szCs w:val="20"/>
          <w:color w:val="auto"/>
        </w:rPr>
        <w:t>: A rate per annum (computed on the basis of a year of 360 days and actual days elapsed) equal to the Term SOFR Rate as determined for each applicable Interest Period plus the Applicable Margin.</w:t>
      </w:r>
    </w:p>
    <w:p>
      <w:pPr>
        <w:spacing w:after="0" w:line="355"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Swingline Loan Interest Rate</w:t>
      </w:r>
      <w:r>
        <w:rPr>
          <w:rFonts w:ascii="Times New Roman" w:cs="Times New Roman" w:eastAsia="Times New Roman" w:hAnsi="Times New Roman"/>
          <w:sz w:val="20"/>
          <w:szCs w:val="20"/>
          <w:color w:val="auto"/>
        </w:rPr>
        <w:t>. The Swingline Loans shall accrue interest at a fluctuating rate per annum (computed on the basis of a year of 360 days and actual days elapsed) equal to Daily SOFR plus the Applicable Margin, such interest rate to change automatically from time to time effective as of the effective date of each change in Daily SOFR.</w:t>
      </w:r>
    </w:p>
    <w:p>
      <w:pPr>
        <w:spacing w:after="0" w:line="142" w:lineRule="exact"/>
        <w:rPr>
          <w:rFonts w:ascii="Times New Roman" w:cs="Times New Roman" w:eastAsia="Times New Roman" w:hAnsi="Times New Roman"/>
          <w:sz w:val="20"/>
          <w:szCs w:val="20"/>
          <w:color w:val="auto"/>
        </w:rPr>
      </w:pPr>
    </w:p>
    <w:p>
      <w:pPr>
        <w:jc w:val="both"/>
        <w:ind w:firstLine="1224"/>
        <w:spacing w:after="0"/>
        <w:tabs>
          <w:tab w:leader="none" w:pos="183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Rate Quotations</w:t>
      </w:r>
      <w:r>
        <w:rPr>
          <w:rFonts w:ascii="Times New Roman" w:cs="Times New Roman" w:eastAsia="Times New Roman" w:hAnsi="Times New Roman"/>
          <w:sz w:val="20"/>
          <w:szCs w:val="20"/>
          <w:color w:val="auto"/>
        </w:rPr>
        <w:t>. The Borrower may contact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w:t>
      </w:r>
    </w:p>
    <w:p>
      <w:pPr>
        <w:spacing w:after="0" w:line="329" w:lineRule="exact"/>
        <w:rPr>
          <w:sz w:val="20"/>
          <w:szCs w:val="20"/>
          <w:color w:val="auto"/>
        </w:rPr>
      </w:pPr>
    </w:p>
    <w:p>
      <w:pPr>
        <w:jc w:val="both"/>
        <w:ind w:firstLine="611"/>
        <w:spacing w:after="0" w:line="216" w:lineRule="auto"/>
        <w:rPr>
          <w:sz w:val="20"/>
          <w:szCs w:val="20"/>
          <w:color w:val="auto"/>
        </w:rPr>
      </w:pPr>
      <w:r>
        <w:rPr>
          <w:rFonts w:ascii="Times New Roman" w:cs="Times New Roman" w:eastAsia="Times New Roman" w:hAnsi="Times New Roman"/>
          <w:sz w:val="20"/>
          <w:szCs w:val="20"/>
          <w:color w:val="auto"/>
        </w:rPr>
        <w:t xml:space="preserve">246.2 </w:t>
      </w:r>
      <w:r>
        <w:rPr>
          <w:rFonts w:ascii="Times New Roman" w:cs="Times New Roman" w:eastAsia="Times New Roman" w:hAnsi="Times New Roman"/>
          <w:sz w:val="20"/>
          <w:szCs w:val="20"/>
          <w:u w:val="single" w:color="auto"/>
          <w:color w:val="auto"/>
        </w:rPr>
        <w:t>Conforming Changes Relating to the Term SOFR Rate and Daily SOFR</w:t>
      </w:r>
      <w:r>
        <w:rPr>
          <w:rFonts w:ascii="Times New Roman" w:cs="Times New Roman" w:eastAsia="Times New Roman" w:hAnsi="Times New Roman"/>
          <w:sz w:val="20"/>
          <w:szCs w:val="20"/>
          <w:color w:val="auto"/>
        </w:rPr>
        <w:t xml:space="preserve">. With respect to the Term SOFR Rate and Daily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provide notice to the Borrower and the Lenders of each such amendment implementing such Conforming Changes reasonably promptly after such amendment becomes effective.</w:t>
      </w:r>
    </w:p>
    <w:p>
      <w:pPr>
        <w:spacing w:after="0" w:line="3"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246.3 </w:t>
      </w:r>
      <w:r>
        <w:rPr>
          <w:rFonts w:ascii="Times New Roman" w:cs="Times New Roman" w:eastAsia="Times New Roman" w:hAnsi="Times New Roman"/>
          <w:sz w:val="20"/>
          <w:szCs w:val="20"/>
          <w:u w:val="single" w:color="auto"/>
          <w:color w:val="auto"/>
        </w:rPr>
        <w:t>Interest After Default</w:t>
      </w:r>
      <w:r>
        <w:rPr>
          <w:rFonts w:ascii="Times New Roman" w:cs="Times New Roman" w:eastAsia="Times New Roman" w:hAnsi="Times New Roman"/>
          <w:sz w:val="20"/>
          <w:szCs w:val="20"/>
          <w:color w:val="auto"/>
        </w:rPr>
        <w:t xml:space="preserve">. To the extent permitted by Law, automatically if an Event of Default under </w:t>
      </w:r>
      <w:r>
        <w:rPr>
          <w:rFonts w:ascii="Times New Roman" w:cs="Times New Roman" w:eastAsia="Times New Roman" w:hAnsi="Times New Roman"/>
          <w:sz w:val="20"/>
          <w:szCs w:val="20"/>
          <w:u w:val="single" w:color="auto"/>
          <w:color w:val="auto"/>
        </w:rPr>
        <w:t>Sections 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10.1(i)</w:t>
      </w:r>
      <w:r>
        <w:rPr>
          <w:rFonts w:ascii="Times New Roman" w:cs="Times New Roman" w:eastAsia="Times New Roman" w:hAnsi="Times New Roman"/>
          <w:sz w:val="20"/>
          <w:szCs w:val="20"/>
          <w:color w:val="auto"/>
        </w:rPr>
        <w:t xml:space="preserve"> [Events of Default] has occurred and is continuing, and at the option of the Administrative Agent or the Required Lenders if any other Event of Default has occurred and is continuing:</w:t>
      </w:r>
    </w:p>
    <w:p>
      <w:pPr>
        <w:spacing w:after="0" w:line="2" w:lineRule="exact"/>
        <w:rPr>
          <w:sz w:val="20"/>
          <w:szCs w:val="20"/>
          <w:color w:val="auto"/>
        </w:rPr>
      </w:pPr>
    </w:p>
    <w:p>
      <w:pPr>
        <w:jc w:val="both"/>
        <w:ind w:firstLine="1224"/>
        <w:spacing w:after="0" w:line="226" w:lineRule="auto"/>
        <w:tabs>
          <w:tab w:leader="none" w:pos="183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 Interest Rate</w:t>
      </w:r>
      <w:r>
        <w:rPr>
          <w:rFonts w:ascii="Times New Roman" w:cs="Times New Roman" w:eastAsia="Times New Roman" w:hAnsi="Times New Roman"/>
          <w:sz w:val="20"/>
          <w:szCs w:val="20"/>
          <w:color w:val="auto"/>
        </w:rPr>
        <w:t xml:space="preserve">. The Letter of Credit Fees and the rate of interest for each Loan otherwise applicable pursuant to </w:t>
      </w:r>
      <w:r>
        <w:rPr>
          <w:rFonts w:ascii="Times New Roman" w:cs="Times New Roman" w:eastAsia="Times New Roman" w:hAnsi="Times New Roman"/>
          <w:sz w:val="20"/>
          <w:szCs w:val="20"/>
          <w:u w:val="single" w:color="auto"/>
          <w:color w:val="auto"/>
        </w:rPr>
        <w:t>Section 2.8(b)</w:t>
      </w:r>
      <w:r>
        <w:rPr>
          <w:rFonts w:ascii="Times New Roman" w:cs="Times New Roman" w:eastAsia="Times New Roman" w:hAnsi="Times New Roman"/>
          <w:sz w:val="20"/>
          <w:szCs w:val="20"/>
          <w:color w:val="auto"/>
        </w:rPr>
        <w:t xml:space="preserve"> [Letter of Credit Fees] or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[Interest Rate Options], respectively, shall be increased by 2.00% per annum;</w:t>
      </w:r>
    </w:p>
    <w:p>
      <w:pPr>
        <w:spacing w:after="0" w:line="143"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Obligations</w:t>
      </w:r>
      <w:r>
        <w:rPr>
          <w:rFonts w:ascii="Times New Roman" w:cs="Times New Roman" w:eastAsia="Times New Roman" w:hAnsi="Times New Roman"/>
          <w:sz w:val="20"/>
          <w:szCs w:val="20"/>
          <w:color w:val="auto"/>
        </w:rPr>
        <w:t>. Each other Obligation hereunder if not paid when due shall bear interest at a rate per annum equal to the sum of the rate of interest applicable to Revolving Credit Loans under the Base Rate Option plus an additional 2.00% per annum from the time such Obligation becomes due and payable until the time such Obligation is paid in full; and</w:t>
      </w:r>
    </w:p>
    <w:p>
      <w:pPr>
        <w:spacing w:after="0" w:line="142"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3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w:t>
      </w:r>
      <w:r>
        <w:rPr>
          <w:rFonts w:ascii="Times New Roman" w:cs="Times New Roman" w:eastAsia="Times New Roman" w:hAnsi="Times New Roman"/>
          <w:sz w:val="20"/>
          <w:szCs w:val="20"/>
          <w:color w:val="auto"/>
        </w:rPr>
        <w:t xml:space="preserve">. The Borrower acknowledges that the increase in rates referred to in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reflects, among other things, the fact that such Loans or other amounts have become a substantially greater risk given their default status and that the Lenders are entitled to additional compensation for such risk; and all such interest shall be payable by Borrower upon demand by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324" w:right="339" w:bottom="1440" w:gutter="0" w:footer="0" w:header="0"/>
        </w:sectPr>
      </w:pPr>
    </w:p>
    <w:bookmarkStart w:id="233" w:name="page234"/>
    <w:bookmarkEnd w:id="233"/>
    <w:p>
      <w:pPr>
        <w:ind w:left="620"/>
        <w:spacing w:after="0"/>
        <w:rPr>
          <w:sz w:val="20"/>
          <w:szCs w:val="20"/>
          <w:color w:val="auto"/>
        </w:rPr>
      </w:pPr>
      <w:r>
        <w:rPr>
          <w:rFonts w:ascii="Times New Roman" w:cs="Times New Roman" w:eastAsia="Times New Roman" w:hAnsi="Times New Roman"/>
          <w:sz w:val="20"/>
          <w:szCs w:val="20"/>
          <w:color w:val="auto"/>
        </w:rPr>
        <w:t xml:space="preserve">246.4  </w:t>
      </w:r>
      <w:r>
        <w:rPr>
          <w:rFonts w:ascii="Times New Roman" w:cs="Times New Roman" w:eastAsia="Times New Roman" w:hAnsi="Times New Roman"/>
          <w:sz w:val="20"/>
          <w:szCs w:val="20"/>
          <w:u w:val="single" w:color="auto"/>
          <w:color w:val="auto"/>
        </w:rPr>
        <w:t>Rate Unascertainable; Increased Costs; Illegality; Benchmark Replacement Setting</w:t>
      </w:r>
      <w:r>
        <w:rPr>
          <w:rFonts w:ascii="Times New Roman" w:cs="Times New Roman" w:eastAsia="Times New Roman" w:hAnsi="Times New Roman"/>
          <w:sz w:val="20"/>
          <w:szCs w:val="20"/>
          <w:color w:val="auto"/>
        </w:rPr>
        <w:t>.</w:t>
      </w:r>
    </w:p>
    <w:p>
      <w:pPr>
        <w:ind w:left="1840" w:hanging="616"/>
        <w:spacing w:after="0"/>
        <w:tabs>
          <w:tab w:leader="none" w:pos="184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Unascertainable; Increased Costs</w:t>
      </w:r>
      <w:r>
        <w:rPr>
          <w:rFonts w:ascii="Times New Roman" w:cs="Times New Roman" w:eastAsia="Times New Roman" w:hAnsi="Times New Roman"/>
          <w:sz w:val="20"/>
          <w:szCs w:val="20"/>
          <w:color w:val="auto"/>
        </w:rPr>
        <w:t>. If at any time:</w:t>
      </w:r>
    </w:p>
    <w:p>
      <w:pPr>
        <w:spacing w:after="0" w:line="155" w:lineRule="exact"/>
        <w:rPr>
          <w:rFonts w:ascii="Times New Roman" w:cs="Times New Roman" w:eastAsia="Times New Roman" w:hAnsi="Times New Roman"/>
          <w:sz w:val="20"/>
          <w:szCs w:val="20"/>
          <w:color w:val="auto"/>
        </w:rPr>
      </w:pPr>
    </w:p>
    <w:p>
      <w:pPr>
        <w:jc w:val="both"/>
        <w:ind w:left="680" w:firstLine="1232"/>
        <w:spacing w:after="0"/>
        <w:tabs>
          <w:tab w:leader="none" w:pos="2426"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determined (which determination shall be conclusive and binding absent manifest error) that Term SOFR Rate or Daily SOFR, as applicable cannot be determined pursuant to the definition thereof; or</w:t>
      </w:r>
    </w:p>
    <w:p>
      <w:pPr>
        <w:spacing w:after="0" w:line="355" w:lineRule="exact"/>
        <w:rPr>
          <w:rFonts w:ascii="Times New Roman" w:cs="Times New Roman" w:eastAsia="Times New Roman" w:hAnsi="Times New Roman"/>
          <w:sz w:val="20"/>
          <w:szCs w:val="20"/>
          <w:color w:val="auto"/>
        </w:rPr>
      </w:pPr>
    </w:p>
    <w:p>
      <w:pPr>
        <w:jc w:val="both"/>
        <w:ind w:left="680" w:firstLine="1232"/>
        <w:spacing w:after="0" w:line="225" w:lineRule="auto"/>
        <w:tabs>
          <w:tab w:leader="none" w:pos="2431"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have determined that for any reason in connection with any request for a Term SOFR Rate Loan or a Daily SOFR Loan or conversion thereto or continuation thereof that the Term SOFR Rate does not adequately and fairly reflect the cost to such Lenders of funding, establishing or maintaining such Loan during the applicable Interest Period or Daily SOFR does not adequately and fairly reflect the cost to such Lenders of funding, establishing or maintaining such Loan, as applicable, and the Required Lenders have provided notice of such determination to the Administrative Agent,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then the Administrative Agent shall have the rights specified in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xml:space="preserve"> [Administrative Agent’s and Lender’s Rights].</w:t>
      </w:r>
    </w:p>
    <w:p>
      <w:pPr>
        <w:spacing w:after="0" w:line="190" w:lineRule="exact"/>
        <w:rPr>
          <w:sz w:val="20"/>
          <w:szCs w:val="20"/>
          <w:color w:val="auto"/>
        </w:rPr>
      </w:pPr>
    </w:p>
    <w:p>
      <w:pPr>
        <w:jc w:val="both"/>
        <w:ind w:firstLine="1224"/>
        <w:spacing w:after="0" w:line="223" w:lineRule="auto"/>
        <w:tabs>
          <w:tab w:leader="none" w:pos="182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xml:space="preserve">. If at any time any Lender shall have determined, or any Official Body shall have asserted, that the making, maintenance or funding of any Term SOFR Rate Loan or Daily SOFR Loan, or the determination or charging of interest rates based on the Term SOFR Rate or Daily SOFR, has been made impracticable or unlawful by compliance by such Lender in good faith with any Law or any interpretation or application thereof by any Official Body or with any request or directive of any such Official Body (whether or not having the force of Law), then the Administrative Agent shall have the rights specified in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xml:space="preserve"> [Administrative Agent’s and Lender’s Rights].</w:t>
      </w:r>
    </w:p>
    <w:p>
      <w:pPr>
        <w:spacing w:after="0" w:line="144" w:lineRule="exact"/>
        <w:rPr>
          <w:rFonts w:ascii="Times New Roman" w:cs="Times New Roman" w:eastAsia="Times New Roman" w:hAnsi="Times New Roman"/>
          <w:sz w:val="20"/>
          <w:szCs w:val="20"/>
          <w:color w:val="auto"/>
        </w:rPr>
      </w:pPr>
    </w:p>
    <w:p>
      <w:pPr>
        <w:jc w:val="both"/>
        <w:ind w:firstLine="1224"/>
        <w:spacing w:after="0" w:line="220" w:lineRule="auto"/>
        <w:tabs>
          <w:tab w:leader="none" w:pos="183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Agent’s and Lender’s Rights</w:t>
      </w:r>
      <w:r>
        <w:rPr>
          <w:rFonts w:ascii="Times New Roman" w:cs="Times New Roman" w:eastAsia="Times New Roman" w:hAnsi="Times New Roman"/>
          <w:sz w:val="20"/>
          <w:szCs w:val="20"/>
          <w:color w:val="auto"/>
        </w:rPr>
        <w:t xml:space="preserve">. In the case of any event specified in </w:t>
      </w:r>
      <w:r>
        <w:rPr>
          <w:rFonts w:ascii="Times New Roman" w:cs="Times New Roman" w:eastAsia="Times New Roman" w:hAnsi="Times New Roman"/>
          <w:sz w:val="20"/>
          <w:szCs w:val="20"/>
          <w:u w:val="single" w:color="auto"/>
          <w:color w:val="auto"/>
        </w:rPr>
        <w:t>Section 4.4(a)</w:t>
      </w:r>
      <w:r>
        <w:rPr>
          <w:rFonts w:ascii="Times New Roman" w:cs="Times New Roman" w:eastAsia="Times New Roman" w:hAnsi="Times New Roman"/>
          <w:sz w:val="20"/>
          <w:szCs w:val="20"/>
          <w:color w:val="auto"/>
        </w:rPr>
        <w:t xml:space="preserve"> [Unascertainable; Increased Costs] above, the Administrative Agent shall promptly notify the Lenders and the Borrower thereof, and in the case of an event specified in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[Illegality] above, such Lender shall promptly so notify the Administrative Agent and endorse a certificate to</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0"/>
          <w:szCs w:val="20"/>
          <w:color w:val="auto"/>
        </w:rPr>
        <w:t xml:space="preserve">such notice as to the specific circumstances of such notice, and the Administrative Agent shall promptly send copies of such notice and certificate to the other Lenders and the Borrower. Upon such date as shall be specified in such notice (which shall not be earlier than the date such notice is given), the obligation of (i) the Lenders, in the case of such notice given by the Administrative Agent, or (ii) such Lender, in the case of such notice given by such Lender, to allow the Borrower to select, convert to, renew or continue a Term SOFR Rate Loan or Daily SOFR Loan, as applicable, shall be suspended (to the extent of the affected Term SOFR Rate Loan or Interest Periods or Daily SOFR Loan) until the Administrative Agent shall have later notified the Borrower, or such Lender shall have later notified the Administrative Agent, of the Administrative Agent’s or such Lender’s, as the case may be, determination that the circumstances giving rise to such previous determination no longer exist. Upon a determination by Administrative Agent under </w:t>
      </w:r>
      <w:r>
        <w:rPr>
          <w:rFonts w:ascii="Times New Roman" w:cs="Times New Roman" w:eastAsia="Times New Roman" w:hAnsi="Times New Roman"/>
          <w:sz w:val="20"/>
          <w:szCs w:val="20"/>
          <w:u w:val="single" w:color="auto"/>
          <w:color w:val="auto"/>
        </w:rPr>
        <w:t>Section 4.4(a)</w:t>
      </w:r>
      <w:r>
        <w:rPr>
          <w:rFonts w:ascii="Times New Roman" w:cs="Times New Roman" w:eastAsia="Times New Roman" w:hAnsi="Times New Roman"/>
          <w:sz w:val="20"/>
          <w:szCs w:val="20"/>
          <w:color w:val="auto"/>
        </w:rPr>
        <w:t xml:space="preserve"> [Unascertainable; Increased Costs], (i) if the Borrower has previously notified the Administrative Agent of its selection of, conversion to or renewal of a Term SOFR Rate Option or Daily SOFR Option and the Term SOFR Rate Option or Daily SOFR Option has not yet gone into effect, such notification shall be deemed to provide for selection of, conversion to or renewal of a Base Rate Loan,</w:t>
      </w:r>
    </w:p>
    <w:p>
      <w:pPr>
        <w:spacing w:after="0" w:line="7" w:lineRule="exact"/>
        <w:rPr>
          <w:sz w:val="20"/>
          <w:szCs w:val="20"/>
          <w:color w:val="auto"/>
        </w:rPr>
      </w:pPr>
    </w:p>
    <w:p>
      <w:pPr>
        <w:jc w:val="both"/>
        <w:ind w:firstLine="2"/>
        <w:spacing w:after="0" w:line="226" w:lineRule="auto"/>
        <w:tabs>
          <w:tab w:leader="none" w:pos="307"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outstanding affected Daily SOFR Loans will be deemed to have been converted into Base Rate Loans immediately, and (iii) any outstanding affected Term SOFR Rate Loans will be deemed to have been converted into Base Rate Loans at the end of the applicable Interest Period.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320" w:right="339" w:bottom="1440" w:gutter="0" w:footer="0" w:header="0"/>
        </w:sectPr>
      </w:pPr>
    </w:p>
    <w:bookmarkStart w:id="234" w:name="page235"/>
    <w:bookmarkEnd w:id="234"/>
    <w:p>
      <w:pPr>
        <w:jc w:val="both"/>
        <w:spacing w:after="0"/>
        <w:rPr>
          <w:sz w:val="20"/>
          <w:szCs w:val="20"/>
          <w:color w:val="auto"/>
        </w:rPr>
      </w:pPr>
      <w:r>
        <w:rPr>
          <w:rFonts w:ascii="Times New Roman" w:cs="Times New Roman" w:eastAsia="Times New Roman" w:hAnsi="Times New Roman"/>
          <w:sz w:val="20"/>
          <w:szCs w:val="20"/>
          <w:color w:val="auto"/>
        </w:rPr>
        <w:t xml:space="preserve">Lender notifies the Administrative Agent of a determination under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[Illegality], the Borrower shall, subject to the Borrower’s indemnification Obligations under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[Indemnity], as to any Loan of the Lender to which a Term SOFR Rate Option or Daily SOFR Option applies, on the date specified in such notice either convert such Loan to a Base Rate Loan otherwise available with respect to such Loan or prepay such Loan in accordance with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[Voluntary Prepayments]. Absent due notice from the Borrower of conversion or prepayment, such Loan shall automatically be converted to a Base Rate Loan upon such specified date.</w:t>
      </w:r>
    </w:p>
    <w:p>
      <w:pPr>
        <w:spacing w:after="0" w:line="276" w:lineRule="exact"/>
        <w:rPr>
          <w:sz w:val="20"/>
          <w:szCs w:val="20"/>
          <w:color w:val="auto"/>
        </w:rPr>
      </w:pPr>
    </w:p>
    <w:p>
      <w:pPr>
        <w:ind w:left="1840" w:hanging="616"/>
        <w:spacing w:after="0"/>
        <w:tabs>
          <w:tab w:leader="none" w:pos="18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Setting</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jc w:val="both"/>
        <w:ind w:left="540" w:firstLine="1219"/>
        <w:spacing w:after="0" w:line="217" w:lineRule="auto"/>
        <w:tabs>
          <w:tab w:leader="none" w:pos="2438"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Notwithstanding anything to the contrary herein or in any other Loan Document (and any agreement executed in connection with an Interest Rate Hedge shall be deemed not to be a “Loan Document” for purposes of this Section titled “Benchmark Replacement Setting”), if a Benchmark Transition Event and its related Benchmark Replacement Date have occurred prior to any setting of the then-current Benchmark, then (A)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(Eastern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45" w:lineRule="exact"/>
        <w:rPr>
          <w:rFonts w:ascii="Times New Roman" w:cs="Times New Roman" w:eastAsia="Times New Roman" w:hAnsi="Times New Roman"/>
          <w:sz w:val="20"/>
          <w:szCs w:val="20"/>
          <w:color w:val="auto"/>
        </w:rPr>
      </w:pPr>
    </w:p>
    <w:p>
      <w:pPr>
        <w:jc w:val="both"/>
        <w:ind w:left="540" w:firstLine="1219"/>
        <w:spacing w:after="0" w:line="225" w:lineRule="auto"/>
        <w:tabs>
          <w:tab w:leader="none" w:pos="244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44" w:lineRule="exact"/>
        <w:rPr>
          <w:rFonts w:ascii="Times New Roman" w:cs="Times New Roman" w:eastAsia="Times New Roman" w:hAnsi="Times New Roman"/>
          <w:sz w:val="20"/>
          <w:szCs w:val="20"/>
          <w:color w:val="auto"/>
        </w:rPr>
      </w:pPr>
    </w:p>
    <w:p>
      <w:pPr>
        <w:jc w:val="both"/>
        <w:ind w:left="540" w:firstLine="1219"/>
        <w:spacing w:after="0" w:line="219" w:lineRule="auto"/>
        <w:tabs>
          <w:tab w:leader="none" w:pos="2450"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paragraph (iv) below and (y)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24" w:right="339" w:bottom="1440" w:gutter="0" w:footer="0" w:header="0"/>
        </w:sectPr>
      </w:pPr>
    </w:p>
    <w:bookmarkStart w:id="235" w:name="page236"/>
    <w:bookmarkEnd w:id="235"/>
    <w:p>
      <w:pPr>
        <w:ind w:left="3"/>
        <w:spacing w:after="0"/>
        <w:rPr>
          <w:sz w:val="20"/>
          <w:szCs w:val="20"/>
          <w:color w:val="auto"/>
        </w:rPr>
      </w:pPr>
      <w:r>
        <w:rPr>
          <w:rFonts w:ascii="Times New Roman" w:cs="Times New Roman" w:eastAsia="Times New Roman" w:hAnsi="Times New Roman"/>
          <w:sz w:val="20"/>
          <w:szCs w:val="20"/>
          <w:color w:val="auto"/>
        </w:rPr>
        <w:t>this Agreement or any other Loan Document except, in each case, as expressly required pursuant to this Section.</w:t>
      </w:r>
    </w:p>
    <w:p>
      <w:pPr>
        <w:spacing w:after="0" w:line="178" w:lineRule="exact"/>
        <w:rPr>
          <w:sz w:val="20"/>
          <w:szCs w:val="20"/>
          <w:color w:val="auto"/>
        </w:rPr>
      </w:pPr>
    </w:p>
    <w:p>
      <w:pPr>
        <w:jc w:val="both"/>
        <w:ind w:left="3" w:firstLine="1219"/>
        <w:spacing w:after="0" w:line="215" w:lineRule="auto"/>
        <w:tabs>
          <w:tab w:leader="none" w:pos="1902"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w:t>
      </w:r>
    </w:p>
    <w:p>
      <w:pPr>
        <w:spacing w:after="0" w:line="1" w:lineRule="exact"/>
        <w:rPr>
          <w:rFonts w:ascii="Times New Roman" w:cs="Times New Roman" w:eastAsia="Times New Roman" w:hAnsi="Times New Roman"/>
          <w:sz w:val="20"/>
          <w:szCs w:val="20"/>
          <w:color w:val="auto"/>
        </w:rPr>
      </w:pPr>
    </w:p>
    <w:p>
      <w:pPr>
        <w:jc w:val="both"/>
        <w:ind w:left="3" w:hanging="3"/>
        <w:spacing w:after="0" w:line="226" w:lineRule="auto"/>
        <w:tabs>
          <w:tab w:leader="none" w:pos="34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43" w:lineRule="exact"/>
        <w:rPr>
          <w:rFonts w:ascii="Times New Roman" w:cs="Times New Roman" w:eastAsia="Times New Roman" w:hAnsi="Times New Roman"/>
          <w:sz w:val="20"/>
          <w:szCs w:val="20"/>
          <w:color w:val="auto"/>
        </w:rPr>
      </w:pPr>
    </w:p>
    <w:p>
      <w:pPr>
        <w:jc w:val="both"/>
        <w:ind w:left="3" w:firstLine="1219"/>
        <w:spacing w:after="0" w:line="220" w:lineRule="auto"/>
        <w:tabs>
          <w:tab w:leader="none" w:pos="1909"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Borrower’s receipt of notice of the commencement of a Benchmark Unavailability Period with respect to a given Benchmark, the Borrower may revoke any pending request for a Loan bearing interest based on or with reference to such Benchmark or conversion to or continuation of Loans bearing interest based on or with reference to such Benchmark to be made, converted or continued during any Benchmark Unavailability Period and, failing that, the Borrower will be deemed to have converted any such request into a request for a Base Rate Loan or conversion to a Base Rate Loan.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47" w:lineRule="exact"/>
        <w:rPr>
          <w:rFonts w:ascii="Times New Roman" w:cs="Times New Roman" w:eastAsia="Times New Roman" w:hAnsi="Times New Roman"/>
          <w:sz w:val="20"/>
          <w:szCs w:val="20"/>
          <w:color w:val="auto"/>
        </w:rPr>
      </w:pPr>
    </w:p>
    <w:p>
      <w:pPr>
        <w:ind w:left="1903" w:hanging="681"/>
        <w:spacing w:after="0"/>
        <w:tabs>
          <w:tab w:leader="none" w:pos="1903"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As used in this Section:</w:t>
      </w:r>
    </w:p>
    <w:p>
      <w:pPr>
        <w:spacing w:after="0" w:line="203" w:lineRule="exact"/>
        <w:rPr>
          <w:sz w:val="20"/>
          <w:szCs w:val="20"/>
          <w:color w:val="auto"/>
        </w:rPr>
      </w:pPr>
    </w:p>
    <w:p>
      <w:pPr>
        <w:jc w:val="both"/>
        <w:ind w:left="683" w:firstLine="611"/>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clause (iv) of this Section.</w:t>
      </w:r>
    </w:p>
    <w:p>
      <w:pPr>
        <w:spacing w:after="0" w:line="182" w:lineRule="exact"/>
        <w:rPr>
          <w:sz w:val="20"/>
          <w:szCs w:val="20"/>
          <w:color w:val="auto"/>
        </w:rPr>
      </w:pPr>
    </w:p>
    <w:p>
      <w:pPr>
        <w:jc w:val="both"/>
        <w:ind w:left="683" w:firstLine="61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SOFR and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then-current Benchmark, then “Benchmark” means the applicable Benchmark Replacement to the extent that such Benchmark Replacement has replaced such prior benchmark rate pursuant to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0703"/>
          </w:cols>
          <w:pgMar w:left="857" w:top="1324" w:right="339" w:bottom="1440" w:gutter="0" w:footer="0" w:header="0"/>
        </w:sectPr>
      </w:pPr>
    </w:p>
    <w:bookmarkStart w:id="236" w:name="page237"/>
    <w:bookmarkEnd w:id="236"/>
    <w:p>
      <w:pPr>
        <w:ind w:left="100" w:firstLine="216"/>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with respect to any Benchmark Transition Event, the first alternative set forth in the order below that can be determined by the Administrative Agent for the applicable Benchmark Replacement Date:</w:t>
      </w:r>
    </w:p>
    <w:p>
      <w:pPr>
        <w:spacing w:after="0" w:line="108" w:lineRule="exact"/>
        <w:rPr>
          <w:sz w:val="20"/>
          <w:szCs w:val="20"/>
          <w:color w:val="auto"/>
        </w:rPr>
      </w:pPr>
    </w:p>
    <w:p>
      <w:pPr>
        <w:ind w:left="2540" w:hanging="602"/>
        <w:spacing w:after="0"/>
        <w:tabs>
          <w:tab w:leader="none" w:pos="254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Daily Simple SOFR;</w:t>
      </w:r>
    </w:p>
    <w:p>
      <w:pPr>
        <w:spacing w:after="0" w:line="177" w:lineRule="exact"/>
        <w:rPr>
          <w:rFonts w:ascii="Times New Roman" w:cs="Times New Roman" w:eastAsia="Times New Roman" w:hAnsi="Times New Roman"/>
          <w:sz w:val="20"/>
          <w:szCs w:val="20"/>
          <w:color w:val="auto"/>
        </w:rPr>
      </w:pPr>
    </w:p>
    <w:p>
      <w:pPr>
        <w:jc w:val="both"/>
        <w:ind w:left="720" w:firstLine="1218"/>
        <w:spacing w:after="0" w:line="223" w:lineRule="auto"/>
        <w:tabs>
          <w:tab w:leader="none" w:pos="2549"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Borrower,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U.S. dollar-denominated syndicated credit facilities at such time and (B) the related Benchmark Replacement Adjustment;</w:t>
      </w:r>
    </w:p>
    <w:p>
      <w:pPr>
        <w:spacing w:after="0" w:line="170" w:lineRule="exact"/>
        <w:rPr>
          <w:sz w:val="20"/>
          <w:szCs w:val="20"/>
          <w:color w:val="auto"/>
        </w:rPr>
      </w:pPr>
    </w:p>
    <w:p>
      <w:pPr>
        <w:jc w:val="both"/>
        <w:ind w:left="720" w:firstLine="611"/>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Benchmark Replacement as determined pursuant to the foregoing would be less than the Floor, the Benchmark Replacement will be deemed to be the Floor for the purposes of this Agreement and the other Loan Documents;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Benchmark Replacement shall be administratively feasible as determined by the Administrative Agent in its sole discretion.</w:t>
      </w:r>
    </w:p>
    <w:p>
      <w:pPr>
        <w:spacing w:after="0" w:line="153" w:lineRule="exact"/>
        <w:rPr>
          <w:sz w:val="20"/>
          <w:szCs w:val="20"/>
          <w:color w:val="auto"/>
        </w:rPr>
      </w:pPr>
    </w:p>
    <w:p>
      <w:pPr>
        <w:jc w:val="both"/>
        <w:ind w:left="100" w:firstLine="216"/>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64" w:lineRule="exact"/>
        <w:rPr>
          <w:sz w:val="20"/>
          <w:szCs w:val="20"/>
          <w:color w:val="auto"/>
        </w:rPr>
      </w:pPr>
    </w:p>
    <w:p>
      <w:pPr>
        <w:jc w:val="both"/>
        <w:ind w:left="100" w:firstLine="611"/>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a date and time determined by the Administrative Agent, which date shall be no later than the earliest to occur of the following events with respect to the then-current Benchmark:</w:t>
      </w:r>
    </w:p>
    <w:p>
      <w:pPr>
        <w:spacing w:after="0" w:line="159" w:lineRule="exact"/>
        <w:rPr>
          <w:sz w:val="20"/>
          <w:szCs w:val="20"/>
          <w:color w:val="auto"/>
        </w:rPr>
      </w:pPr>
    </w:p>
    <w:p>
      <w:pPr>
        <w:ind w:left="1940" w:hanging="613"/>
        <w:spacing w:after="0"/>
        <w:tabs>
          <w:tab w:leader="none" w:pos="194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in the case of clause (1) or (2) of the definition of “Benchmark Transition Event,” the later of</w:t>
      </w:r>
    </w:p>
    <w:p>
      <w:pPr>
        <w:spacing w:after="0" w:line="33" w:lineRule="exact"/>
        <w:rPr>
          <w:rFonts w:ascii="Times New Roman" w:cs="Times New Roman" w:eastAsia="Times New Roman" w:hAnsi="Times New Roman"/>
          <w:sz w:val="20"/>
          <w:szCs w:val="20"/>
          <w:color w:val="auto"/>
        </w:rPr>
      </w:pPr>
    </w:p>
    <w:p>
      <w:pPr>
        <w:jc w:val="both"/>
        <w:ind w:left="100" w:firstLine="4"/>
        <w:spacing w:after="0" w:line="266" w:lineRule="auto"/>
        <w:tabs>
          <w:tab w:leader="none" w:pos="472"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the public statement or publication of information referenced therein and (B) the date on which the administrator of such Benchmark (or the published component used in the calculation thereof) permanently or indefinitely ceases to provide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0120"/>
          </w:cols>
          <w:pgMar w:left="1440" w:top="1349" w:right="339" w:bottom="1440" w:gutter="0" w:footer="0" w:header="0"/>
        </w:sectPr>
      </w:pPr>
    </w:p>
    <w:bookmarkStart w:id="237" w:name="page238"/>
    <w:bookmarkEnd w:id="237"/>
    <w:p>
      <w:pPr>
        <w:ind w:left="100"/>
        <w:spacing w:after="0" w:line="289" w:lineRule="auto"/>
        <w:rPr>
          <w:sz w:val="20"/>
          <w:szCs w:val="20"/>
          <w:color w:val="auto"/>
        </w:rPr>
      </w:pPr>
      <w:r>
        <w:rPr>
          <w:rFonts w:ascii="Times New Roman" w:cs="Times New Roman" w:eastAsia="Times New Roman" w:hAnsi="Times New Roman"/>
          <w:sz w:val="20"/>
          <w:szCs w:val="20"/>
          <w:color w:val="auto"/>
        </w:rPr>
        <w:t>Benchmark (or such component thereof) or, if such Benchmark is a term rate or is based on a term rate, all Available Tenors of such Benchmark (or such component thereof); or</w:t>
      </w:r>
    </w:p>
    <w:p>
      <w:pPr>
        <w:spacing w:after="0" w:line="134" w:lineRule="exact"/>
        <w:rPr>
          <w:sz w:val="20"/>
          <w:szCs w:val="20"/>
          <w:color w:val="auto"/>
        </w:rPr>
      </w:pPr>
    </w:p>
    <w:p>
      <w:pPr>
        <w:jc w:val="both"/>
        <w:ind w:left="100" w:firstLine="1227"/>
        <w:spacing w:after="0" w:line="277" w:lineRule="auto"/>
        <w:tabs>
          <w:tab w:leader="none" w:pos="1929"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in the case of clause (3) of the definition of “Benchmark Transition Event,” the date determined by the Administrative Agent, which date shall promptly follow the date of the public statement or publication of information referenced therein;</w:t>
      </w:r>
    </w:p>
    <w:p>
      <w:pPr>
        <w:spacing w:after="0" w:line="146" w:lineRule="exact"/>
        <w:rPr>
          <w:rFonts w:ascii="Times New Roman" w:cs="Times New Roman" w:eastAsia="Times New Roman" w:hAnsi="Times New Roman"/>
          <w:sz w:val="20"/>
          <w:szCs w:val="20"/>
          <w:color w:val="auto"/>
        </w:rPr>
      </w:pPr>
    </w:p>
    <w:p>
      <w:pPr>
        <w:jc w:val="both"/>
        <w:ind w:left="100" w:firstLine="4"/>
        <w:spacing w:after="0" w:line="269" w:lineRule="auto"/>
        <w:tabs>
          <w:tab w:leader="none" w:pos="707"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53" w:lineRule="exact"/>
        <w:rPr>
          <w:sz w:val="20"/>
          <w:szCs w:val="20"/>
          <w:color w:val="auto"/>
        </w:rPr>
      </w:pPr>
    </w:p>
    <w:p>
      <w:pPr>
        <w:ind w:left="100" w:firstLine="239"/>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 Benchmark:</w:t>
      </w:r>
    </w:p>
    <w:p>
      <w:pPr>
        <w:spacing w:after="0" w:line="312" w:lineRule="exact"/>
        <w:rPr>
          <w:sz w:val="20"/>
          <w:szCs w:val="20"/>
          <w:color w:val="auto"/>
        </w:rPr>
      </w:pPr>
    </w:p>
    <w:p>
      <w:pPr>
        <w:jc w:val="both"/>
        <w:ind w:left="100" w:firstLine="1227"/>
        <w:spacing w:after="0" w:line="262" w:lineRule="auto"/>
        <w:tabs>
          <w:tab w:leader="none" w:pos="1929"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61" w:lineRule="exact"/>
        <w:rPr>
          <w:rFonts w:ascii="Times New Roman" w:cs="Times New Roman" w:eastAsia="Times New Roman" w:hAnsi="Times New Roman"/>
          <w:sz w:val="20"/>
          <w:szCs w:val="20"/>
          <w:color w:val="auto"/>
        </w:rPr>
      </w:pPr>
    </w:p>
    <w:p>
      <w:pPr>
        <w:jc w:val="both"/>
        <w:ind w:left="100" w:firstLine="1227"/>
        <w:spacing w:after="0" w:line="259" w:lineRule="auto"/>
        <w:tabs>
          <w:tab w:leader="none" w:pos="1929"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 a public statement or publication of information by an Official Body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such Benchmark (or such component thereof) or, if such Benchmark is a term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0120"/>
          </w:cols>
          <w:pgMar w:left="1440" w:top="1349" w:right="339" w:bottom="1440" w:gutter="0" w:footer="0" w:header="0"/>
        </w:sectPr>
      </w:pPr>
    </w:p>
    <w:bookmarkStart w:id="238" w:name="page239"/>
    <w:bookmarkEnd w:id="238"/>
    <w:p>
      <w:pPr>
        <w:ind w:left="1220"/>
        <w:spacing w:after="0"/>
        <w:rPr>
          <w:sz w:val="20"/>
          <w:szCs w:val="20"/>
          <w:color w:val="auto"/>
        </w:rPr>
      </w:pPr>
      <w:r>
        <w:rPr>
          <w:rFonts w:ascii="Times New Roman" w:cs="Times New Roman" w:eastAsia="Times New Roman" w:hAnsi="Times New Roman"/>
          <w:sz w:val="20"/>
          <w:szCs w:val="20"/>
          <w:color w:val="auto"/>
        </w:rPr>
        <w:t>or is based on a term rate, any Available Tenor of such Benchmark (or such component thereof); or</w:t>
      </w:r>
    </w:p>
    <w:p>
      <w:pPr>
        <w:spacing w:after="0" w:line="216" w:lineRule="exact"/>
        <w:rPr>
          <w:sz w:val="20"/>
          <w:szCs w:val="20"/>
          <w:color w:val="auto"/>
        </w:rPr>
      </w:pPr>
    </w:p>
    <w:p>
      <w:pPr>
        <w:jc w:val="both"/>
        <w:ind w:left="1220" w:firstLine="1227"/>
        <w:spacing w:after="0" w:line="265" w:lineRule="auto"/>
        <w:tabs>
          <w:tab w:leader="none" w:pos="3049"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a public statement or publication of information by the regulatory supervisor for the administrator of such Benchmark (or the published component used in the calculation thereof) or an Official Body having jurisdiction over the Administrative Agent announcing that such Benchmark (or such component thereof) or, if such Benchmark is a term rate or is based on a term rate, all Available Tenors of such Benchmark (or such component thereof) are not, or as of a specified future date will not be, representative.</w:t>
      </w:r>
    </w:p>
    <w:p>
      <w:pPr>
        <w:spacing w:after="0" w:line="156" w:lineRule="exact"/>
        <w:rPr>
          <w:rFonts w:ascii="Times New Roman" w:cs="Times New Roman" w:eastAsia="Times New Roman" w:hAnsi="Times New Roman"/>
          <w:sz w:val="20"/>
          <w:szCs w:val="20"/>
          <w:color w:val="auto"/>
        </w:rPr>
      </w:pPr>
    </w:p>
    <w:p>
      <w:pPr>
        <w:jc w:val="both"/>
        <w:ind w:left="1220" w:firstLine="1227"/>
        <w:spacing w:after="0" w:line="269" w:lineRule="auto"/>
        <w:tabs>
          <w:tab w:leader="none" w:pos="3049"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3" w:lineRule="exact"/>
        <w:rPr>
          <w:sz w:val="20"/>
          <w:szCs w:val="20"/>
          <w:color w:val="auto"/>
        </w:rPr>
      </w:pPr>
    </w:p>
    <w:p>
      <w:pPr>
        <w:jc w:val="both"/>
        <w:ind w:left="1220" w:firstLine="611"/>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this </w:t>
      </w:r>
      <w:r>
        <w:rPr>
          <w:rFonts w:ascii="Times New Roman" w:cs="Times New Roman" w:eastAsia="Times New Roman" w:hAnsi="Times New Roman"/>
          <w:sz w:val="20"/>
          <w:szCs w:val="20"/>
          <w:u w:val="single" w:color="auto"/>
          <w:color w:val="auto"/>
        </w:rPr>
        <w:t>Section 4.4(d)</w:t>
      </w:r>
      <w:r>
        <w:rPr>
          <w:rFonts w:ascii="Times New Roman" w:cs="Times New Roman" w:eastAsia="Times New Roman" w:hAnsi="Times New Roman"/>
          <w:sz w:val="20"/>
          <w:szCs w:val="20"/>
          <w:color w:val="auto"/>
        </w:rPr>
        <w:t xml:space="preserve"> titled “Benchmark Replacement Setting” and (y) ending at the time that a Benchmark Replacement has replaced the then-current Benchmark for all purposes hereunder and under any Loan Document in accordance with this </w:t>
      </w:r>
      <w:r>
        <w:rPr>
          <w:rFonts w:ascii="Times New Roman" w:cs="Times New Roman" w:eastAsia="Times New Roman" w:hAnsi="Times New Roman"/>
          <w:sz w:val="20"/>
          <w:szCs w:val="20"/>
          <w:u w:val="single" w:color="auto"/>
          <w:color w:val="auto"/>
        </w:rPr>
        <w:t>Section 4.4(d)</w:t>
      </w:r>
      <w:r>
        <w:rPr>
          <w:rFonts w:ascii="Times New Roman" w:cs="Times New Roman" w:eastAsia="Times New Roman" w:hAnsi="Times New Roman"/>
          <w:sz w:val="20"/>
          <w:szCs w:val="20"/>
          <w:color w:val="auto"/>
        </w:rPr>
        <w:t xml:space="preserve"> titled “Benchmark Replacement Setting.”</w:t>
      </w:r>
    </w:p>
    <w:p>
      <w:pPr>
        <w:spacing w:after="0" w:line="200" w:lineRule="exact"/>
        <w:rPr>
          <w:sz w:val="20"/>
          <w:szCs w:val="20"/>
          <w:color w:val="auto"/>
        </w:rPr>
      </w:pPr>
    </w:p>
    <w:p>
      <w:pPr>
        <w:spacing w:after="0" w:line="234" w:lineRule="exact"/>
        <w:rPr>
          <w:sz w:val="20"/>
          <w:szCs w:val="20"/>
          <w:color w:val="auto"/>
        </w:rPr>
      </w:pPr>
    </w:p>
    <w:p>
      <w:pPr>
        <w:jc w:val="both"/>
        <w:ind w:left="1220" w:firstLine="611"/>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the benchmark rate floor, if any, provided in this Agreement initially (as of the execution of this Agreement, the modification, amendment or renewal of this Agreement or otherwise) with respect to the Term SOFR Rate or Daily SOFR, as applicable, or, if no floor is specified, zero.</w:t>
      </w:r>
    </w:p>
    <w:p>
      <w:pPr>
        <w:spacing w:after="0" w:line="189" w:lineRule="exact"/>
        <w:rPr>
          <w:sz w:val="20"/>
          <w:szCs w:val="20"/>
          <w:color w:val="auto"/>
        </w:rPr>
      </w:pPr>
    </w:p>
    <w:p>
      <w:pPr>
        <w:jc w:val="both"/>
        <w:ind w:left="1220" w:firstLine="611"/>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76" w:lineRule="exact"/>
        <w:rPr>
          <w:sz w:val="20"/>
          <w:szCs w:val="20"/>
          <w:color w:val="auto"/>
        </w:rPr>
      </w:pPr>
    </w:p>
    <w:p>
      <w:pPr>
        <w:jc w:val="both"/>
        <w:ind w:left="1220" w:firstLine="611"/>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47" w:lineRule="exact"/>
        <w:rPr>
          <w:sz w:val="20"/>
          <w:szCs w:val="20"/>
          <w:color w:val="auto"/>
        </w:rPr>
      </w:pPr>
    </w:p>
    <w:p>
      <w:pPr>
        <w:jc w:val="both"/>
        <w:ind w:firstLine="611"/>
        <w:spacing w:after="0" w:line="228" w:lineRule="auto"/>
        <w:rPr>
          <w:sz w:val="20"/>
          <w:szCs w:val="20"/>
          <w:color w:val="auto"/>
        </w:rPr>
      </w:pPr>
      <w:r>
        <w:rPr>
          <w:rFonts w:ascii="Times New Roman" w:cs="Times New Roman" w:eastAsia="Times New Roman" w:hAnsi="Times New Roman"/>
          <w:sz w:val="20"/>
          <w:szCs w:val="20"/>
          <w:color w:val="auto"/>
        </w:rPr>
        <w:t xml:space="preserve">246.5 </w:t>
      </w:r>
      <w:r>
        <w:rPr>
          <w:rFonts w:ascii="Times New Roman" w:cs="Times New Roman" w:eastAsia="Times New Roman" w:hAnsi="Times New Roman"/>
          <w:sz w:val="20"/>
          <w:szCs w:val="20"/>
          <w:u w:val="single" w:color="auto"/>
          <w:color w:val="auto"/>
        </w:rPr>
        <w:t>Selection of Interest Rate Options</w:t>
      </w:r>
      <w:r>
        <w:rPr>
          <w:rFonts w:ascii="Times New Roman" w:cs="Times New Roman" w:eastAsia="Times New Roman" w:hAnsi="Times New Roman"/>
          <w:sz w:val="20"/>
          <w:szCs w:val="20"/>
          <w:color w:val="auto"/>
        </w:rPr>
        <w:t xml:space="preserve">. If Borrower fails to select a new Interest Period to apply to any Borrowing Tranche of Loans under the Term SOFR Rate Option at the expiration of an existing Interest Period applicable to such Borrowing Tranche in accordance with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[Revolving Credit Loan Requests; Loan Conversions and Renewals; Swingline Loan Requests], the Borrower shall be deemed to have converted such Borrowing Tranche to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349" w:right="339" w:bottom="1440" w:gutter="0" w:footer="0" w:header="0"/>
        </w:sectPr>
      </w:pPr>
    </w:p>
    <w:bookmarkStart w:id="239" w:name="page240"/>
    <w:bookmarkEnd w:id="239"/>
    <w:p>
      <w:pPr>
        <w:jc w:val="both"/>
        <w:spacing w:after="0" w:line="218" w:lineRule="auto"/>
        <w:rPr>
          <w:sz w:val="20"/>
          <w:szCs w:val="20"/>
          <w:color w:val="auto"/>
        </w:rPr>
      </w:pPr>
      <w:r>
        <w:rPr>
          <w:rFonts w:ascii="Times New Roman" w:cs="Times New Roman" w:eastAsia="Times New Roman" w:hAnsi="Times New Roman"/>
          <w:sz w:val="20"/>
          <w:szCs w:val="20"/>
          <w:color w:val="auto"/>
        </w:rPr>
        <w:t>Base Rate Option, as applicable to Revolving Credit Loans, commencing upon the last day of the existing Interest Period. If the Borrower provides any Loan Request related to a Loan at the Term SOFR Rate Option but fails to identify an Interest Period therefor, such Loan Request shall be deemed to request an Interest Period of one (1) month. Any Loan Request that fails to select an Interest Rate Option shall be deemed to be a request for the Base Rate Option.</w:t>
      </w:r>
    </w:p>
    <w:p>
      <w:pPr>
        <w:jc w:val="center"/>
        <w:spacing w:after="0" w:line="214" w:lineRule="auto"/>
        <w:rPr>
          <w:sz w:val="20"/>
          <w:szCs w:val="20"/>
          <w:color w:val="auto"/>
        </w:rPr>
      </w:pPr>
      <w:r>
        <w:rPr>
          <w:rFonts w:ascii="Times New Roman" w:cs="Times New Roman" w:eastAsia="Times New Roman" w:hAnsi="Times New Roman"/>
          <w:sz w:val="20"/>
          <w:szCs w:val="20"/>
          <w:color w:val="auto"/>
        </w:rPr>
        <w:t>ARTICLE 247</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PAYMENTS; TAXES; YIELD MAINTENANCE</w:t>
      </w:r>
    </w:p>
    <w:p>
      <w:pPr>
        <w:spacing w:after="0" w:line="156" w:lineRule="exact"/>
        <w:rPr>
          <w:sz w:val="20"/>
          <w:szCs w:val="20"/>
          <w:color w:val="auto"/>
        </w:rPr>
      </w:pPr>
    </w:p>
    <w:p>
      <w:pPr>
        <w:jc w:val="both"/>
        <w:ind w:firstLine="611"/>
        <w:spacing w:after="0" w:line="214" w:lineRule="auto"/>
        <w:rPr>
          <w:sz w:val="20"/>
          <w:szCs w:val="20"/>
          <w:color w:val="auto"/>
        </w:rPr>
      </w:pPr>
      <w:r>
        <w:rPr>
          <w:rFonts w:ascii="Times New Roman" w:cs="Times New Roman" w:eastAsia="Times New Roman" w:hAnsi="Times New Roman"/>
          <w:sz w:val="20"/>
          <w:szCs w:val="20"/>
          <w:color w:val="auto"/>
        </w:rPr>
        <w:t xml:space="preserve">247.1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All payments and prepayments to be made in respect of principal, interest, Commitment Fees, Letter of Credit Fees, Administrative Agent’s Fee or other fees or amounts due from the hereunder shall be payable prior to 11:00 a.m. Eastern Time on the date when due without presentment, demand, protest or notice of any kind, all of which are hereby expressly waived by the Borrower, and without set-off, counterclaim or other deduction of any nature, and an action therefor shall immediately accrue. Such payments shall be made to the Administrative Agent at the Principal Office for the account of the Swingline Loan Lender with respect to the Swingline Loans and for the ratable accounts of the Lenders with respect to the Revolving Credit Loans in U.S. Dollars and in immediately available funds, and the Administrative Agent shall promptly distribute such amounts to the Lenders in immediately available funds;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payments are received by 11:00 a.m. Eastern Time by the Administrative Agent with respect to the Loans and such payments are not distributed to the Lenders on the same day received by the Administrative Agent, the Administrative Agent shall pay the Lenders interest at the Effective Federal Funds Rate with respect to the amount of such payments for each day held by the Administrative Agent and not distributed to the Lenders. The Administrative Agent’s statement of account, ledger or other relevant record shall, in the absence of manifest error, be conclusive as the statement of the amount of principal of and interest on the Loans and other amounts owing under this Agreement.</w:t>
      </w:r>
    </w:p>
    <w:p>
      <w:pPr>
        <w:ind w:left="620"/>
        <w:spacing w:after="0" w:line="217" w:lineRule="auto"/>
        <w:rPr>
          <w:sz w:val="20"/>
          <w:szCs w:val="20"/>
          <w:color w:val="auto"/>
        </w:rPr>
      </w:pPr>
      <w:r>
        <w:rPr>
          <w:rFonts w:ascii="Times New Roman" w:cs="Times New Roman" w:eastAsia="Times New Roman" w:hAnsi="Times New Roman"/>
          <w:sz w:val="20"/>
          <w:szCs w:val="20"/>
          <w:color w:val="auto"/>
        </w:rPr>
        <w:t xml:space="preserve">247.2  </w:t>
      </w:r>
      <w:r>
        <w:rPr>
          <w:rFonts w:ascii="Times New Roman" w:cs="Times New Roman" w:eastAsia="Times New Roman" w:hAnsi="Times New Roman"/>
          <w:sz w:val="20"/>
          <w:szCs w:val="20"/>
          <w:u w:val="single" w:color="auto"/>
          <w:color w:val="auto"/>
        </w:rPr>
        <w:t>Voluntary Prepayments</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firstLine="1224"/>
        <w:spacing w:after="0" w:line="218" w:lineRule="auto"/>
        <w:tabs>
          <w:tab w:leader="none" w:pos="1831"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Prepay</w:t>
      </w:r>
      <w:r>
        <w:rPr>
          <w:rFonts w:ascii="Times New Roman" w:cs="Times New Roman" w:eastAsia="Times New Roman" w:hAnsi="Times New Roman"/>
          <w:sz w:val="20"/>
          <w:szCs w:val="20"/>
          <w:color w:val="auto"/>
        </w:rPr>
        <w:t xml:space="preserve">. The Borrower shall have the right at its option from time to time to prepay the Loans in whole or part without premium or penalty (except as provided in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[Replacement of a Lender] below, in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[Increased Costs] and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[Indemnity]). Whenever the Borrower desires to prepay any part of the Loans, it shall provide a prepayment notice to the Administrative Agent by 1:00 p.m. Eastern Time at least one (1) Business Day prior to the date of prepayment of the Revolving Credit Loans that bear interest at the Base Rate Option and at least three (3) Business Days prior to the date of prepayment of the Revolving Credit Loans that bear interest at the Term SOFR Rate Option or Daily SOFR Option, or no later than 1:00 p.m. Eastern Time on the date of prepayment of Swingline Loans, setting forth the following information:</w:t>
      </w:r>
    </w:p>
    <w:p>
      <w:pPr>
        <w:spacing w:after="0" w:line="145" w:lineRule="exact"/>
        <w:rPr>
          <w:rFonts w:ascii="Times New Roman" w:cs="Times New Roman" w:eastAsia="Times New Roman" w:hAnsi="Times New Roman"/>
          <w:sz w:val="20"/>
          <w:szCs w:val="20"/>
          <w:color w:val="auto"/>
        </w:rPr>
      </w:pPr>
    </w:p>
    <w:p>
      <w:pPr>
        <w:ind w:left="2440" w:hanging="681"/>
        <w:spacing w:after="0"/>
        <w:tabs>
          <w:tab w:leader="none" w:pos="2440"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which shall be a Business Day, on which the proposed prepayment is to be made;</w:t>
      </w:r>
    </w:p>
    <w:p>
      <w:pPr>
        <w:spacing w:after="0" w:line="173" w:lineRule="exact"/>
        <w:rPr>
          <w:rFonts w:ascii="Times New Roman" w:cs="Times New Roman" w:eastAsia="Times New Roman" w:hAnsi="Times New Roman"/>
          <w:sz w:val="20"/>
          <w:szCs w:val="20"/>
          <w:color w:val="auto"/>
        </w:rPr>
      </w:pPr>
    </w:p>
    <w:p>
      <w:pPr>
        <w:ind w:left="2440" w:hanging="681"/>
        <w:spacing w:after="0"/>
        <w:tabs>
          <w:tab w:leader="none" w:pos="2440"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indicating the application of the prepayment between the Revolving Credit Loans and</w:t>
      </w:r>
    </w:p>
    <w:p>
      <w:pPr>
        <w:ind w:left="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Swingline Loans;</w:t>
      </w:r>
    </w:p>
    <w:p>
      <w:pPr>
        <w:spacing w:after="0" w:line="155" w:lineRule="exact"/>
        <w:rPr>
          <w:rFonts w:ascii="Times New Roman" w:cs="Times New Roman" w:eastAsia="Times New Roman" w:hAnsi="Times New Roman"/>
          <w:sz w:val="20"/>
          <w:szCs w:val="20"/>
          <w:color w:val="auto"/>
        </w:rPr>
      </w:pPr>
    </w:p>
    <w:p>
      <w:pPr>
        <w:ind w:left="540" w:firstLine="1219"/>
        <w:spacing w:after="0" w:line="249" w:lineRule="auto"/>
        <w:tabs>
          <w:tab w:leader="none" w:pos="2450"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indicating the application of the prepayment between Loans to which the Base Rate Option applies and Loans to which the Term SOFR Rate Option applies and Loans to which the Daily SOFR Option applies; and</w:t>
      </w:r>
    </w:p>
    <w:p>
      <w:pPr>
        <w:spacing w:after="0" w:line="134" w:lineRule="exact"/>
        <w:rPr>
          <w:rFonts w:ascii="Times New Roman" w:cs="Times New Roman" w:eastAsia="Times New Roman" w:hAnsi="Times New Roman"/>
          <w:sz w:val="20"/>
          <w:szCs w:val="20"/>
          <w:color w:val="auto"/>
        </w:rPr>
      </w:pPr>
    </w:p>
    <w:p>
      <w:pPr>
        <w:ind w:left="540" w:firstLine="1219"/>
        <w:spacing w:after="0" w:line="249" w:lineRule="auto"/>
        <w:tabs>
          <w:tab w:leader="none" w:pos="2438"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principal amount of such prepayment, which shall not be less than the lesser of (A) the Revolving Facility Usage or (B) $1,000,000 for any Swingline Loan or $1,000,000 for any Revolving Credit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324" w:right="339" w:bottom="1440" w:gutter="0" w:footer="0" w:header="0"/>
        </w:sectPr>
      </w:pPr>
    </w:p>
    <w:bookmarkStart w:id="240" w:name="page241"/>
    <w:bookmarkEnd w:id="240"/>
    <w:p>
      <w:pPr>
        <w:jc w:val="both"/>
        <w:ind w:firstLine="1223"/>
        <w:spacing w:after="0" w:line="262" w:lineRule="auto"/>
        <w:rPr>
          <w:sz w:val="20"/>
          <w:szCs w:val="20"/>
          <w:color w:val="auto"/>
        </w:rPr>
      </w:pPr>
      <w:r>
        <w:rPr>
          <w:rFonts w:ascii="Times New Roman" w:cs="Times New Roman" w:eastAsia="Times New Roman" w:hAnsi="Times New Roman"/>
          <w:sz w:val="20"/>
          <w:szCs w:val="20"/>
          <w:color w:val="auto"/>
        </w:rPr>
        <w:t xml:space="preserve">ARTICLE 248All prepayment notices shall be irrevocable. The principal amount of the Loans for which a prepayment notice is given, together with interest on such principal amount, shall be due and payable on the date specified in such prepayment notice as the date on which the proposed prepayment is to be made. Except as provided in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xml:space="preserve"> [Administrative Agent’s and Lender’s Rights], if the Borrower prepays a Loan but fails to specify the applicable Borrowing Tranche which the Borrower is prepaying, the prepayment shall be applied first to Base Rate Loans, then to Daily SOFR Loans, then to Term SOFR Rate Loans. Any prepayment hereunder shall be subject to the Borrower’s Obligation to indemnify the Lenders under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[Indemnity].</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248.1  </w:t>
      </w: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w:t>
      </w:r>
    </w:p>
    <w:p>
      <w:pPr>
        <w:jc w:val="both"/>
        <w:ind w:firstLine="1224"/>
        <w:spacing w:after="0" w:line="223" w:lineRule="auto"/>
        <w:tabs>
          <w:tab w:leader="none" w:pos="1831"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Facility Usage</w:t>
      </w:r>
      <w:r>
        <w:rPr>
          <w:rFonts w:ascii="Times New Roman" w:cs="Times New Roman" w:eastAsia="Times New Roman" w:hAnsi="Times New Roman"/>
          <w:sz w:val="20"/>
          <w:szCs w:val="20"/>
          <w:color w:val="auto"/>
        </w:rPr>
        <w:t>. If the Administrative Agent notifies the Borrower at any time that the aggregate Revolving Facility Usage exceeds the aggregate Revolving Credit Commitment then, within two (2) Business Days after receipt of such notice, the Borrower shall prepay the Loans or Cash Collateralize Letters of Credit in an aggregate amount sufficient to reduce such amount as of such date of payment to an amount not to exceed the aggregate Revolving Credit Commitment.</w:t>
      </w:r>
    </w:p>
    <w:p>
      <w:pPr>
        <w:spacing w:after="0" w:line="141"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29"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Among Interest Rate Options</w:t>
      </w:r>
      <w:r>
        <w:rPr>
          <w:rFonts w:ascii="Times New Roman" w:cs="Times New Roman" w:eastAsia="Times New Roman" w:hAnsi="Times New Roman"/>
          <w:sz w:val="20"/>
          <w:szCs w:val="20"/>
          <w:color w:val="auto"/>
        </w:rPr>
        <w:t xml:space="preserve">. All prepayments required pursuant to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shall be applied first to Base Rate Loans, then to Term SOFR Rate Loans. In accordance with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[Indemnity], the Borrower shall indemnify the Lenders for any loss or expense, including loss of margin, incurred with respect to any such prepayments applied against Loans subject to a Term SOFR Rate Option on any day other than the last day of the applicable Interest Period.</w:t>
      </w:r>
    </w:p>
    <w:p>
      <w:pPr>
        <w:spacing w:after="0" w:line="145" w:lineRule="exact"/>
        <w:rPr>
          <w:sz w:val="20"/>
          <w:szCs w:val="20"/>
          <w:color w:val="auto"/>
        </w:rPr>
      </w:pPr>
    </w:p>
    <w:p>
      <w:pPr>
        <w:jc w:val="both"/>
        <w:ind w:firstLine="611"/>
        <w:spacing w:after="0" w:line="214" w:lineRule="auto"/>
        <w:rPr>
          <w:sz w:val="20"/>
          <w:szCs w:val="20"/>
          <w:color w:val="auto"/>
        </w:rPr>
      </w:pPr>
      <w:r>
        <w:rPr>
          <w:rFonts w:ascii="Times New Roman" w:cs="Times New Roman" w:eastAsia="Times New Roman" w:hAnsi="Times New Roman"/>
          <w:sz w:val="20"/>
          <w:szCs w:val="20"/>
          <w:color w:val="auto"/>
        </w:rPr>
        <w:t xml:space="preserve">248.2 </w:t>
      </w:r>
      <w:r>
        <w:rPr>
          <w:rFonts w:ascii="Times New Roman" w:cs="Times New Roman" w:eastAsia="Times New Roman" w:hAnsi="Times New Roman"/>
          <w:sz w:val="20"/>
          <w:szCs w:val="20"/>
          <w:u w:val="single" w:color="auto"/>
          <w:color w:val="auto"/>
        </w:rPr>
        <w:t>Pro Rata Treatment of Lenders</w:t>
      </w:r>
      <w:r>
        <w:rPr>
          <w:rFonts w:ascii="Times New Roman" w:cs="Times New Roman" w:eastAsia="Times New Roman" w:hAnsi="Times New Roman"/>
          <w:sz w:val="20"/>
          <w:szCs w:val="20"/>
          <w:color w:val="auto"/>
        </w:rPr>
        <w:t xml:space="preserve">. Each borrowing of Revolving Credit Loans shall be allocated to each Lender according to its Ratable Share, and each selection of, conversion to or renewal of any Interest Rate Option and each payment or prepayment by the Borrower with respect to principal, interest, Commitment Fees and Letter of Credit Fees (but excluding the Administrative Agent’s Fee and the Issuing Lender’s fronting fee) shall (except as otherwise may be provided with respect to a Defaulting Lender and except as provided in </w:t>
      </w:r>
      <w:r>
        <w:rPr>
          <w:rFonts w:ascii="Times New Roman" w:cs="Times New Roman" w:eastAsia="Times New Roman" w:hAnsi="Times New Roman"/>
          <w:sz w:val="20"/>
          <w:szCs w:val="20"/>
          <w:u w:val="single" w:color="auto"/>
          <w:color w:val="auto"/>
        </w:rPr>
        <w:t>Sections 4.4(c)</w:t>
      </w:r>
      <w:r>
        <w:rPr>
          <w:rFonts w:ascii="Times New Roman" w:cs="Times New Roman" w:eastAsia="Times New Roman" w:hAnsi="Times New Roman"/>
          <w:sz w:val="20"/>
          <w:szCs w:val="20"/>
          <w:color w:val="auto"/>
        </w:rPr>
        <w:t xml:space="preserve"> [Administrative Agent’s and Lender’s Rights] in the case of an event specified in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[Rate Unascertainable; Etc.],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xml:space="preserve"> [Replacement of a Lender] or </w:t>
      </w:r>
      <w:r>
        <w:rPr>
          <w:rFonts w:ascii="Times New Roman" w:cs="Times New Roman" w:eastAsia="Times New Roman" w:hAnsi="Times New Roman"/>
          <w:sz w:val="20"/>
          <w:szCs w:val="20"/>
          <w:u w:val="single" w:color="auto"/>
          <w:color w:val="auto"/>
        </w:rPr>
        <w:t>5.8</w:t>
      </w:r>
      <w:r>
        <w:rPr>
          <w:rFonts w:ascii="Times New Roman" w:cs="Times New Roman" w:eastAsia="Times New Roman" w:hAnsi="Times New Roman"/>
          <w:sz w:val="20"/>
          <w:szCs w:val="20"/>
          <w:color w:val="auto"/>
        </w:rPr>
        <w:t xml:space="preserve"> [Increased Costs]) be payable ratably among the Lenders entitled to such payment in accordance with the amount of principal, interest, Commitment Fees and Letter of Credit Fees, as specified in this Agreement. Notwithstanding any of the foregoing, each borrowing or payment or prepayment by the Borrower of principal, interest, fees or other amounts from the Borrower with respect to Swingline Loans shall be made by or to the Swingline Loan Lender according to </w:t>
      </w:r>
      <w:r>
        <w:rPr>
          <w:rFonts w:ascii="Times New Roman" w:cs="Times New Roman" w:eastAsia="Times New Roman" w:hAnsi="Times New Roman"/>
          <w:sz w:val="20"/>
          <w:szCs w:val="20"/>
          <w:u w:val="single" w:color="auto"/>
          <w:color w:val="auto"/>
        </w:rPr>
        <w:t>Section 2.6.(e)</w:t>
      </w:r>
      <w:r>
        <w:rPr>
          <w:rFonts w:ascii="Times New Roman" w:cs="Times New Roman" w:eastAsia="Times New Roman" w:hAnsi="Times New Roman"/>
          <w:sz w:val="20"/>
          <w:szCs w:val="20"/>
          <w:color w:val="auto"/>
        </w:rPr>
        <w:t xml:space="preserve"> [Borrowings to Repay Swingline Loans].</w:t>
      </w:r>
    </w:p>
    <w:p>
      <w:pPr>
        <w:spacing w:after="0" w:line="9" w:lineRule="exact"/>
        <w:rPr>
          <w:sz w:val="20"/>
          <w:szCs w:val="20"/>
          <w:color w:val="auto"/>
        </w:rPr>
      </w:pPr>
    </w:p>
    <w:p>
      <w:pPr>
        <w:jc w:val="both"/>
        <w:ind w:firstLine="611"/>
        <w:spacing w:after="0" w:line="217" w:lineRule="auto"/>
        <w:rPr>
          <w:sz w:val="20"/>
          <w:szCs w:val="20"/>
          <w:color w:val="auto"/>
        </w:rPr>
      </w:pPr>
      <w:r>
        <w:rPr>
          <w:rFonts w:ascii="Times New Roman" w:cs="Times New Roman" w:eastAsia="Times New Roman" w:hAnsi="Times New Roman"/>
          <w:sz w:val="20"/>
          <w:szCs w:val="20"/>
          <w:color w:val="auto"/>
        </w:rPr>
        <w:t xml:space="preserve">248.3 </w:t>
      </w:r>
      <w:r>
        <w:rPr>
          <w:rFonts w:ascii="Times New Roman" w:cs="Times New Roman" w:eastAsia="Times New Roman" w:hAnsi="Times New Roman"/>
          <w:sz w:val="20"/>
          <w:szCs w:val="20"/>
          <w:u w:val="single" w:color="auto"/>
          <w:color w:val="auto"/>
        </w:rPr>
        <w:t>Sharing of Payments by Lenders</w:t>
      </w:r>
      <w:r>
        <w:rPr>
          <w:rFonts w:ascii="Times New Roman" w:cs="Times New Roman" w:eastAsia="Times New Roman" w:hAnsi="Times New Roman"/>
          <w:sz w:val="20"/>
          <w:szCs w:val="20"/>
          <w:color w:val="auto"/>
        </w:rPr>
        <w:t xml:space="preserve">. If any Lender shall, by exercising any right of setoff, counterclaim or banker’s lien or other any right, by receipt of voluntary payment, by realization upon security, or by any other non-pro rata source, obtain payment in respect of any principal of or interest on any of its Loans or other obligations hereunder resulting in such Lender’s receiving payment of a proportion of the aggregate amount of its Loans and accrued interest thereon or other such obligations greater than the pro-rata share of the amount such Lender is entitled thereto,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349" w:right="339" w:bottom="1440" w:gutter="0" w:footer="0" w:header="0"/>
        </w:sectPr>
      </w:pPr>
    </w:p>
    <w:bookmarkStart w:id="241" w:name="page242"/>
    <w:bookmarkEnd w:id="241"/>
    <w:p>
      <w:pPr>
        <w:jc w:val="both"/>
        <w:ind w:left="540" w:firstLine="1219"/>
        <w:spacing w:after="0"/>
        <w:tabs>
          <w:tab w:leader="none" w:pos="2438"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w:t>
      </w:r>
    </w:p>
    <w:p>
      <w:pPr>
        <w:spacing w:after="0" w:line="328" w:lineRule="exact"/>
        <w:rPr>
          <w:rFonts w:ascii="Times New Roman" w:cs="Times New Roman" w:eastAsia="Times New Roman" w:hAnsi="Times New Roman"/>
          <w:sz w:val="20"/>
          <w:szCs w:val="20"/>
          <w:color w:val="auto"/>
        </w:rPr>
      </w:pPr>
    </w:p>
    <w:p>
      <w:pPr>
        <w:jc w:val="both"/>
        <w:ind w:left="540" w:firstLine="1219"/>
        <w:spacing w:after="0" w:line="228" w:lineRule="auto"/>
        <w:tabs>
          <w:tab w:leader="none" w:pos="244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shall not be construed to apply to (x) any payment made by the Loan Parties pursuant to and in accordance with the express terms of the Loan Documents (including the application of funds arising from the existence of a Defaulting Lender) or (y) any payment obtained by a Lender as consideration for the assignment of or sale of a participation in any of its Loans or Participation Advances to any assignee or participant.</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248.4  </w:t>
      </w:r>
      <w:r>
        <w:rPr>
          <w:rFonts w:ascii="Times New Roman" w:cs="Times New Roman" w:eastAsia="Times New Roman" w:hAnsi="Times New Roman"/>
          <w:sz w:val="20"/>
          <w:szCs w:val="20"/>
          <w:u w:val="single" w:color="auto"/>
          <w:color w:val="auto"/>
        </w:rPr>
        <w:t>Administrative Agent’s Clawback</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jc w:val="both"/>
        <w:ind w:firstLine="1224"/>
        <w:spacing w:after="0" w:line="255" w:lineRule="auto"/>
        <w:tabs>
          <w:tab w:leader="none" w:pos="172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Lender (x) in the case of Loans to which the Base Rate Option applies, prior to 12:00 noon (Eastern time) on the proposed Borrowing Date of such Borrowing Tranche of Loans and (y) otherwise, prior to the proposed date of any Borrowing Tranche of Loans that such Lender will not make available to the Administrative Agent such Lender’s Ratable Share,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 xml:space="preserve"> [Making Revolving Credit Loans] and may, in reliance upon such assumption, make available to the Borrower a corresponding amount. In such event, if a Lender has not in fact made its share of the applicable Borrowing Tranche of Loans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Effective Federal Funds Rate and a rate determined by the Administrative Agent in accordance with banking industry rules on interbank compensation, and (ii) in the case of a payment to be made by the Borrower, the interest rate applicable to Loans under the Base Rate Option.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Tranche of Loans to the Administrative Agent, then the amount so paid shall constitute such Lender’s Loan included in such Borrowing Tranche of Loans. Any payment by the Borrower shall be without prejudice to any claim the Borrower may have against a Lender that shall have failed to make such payment to the Administrative Agent.</w:t>
      </w:r>
    </w:p>
    <w:p>
      <w:pPr>
        <w:spacing w:after="0" w:line="204" w:lineRule="exact"/>
        <w:rPr>
          <w:rFonts w:ascii="Times New Roman" w:cs="Times New Roman" w:eastAsia="Times New Roman" w:hAnsi="Times New Roman"/>
          <w:sz w:val="20"/>
          <w:szCs w:val="20"/>
          <w:color w:val="auto"/>
        </w:rPr>
      </w:pPr>
    </w:p>
    <w:p>
      <w:pPr>
        <w:ind w:firstLine="1224"/>
        <w:spacing w:after="0" w:line="289" w:lineRule="auto"/>
        <w:tabs>
          <w:tab w:leader="none" w:pos="166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 Presumptions by Administrative Agent</w:t>
      </w:r>
      <w:r>
        <w:rPr>
          <w:rFonts w:ascii="Times New Roman" w:cs="Times New Roman" w:eastAsia="Times New Roman" w:hAnsi="Times New Roman"/>
          <w:sz w:val="20"/>
          <w:szCs w:val="20"/>
          <w:color w:val="auto"/>
        </w:rPr>
        <w:t>. Unless the Administrative Agent shall have received notice from the Borrower prior to the date 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324" w:right="339" w:bottom="1440" w:gutter="0" w:footer="0" w:header="0"/>
        </w:sectPr>
      </w:pPr>
    </w:p>
    <w:bookmarkStart w:id="242" w:name="page243"/>
    <w:bookmarkEnd w:id="242"/>
    <w:p>
      <w:pPr>
        <w:jc w:val="both"/>
        <w:spacing w:after="0" w:line="259" w:lineRule="auto"/>
        <w:rPr>
          <w:sz w:val="20"/>
          <w:szCs w:val="20"/>
          <w:color w:val="auto"/>
        </w:rPr>
      </w:pPr>
      <w:r>
        <w:rPr>
          <w:rFonts w:ascii="Times New Roman" w:cs="Times New Roman" w:eastAsia="Times New Roman" w:hAnsi="Times New Roman"/>
          <w:sz w:val="20"/>
          <w:szCs w:val="20"/>
          <w:color w:val="auto"/>
        </w:rPr>
        <w:t>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Effective Federal Funds Rate and a rate determined by the Administrative Agent in accordance with banking industry rules on interbank compensation.</w:t>
      </w:r>
    </w:p>
    <w:p>
      <w:pPr>
        <w:spacing w:after="0" w:line="179" w:lineRule="exact"/>
        <w:rPr>
          <w:sz w:val="20"/>
          <w:szCs w:val="20"/>
          <w:color w:val="auto"/>
        </w:rPr>
      </w:pP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248.5 </w:t>
      </w:r>
      <w:r>
        <w:rPr>
          <w:rFonts w:ascii="Times New Roman" w:cs="Times New Roman" w:eastAsia="Times New Roman" w:hAnsi="Times New Roman"/>
          <w:sz w:val="20"/>
          <w:szCs w:val="20"/>
          <w:u w:val="single" w:color="auto"/>
          <w:color w:val="auto"/>
        </w:rPr>
        <w:t>Interest Payment Dates</w:t>
      </w:r>
      <w:r>
        <w:rPr>
          <w:rFonts w:ascii="Times New Roman" w:cs="Times New Roman" w:eastAsia="Times New Roman" w:hAnsi="Times New Roman"/>
          <w:sz w:val="20"/>
          <w:szCs w:val="20"/>
          <w:color w:val="auto"/>
        </w:rPr>
        <w:t xml:space="preserve">. on Loans to which the Base Rate Option or Daily SOFR Option applies shall be due and payable in arrears on each Payment Date. Interest on Loans to which the Term SOFR Rate Option applies shall be due and payable on the last day of each Interest Period and, if such Interest Period is longer than three (3) months, also at the end of each three month period during such Interest Period. Interest on mandatory prepayments of principal under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[Mandatory Prepayments] shall be due on the date such mandatory prepayment is due. Interest on the principal amount of each Loan or other monetary Obligation shall be due and payable on demand after such principal amount or other monetary Obligation becomes due and payable (whether on the stated Expiration Date, upon acceleration or otherwise). Interest shall be computed to, but excluding, the date payment is due.</w:t>
      </w:r>
    </w:p>
    <w:p>
      <w:pPr>
        <w:ind w:left="620"/>
        <w:spacing w:after="0" w:line="218" w:lineRule="auto"/>
        <w:rPr>
          <w:sz w:val="20"/>
          <w:szCs w:val="20"/>
          <w:color w:val="auto"/>
        </w:rPr>
      </w:pPr>
      <w:r>
        <w:rPr>
          <w:rFonts w:ascii="Times New Roman" w:cs="Times New Roman" w:eastAsia="Times New Roman" w:hAnsi="Times New Roman"/>
          <w:sz w:val="20"/>
          <w:szCs w:val="20"/>
          <w:color w:val="auto"/>
        </w:rPr>
        <w:t xml:space="preserve">248.6  </w:t>
      </w:r>
      <w:r>
        <w:rPr>
          <w:rFonts w:ascii="Times New Roman" w:cs="Times New Roman" w:eastAsia="Times New Roman" w:hAnsi="Times New Roman"/>
          <w:sz w:val="20"/>
          <w:szCs w:val="20"/>
          <w:u w:val="single" w:color="auto"/>
          <w:color w:val="auto"/>
        </w:rPr>
        <w:t>Increased Costs</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ind w:left="1840" w:hanging="616"/>
        <w:spacing w:after="0"/>
        <w:tabs>
          <w:tab w:leader="none" w:pos="184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155" w:lineRule="exact"/>
        <w:rPr>
          <w:rFonts w:ascii="Times New Roman" w:cs="Times New Roman" w:eastAsia="Times New Roman" w:hAnsi="Times New Roman"/>
          <w:sz w:val="20"/>
          <w:szCs w:val="20"/>
          <w:color w:val="auto"/>
        </w:rPr>
      </w:pPr>
    </w:p>
    <w:p>
      <w:pPr>
        <w:jc w:val="both"/>
        <w:ind w:left="540" w:firstLine="1219"/>
        <w:spacing w:after="0" w:line="234" w:lineRule="auto"/>
        <w:tabs>
          <w:tab w:leader="none" w:pos="2438" w:val="left"/>
        </w:tabs>
        <w:numPr>
          <w:ilvl w:val="2"/>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or the Issuing Lender;</w:t>
      </w:r>
    </w:p>
    <w:p>
      <w:pPr>
        <w:spacing w:after="0" w:line="138" w:lineRule="exact"/>
        <w:rPr>
          <w:rFonts w:ascii="Times New Roman" w:cs="Times New Roman" w:eastAsia="Times New Roman" w:hAnsi="Times New Roman"/>
          <w:sz w:val="20"/>
          <w:szCs w:val="20"/>
          <w:color w:val="auto"/>
        </w:rPr>
      </w:pPr>
    </w:p>
    <w:p>
      <w:pPr>
        <w:ind w:left="2440" w:hanging="681"/>
        <w:spacing w:after="0"/>
        <w:tabs>
          <w:tab w:leader="none" w:pos="2440" w:val="left"/>
        </w:tabs>
        <w:numPr>
          <w:ilvl w:val="2"/>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w:t>
      </w:r>
    </w:p>
    <w:p>
      <w:pPr>
        <w:ind w:left="540" w:hanging="3"/>
        <w:spacing w:after="0" w:line="233" w:lineRule="auto"/>
        <w:tabs>
          <w:tab w:leader="none" w:pos="831"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(d) of the definition of Excluded Taxes and (C) Connection Income Taxes) on its loans, loan principal, letters of credit, commitments, or other obligations, or its deposits, reserves, other liabilities or capital attributable thereto; or</w:t>
      </w:r>
    </w:p>
    <w:p>
      <w:pPr>
        <w:spacing w:after="0" w:line="142" w:lineRule="exact"/>
        <w:rPr>
          <w:rFonts w:ascii="Times New Roman" w:cs="Times New Roman" w:eastAsia="Times New Roman" w:hAnsi="Times New Roman"/>
          <w:sz w:val="20"/>
          <w:szCs w:val="20"/>
          <w:color w:val="auto"/>
        </w:rPr>
      </w:pPr>
    </w:p>
    <w:p>
      <w:pPr>
        <w:ind w:left="540" w:firstLine="1219"/>
        <w:spacing w:after="0" w:line="249" w:lineRule="auto"/>
        <w:tabs>
          <w:tab w:leader="none" w:pos="2450" w:val="left"/>
        </w:tabs>
        <w:numPr>
          <w:ilvl w:val="2"/>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any Issuing Lender or the relevant market any other condition, cost or expense (other than Taxes) affecting this Agreement or Loans made by such Lender or any Letter of Credit or participation therein;</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the Issuing Lender or such other Recipient of participating in, issuing or maintaining any Letter of Credit (or of maintaining its obligation to participate in or to issue any Letter of Credit), or to reduce the amount of any sum received or receivable by such Lender, the Issuing Lender or other Recipient hereunder (whether of principal, interest or any other amount) then, upon request of such Lender, the Issuing Lender or other Recipient, the Borrower will pay to such Lender, the Issuing Lender or other Recipient, as the case may be, such additional amount or amounts as will compensate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349" w:right="339" w:bottom="1440" w:gutter="0" w:footer="0" w:header="0"/>
        </w:sectPr>
      </w:pPr>
    </w:p>
    <w:bookmarkStart w:id="243" w:name="page244"/>
    <w:bookmarkEnd w:id="243"/>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such Lender or the Issuing Lender or other Recipient, as the case may be, for such additional costs incurred or reduction suffered;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occurrence of any Change in Law imposing a reserve percentage on any interest rate based on SOFR, the Administrative Agent, in its reasonable discretion, may modify the calculation of each such SOFR-based interest rate to add (or otherwise account for) such reserve percentage.</w:t>
      </w:r>
    </w:p>
    <w:p>
      <w:pPr>
        <w:spacing w:after="0" w:line="128" w:lineRule="exact"/>
        <w:rPr>
          <w:sz w:val="20"/>
          <w:szCs w:val="20"/>
          <w:color w:val="auto"/>
        </w:rPr>
      </w:pPr>
    </w:p>
    <w:p>
      <w:pPr>
        <w:jc w:val="both"/>
        <w:ind w:firstLine="1224"/>
        <w:spacing w:after="0"/>
        <w:tabs>
          <w:tab w:leader="none" w:pos="1829"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the Issuing Lender determines that any Change in Law affecting such Lender or the Issuing Lender or any Lending Office of such Lender or such Lender’s or the Issuing Lender’s holding company, if any, regarding capital or liquidity requirements has or would have the effect of reducing the rate of return on such Lender’s or the Issuing Lender’s capital or on the capital of such Lender’s or the Issuing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then from time to time the Borrower will pay to such Lender or the Issuing Lender, as the case may be, such additional amount or amounts as will compensate such Lender or the Issuing Lender or such Lender’s or the Issuing Lender’s holding company for any such reduction suffered.</w:t>
      </w:r>
    </w:p>
    <w:p>
      <w:pPr>
        <w:spacing w:after="0" w:line="145" w:lineRule="exact"/>
        <w:rPr>
          <w:rFonts w:ascii="Times New Roman" w:cs="Times New Roman" w:eastAsia="Times New Roman" w:hAnsi="Times New Roman"/>
          <w:sz w:val="20"/>
          <w:szCs w:val="20"/>
          <w:color w:val="auto"/>
        </w:rPr>
      </w:pPr>
    </w:p>
    <w:p>
      <w:pPr>
        <w:jc w:val="both"/>
        <w:ind w:firstLine="1224"/>
        <w:spacing w:after="0"/>
        <w:tabs>
          <w:tab w:leader="none" w:pos="1831"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A certificate of a Lender or the Issuing Lender setting forth the amount or amounts necessary to compensate such Lender or the Issuing Lender or its holding company, as the case may be, as specified in paragraph (a) or (b) of this Section and delivered to the Borrower shall be conclusive absent manifest error. The Borrower shall pay such Lender or the Issuing Lender, as the case may be, the amount shown as due on any such certificate within ten (10) days after receipt thereof.</w:t>
      </w:r>
    </w:p>
    <w:p>
      <w:pPr>
        <w:spacing w:after="0" w:line="302" w:lineRule="exact"/>
        <w:rPr>
          <w:rFonts w:ascii="Times New Roman" w:cs="Times New Roman" w:eastAsia="Times New Roman" w:hAnsi="Times New Roman"/>
          <w:sz w:val="20"/>
          <w:szCs w:val="20"/>
          <w:color w:val="auto"/>
        </w:rPr>
      </w:pPr>
    </w:p>
    <w:p>
      <w:pPr>
        <w:jc w:val="both"/>
        <w:ind w:firstLine="1224"/>
        <w:spacing w:after="0" w:line="221" w:lineRule="auto"/>
        <w:tabs>
          <w:tab w:leader="none" w:pos="1829"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Issuing Lender to demand compensation pursuant to this Section shall not constitute a waiver of such Lender’s or the Issuing Lender’s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Lender or the Issuing Lender pursuant to this Section for any increased costs incurred or reductions suffered more than nine (9) months prior to the date that such Lender or the Issuing Lender, as the case may be, notifies the Borrower of the Change in Law giving rise to such increased costs or reductions and of such Lender’s or the Issuing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248.7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ind w:firstLine="1224"/>
        <w:spacing w:after="0" w:line="233" w:lineRule="auto"/>
        <w:tabs>
          <w:tab w:leader="none" w:pos="1831"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Issuing Lender</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the term “Lender” includes the Issuing Lender and the term “applicable Law” includes FATCA.</w:t>
      </w:r>
    </w:p>
    <w:p>
      <w:pPr>
        <w:spacing w:after="0" w:line="142" w:lineRule="exact"/>
        <w:rPr>
          <w:rFonts w:ascii="Times New Roman" w:cs="Times New Roman" w:eastAsia="Times New Roman" w:hAnsi="Times New Roman"/>
          <w:sz w:val="20"/>
          <w:szCs w:val="20"/>
          <w:color w:val="auto"/>
        </w:rPr>
      </w:pPr>
    </w:p>
    <w:p>
      <w:pPr>
        <w:jc w:val="both"/>
        <w:ind w:firstLine="1224"/>
        <w:spacing w:after="0" w:line="221" w:lineRule="auto"/>
        <w:tabs>
          <w:tab w:leader="none" w:pos="1829"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Any and all payments by or on account of any obligation of any Loan Party under any Loan Document shall be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applicable Loan Party shall be increased as necessary so that after such deduction or withholding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350" w:right="339" w:bottom="1440" w:gutter="0" w:footer="0" w:header="0"/>
        </w:sectPr>
      </w:pPr>
    </w:p>
    <w:bookmarkStart w:id="244" w:name="page245"/>
    <w:bookmarkEnd w:id="244"/>
    <w:p>
      <w:pPr>
        <w:spacing w:after="0" w:line="249" w:lineRule="auto"/>
        <w:rPr>
          <w:sz w:val="20"/>
          <w:szCs w:val="20"/>
          <w:color w:val="auto"/>
        </w:rPr>
      </w:pPr>
      <w:r>
        <w:rPr>
          <w:rFonts w:ascii="Times New Roman" w:cs="Times New Roman" w:eastAsia="Times New Roman" w:hAnsi="Times New Roman"/>
          <w:sz w:val="20"/>
          <w:szCs w:val="20"/>
          <w:color w:val="auto"/>
        </w:rPr>
        <w:t xml:space="preserve">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34" w:lineRule="exact"/>
        <w:rPr>
          <w:sz w:val="20"/>
          <w:szCs w:val="20"/>
          <w:color w:val="auto"/>
        </w:rPr>
      </w:pPr>
    </w:p>
    <w:p>
      <w:pPr>
        <w:ind w:firstLine="1224"/>
        <w:spacing w:after="0" w:line="249" w:lineRule="auto"/>
        <w:tabs>
          <w:tab w:leader="none" w:pos="183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The Loan Parties shall timely pay to the relevant Official Body in accordance with applicable Law, or at the option of the Administrative Agent timely reimburse it for the payment of, any Other Taxes.</w:t>
      </w:r>
    </w:p>
    <w:p>
      <w:pPr>
        <w:spacing w:after="0" w:line="134" w:lineRule="exact"/>
        <w:rPr>
          <w:rFonts w:ascii="Times New Roman" w:cs="Times New Roman" w:eastAsia="Times New Roman" w:hAnsi="Times New Roman"/>
          <w:sz w:val="20"/>
          <w:szCs w:val="20"/>
          <w:color w:val="auto"/>
        </w:rPr>
      </w:pPr>
    </w:p>
    <w:p>
      <w:pPr>
        <w:jc w:val="both"/>
        <w:ind w:firstLine="1224"/>
        <w:spacing w:after="0" w:line="221" w:lineRule="auto"/>
        <w:tabs>
          <w:tab w:leader="none" w:pos="1829"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47" w:lineRule="exact"/>
        <w:rPr>
          <w:rFonts w:ascii="Times New Roman" w:cs="Times New Roman" w:eastAsia="Times New Roman" w:hAnsi="Times New Roman"/>
          <w:sz w:val="20"/>
          <w:szCs w:val="20"/>
          <w:color w:val="auto"/>
        </w:rPr>
      </w:pPr>
    </w:p>
    <w:p>
      <w:pPr>
        <w:jc w:val="both"/>
        <w:ind w:firstLine="1224"/>
        <w:spacing w:after="0" w:line="218" w:lineRule="auto"/>
        <w:tabs>
          <w:tab w:leader="none" w:pos="183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any of the Loan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12.8(a)</w:t>
      </w:r>
      <w:r>
        <w:rPr>
          <w:rFonts w:ascii="Times New Roman" w:cs="Times New Roman" w:eastAsia="Times New Roman" w:hAnsi="Times New Roman"/>
          <w:sz w:val="20"/>
          <w:szCs w:val="20"/>
          <w:color w:val="auto"/>
        </w:rPr>
        <w:t xml:space="preserve"> [Successors and Assigns Generally]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Official Body.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Section 5.9(e)</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3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an Official Body pursuant to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such Loan Party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spacing w:after="0" w:line="144"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jc w:val="both"/>
        <w:ind w:left="540" w:firstLine="1223"/>
        <w:spacing w:after="0" w:line="221" w:lineRule="auto"/>
        <w:tabs>
          <w:tab w:leader="none" w:pos="2439"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324" w:right="339" w:bottom="1440" w:gutter="0" w:footer="0" w:header="0"/>
        </w:sectPr>
      </w:pPr>
    </w:p>
    <w:bookmarkStart w:id="245" w:name="page246"/>
    <w:bookmarkEnd w:id="245"/>
    <w:p>
      <w:pPr>
        <w:jc w:val="both"/>
        <w:spacing w:after="0" w:line="225" w:lineRule="auto"/>
        <w:rPr>
          <w:sz w:val="20"/>
          <w:szCs w:val="20"/>
          <w:color w:val="auto"/>
        </w:rPr>
      </w:pPr>
      <w:r>
        <w:rPr>
          <w:rFonts w:ascii="Times New Roman" w:cs="Times New Roman" w:eastAsia="Times New Roman" w:hAnsi="Times New Roman"/>
          <w:sz w:val="20"/>
          <w:szCs w:val="20"/>
          <w:color w:val="auto"/>
        </w:rPr>
        <w:t xml:space="preserve">withholding or information reporting requirements. Notwithstanding anything to the contrary in the preceding two sentences, the completion, execution and submission of such documentation (other than such documentation specified in </w:t>
      </w:r>
      <w:r>
        <w:rPr>
          <w:rFonts w:ascii="Times New Roman" w:cs="Times New Roman" w:eastAsia="Times New Roman" w:hAnsi="Times New Roman"/>
          <w:sz w:val="20"/>
          <w:szCs w:val="20"/>
          <w:u w:val="single" w:color="auto"/>
          <w:color w:val="auto"/>
        </w:rPr>
        <w:t>Section 5.9.(g)(ii)(1)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(ii)(4)</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44" w:lineRule="exact"/>
        <w:rPr>
          <w:sz w:val="20"/>
          <w:szCs w:val="20"/>
          <w:color w:val="auto"/>
        </w:rPr>
      </w:pPr>
    </w:p>
    <w:p>
      <w:pPr>
        <w:ind w:left="1900" w:hanging="681"/>
        <w:spacing w:after="0"/>
        <w:tabs>
          <w:tab w:leader="none" w:pos="19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 Borrower,</w:t>
      </w:r>
    </w:p>
    <w:p>
      <w:pPr>
        <w:spacing w:after="0" w:line="177" w:lineRule="exact"/>
        <w:rPr>
          <w:rFonts w:ascii="Times New Roman" w:cs="Times New Roman" w:eastAsia="Times New Roman" w:hAnsi="Times New Roman"/>
          <w:sz w:val="20"/>
          <w:szCs w:val="20"/>
          <w:color w:val="auto"/>
        </w:rPr>
      </w:pPr>
    </w:p>
    <w:p>
      <w:pPr>
        <w:jc w:val="both"/>
        <w:ind w:left="680" w:firstLine="1227"/>
        <w:spacing w:after="0" w:line="228" w:lineRule="auto"/>
        <w:tabs>
          <w:tab w:leader="none" w:pos="2509"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44" w:lineRule="exact"/>
        <w:rPr>
          <w:rFonts w:ascii="Times New Roman" w:cs="Times New Roman" w:eastAsia="Times New Roman" w:hAnsi="Times New Roman"/>
          <w:sz w:val="20"/>
          <w:szCs w:val="20"/>
          <w:color w:val="auto"/>
        </w:rPr>
      </w:pPr>
    </w:p>
    <w:p>
      <w:pPr>
        <w:jc w:val="both"/>
        <w:ind w:left="680" w:firstLine="1227"/>
        <w:spacing w:after="0" w:line="228" w:lineRule="auto"/>
        <w:tabs>
          <w:tab w:leader="none" w:pos="2509"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44" w:lineRule="exact"/>
        <w:rPr>
          <w:rFonts w:ascii="Times New Roman" w:cs="Times New Roman" w:eastAsia="Times New Roman" w:hAnsi="Times New Roman"/>
          <w:sz w:val="20"/>
          <w:szCs w:val="20"/>
          <w:color w:val="auto"/>
        </w:rPr>
      </w:pPr>
    </w:p>
    <w:p>
      <w:pPr>
        <w:jc w:val="both"/>
        <w:ind w:left="1300" w:firstLine="1218"/>
        <w:spacing w:after="0" w:line="221" w:lineRule="auto"/>
        <w:tabs>
          <w:tab w:leader="none" w:pos="3134" w:val="left"/>
        </w:tabs>
        <w:numPr>
          <w:ilvl w:val="2"/>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originals of IRS Form W-8BEN-E (or W-8BEN if applicable) establishing an exemption from, or reduction of, U.S. federal withholding Tax pursuant to the “interest” article of such tax treaty and (y) with respect to any other applicable payments under any Loan Document, IRS Form W-8BEN-E (or W-8BEN if applicable) establishing an exemption from, or reduction of, U.S. federal withholding Tax pursuant to the “business profits” or “other income” article of such tax treaty;</w:t>
      </w:r>
    </w:p>
    <w:p>
      <w:pPr>
        <w:spacing w:after="0" w:line="148" w:lineRule="exact"/>
        <w:rPr>
          <w:sz w:val="20"/>
          <w:szCs w:val="20"/>
          <w:color w:val="auto"/>
        </w:rPr>
      </w:pPr>
    </w:p>
    <w:p>
      <w:pPr>
        <w:ind w:left="3120" w:hanging="602"/>
        <w:spacing w:after="0"/>
        <w:tabs>
          <w:tab w:leader="none" w:pos="312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originals of IRS Form W-8ECI;</w:t>
      </w:r>
    </w:p>
    <w:p>
      <w:pPr>
        <w:spacing w:after="0" w:line="178" w:lineRule="exact"/>
        <w:rPr>
          <w:sz w:val="20"/>
          <w:szCs w:val="20"/>
          <w:color w:val="auto"/>
        </w:rPr>
      </w:pPr>
    </w:p>
    <w:p>
      <w:pPr>
        <w:jc w:val="both"/>
        <w:ind w:left="1300" w:firstLine="1218"/>
        <w:spacing w:after="0" w:line="223" w:lineRule="auto"/>
        <w:tabs>
          <w:tab w:leader="none" w:pos="3129"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I-1</w:t>
      </w:r>
      <w:r>
        <w:rPr>
          <w:rFonts w:ascii="Times New Roman" w:cs="Times New Roman" w:eastAsia="Times New Roman" w:hAnsi="Times New Roman"/>
          <w:sz w:val="20"/>
          <w:szCs w:val="20"/>
          <w:color w:val="auto"/>
        </w:rPr>
        <w:t xml:space="preserve"> to the effect that such Foreign Lender is not (A) a “bank” within the meaning of Section 881(c)(3)(A) of the Code, (B) a “10 percent shareholder” of the Borrower within the meaning of Section 881(c)(3)(B) of the Code, or (C)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originals of IRS Form W-8BEN-E (or W-8BEN if applicable); or</w:t>
      </w:r>
    </w:p>
    <w:p>
      <w:pPr>
        <w:spacing w:after="0" w:line="144" w:lineRule="exact"/>
        <w:rPr>
          <w:sz w:val="20"/>
          <w:szCs w:val="20"/>
          <w:color w:val="auto"/>
        </w:rPr>
      </w:pPr>
    </w:p>
    <w:p>
      <w:pPr>
        <w:jc w:val="both"/>
        <w:ind w:left="1300" w:firstLine="1222"/>
        <w:spacing w:after="0" w:line="228" w:lineRule="auto"/>
        <w:rPr>
          <w:sz w:val="20"/>
          <w:szCs w:val="20"/>
          <w:color w:val="auto"/>
        </w:rPr>
      </w:pPr>
      <w:r>
        <w:rPr>
          <w:rFonts w:ascii="Times New Roman" w:cs="Times New Roman" w:eastAsia="Times New Roman" w:hAnsi="Times New Roman"/>
          <w:sz w:val="20"/>
          <w:szCs w:val="20"/>
          <w:color w:val="auto"/>
        </w:rPr>
        <w:t xml:space="preserve">(IV) to the extent a Foreign Lender is not the beneficial owner, executed originals of IRS Form W-8IMY, accompanied by IRS Form W-8ECI, IRS Form W-8BEN-E (or W-8BEN if applicable), a U.S. Tax Compliance Certificate substantially in the form of </w:t>
      </w:r>
      <w:r>
        <w:rPr>
          <w:rFonts w:ascii="Times New Roman" w:cs="Times New Roman" w:eastAsia="Times New Roman" w:hAnsi="Times New Roman"/>
          <w:sz w:val="20"/>
          <w:szCs w:val="20"/>
          <w:u w:val="single" w:color="auto"/>
          <w:color w:val="auto"/>
        </w:rPr>
        <w:t>Exhibit I-2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I-3</w:t>
      </w:r>
      <w:r>
        <w:rPr>
          <w:rFonts w:ascii="Times New Roman" w:cs="Times New Roman" w:eastAsia="Times New Roman" w:hAnsi="Times New Roman"/>
          <w:sz w:val="20"/>
          <w:szCs w:val="20"/>
          <w:color w:val="auto"/>
        </w:rPr>
        <w:t xml:space="preserve"> ,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0700"/>
          </w:cols>
          <w:pgMar w:left="860" w:top="1324" w:right="339" w:bottom="1440" w:gutter="0" w:footer="0" w:header="0"/>
        </w:sectPr>
      </w:pPr>
    </w:p>
    <w:bookmarkStart w:id="246" w:name="page247"/>
    <w:bookmarkEnd w:id="246"/>
    <w:p>
      <w:pPr>
        <w:jc w:val="both"/>
        <w:ind w:left="1840"/>
        <w:spacing w:after="0" w:line="234" w:lineRule="auto"/>
        <w:rPr>
          <w:sz w:val="20"/>
          <w:szCs w:val="20"/>
          <w:color w:val="auto"/>
        </w:rPr>
      </w:pPr>
      <w:r>
        <w:rPr>
          <w:rFonts w:ascii="Times New Roman" w:cs="Times New Roman" w:eastAsia="Times New Roman" w:hAnsi="Times New Roman"/>
          <w:sz w:val="20"/>
          <w:szCs w:val="20"/>
          <w:color w:val="auto"/>
        </w:rPr>
        <w:t xml:space="preserve">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I-4</w:t>
      </w:r>
      <w:r>
        <w:rPr>
          <w:rFonts w:ascii="Times New Roman" w:cs="Times New Roman" w:eastAsia="Times New Roman" w:hAnsi="Times New Roman"/>
          <w:sz w:val="20"/>
          <w:szCs w:val="20"/>
          <w:color w:val="auto"/>
        </w:rPr>
        <w:t xml:space="preserve"> on behalf of each such direct and indirect partner;</w:t>
      </w:r>
    </w:p>
    <w:p>
      <w:pPr>
        <w:spacing w:after="0" w:line="142" w:lineRule="exact"/>
        <w:rPr>
          <w:sz w:val="20"/>
          <w:szCs w:val="20"/>
          <w:color w:val="auto"/>
        </w:rPr>
      </w:pPr>
    </w:p>
    <w:p>
      <w:pPr>
        <w:jc w:val="both"/>
        <w:ind w:left="1220" w:firstLine="1227"/>
        <w:spacing w:after="0" w:line="221" w:lineRule="auto"/>
        <w:tabs>
          <w:tab w:leader="none" w:pos="3049"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47" w:lineRule="exact"/>
        <w:rPr>
          <w:rFonts w:ascii="Times New Roman" w:cs="Times New Roman" w:eastAsia="Times New Roman" w:hAnsi="Times New Roman"/>
          <w:sz w:val="20"/>
          <w:szCs w:val="20"/>
          <w:color w:val="auto"/>
        </w:rPr>
      </w:pPr>
    </w:p>
    <w:p>
      <w:pPr>
        <w:jc w:val="both"/>
        <w:ind w:left="1220" w:firstLine="1227"/>
        <w:spacing w:after="0" w:line="219" w:lineRule="auto"/>
        <w:tabs>
          <w:tab w:leader="none" w:pos="3049"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shall include any amendments made to FATCA after the date of this Agreement.</w:t>
      </w:r>
    </w:p>
    <w:p>
      <w:pPr>
        <w:spacing w:after="0" w:line="168" w:lineRule="exact"/>
        <w:rPr>
          <w:sz w:val="20"/>
          <w:szCs w:val="20"/>
          <w:color w:val="auto"/>
        </w:rPr>
      </w:pPr>
    </w:p>
    <w:p>
      <w:pPr>
        <w:jc w:val="both"/>
        <w:ind w:firstLine="611"/>
        <w:spacing w:after="0" w:line="271"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38" w:lineRule="exact"/>
        <w:rPr>
          <w:sz w:val="20"/>
          <w:szCs w:val="20"/>
          <w:color w:val="auto"/>
        </w:rPr>
      </w:pPr>
    </w:p>
    <w:p>
      <w:pPr>
        <w:jc w:val="both"/>
        <w:ind w:firstLine="1224"/>
        <w:spacing w:after="0" w:line="237" w:lineRule="auto"/>
        <w:tabs>
          <w:tab w:leader="none" w:pos="1829"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incurred in connection with obtaining such refund, shall repay to such indemnified party the amount paid over pursuant to this </w:t>
      </w:r>
      <w:r>
        <w:rPr>
          <w:rFonts w:ascii="Times New Roman" w:cs="Times New Roman" w:eastAsia="Times New Roman" w:hAnsi="Times New Roman"/>
          <w:sz w:val="20"/>
          <w:szCs w:val="20"/>
          <w:u w:val="single" w:color="auto"/>
          <w:color w:val="auto"/>
        </w:rPr>
        <w:t>Section 5.9(h)</w:t>
      </w:r>
      <w:r>
        <w:rPr>
          <w:rFonts w:ascii="Times New Roman" w:cs="Times New Roman" w:eastAsia="Times New Roman" w:hAnsi="Times New Roman"/>
          <w:sz w:val="20"/>
          <w:szCs w:val="20"/>
          <w:color w:val="auto"/>
        </w:rPr>
        <w:t xml:space="preserve"> (plus any penalties, interest or other charges imposed by the relevant Official Body) in the event that such indemnified party is required to repay such refund to such Official Body. Notwithstanding anything to the contrary in this </w:t>
      </w:r>
      <w:r>
        <w:rPr>
          <w:rFonts w:ascii="Times New Roman" w:cs="Times New Roman" w:eastAsia="Times New Roman" w:hAnsi="Times New Roman"/>
          <w:sz w:val="20"/>
          <w:szCs w:val="20"/>
          <w:u w:val="single" w:color="auto"/>
          <w:color w:val="auto"/>
        </w:rPr>
        <w:t>Section 5.9(h)</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Section 5.9(h)</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324" w:right="339" w:bottom="1440" w:gutter="0" w:footer="0" w:header="0"/>
        </w:sectPr>
      </w:pPr>
    </w:p>
    <w:bookmarkStart w:id="247" w:name="page248"/>
    <w:bookmarkEnd w:id="247"/>
    <w:p>
      <w:pPr>
        <w:jc w:val="both"/>
        <w:spacing w:after="0" w:line="234" w:lineRule="auto"/>
        <w:rPr>
          <w:sz w:val="20"/>
          <w:szCs w:val="20"/>
          <w:color w:val="auto"/>
        </w:rPr>
      </w:pPr>
      <w:r>
        <w:rPr>
          <w:rFonts w:ascii="Times New Roman" w:cs="Times New Roman" w:eastAsia="Times New Roman" w:hAnsi="Times New Roman"/>
          <w:sz w:val="20"/>
          <w:szCs w:val="20"/>
          <w:color w:val="auto"/>
        </w:rPr>
        <w:t>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42" w:lineRule="exact"/>
        <w:rPr>
          <w:sz w:val="20"/>
          <w:szCs w:val="20"/>
          <w:color w:val="auto"/>
        </w:rPr>
      </w:pPr>
    </w:p>
    <w:p>
      <w:pPr>
        <w:jc w:val="both"/>
        <w:ind w:firstLine="1224"/>
        <w:spacing w:after="0" w:line="234" w:lineRule="auto"/>
        <w:tabs>
          <w:tab w:leader="none" w:pos="1822"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shall survive the resignation of the Administrative Agent or any assignment of rights by, or the replacement of, a Lender, the termination of the Commitments and the repayment, satisfaction or discharge of all Obligations.</w:t>
      </w:r>
    </w:p>
    <w:p>
      <w:pPr>
        <w:spacing w:after="0" w:line="142" w:lineRule="exact"/>
        <w:rPr>
          <w:sz w:val="20"/>
          <w:szCs w:val="20"/>
          <w:color w:val="auto"/>
        </w:rPr>
      </w:pPr>
    </w:p>
    <w:p>
      <w:pPr>
        <w:jc w:val="both"/>
        <w:ind w:firstLine="611"/>
        <w:spacing w:after="0" w:line="217" w:lineRule="auto"/>
        <w:rPr>
          <w:sz w:val="20"/>
          <w:szCs w:val="20"/>
          <w:color w:val="auto"/>
        </w:rPr>
      </w:pPr>
      <w:r>
        <w:rPr>
          <w:rFonts w:ascii="Times New Roman" w:cs="Times New Roman" w:eastAsia="Times New Roman" w:hAnsi="Times New Roman"/>
          <w:sz w:val="20"/>
          <w:szCs w:val="20"/>
          <w:color w:val="auto"/>
        </w:rPr>
        <w:t xml:space="preserve">248.8 </w:t>
      </w: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xml:space="preserve">. In addition to the compensation or payments required by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[Increased Costs] or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[Taxes], the Borrower shall indemnify each Lender against all liabilities, losses or expenses (including loss of anticipated profits, any foreign exchange losses and any loss or expense arising from the liquidation or reemployment of funds obtained by it to maintain any Loan, from fees payable to terminate the deposits from which such funds were obtained or from the performance of any foreign exchange contract) which such Lender sustains or incurs as a consequence of any:</w:t>
      </w:r>
    </w:p>
    <w:p>
      <w:pPr>
        <w:spacing w:after="0" w:line="1" w:lineRule="exact"/>
        <w:rPr>
          <w:sz w:val="20"/>
          <w:szCs w:val="20"/>
          <w:color w:val="auto"/>
        </w:rPr>
      </w:pPr>
    </w:p>
    <w:p>
      <w:pPr>
        <w:jc w:val="both"/>
        <w:ind w:firstLine="1224"/>
        <w:spacing w:after="0" w:line="226" w:lineRule="auto"/>
        <w:tabs>
          <w:tab w:leader="none" w:pos="1831"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prepayment, conversion or renewal of any Loan to which a Term SOFR Rate Option applies on a day other than the last day of the corresponding Interest Period (whether or not any such payment or prepayment is mandatory, voluntary or automatic and whether or not any such payment or prepayment is then due); or</w:t>
      </w:r>
    </w:p>
    <w:p>
      <w:pPr>
        <w:spacing w:after="0" w:line="143" w:lineRule="exact"/>
        <w:rPr>
          <w:rFonts w:ascii="Times New Roman" w:cs="Times New Roman" w:eastAsia="Times New Roman" w:hAnsi="Times New Roman"/>
          <w:sz w:val="20"/>
          <w:szCs w:val="20"/>
          <w:color w:val="auto"/>
        </w:rPr>
      </w:pPr>
    </w:p>
    <w:p>
      <w:pPr>
        <w:jc w:val="both"/>
        <w:ind w:firstLine="1224"/>
        <w:spacing w:after="0" w:line="225" w:lineRule="auto"/>
        <w:tabs>
          <w:tab w:leader="none" w:pos="1829"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attempt by the Borrower to revoke (expressly, by later inconsistent notices or otherwise) in whole or part any Loan Requests under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[Revolving Credit Loan Requests; Conversions and Renewals; Swingline Loan Requests] or notice relating to prepayments under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[Voluntary Prepayments] or failure by the Borrower (for a reason other than the failure of such Lender to make a Loan) to prepay, borrow, continue or convert any Loan other than a Loan under the Base Rate Option on the date or in the amount notified by the Borrower, or</w:t>
      </w:r>
    </w:p>
    <w:p>
      <w:pPr>
        <w:spacing w:after="0" w:line="144" w:lineRule="exact"/>
        <w:rPr>
          <w:rFonts w:ascii="Times New Roman" w:cs="Times New Roman" w:eastAsia="Times New Roman" w:hAnsi="Times New Roman"/>
          <w:sz w:val="20"/>
          <w:szCs w:val="20"/>
          <w:color w:val="auto"/>
        </w:rPr>
      </w:pPr>
    </w:p>
    <w:p>
      <w:pPr>
        <w:ind w:firstLine="1224"/>
        <w:spacing w:after="0" w:line="249" w:lineRule="auto"/>
        <w:tabs>
          <w:tab w:leader="none" w:pos="1831"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Loan under the Term SOFR Rate Option on a day other than the last day of the Interest Period therefor as a result of a request by the Borrower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[Replacement of a Lender].</w:t>
      </w:r>
    </w:p>
    <w:p>
      <w:pPr>
        <w:spacing w:after="0" w:line="160" w:lineRule="exact"/>
        <w:rPr>
          <w:sz w:val="20"/>
          <w:szCs w:val="20"/>
          <w:color w:val="auto"/>
        </w:rPr>
      </w:pPr>
    </w:p>
    <w:p>
      <w:pPr>
        <w:jc w:val="both"/>
        <w:ind w:firstLine="1223"/>
        <w:spacing w:after="0" w:line="265" w:lineRule="auto"/>
        <w:rPr>
          <w:sz w:val="20"/>
          <w:szCs w:val="20"/>
          <w:color w:val="auto"/>
        </w:rPr>
      </w:pPr>
      <w:r>
        <w:rPr>
          <w:rFonts w:ascii="Times New Roman" w:cs="Times New Roman" w:eastAsia="Times New Roman" w:hAnsi="Times New Roman"/>
          <w:sz w:val="20"/>
          <w:szCs w:val="20"/>
          <w:color w:val="auto"/>
        </w:rPr>
        <w:t>If any Lender sustains or incurs any such loss or expense, it shall from time to time notify the Borrower of the amount determined in good faith by such Lender (which determination may include such assumptions, allocations of costs and expenses and averaging or attribution methods as such Lender shall deem reasonable) to be necessary to indemnify such Lender for such loss or expense. Such notice shall specify in reasonable detail the basis for such determination. Such amount shall be due and payable by the Borrower to such Lender ten (10) Business Days after such notice is given.</w:t>
      </w:r>
    </w:p>
    <w:p>
      <w:pPr>
        <w:spacing w:after="0" w:line="131" w:lineRule="exact"/>
        <w:rPr>
          <w:sz w:val="20"/>
          <w:szCs w:val="20"/>
          <w:color w:val="auto"/>
        </w:rPr>
      </w:pPr>
    </w:p>
    <w:p>
      <w:pPr>
        <w:jc w:val="both"/>
        <w:ind w:firstLine="611"/>
        <w:spacing w:after="0" w:line="221" w:lineRule="auto"/>
        <w:rPr>
          <w:sz w:val="20"/>
          <w:szCs w:val="20"/>
          <w:color w:val="auto"/>
        </w:rPr>
      </w:pPr>
      <w:r>
        <w:rPr>
          <w:rFonts w:ascii="Times New Roman" w:cs="Times New Roman" w:eastAsia="Times New Roman" w:hAnsi="Times New Roman"/>
          <w:sz w:val="20"/>
          <w:szCs w:val="20"/>
          <w:color w:val="auto"/>
        </w:rPr>
        <w:t xml:space="preserve">248.9 </w:t>
      </w:r>
      <w:r>
        <w:rPr>
          <w:rFonts w:ascii="Times New Roman" w:cs="Times New Roman" w:eastAsia="Times New Roman" w:hAnsi="Times New Roman"/>
          <w:sz w:val="20"/>
          <w:szCs w:val="20"/>
          <w:u w:val="single" w:color="auto"/>
          <w:color w:val="auto"/>
        </w:rPr>
        <w:t>Settlement Date Procedures</w:t>
      </w:r>
      <w:r>
        <w:rPr>
          <w:rFonts w:ascii="Times New Roman" w:cs="Times New Roman" w:eastAsia="Times New Roman" w:hAnsi="Times New Roman"/>
          <w:sz w:val="20"/>
          <w:szCs w:val="20"/>
          <w:color w:val="auto"/>
        </w:rPr>
        <w:t xml:space="preserve">. In order to minimize the transfer of funds between the Lenders and the Administrative Agent, the Borrower may borrow, repay and reborrow Swingline Loans and the Swingline Loan Lender may make Swingline Loans as provided in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[Swingline Loan Commitments] hereof during the period between Settlement Dates. The Administrative Agent shall notify each Lender of its Ratable Share of the total of the Revolving Credit Loans and the Swingline Loans (each, a “</w:t>
      </w:r>
      <w:r>
        <w:rPr>
          <w:rFonts w:ascii="Times New Roman" w:cs="Times New Roman" w:eastAsia="Times New Roman" w:hAnsi="Times New Roman"/>
          <w:sz w:val="20"/>
          <w:szCs w:val="20"/>
          <w:u w:val="single" w:color="auto"/>
          <w:color w:val="auto"/>
        </w:rPr>
        <w:t>Required Share</w:t>
      </w:r>
      <w:r>
        <w:rPr>
          <w:rFonts w:ascii="Times New Roman" w:cs="Times New Roman" w:eastAsia="Times New Roman" w:hAnsi="Times New Roman"/>
          <w:sz w:val="20"/>
          <w:szCs w:val="20"/>
          <w:color w:val="auto"/>
        </w:rPr>
        <w:t>”). On such Settlement Date, each Lender shall pay to the Administrative Agent the amount equal to the difference between its Required Share and its Revolving Credit Loans, and the Administrative Agent shall pay to each Lender its Ratable Share of all payments made by the Borrower to the Administrative Agent with respect to the Revolving Credit Loans. The Administrative Agent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324" w:right="339" w:bottom="1440" w:gutter="0" w:footer="0" w:header="0"/>
        </w:sectPr>
      </w:pPr>
    </w:p>
    <w:bookmarkStart w:id="248" w:name="page249"/>
    <w:bookmarkEnd w:id="248"/>
    <w:p>
      <w:pPr>
        <w:jc w:val="both"/>
        <w:spacing w:after="0" w:line="215" w:lineRule="auto"/>
        <w:rPr>
          <w:sz w:val="20"/>
          <w:szCs w:val="20"/>
          <w:color w:val="auto"/>
        </w:rPr>
      </w:pPr>
      <w:r>
        <w:rPr>
          <w:rFonts w:ascii="Times New Roman" w:cs="Times New Roman" w:eastAsia="Times New Roman" w:hAnsi="Times New Roman"/>
          <w:sz w:val="20"/>
          <w:szCs w:val="20"/>
          <w:color w:val="auto"/>
        </w:rPr>
        <w:t xml:space="preserve">shall also effect settlement in accordance with the foregoing sentence on the proposed Borrowing Dates for Revolving Credit Loans and on any mandatory prepayment date as provided for herein and may at its option effect settlement on any other Business Day. These settlement procedures are established solely as a matter of administrative convenience, and nothing contained in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shall relieve the Lenders of their obligations to fund Revolving Credit Loans on dates other than a Settlement Date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2.1(b)</w:t>
      </w:r>
      <w:r>
        <w:rPr>
          <w:rFonts w:ascii="Times New Roman" w:cs="Times New Roman" w:eastAsia="Times New Roman" w:hAnsi="Times New Roman"/>
          <w:sz w:val="20"/>
          <w:szCs w:val="20"/>
          <w:color w:val="auto"/>
        </w:rPr>
        <w:t xml:space="preserve"> [Swingline Loan Commitment]. The Administrative Agent may at any time at its option for any reason whatsoever require each Lender to pay immediately to the Administrative Agent such Lender’s Ratable Share of the outstanding Revolving Credit Loans and each Lender may at any time require the Administrative Agent to pay immediately to such Lender its Ratable Share of all payments made by the Borrower to the Administrative Agent with respect to the Revolving Credit Loans.</w:t>
      </w:r>
    </w:p>
    <w:p>
      <w:pPr>
        <w:spacing w:after="0" w:line="4"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248.10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xml:space="preserve">. At any time that there shall exist a Defaulting Lender, within one (1) Business Day following the written request of the Administrative Agent or the Issuing Lender (with a copy to the Administrative Agent) the Borrower shall Cash Collateralize the Issuing Lender’s Fronting Exposure with respect to such Defaulting Lender (determined after giving effect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2.9(a)(iv)</w:t>
      </w:r>
      <w:r>
        <w:rPr>
          <w:rFonts w:ascii="Times New Roman" w:cs="Times New Roman" w:eastAsia="Times New Roman" w:hAnsi="Times New Roman"/>
          <w:sz w:val="20"/>
          <w:szCs w:val="20"/>
          <w:color w:val="auto"/>
        </w:rPr>
        <w:t xml:space="preserve"> [Reallocation of Participations to Reduce Fronting Exposure] and any Cash Collateral provided by such Defaulting Lender) in an amount not less than the Minimum Collateral Amount.</w:t>
      </w:r>
    </w:p>
    <w:p>
      <w:pPr>
        <w:spacing w:after="0" w:line="3" w:lineRule="exact"/>
        <w:rPr>
          <w:sz w:val="20"/>
          <w:szCs w:val="20"/>
          <w:color w:val="auto"/>
        </w:rPr>
      </w:pPr>
    </w:p>
    <w:p>
      <w:pPr>
        <w:jc w:val="both"/>
        <w:ind w:firstLine="1224"/>
        <w:spacing w:after="0" w:line="217" w:lineRule="auto"/>
        <w:tabs>
          <w:tab w:leader="none" w:pos="1831"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The Borrower, and to the extent provided by any Defaulting Lender, such Defaulting Lender, hereby grants to the Administrative Agent, for the benefit of the Issuing Lender, and agrees to maintain, a first priority security interest in all such Cash Collateral as security for the Defaulting Lenders’ obligation to fund participations in respect of Letter of Credit Obligations, to be applied pursuant to clause (b) below. If at any time the Administrative Agent determines that Cash Collateral is subject to any right or claim of any Person other than the Administrative Agent and the Issuing Lender as herein provided (other than Permitted Liens),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48" w:lineRule="exact"/>
        <w:rPr>
          <w:rFonts w:ascii="Times New Roman" w:cs="Times New Roman" w:eastAsia="Times New Roman" w:hAnsi="Times New Roman"/>
          <w:sz w:val="20"/>
          <w:szCs w:val="20"/>
          <w:color w:val="auto"/>
        </w:rPr>
      </w:pPr>
    </w:p>
    <w:p>
      <w:pPr>
        <w:jc w:val="both"/>
        <w:ind w:firstLine="1224"/>
        <w:spacing w:after="0" w:line="225" w:lineRule="auto"/>
        <w:tabs>
          <w:tab w:leader="none" w:pos="1829"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this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[Defaulting Lender] in respect of Letters of Credit shall be applied to the satisfaction of the Defaulting Lender’s obligation to fund participations in respect of Letter of Credit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44" w:lineRule="exact"/>
        <w:rPr>
          <w:rFonts w:ascii="Times New Roman" w:cs="Times New Roman" w:eastAsia="Times New Roman" w:hAnsi="Times New Roman"/>
          <w:sz w:val="20"/>
          <w:szCs w:val="20"/>
          <w:color w:val="auto"/>
        </w:rPr>
      </w:pPr>
    </w:p>
    <w:p>
      <w:pPr>
        <w:jc w:val="both"/>
        <w:ind w:firstLine="1224"/>
        <w:spacing w:after="0" w:line="220" w:lineRule="auto"/>
        <w:tabs>
          <w:tab w:leader="none" w:pos="1831"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Requirement</w:t>
      </w:r>
      <w:r>
        <w:rPr>
          <w:rFonts w:ascii="Times New Roman" w:cs="Times New Roman" w:eastAsia="Times New Roman" w:hAnsi="Times New Roman"/>
          <w:sz w:val="20"/>
          <w:szCs w:val="20"/>
          <w:color w:val="auto"/>
        </w:rPr>
        <w:t xml:space="preserve">. Cash Collateral (or the appropriate portion thereof) provided to reduce the Issuing Lender’s Fronting Exposure shall no longer be required to be held as Cash Collateral pursuant to this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following (i) the elimination of the applicable Fronting Exposure (including by the termination of Defaulting Lender status of the applicable Lender), or</w:t>
      </w:r>
    </w:p>
    <w:p>
      <w:pPr>
        <w:jc w:val="both"/>
        <w:ind w:firstLine="2"/>
        <w:spacing w:after="0"/>
        <w:tabs>
          <w:tab w:leader="none" w:pos="307"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determination by the Administrative Agent and the Issuing Lender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[Defaulting Lenders] the Person providing Cash Collateral and the Issuing Lender may agree that Cash Collateral shall be held to support future anticipated Fronting Exposure or other obligations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to the extent that such Cash Collateral was provided by the Borrower, such Cash Collateral shall remain subject to the security interest granted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5.12(a)</w:t>
      </w:r>
      <w:r>
        <w:rPr>
          <w:rFonts w:ascii="Times New Roman" w:cs="Times New Roman" w:eastAsia="Times New Roman" w:hAnsi="Times New Roman"/>
          <w:sz w:val="20"/>
          <w:szCs w:val="20"/>
          <w:color w:val="auto"/>
        </w:rPr>
        <w:t xml:space="preserve"> above.</w:t>
      </w:r>
    </w:p>
    <w:p>
      <w:pPr>
        <w:spacing w:after="0" w:line="281" w:lineRule="exact"/>
        <w:rPr>
          <w:sz w:val="20"/>
          <w:szCs w:val="20"/>
          <w:color w:val="auto"/>
        </w:rPr>
      </w:pPr>
    </w:p>
    <w:p>
      <w:pPr>
        <w:jc w:val="both"/>
        <w:ind w:firstLine="611"/>
        <w:spacing w:after="0"/>
        <w:rPr>
          <w:sz w:val="20"/>
          <w:szCs w:val="20"/>
          <w:color w:val="auto"/>
        </w:rPr>
      </w:pPr>
      <w:r>
        <w:rPr>
          <w:rFonts w:ascii="Times New Roman" w:cs="Times New Roman" w:eastAsia="Times New Roman" w:hAnsi="Times New Roman"/>
          <w:sz w:val="20"/>
          <w:szCs w:val="20"/>
          <w:color w:val="auto"/>
        </w:rPr>
        <w:t xml:space="preserve">248.11 </w:t>
      </w:r>
      <w:r>
        <w:rPr>
          <w:rFonts w:ascii="Times New Roman" w:cs="Times New Roman" w:eastAsia="Times New Roman" w:hAnsi="Times New Roman"/>
          <w:sz w:val="20"/>
          <w:szCs w:val="20"/>
          <w:u w:val="single" w:color="auto"/>
          <w:color w:val="auto"/>
        </w:rPr>
        <w:t>Replacement of a Lender</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[Increased Costs], or if the Borrower is required to pay any Indemnified Taxes or additional amounts to any Lender or any Official Body for the account of any Lender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324" w:right="339" w:bottom="1440" w:gutter="0" w:footer="0" w:header="0"/>
        </w:sectPr>
      </w:pPr>
    </w:p>
    <w:bookmarkStart w:id="249" w:name="page250"/>
    <w:bookmarkEnd w:id="249"/>
    <w:p>
      <w:pPr>
        <w:jc w:val="both"/>
        <w:spacing w:after="0" w:line="215" w:lineRule="auto"/>
        <w:rPr>
          <w:sz w:val="20"/>
          <w:szCs w:val="20"/>
          <w:color w:val="auto"/>
        </w:rPr>
      </w:pP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[Taxes]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[Designation of a Different Lending Office],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[Successors and Assigns]), all of its interests, rights (other than its existing rights to payments pursuant to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[Increased Cost] or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[Taxes])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6" w:lineRule="exact"/>
        <w:rPr>
          <w:sz w:val="20"/>
          <w:szCs w:val="20"/>
          <w:color w:val="auto"/>
        </w:rPr>
      </w:pPr>
    </w:p>
    <w:p>
      <w:pPr>
        <w:ind w:firstLine="1224"/>
        <w:spacing w:after="0" w:line="233" w:lineRule="auto"/>
        <w:tabs>
          <w:tab w:leader="none" w:pos="1831"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paid to the Administrative Agent the assignment fee (if any) specified in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[Successors and Assigns];</w:t>
      </w:r>
    </w:p>
    <w:p>
      <w:pPr>
        <w:spacing w:after="0" w:line="142"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29"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and participations in Letter of Credit Borrowings,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[Indemnity]) from the assignee (to the extent of such outstanding principal and accrued interest and fees) or the Borrower (in the case of all other amounts);</w:t>
      </w:r>
    </w:p>
    <w:p>
      <w:pPr>
        <w:spacing w:after="0" w:line="144"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31"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[Increased Costs] or payments required to be made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[Taxes], such assignment will result in a reduction in such compensation or payments thereafter;</w:t>
      </w:r>
    </w:p>
    <w:p>
      <w:pPr>
        <w:spacing w:after="0" w:line="142"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 and</w:t>
      </w:r>
    </w:p>
    <w:p>
      <w:pPr>
        <w:spacing w:after="0" w:line="177" w:lineRule="exact"/>
        <w:rPr>
          <w:rFonts w:ascii="Times New Roman" w:cs="Times New Roman" w:eastAsia="Times New Roman" w:hAnsi="Times New Roman"/>
          <w:sz w:val="20"/>
          <w:szCs w:val="20"/>
          <w:color w:val="auto"/>
        </w:rPr>
      </w:pPr>
    </w:p>
    <w:p>
      <w:pPr>
        <w:ind w:firstLine="1224"/>
        <w:spacing w:after="0" w:line="249" w:lineRule="auto"/>
        <w:tabs>
          <w:tab w:leader="none" w:pos="1831"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assignment resulting from a Lender becoming a Non-Consenting Lender, the applicable assignee shall have consented to the applicable amendment, waiver or consent.</w:t>
      </w:r>
    </w:p>
    <w:p>
      <w:pPr>
        <w:spacing w:after="0" w:line="159" w:lineRule="exact"/>
        <w:rPr>
          <w:rFonts w:ascii="Times New Roman" w:cs="Times New Roman" w:eastAsia="Times New Roman" w:hAnsi="Times New Roman"/>
          <w:sz w:val="20"/>
          <w:szCs w:val="20"/>
          <w:color w:val="auto"/>
        </w:rPr>
      </w:pPr>
    </w:p>
    <w:p>
      <w:pPr>
        <w:ind w:firstLine="1224"/>
        <w:spacing w:after="0" w:line="289" w:lineRule="auto"/>
        <w:tabs>
          <w:tab w:leader="none" w:pos="183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08" w:lineRule="exact"/>
        <w:rPr>
          <w:sz w:val="20"/>
          <w:szCs w:val="20"/>
          <w:color w:val="auto"/>
        </w:rPr>
      </w:pP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248.12 </w:t>
      </w: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[Increased Costs], or the Borrower is or will be required to pay any Indemnified Taxes or additional amounts to any Lender or any Official Body for the account of any Lender pursuant to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[Taxes],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[Increased Costs] or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[Taxes],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jc w:val="center"/>
        <w:spacing w:after="0" w:line="216" w:lineRule="auto"/>
        <w:rPr>
          <w:sz w:val="20"/>
          <w:szCs w:val="20"/>
          <w:color w:val="auto"/>
        </w:rPr>
      </w:pPr>
      <w:r>
        <w:rPr>
          <w:rFonts w:ascii="Times New Roman" w:cs="Times New Roman" w:eastAsia="Times New Roman" w:hAnsi="Times New Roman"/>
          <w:sz w:val="20"/>
          <w:szCs w:val="20"/>
          <w:color w:val="auto"/>
        </w:rPr>
        <w:t>ARTICLE 249</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Borrower represents and warrants to the Administrative Agent, each Lender and each Issuing Lender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324" w:right="339" w:bottom="1440" w:gutter="0" w:footer="0" w:header="0"/>
        </w:sectPr>
      </w:pPr>
    </w:p>
    <w:bookmarkStart w:id="250" w:name="page251"/>
    <w:bookmarkEnd w:id="250"/>
    <w:p>
      <w:pPr>
        <w:jc w:val="both"/>
        <w:ind w:firstLine="611"/>
        <w:spacing w:after="0" w:line="217" w:lineRule="auto"/>
        <w:rPr>
          <w:sz w:val="20"/>
          <w:szCs w:val="20"/>
          <w:color w:val="auto"/>
        </w:rPr>
      </w:pPr>
      <w:r>
        <w:rPr>
          <w:rFonts w:ascii="Times New Roman" w:cs="Times New Roman" w:eastAsia="Times New Roman" w:hAnsi="Times New Roman"/>
          <w:sz w:val="20"/>
          <w:szCs w:val="20"/>
          <w:color w:val="auto"/>
        </w:rPr>
        <w:t xml:space="preserve">249.1 </w:t>
      </w:r>
      <w:r>
        <w:rPr>
          <w:rFonts w:ascii="Times New Roman" w:cs="Times New Roman" w:eastAsia="Times New Roman" w:hAnsi="Times New Roman"/>
          <w:sz w:val="20"/>
          <w:szCs w:val="20"/>
          <w:u w:val="single" w:color="auto"/>
          <w:color w:val="auto"/>
        </w:rPr>
        <w:t>Existence; Power</w:t>
      </w:r>
      <w:r>
        <w:rPr>
          <w:rFonts w:ascii="Times New Roman" w:cs="Times New Roman" w:eastAsia="Times New Roman" w:hAnsi="Times New Roman"/>
          <w:sz w:val="20"/>
          <w:szCs w:val="20"/>
          <w:color w:val="auto"/>
        </w:rPr>
        <w:t>. The Borrower and each of its Subsidiaries (i) is duly organized, validly existing and in good standing as a corporation, partnership or limited liability company under the laws of the jurisdiction of its organization, (ii) has all requisite power and authority to carry on its business as now conducted, and (iii) is duly qualified to do business, and is in good standing, in each jurisdiction where such qualification is required, except where a failure to be so qualified could not reasonably be expected to result in a Material Adverse Effect.</w:t>
      </w:r>
    </w:p>
    <w:p>
      <w:pPr>
        <w:spacing w:after="0" w:line="1"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249.2 </w:t>
      </w:r>
      <w:r>
        <w:rPr>
          <w:rFonts w:ascii="Times New Roman" w:cs="Times New Roman" w:eastAsia="Times New Roman" w:hAnsi="Times New Roman"/>
          <w:sz w:val="20"/>
          <w:szCs w:val="20"/>
          <w:u w:val="single" w:color="auto"/>
          <w:color w:val="auto"/>
        </w:rPr>
        <w:t>Organizational Power; Authorization</w:t>
      </w:r>
      <w:r>
        <w:rPr>
          <w:rFonts w:ascii="Times New Roman" w:cs="Times New Roman" w:eastAsia="Times New Roman" w:hAnsi="Times New Roman"/>
          <w:sz w:val="20"/>
          <w:szCs w:val="20"/>
          <w:color w:val="auto"/>
        </w:rPr>
        <w:t>. The execution, delivery and performance by each Loan Party of the Loan Documents to which it is a party are within such Loan Party’s organizational powers and have been duly authorized by all necessary organizational and, if required, shareholder, partner or member action. This Agreement has been duly executed and delivered by the Borrower and constitutes, and each other Loan Document to which any Loan Party is a party, when executed and delivered by such Loan Party, will constitute, valid and binding obligations of the Borrower or such other Loan Party (as the case may be), enforceable against it in accordance with their respective terms, except as may be limited by applicable bankruptcy, insolvency, reorganization, moratorium or similar laws affecting the enforcement of creditors’ rights generally and by general principles of equity.</w:t>
      </w:r>
    </w:p>
    <w:p>
      <w:pPr>
        <w:spacing w:after="0" w:line="4"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249.3 </w:t>
      </w:r>
      <w:r>
        <w:rPr>
          <w:rFonts w:ascii="Times New Roman" w:cs="Times New Roman" w:eastAsia="Times New Roman" w:hAnsi="Times New Roman"/>
          <w:sz w:val="20"/>
          <w:szCs w:val="20"/>
          <w:u w:val="single" w:color="auto"/>
          <w:color w:val="auto"/>
        </w:rPr>
        <w:t>Governmental Approvals; No Conflicts</w:t>
      </w:r>
      <w:r>
        <w:rPr>
          <w:rFonts w:ascii="Times New Roman" w:cs="Times New Roman" w:eastAsia="Times New Roman" w:hAnsi="Times New Roman"/>
          <w:sz w:val="20"/>
          <w:szCs w:val="20"/>
          <w:color w:val="auto"/>
        </w:rPr>
        <w:t>. The execution, delivery and performance by each Loan Party of the Loan Documents to which it is a party (i)(a) do not require any consent or approval of, registration or filing with, or any action by, any Official Body, except those as have been obtained or made and are in full force and effect and except for filings necessary to perfect or maintain perfection of the Liens created under the Loan Documents, and (b) will not violate any Requirement of Law applicable to the Borrower or any of its Subsidiaries or any judgment, order or ruling of any Official Body, in each case except such as could not reasonably be expected to result in a Material Adverse Effect; (ii) will not violate or result in a default under any Contractual Obligation of the Borrower or any of its Subsidiaries or any of its assets or give rise to a right thereunder, in each case which would reasonably be likely to result in a Material Adverse Change, or to require any payment to be made by the Borrower or any of its Subsidiaries in an amount of $5,000,000 or more, and (iii) will not result in the creation or imposition of any Lien on any asset of the Borrower or any of its Subsidiaries, except Liens (if any) created under the Loan Documents.</w:t>
      </w:r>
    </w:p>
    <w:p>
      <w:pPr>
        <w:spacing w:after="0" w:line="6"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249.4 </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Borrower has furnished to each Lender (i) the audited consolidated balance sheet of the Borrower and its Subsidiaries as of December 29, 2024, and the related audited consolidated statements of income, shareholders’ equity and cash flows for the Fiscal Year then ended, prepared by Deloitte LLP and (ii) the unaudited consolidated balance sheet of the Borrower and its Subsidiaries as of the end of each Fiscal Quarter ended March 30, 2025, June 29, 2025, and September 28, 2025, and the related unaudited consolidated statements of income and cash flows for such Fiscal Quarter and year-to-date period then ended, certified by an Authorized Officer. Such financial statements fairly present the consolidated financial condition of the Borrower and its Subsidiaries as of such dates and the consolidated results of operations for such periods in conformity with GAAP consistently applied, subject to year-end audit adjustments and the absence of footnotes in the case of the statements referred to in clause (ii) above. Since December 29, 2024, there have been no changes with respect to the Borrower and its Subsidiaries which have had or could reasonably be expected to have, either individually or in the aggregate, a Material Adverse Effect.</w:t>
      </w:r>
    </w:p>
    <w:p>
      <w:pPr>
        <w:ind w:left="620"/>
        <w:spacing w:after="0" w:line="218" w:lineRule="auto"/>
        <w:rPr>
          <w:sz w:val="20"/>
          <w:szCs w:val="20"/>
          <w:color w:val="auto"/>
        </w:rPr>
      </w:pPr>
      <w:r>
        <w:rPr>
          <w:rFonts w:ascii="Times New Roman" w:cs="Times New Roman" w:eastAsia="Times New Roman" w:hAnsi="Times New Roman"/>
          <w:sz w:val="20"/>
          <w:szCs w:val="20"/>
          <w:color w:val="auto"/>
        </w:rPr>
        <w:t xml:space="preserve">249.5  </w:t>
      </w:r>
      <w:r>
        <w:rPr>
          <w:rFonts w:ascii="Times New Roman" w:cs="Times New Roman" w:eastAsia="Times New Roman" w:hAnsi="Times New Roman"/>
          <w:sz w:val="20"/>
          <w:szCs w:val="20"/>
          <w:u w:val="single" w:color="auto"/>
          <w:color w:val="auto"/>
        </w:rPr>
        <w:t>Litigation and Environmental Matters</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firstLine="1224"/>
        <w:spacing w:after="0" w:line="220" w:lineRule="auto"/>
        <w:tabs>
          <w:tab w:leader="none" w:pos="1831"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litigation, investigation or proceeding of or before any arbitrators or Official Body is pending against or, to the knowledge of the Borrower, threatened against or affecting the Borrower or any of its Subsidiaries (i) as to which there is a reasonable possibility of an adverse determination that could reasonably be expected to have, either individually or in the aggregate, a Material Adverse Effect or (ii) which in any manner draws into question the validity or enforceability of this Agreement or any other Loan Document.</w:t>
      </w:r>
    </w:p>
    <w:p>
      <w:pPr>
        <w:spacing w:after="0" w:line="146"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the matters set forth on </w:t>
      </w:r>
      <w:r>
        <w:rPr>
          <w:rFonts w:ascii="Times New Roman" w:cs="Times New Roman" w:eastAsia="Times New Roman" w:hAnsi="Times New Roman"/>
          <w:sz w:val="20"/>
          <w:szCs w:val="20"/>
          <w:u w:val="single" w:color="auto"/>
          <w:color w:val="auto"/>
        </w:rPr>
        <w:t>Schedule 6.5</w:t>
      </w:r>
      <w:r>
        <w:rPr>
          <w:rFonts w:ascii="Times New Roman" w:cs="Times New Roman" w:eastAsia="Times New Roman" w:hAnsi="Times New Roman"/>
          <w:sz w:val="20"/>
          <w:szCs w:val="20"/>
          <w:color w:val="auto"/>
        </w:rPr>
        <w:t>, neither the Borrower nor any of its Subsidiaries (i) has failed to comply with any Environmental Law or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324" w:right="339" w:bottom="1440" w:gutter="0" w:footer="0" w:header="0"/>
        </w:sectPr>
      </w:pPr>
    </w:p>
    <w:bookmarkStart w:id="251" w:name="page252"/>
    <w:bookmarkEnd w:id="251"/>
    <w:p>
      <w:pPr>
        <w:jc w:val="both"/>
        <w:spacing w:after="0" w:line="228" w:lineRule="auto"/>
        <w:rPr>
          <w:sz w:val="20"/>
          <w:szCs w:val="20"/>
          <w:color w:val="auto"/>
        </w:rPr>
      </w:pPr>
      <w:r>
        <w:rPr>
          <w:rFonts w:ascii="Times New Roman" w:cs="Times New Roman" w:eastAsia="Times New Roman" w:hAnsi="Times New Roman"/>
          <w:sz w:val="20"/>
          <w:szCs w:val="20"/>
          <w:color w:val="auto"/>
        </w:rPr>
        <w:t>maintain or comply with any permit, license or other approval required under any Environmental Law, in each case, except for such failures that are not expected to have, either individually or in the aggregate, a Material Adverse Effect, (ii) has become subject to any Environmental Liability, (iii) has received notice of any claim with respect to any Environmental Liability or (iv) knows of any basis for any Environmental Liability.</w:t>
      </w:r>
    </w:p>
    <w:p>
      <w:pPr>
        <w:spacing w:after="0" w:line="145" w:lineRule="exact"/>
        <w:rPr>
          <w:sz w:val="20"/>
          <w:szCs w:val="20"/>
          <w:color w:val="auto"/>
        </w:rPr>
      </w:pPr>
    </w:p>
    <w:p>
      <w:pPr>
        <w:jc w:val="both"/>
        <w:ind w:firstLine="611"/>
        <w:spacing w:after="0" w:line="218" w:lineRule="auto"/>
        <w:rPr>
          <w:sz w:val="20"/>
          <w:szCs w:val="20"/>
          <w:color w:val="auto"/>
        </w:rPr>
      </w:pPr>
      <w:r>
        <w:rPr>
          <w:rFonts w:ascii="Times New Roman" w:cs="Times New Roman" w:eastAsia="Times New Roman" w:hAnsi="Times New Roman"/>
          <w:sz w:val="20"/>
          <w:szCs w:val="20"/>
          <w:color w:val="auto"/>
        </w:rPr>
        <w:t xml:space="preserve">249.6 </w:t>
      </w:r>
      <w:r>
        <w:rPr>
          <w:rFonts w:ascii="Times New Roman" w:cs="Times New Roman" w:eastAsia="Times New Roman" w:hAnsi="Times New Roman"/>
          <w:sz w:val="20"/>
          <w:szCs w:val="20"/>
          <w:u w:val="single" w:color="auto"/>
          <w:color w:val="auto"/>
        </w:rPr>
        <w:t>Compliance with Laws and Agreements</w:t>
      </w:r>
      <w:r>
        <w:rPr>
          <w:rFonts w:ascii="Times New Roman" w:cs="Times New Roman" w:eastAsia="Times New Roman" w:hAnsi="Times New Roman"/>
          <w:sz w:val="20"/>
          <w:szCs w:val="20"/>
          <w:color w:val="auto"/>
        </w:rPr>
        <w:t>. The Borrower and each of its Subsidiaries is in compliance with (a) all material Laws and all judgments, decrees and orders of any Official Body and (b) all indentures, agreements or other instruments binding upon it or its properties, except where non-compliance, either individually or in the aggregate, could not reasonably be expected to result in a Material Adverse Effect.</w:t>
      </w:r>
    </w:p>
    <w:p>
      <w:pPr>
        <w:spacing w:after="0" w:line="1"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249.7 </w:t>
      </w: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Neither the Borrower nor any of its Subsidiaries is (a) an “investment company” or is “controlled” by an “investment company”, as such terms are defined in, or subject to regulation under, the Investment Company Act of 1940, as amended and in effect from time to time, or (b) otherwise subject to any other regulatory scheme limiting its ability to incur debt or requiring any approval or consent from, or registration or filing with, any Official Body in connection therewith.</w:t>
      </w:r>
    </w:p>
    <w:p>
      <w:pPr>
        <w:spacing w:after="0" w:line="2" w:lineRule="exact"/>
        <w:rPr>
          <w:sz w:val="20"/>
          <w:szCs w:val="20"/>
          <w:color w:val="auto"/>
        </w:rPr>
      </w:pPr>
    </w:p>
    <w:p>
      <w:pPr>
        <w:jc w:val="both"/>
        <w:ind w:firstLine="611"/>
        <w:spacing w:after="0"/>
        <w:rPr>
          <w:sz w:val="20"/>
          <w:szCs w:val="20"/>
          <w:color w:val="auto"/>
        </w:rPr>
      </w:pPr>
      <w:r>
        <w:rPr>
          <w:rFonts w:ascii="Times New Roman" w:cs="Times New Roman" w:eastAsia="Times New Roman" w:hAnsi="Times New Roman"/>
          <w:sz w:val="20"/>
          <w:szCs w:val="20"/>
          <w:color w:val="auto"/>
        </w:rPr>
        <w:t xml:space="preserve">249.8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The Borrower and its Subsidiaries and each other Person for whose taxes the Borrower or any of its Subsidiaries could become liable have timely filed or caused to be filed all federal income tax returns and all other material tax returns that are required to be filed by them, and have paid all taxes shown to be due and payable on such returns or on any assessments made against it or its property and all other taxes, fees or other charges imposed on it or any of its property by any Official Body, except where the same are currently being contested in good faith by appropriate proceedings and for which the Borrower or such Subsidiary, as the case may be, has set aside on its books adequate reserves in accordance with GAAP. The charges, accruals and reserves on the books of the Borrower and its Subsidiaries in respect of such taxes are adequate, and no tax liabilities that could be materially in excess of the amount so provided are anticipated.</w:t>
      </w:r>
    </w:p>
    <w:p>
      <w:pPr>
        <w:spacing w:after="0" w:line="20" w:lineRule="exact"/>
        <w:rPr>
          <w:sz w:val="20"/>
          <w:szCs w:val="20"/>
          <w:color w:val="auto"/>
        </w:rPr>
      </w:pPr>
    </w:p>
    <w:p>
      <w:pPr>
        <w:jc w:val="both"/>
        <w:ind w:firstLine="611"/>
        <w:spacing w:after="0"/>
        <w:rPr>
          <w:sz w:val="20"/>
          <w:szCs w:val="20"/>
          <w:color w:val="auto"/>
        </w:rPr>
      </w:pPr>
      <w:r>
        <w:rPr>
          <w:rFonts w:ascii="Times New Roman" w:cs="Times New Roman" w:eastAsia="Times New Roman" w:hAnsi="Times New Roman"/>
          <w:sz w:val="20"/>
          <w:szCs w:val="20"/>
          <w:color w:val="auto"/>
        </w:rPr>
        <w:t xml:space="preserve">249.9 </w:t>
      </w:r>
      <w:r>
        <w:rPr>
          <w:rFonts w:ascii="Times New Roman" w:cs="Times New Roman" w:eastAsia="Times New Roman" w:hAnsi="Times New Roman"/>
          <w:sz w:val="20"/>
          <w:szCs w:val="20"/>
          <w:u w:val="single" w:color="auto"/>
          <w:color w:val="auto"/>
        </w:rPr>
        <w:t>Margin Regulations</w:t>
      </w:r>
      <w:r>
        <w:rPr>
          <w:rFonts w:ascii="Times New Roman" w:cs="Times New Roman" w:eastAsia="Times New Roman" w:hAnsi="Times New Roman"/>
          <w:sz w:val="20"/>
          <w:szCs w:val="20"/>
          <w:color w:val="auto"/>
        </w:rPr>
        <w:t>. None of the proceeds of any of the Loans or Letters of Credit will be used, directly or indirectly, for “purchasing” or “carrying” any “margin stock” within the respective meanings of each of such terms under Regulation U or for any purpose that violates the provisions of Regulation T, Regulation U or Regulation X. Neither the Borrower nor any of its Subsidiaries is engaged principally, or as one of its important activities, in the business of extending credit for the purpose of purchasing or carrying “margin stock”.</w:t>
      </w:r>
    </w:p>
    <w:p>
      <w:pPr>
        <w:spacing w:after="0" w:line="99" w:lineRule="exact"/>
        <w:rPr>
          <w:sz w:val="20"/>
          <w:szCs w:val="20"/>
          <w:color w:val="auto"/>
        </w:rPr>
      </w:pP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249.10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Each Plan is in substantial compliance in form and operation with its terms and with ERISA and the Code (including the Code provisions compliance with which is necessary for any intended favorable tax treatment) and all other applicable laws and regulations. Each Plan (and each related trust, if any) which is intended to be qualified under Section 401(a) of the Code has received a favorable determination letter from the IRS to the effect that it meets the requirements of Sections 401(a) and 501(a) of the Code covering all applicable tax law changes, or is comprised of a master or prototype plan that has received a favorable opinion letter from the IRS, and nothing has occurred since the date of such determination that would adversely affect such determination (or, in the case of a Plan with no determination, nothing has occurred that would adversely affect the issuance of a favorable determination letter or otherwise adversely affect such qualification). Except as would not reasonably be expected to result in a Material Adverse Effect, no non-exempt prohibited transaction within the meaning of Section 4975 of the Code or Section 406 of ERISA has occurred with respect to any Plan. No ERISA Event has occurred or is reasonably expected to occur. There exists no Unfunded Pension Liability with respect to any Plan. No member of the ERISA Group is making or accruing an obligation to make contributions, or has, within any of the five calendar years immediately preceding the date this assurance is given or deemed given, made or accrued an obligation to make, contributions to any Multiemployer Plan. There are no actions, suits or claims pending against or involving a Plan (other than routine claims for benefits) or, to the knowledge of the Borrower, threatened, which would reasonably be expected to be asserted successfully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324" w:right="339" w:bottom="1440" w:gutter="0" w:footer="0" w:header="0"/>
        </w:sectPr>
      </w:pPr>
    </w:p>
    <w:bookmarkStart w:id="252" w:name="page253"/>
    <w:bookmarkEnd w:id="252"/>
    <w:p>
      <w:pPr>
        <w:jc w:val="both"/>
        <w:spacing w:after="0" w:line="229" w:lineRule="auto"/>
        <w:rPr>
          <w:sz w:val="20"/>
          <w:szCs w:val="20"/>
          <w:color w:val="auto"/>
        </w:rPr>
      </w:pPr>
      <w:r>
        <w:rPr>
          <w:rFonts w:ascii="Times New Roman" w:cs="Times New Roman" w:eastAsia="Times New Roman" w:hAnsi="Times New Roman"/>
          <w:sz w:val="20"/>
          <w:szCs w:val="20"/>
          <w:color w:val="auto"/>
        </w:rPr>
        <w:t>any Plan and, if so asserted successfully, would reasonably be expected either individually or in the aggregate to result in a Material Adverse Effect. Each member of the ERISA Group has made, or established reserves for, all contributions to or under each Plan and Multiemployer Plan required by law within the applicable time limits prescribed thereby, by the terms of such Plan or Multiemployer Plan, respectively, or by any contract or agreement requiring contributions to a Plan or Multiemployer Plan. No Plan which is subject to Section 412 of the Code or Section 302 of ERISA has applied for or received an extension of any amortization period within the meaning of Section 412 of the Code or Section 303 or 304 of ERISA. No member of the ERISA Group has ceased operations at a facility so as to become subject to the provisions of Section 4068(a) of ERISA, withdrawn as a substantial employer so as to become subject to the provisions of Section 4063 of ERISA or ceased making contributions to any Plan subject to Section 4064(a) of ERISA to which it made contributions. Each Non-U.S. Plan has been maintained in compliance with its terms and with the requirements of any and all applicable laws, statutes, rules, regulations and orders and has been maintained, where required, in good standing with applicable regulatory authorities, except as would not reasonably be expected to result in liability to the Borrower or any of its Subsidiaries. All contributions required to be made with respect to a Non-U.S. Plan have been timely made. Neither the Borrower nor any of its Subsidiaries has incurred any obligation in connection with the termination of, or withdrawal from, any Non-U.S. Plan. The present value of the accrued benefit liabilities (whether or not vested) under each Non-U.S. Plan, determined as of the end of the Borrower’s most recently ended fiscal year on the basis of reasonable actuarial assumptions, did not exceed the current value of the assets of such Non-U.S. Plan allocable to such benefit liabilities. No Loan Party holds or will hold “plan assets” within the meaning of 29 C.F.R. 2510.3-101, as modified by Section 3(42) of ERISA.</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249.11 </w:t>
      </w:r>
      <w:r>
        <w:rPr>
          <w:rFonts w:ascii="Times New Roman" w:cs="Times New Roman" w:eastAsia="Times New Roman" w:hAnsi="Times New Roman"/>
          <w:sz w:val="20"/>
          <w:szCs w:val="20"/>
          <w:u w:val="single" w:color="auto"/>
          <w:color w:val="auto"/>
        </w:rPr>
        <w:t>Ownership of Property; Insurance</w:t>
      </w:r>
      <w:r>
        <w:rPr>
          <w:rFonts w:ascii="Times New Roman" w:cs="Times New Roman" w:eastAsia="Times New Roman" w:hAnsi="Times New Roman"/>
          <w:sz w:val="20"/>
          <w:szCs w:val="20"/>
          <w:color w:val="auto"/>
        </w:rPr>
        <w:t>.</w:t>
      </w:r>
    </w:p>
    <w:p>
      <w:pPr>
        <w:jc w:val="both"/>
        <w:ind w:firstLine="1224"/>
        <w:spacing w:after="0" w:line="219" w:lineRule="auto"/>
        <w:tabs>
          <w:tab w:leader="none" w:pos="1831"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Borrower and its Subsidiaries has good title to, or valid leasehold interests in, all of its real and personal property material to the operation of its business, including all such properties reflected in the most recent audited consolidated balance sheet of the Borrower referred to in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[Financial Statements] or purported to have been acquired by the Borrower or any of its Subsidiaries after said date (except as sold or otherwise disposed of in the ordinary course of business), in each case free and clear of Liens prohibited by this Agreement. All leases that individually or in the aggregate are material to the business or operations of the Borrower and its Subsidiaries are valid and subsisting and are in full force.</w:t>
      </w:r>
    </w:p>
    <w:p>
      <w:pPr>
        <w:spacing w:after="0" w:line="145"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Borrower and its Subsidiaries owns, or is licensed or otherwise has the right to use, all patents, trademarks, service marks, trade names, copyrights and other intellectual property material to its business, and the use thereof by the Borrower and its Subsidiaries does not infringe in any material respect on the rights of any other Person.</w:t>
      </w:r>
    </w:p>
    <w:p>
      <w:pPr>
        <w:spacing w:after="0" w:line="142"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31"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properties of the Borrower and its Subsidiaries are insured with financially sound and reputable insurance companies which are not Affiliates of the Borrower, in such amounts with such deductibles and covering such risks as are customarily carried by companies engaged in similar businesses and owning similar properties in localities where the Borrower or any applicable Subsidiary operates.</w:t>
      </w:r>
    </w:p>
    <w:p>
      <w:pPr>
        <w:spacing w:after="0" w:line="144"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neither the Borrower nor any of its Subsidiaries owns any Real Estate, except as disclosed in the Perfection Certificate.</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249.12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w:t>
      </w:r>
    </w:p>
    <w:p>
      <w:pPr>
        <w:jc w:val="both"/>
        <w:ind w:firstLine="1224"/>
        <w:spacing w:after="0" w:line="223" w:lineRule="auto"/>
        <w:tabs>
          <w:tab w:leader="none" w:pos="1831"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disclosed to the Administrative Agent, the Lenders and the Issuing Lenders all agreements, instruments, and corporate or other restrictions to which the Borrower or any of its Subsidiaries is subject, and all other matters known to any of them, that, either individually or in the aggregate, could reasonably be expected to result in a Material Adverse Effect. None of the reports (including all reports that the Borrower is required to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324" w:right="339" w:bottom="1440" w:gutter="0" w:footer="0" w:header="0"/>
        </w:sectPr>
      </w:pPr>
    </w:p>
    <w:bookmarkStart w:id="253" w:name="page254"/>
    <w:bookmarkEnd w:id="253"/>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with the Securities and Exchange Commission), financial statements, certificates or other information furnished by or on behalf of the Borrower to the Administrative Agent, any Lender or any Issuing Lender in connection with the negotiation or syndication of this Agreement or any other Loan Document or delivered hereunder or thereunder (as modified or supplemented by any other information so furnished) contains any material misstatement of fact or omits to state any material fact necessary to make the statements therein, taken as a whole in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Borrower represents only that such information was prepared in good faith based upon assumptions believed to be reasonable at the time.</w:t>
      </w:r>
    </w:p>
    <w:p>
      <w:pPr>
        <w:spacing w:after="0" w:line="148" w:lineRule="exact"/>
        <w:rPr>
          <w:sz w:val="20"/>
          <w:szCs w:val="20"/>
          <w:color w:val="auto"/>
        </w:rPr>
      </w:pPr>
    </w:p>
    <w:p>
      <w:pPr>
        <w:jc w:val="both"/>
        <w:ind w:firstLine="1224"/>
        <w:spacing w:after="0" w:line="228" w:lineRule="auto"/>
        <w:tabs>
          <w:tab w:leader="none" w:pos="1829"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(i) the Closing Date, the information included in the Beneficial Ownership Certification delivered pursuant to </w:t>
      </w:r>
      <w:r>
        <w:rPr>
          <w:rFonts w:ascii="Times New Roman" w:cs="Times New Roman" w:eastAsia="Times New Roman" w:hAnsi="Times New Roman"/>
          <w:sz w:val="20"/>
          <w:szCs w:val="20"/>
          <w:u w:val="single" w:color="auto"/>
          <w:color w:val="auto"/>
        </w:rPr>
        <w:t>Section 7.1(a)(xvi)</w:t>
      </w:r>
      <w:r>
        <w:rPr>
          <w:rFonts w:ascii="Times New Roman" w:cs="Times New Roman" w:eastAsia="Times New Roman" w:hAnsi="Times New Roman"/>
          <w:sz w:val="20"/>
          <w:szCs w:val="20"/>
          <w:color w:val="auto"/>
        </w:rPr>
        <w:t xml:space="preserve"> [Initial Loans and Letters of Credit] is true and correct in all respects and (ii) as of the date delivered, the information included in each Beneficial Ownership Certification delivered pursuant to </w:t>
      </w:r>
      <w:r>
        <w:rPr>
          <w:rFonts w:ascii="Times New Roman" w:cs="Times New Roman" w:eastAsia="Times New Roman" w:hAnsi="Times New Roman"/>
          <w:sz w:val="20"/>
          <w:szCs w:val="20"/>
          <w:u w:val="single" w:color="auto"/>
          <w:color w:val="auto"/>
        </w:rPr>
        <w:t>Section 8.18</w:t>
      </w:r>
      <w:r>
        <w:rPr>
          <w:rFonts w:ascii="Times New Roman" w:cs="Times New Roman" w:eastAsia="Times New Roman" w:hAnsi="Times New Roman"/>
          <w:sz w:val="20"/>
          <w:szCs w:val="20"/>
          <w:color w:val="auto"/>
        </w:rPr>
        <w:t xml:space="preserve"> [Additional Beneficial Ownership Certifications] is true and correct in all respects.</w:t>
      </w:r>
    </w:p>
    <w:p>
      <w:pPr>
        <w:spacing w:after="0" w:line="145" w:lineRule="exact"/>
        <w:rPr>
          <w:sz w:val="20"/>
          <w:szCs w:val="20"/>
          <w:color w:val="auto"/>
        </w:rPr>
      </w:pPr>
    </w:p>
    <w:p>
      <w:pPr>
        <w:jc w:val="both"/>
        <w:ind w:firstLine="611"/>
        <w:spacing w:after="0" w:line="216" w:lineRule="auto"/>
        <w:rPr>
          <w:sz w:val="20"/>
          <w:szCs w:val="20"/>
          <w:color w:val="auto"/>
        </w:rPr>
      </w:pPr>
      <w:r>
        <w:rPr>
          <w:rFonts w:ascii="Times New Roman" w:cs="Times New Roman" w:eastAsia="Times New Roman" w:hAnsi="Times New Roman"/>
          <w:sz w:val="20"/>
          <w:szCs w:val="20"/>
          <w:color w:val="auto"/>
        </w:rPr>
        <w:t xml:space="preserve">249.13 </w:t>
      </w:r>
      <w:r>
        <w:rPr>
          <w:rFonts w:ascii="Times New Roman" w:cs="Times New Roman" w:eastAsia="Times New Roman" w:hAnsi="Times New Roman"/>
          <w:sz w:val="20"/>
          <w:szCs w:val="20"/>
          <w:u w:val="single" w:color="auto"/>
          <w:color w:val="auto"/>
        </w:rPr>
        <w:t>Labor Relations</w:t>
      </w:r>
      <w:r>
        <w:rPr>
          <w:rFonts w:ascii="Times New Roman" w:cs="Times New Roman" w:eastAsia="Times New Roman" w:hAnsi="Times New Roman"/>
          <w:sz w:val="20"/>
          <w:szCs w:val="20"/>
          <w:color w:val="auto"/>
        </w:rPr>
        <w:t>. There are no strikes, lockouts or other material labor disputes or grievances against the Borrower or any of its Subsidiaries, or, to the Borrower’s knowledge, threatened against or affecting the Borrower or any of its Subsidiaries, and no significant unfair labor practice charges or grievances are pending against the Borrower or any of its Subsidiaries, or, to the Borrower’s knowledge, threatened against any of them before any Official Body. All payments due from the Borrower or any of its Subsidiaries pursuant to the provisions of any collective bargaining agreement have been paid or accrued as a liability on the books of the Borrower or any such Subsidiary, except where the failure to do so could not reasonably be expected to have a Material Adverse Effect.</w:t>
      </w:r>
    </w:p>
    <w:p>
      <w:pPr>
        <w:spacing w:after="0" w:line="3"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249.14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6.14</w:t>
      </w:r>
      <w:r>
        <w:rPr>
          <w:rFonts w:ascii="Times New Roman" w:cs="Times New Roman" w:eastAsia="Times New Roman" w:hAnsi="Times New Roman"/>
          <w:sz w:val="20"/>
          <w:szCs w:val="20"/>
          <w:color w:val="auto"/>
        </w:rPr>
        <w:t xml:space="preserve"> sets forth the name of, the ownership interest of the applicable Loan Party in, the jurisdiction of incorporation or organization of, and the type of each Subsidiary of the Borrower and the other Loan Parties and identifies each Subsidiary that is a Guarantor, in each case as of the Closing Date.</w:t>
      </w:r>
    </w:p>
    <w:p>
      <w:pPr>
        <w:spacing w:after="0" w:line="2"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249.15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giving effect to the execution and delivery of the Loan Documents and the making of the Loans under this Agreement, each Loan Party is Solvent.</w:t>
      </w:r>
    </w:p>
    <w:p>
      <w:pPr>
        <w:spacing w:after="0" w:line="1"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249.16 </w:t>
      </w:r>
      <w:r>
        <w:rPr>
          <w:rFonts w:ascii="Times New Roman" w:cs="Times New Roman" w:eastAsia="Times New Roman" w:hAnsi="Times New Roman"/>
          <w:sz w:val="20"/>
          <w:szCs w:val="20"/>
          <w:u w:val="single" w:color="auto"/>
          <w:color w:val="auto"/>
        </w:rPr>
        <w:t>Deposit and Disbursement Accounts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6.16</w:t>
      </w:r>
      <w:r>
        <w:rPr>
          <w:rFonts w:ascii="Times New Roman" w:cs="Times New Roman" w:eastAsia="Times New Roman" w:hAnsi="Times New Roman"/>
          <w:sz w:val="20"/>
          <w:szCs w:val="20"/>
          <w:color w:val="auto"/>
        </w:rPr>
        <w:t xml:space="preserve"> lists all banks and other financial institutions at which any Loan Party maintains deposit accounts, lockbox accounts, disbursement accounts, investment accounts or other similar accounts as of the Closing Date, and such schedule correctly identifies the name, address and telephone number of each financial institution, the name in which the account is held, the type of the account, and the complete account number therefor.</w:t>
      </w:r>
    </w:p>
    <w:p>
      <w:pPr>
        <w:ind w:left="620"/>
        <w:spacing w:after="0" w:line="215" w:lineRule="auto"/>
        <w:rPr>
          <w:sz w:val="20"/>
          <w:szCs w:val="20"/>
          <w:color w:val="auto"/>
        </w:rPr>
      </w:pPr>
      <w:r>
        <w:rPr>
          <w:rFonts w:ascii="Times New Roman" w:cs="Times New Roman" w:eastAsia="Times New Roman" w:hAnsi="Times New Roman"/>
          <w:sz w:val="20"/>
          <w:szCs w:val="20"/>
          <w:color w:val="auto"/>
        </w:rPr>
        <w:t xml:space="preserve">249.17 </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w:t>
      </w:r>
    </w:p>
    <w:p>
      <w:pPr>
        <w:jc w:val="both"/>
        <w:ind w:firstLine="1224"/>
        <w:spacing w:after="0"/>
        <w:tabs>
          <w:tab w:leader="none" w:pos="1831"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Guaranty and Security Agreement is effective to create in favor of the Administrative Agent for the ratable benefit of the Secured Parties a legal, valid and enforceable security interest in the Collateral (as defined therein), and when UCC financing statements in appropriate form are filed in the offices specified on Schedule 3 to the Guaranty and Security Agreement, the Liens created under the Guaranty and Security Agreement shall constitute a fully perfected Lien (to the extent that such Lien may be perfected by the filing of a UCC financing statement) on, and security interest in, all right, title and interest of the grantors thereunder in such Collateral, in each case prior and superior in right to any other Person, other than with respect to Liens expressly permitted by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[Liens]. When the certificates evidencing all Equity Interests pledged pursuant to the Guaranty and Security Agreement are delivered to the Administrative Agent, together with appropriate stock powers or other similar instruments of transfer duly executed in blank, the Liens in such Equity Interests shall be fully perfected first priority security interests, perfected by “control” as defined in the UCC.</w:t>
      </w:r>
    </w:p>
    <w:p>
      <w:pPr>
        <w:spacing w:after="0" w:line="149"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 the filings referred to in paragraph (a) of this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xml:space="preserve"> are made and when, if applicable, the IP Security Agreements are filed in the United States Patent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324" w:right="339" w:bottom="1440" w:gutter="0" w:footer="0" w:header="0"/>
        </w:sectPr>
      </w:pPr>
    </w:p>
    <w:bookmarkStart w:id="254" w:name="page255"/>
    <w:bookmarkEnd w:id="254"/>
    <w:p>
      <w:pPr>
        <w:jc w:val="both"/>
        <w:spacing w:after="0" w:line="225" w:lineRule="auto"/>
        <w:rPr>
          <w:sz w:val="20"/>
          <w:szCs w:val="20"/>
          <w:color w:val="auto"/>
        </w:rPr>
      </w:pPr>
      <w:r>
        <w:rPr>
          <w:rFonts w:ascii="Times New Roman" w:cs="Times New Roman" w:eastAsia="Times New Roman" w:hAnsi="Times New Roman"/>
          <w:sz w:val="20"/>
          <w:szCs w:val="20"/>
          <w:color w:val="auto"/>
        </w:rPr>
        <w:t>Trademark Office or United States Copyright Office, as applicable, the Liens created under the Guaranty and Security Agreement shall constitute a fully perfected Lien on, and security interest in, all right, title and interest of the Loan Parties in the patents, trademarks and copyrights, if any, in which a security interest may be perfected by filing, recording or registering a security agreement, financing statement or analogous document in the United States Patent and Trademark Office or the United States Copyright Office, as applicable, in each case prior and superior in right to any other Person.</w:t>
      </w:r>
    </w:p>
    <w:p>
      <w:pPr>
        <w:spacing w:after="0" w:line="144" w:lineRule="exact"/>
        <w:rPr>
          <w:sz w:val="20"/>
          <w:szCs w:val="20"/>
          <w:color w:val="auto"/>
        </w:rPr>
      </w:pP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249.18 </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No Covered Entity or any of their respective subsidiaries is a “covered foreign person” as that term is used in the Outbound Investment Rules. No Covered Entity nor any of their respective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the Issuing Lender to be in violation of the Outbound Investment Rules or cause the Administrative Agent or the Issuing Lender to be legally prohibited by the Outbound Investment Rules from performing under this Agreement.</w:t>
      </w:r>
    </w:p>
    <w:p>
      <w:pPr>
        <w:spacing w:after="0" w:line="4"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249.19 </w:t>
      </w:r>
      <w:r>
        <w:rPr>
          <w:rFonts w:ascii="Times New Roman" w:cs="Times New Roman" w:eastAsia="Times New Roman" w:hAnsi="Times New Roman"/>
          <w:sz w:val="20"/>
          <w:szCs w:val="20"/>
          <w:u w:val="single" w:color="auto"/>
          <w:color w:val="auto"/>
        </w:rPr>
        <w:t>Sanctions and International Trade Laws</w:t>
      </w:r>
      <w:r>
        <w:rPr>
          <w:rFonts w:ascii="Times New Roman" w:cs="Times New Roman" w:eastAsia="Times New Roman" w:hAnsi="Times New Roman"/>
          <w:sz w:val="20"/>
          <w:szCs w:val="20"/>
          <w:color w:val="auto"/>
        </w:rPr>
        <w:t>. No Covered Entity nor any of their respective directors, officers, employees, agents or affiliates is a Sanctioned Person. Each Covered Entity and its directors, officers, employees, and to the actual knowledge of the General Counsel or Corporate Vice President of Contracts of the Borrower, any agent or affiliate acting on behalf of such Covered Entity, are and, during the past five (5) years has been, in compliance with applicable International Trade Laws. Each Covered Entity has instituted and maintains policies and procedures reasonably designed to ensure compliance with International Trade Laws. No Covered Entity nor any of its directors, officers, employees, or to the knowledge of any Loan Party, its agents or affiliates acting on behalf of such Covered Entity has, during the past five (5) years, received any notice or communication from any Person that alleges any violation of, or has been involved in an internal investigation involving any allegations relating to, potential violation of any International Trade Laws.</w:t>
      </w:r>
    </w:p>
    <w:p>
      <w:pPr>
        <w:spacing w:after="0" w:line="5"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249.20 </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Each Covered Entity, its directors and officers, and any employee, and to the actual knowledge of the General Counsel or Corporate Vice President of Contracts of the Borrower, any agent or affiliate acting on behalf of such Covered Entity, is not in violation of, and has not, during the past five (5) years, directly or indirectly, taken any act that could cause any Covered Entity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other Person to secure any improper advantage or to obtain or retain business. No Covered Entity nor any of its directors, officers, employees, or to the knowledge of any Loan Party, its agents or affiliates acting on behalf of such Covered Entity, has, during the past five (5) years, received any notice or communication from any Person that alleges any violation of, or has been involved in an internal investigation involving any allegations relating to, potential violation of any Anti-Corruption Laws, or has received a request for information from any Official Body regarding Anti-Corruption Law matters. Each Covered Entity has instituted and maintains policies and procedures reasonably designed to ensure compliance with Anti-Corruption Laws.</w:t>
      </w:r>
    </w:p>
    <w:p>
      <w:pPr>
        <w:ind w:left="620"/>
        <w:spacing w:after="0" w:line="220" w:lineRule="auto"/>
        <w:rPr>
          <w:sz w:val="20"/>
          <w:szCs w:val="20"/>
          <w:color w:val="auto"/>
        </w:rPr>
      </w:pPr>
      <w:r>
        <w:rPr>
          <w:rFonts w:ascii="Times New Roman" w:cs="Times New Roman" w:eastAsia="Times New Roman" w:hAnsi="Times New Roman"/>
          <w:sz w:val="20"/>
          <w:szCs w:val="20"/>
          <w:color w:val="auto"/>
        </w:rPr>
        <w:t xml:space="preserve">249.21 </w:t>
      </w:r>
      <w:r>
        <w:rPr>
          <w:rFonts w:ascii="Times New Roman" w:cs="Times New Roman" w:eastAsia="Times New Roman" w:hAnsi="Times New Roman"/>
          <w:sz w:val="20"/>
          <w:szCs w:val="20"/>
          <w:u w:val="single" w:color="auto"/>
          <w:color w:val="auto"/>
        </w:rPr>
        <w:t>Affected Financial Institutions</w:t>
      </w:r>
      <w:r>
        <w:rPr>
          <w:rFonts w:ascii="Times New Roman" w:cs="Times New Roman" w:eastAsia="Times New Roman" w:hAnsi="Times New Roman"/>
          <w:sz w:val="20"/>
          <w:szCs w:val="20"/>
          <w:color w:val="auto"/>
        </w:rPr>
        <w:t>. No Loan Party is an Affected Financial Institution.</w:t>
      </w:r>
    </w:p>
    <w:p>
      <w:pPr>
        <w:jc w:val="both"/>
        <w:ind w:firstLine="611"/>
        <w:spacing w:after="0" w:line="226" w:lineRule="auto"/>
        <w:rPr>
          <w:sz w:val="20"/>
          <w:szCs w:val="20"/>
          <w:color w:val="auto"/>
        </w:rPr>
      </w:pPr>
      <w:r>
        <w:rPr>
          <w:rFonts w:ascii="Times New Roman" w:cs="Times New Roman" w:eastAsia="Times New Roman" w:hAnsi="Times New Roman"/>
          <w:sz w:val="20"/>
          <w:szCs w:val="20"/>
          <w:color w:val="auto"/>
        </w:rPr>
        <w:t xml:space="preserve">249.22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xml:space="preserve">. As of the Closing Date, </w:t>
      </w:r>
      <w:r>
        <w:rPr>
          <w:rFonts w:ascii="Times New Roman" w:cs="Times New Roman" w:eastAsia="Times New Roman" w:hAnsi="Times New Roman"/>
          <w:sz w:val="20"/>
          <w:szCs w:val="20"/>
          <w:u w:val="single" w:color="auto"/>
          <w:color w:val="auto"/>
        </w:rPr>
        <w:t>Schedule 6.22</w:t>
      </w:r>
      <w:r>
        <w:rPr>
          <w:rFonts w:ascii="Times New Roman" w:cs="Times New Roman" w:eastAsia="Times New Roman" w:hAnsi="Times New Roman"/>
          <w:sz w:val="20"/>
          <w:szCs w:val="20"/>
          <w:color w:val="auto"/>
        </w:rPr>
        <w:t xml:space="preserve"> sets forth a true, correct and complete list of all Material Contracts (other than SEC Material Contracts) in effect on the Closing Date with a remaining term of twelve (12) months or longer. All such Material Contracts (other than SEC Material Contracts), together with any additional Government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324" w:right="339" w:bottom="1440" w:gutter="0" w:footer="0" w:header="0"/>
        </w:sectPr>
      </w:pPr>
    </w:p>
    <w:bookmarkStart w:id="255" w:name="page256"/>
    <w:bookmarkEnd w:id="255"/>
    <w:p>
      <w:pPr>
        <w:jc w:val="both"/>
        <w:spacing w:after="0" w:line="217" w:lineRule="auto"/>
        <w:rPr>
          <w:sz w:val="20"/>
          <w:szCs w:val="20"/>
          <w:color w:val="auto"/>
        </w:rPr>
      </w:pPr>
      <w:r>
        <w:rPr>
          <w:rFonts w:ascii="Times New Roman" w:cs="Times New Roman" w:eastAsia="Times New Roman" w:hAnsi="Times New Roman"/>
          <w:sz w:val="20"/>
          <w:szCs w:val="20"/>
          <w:color w:val="auto"/>
        </w:rPr>
        <w:t xml:space="preserve">Contracts noticed or for which assignment documents are delivered pursuant to </w:t>
      </w:r>
      <w:r>
        <w:rPr>
          <w:rFonts w:ascii="Times New Roman" w:cs="Times New Roman" w:eastAsia="Times New Roman" w:hAnsi="Times New Roman"/>
          <w:sz w:val="20"/>
          <w:szCs w:val="20"/>
          <w:u w:val="single" w:color="auto"/>
          <w:color w:val="auto"/>
        </w:rPr>
        <w:t>Section 8.16</w:t>
      </w:r>
      <w:r>
        <w:rPr>
          <w:rFonts w:ascii="Times New Roman" w:cs="Times New Roman" w:eastAsia="Times New Roman" w:hAnsi="Times New Roman"/>
          <w:sz w:val="20"/>
          <w:szCs w:val="20"/>
          <w:color w:val="auto"/>
        </w:rPr>
        <w:t xml:space="preserve"> [Government Contracts], are in full force and effect and no defaults currently exist thereunder (other than as described in </w:t>
      </w:r>
      <w:r>
        <w:rPr>
          <w:rFonts w:ascii="Times New Roman" w:cs="Times New Roman" w:eastAsia="Times New Roman" w:hAnsi="Times New Roman"/>
          <w:sz w:val="20"/>
          <w:szCs w:val="20"/>
          <w:u w:val="single" w:color="auto"/>
          <w:color w:val="auto"/>
        </w:rPr>
        <w:t>Schedule 6.22</w:t>
      </w:r>
      <w:r>
        <w:rPr>
          <w:rFonts w:ascii="Times New Roman" w:cs="Times New Roman" w:eastAsia="Times New Roman" w:hAnsi="Times New Roman"/>
          <w:sz w:val="20"/>
          <w:szCs w:val="20"/>
          <w:color w:val="auto"/>
        </w:rPr>
        <w:t xml:space="preserve"> hereto or in any update or supplement to such Schedule delivered to the Administrative Agent from time to time pursuant to </w:t>
      </w:r>
      <w:r>
        <w:rPr>
          <w:rFonts w:ascii="Times New Roman" w:cs="Times New Roman" w:eastAsia="Times New Roman" w:hAnsi="Times New Roman"/>
          <w:sz w:val="20"/>
          <w:szCs w:val="20"/>
          <w:u w:val="single" w:color="auto"/>
          <w:color w:val="auto"/>
        </w:rPr>
        <w:t>Section 8.2(b)</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Schedule 6.22</w:t>
      </w:r>
      <w:r>
        <w:rPr>
          <w:rFonts w:ascii="Times New Roman" w:cs="Times New Roman" w:eastAsia="Times New Roman" w:hAnsi="Times New Roman"/>
          <w:sz w:val="20"/>
          <w:szCs w:val="20"/>
          <w:color w:val="auto"/>
        </w:rPr>
        <w:t xml:space="preserve"> (or in any such updates or supplements thereto), no Material Contract (a) contains any provision permitting reduction or set offs of amounts to be paid thereunder, (b) contains any provision restricting assignments of sums due thereunder to the Administrative Agent, or</w:t>
      </w:r>
    </w:p>
    <w:p>
      <w:pPr>
        <w:spacing w:after="0" w:line="1" w:lineRule="exact"/>
        <w:rPr>
          <w:sz w:val="20"/>
          <w:szCs w:val="20"/>
          <w:color w:val="auto"/>
        </w:rPr>
      </w:pPr>
    </w:p>
    <w:p>
      <w:pPr>
        <w:jc w:val="both"/>
        <w:ind w:firstLine="2"/>
        <w:spacing w:after="0" w:line="212" w:lineRule="auto"/>
        <w:tabs>
          <w:tab w:leader="none" w:pos="287"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has been assigned to any other Person. Notwithstanding anything herein to the contrary, the Loan Parties shall have no obligation to deliver to the Administrative Agent (including, for the avoidance of doubt, in connection with any update or supplement to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6.22</w:t>
      </w:r>
      <w:r>
        <w:rPr>
          <w:rFonts w:ascii="Times New Roman" w:cs="Times New Roman" w:eastAsia="Times New Roman" w:hAnsi="Times New Roman"/>
          <w:sz w:val="20"/>
          <w:szCs w:val="20"/>
          <w:color w:val="auto"/>
        </w:rPr>
        <w:t>) copies of any Material Contracts which are SEC Material Contracts that have been filed by the Borrower with the U.S. Securities and Exchange Commission.</w:t>
      </w:r>
    </w:p>
    <w:p>
      <w:pPr>
        <w:spacing w:after="0" w:line="2" w:lineRule="exact"/>
        <w:rPr>
          <w:rFonts w:ascii="Times New Roman" w:cs="Times New Roman" w:eastAsia="Times New Roman" w:hAnsi="Times New Roman"/>
          <w:sz w:val="20"/>
          <w:szCs w:val="20"/>
          <w:color w:val="auto"/>
        </w:rPr>
      </w:pPr>
    </w:p>
    <w:p>
      <w:pPr>
        <w:jc w:val="both"/>
        <w:ind w:firstLine="611"/>
        <w:spacing w:after="0" w:line="21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249.23 </w:t>
      </w:r>
      <w:r>
        <w:rPr>
          <w:rFonts w:ascii="Times New Roman" w:cs="Times New Roman" w:eastAsia="Times New Roman" w:hAnsi="Times New Roman"/>
          <w:sz w:val="20"/>
          <w:szCs w:val="20"/>
          <w:u w:val="single" w:color="auto"/>
          <w:color w:val="auto"/>
        </w:rPr>
        <w:t>Debarment and Suspension</w:t>
      </w:r>
      <w:r>
        <w:rPr>
          <w:rFonts w:ascii="Times New Roman" w:cs="Times New Roman" w:eastAsia="Times New Roman" w:hAnsi="Times New Roman"/>
          <w:sz w:val="20"/>
          <w:szCs w:val="20"/>
          <w:color w:val="auto"/>
        </w:rPr>
        <w:t>. No event has occurred and, to the knowledge of the Borrower, no condition exists that may result in the debarment or suspension of the Borrower or any Subsidiary from contracting with the United States or any of its departments, agencies or instrumentalities, and neither the Borrower nor any Subsidiary has been subject to any such debarment or suspension prior to the date of this Agreement. To the knowledge of the Borrower, no investigation or inquiry by the United States or any of its departments, agencies or instrumentalities involving fraud, deception, or willful misconduct has been commenced in connection with any Government Contract of the Borrower or any Subsidiary or any activities of the Borrower or any Subsidiary.</w:t>
      </w:r>
    </w:p>
    <w:p>
      <w:pPr>
        <w:jc w:val="center"/>
        <w:spacing w:after="0" w:line="216" w:lineRule="auto"/>
        <w:rPr>
          <w:sz w:val="20"/>
          <w:szCs w:val="20"/>
          <w:color w:val="auto"/>
        </w:rPr>
      </w:pPr>
      <w:r>
        <w:rPr>
          <w:rFonts w:ascii="Times New Roman" w:cs="Times New Roman" w:eastAsia="Times New Roman" w:hAnsi="Times New Roman"/>
          <w:sz w:val="20"/>
          <w:szCs w:val="20"/>
          <w:color w:val="auto"/>
        </w:rPr>
        <w:t>ARTICLE 250</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CONDITIONS OF LENDING AND ISSUANCE OF LETTERS OF CREDIT</w:t>
      </w:r>
    </w:p>
    <w:p>
      <w:pPr>
        <w:spacing w:after="0" w:line="181" w:lineRule="exact"/>
        <w:rPr>
          <w:sz w:val="20"/>
          <w:szCs w:val="20"/>
          <w:color w:val="auto"/>
        </w:rPr>
      </w:pPr>
    </w:p>
    <w:p>
      <w:pPr>
        <w:jc w:val="both"/>
        <w:ind w:firstLine="611"/>
        <w:spacing w:after="0" w:line="271" w:lineRule="auto"/>
        <w:rPr>
          <w:sz w:val="20"/>
          <w:szCs w:val="20"/>
          <w:color w:val="auto"/>
        </w:rPr>
      </w:pPr>
      <w:r>
        <w:rPr>
          <w:rFonts w:ascii="Times New Roman" w:cs="Times New Roman" w:eastAsia="Times New Roman" w:hAnsi="Times New Roman"/>
          <w:sz w:val="20"/>
          <w:szCs w:val="20"/>
          <w:color w:val="auto"/>
        </w:rPr>
        <w:t>The obligation of each Lender to make Loans and of the Issuing Lender to issue Letters of Credit hereunder is subject to the performance by each of the Loan Parties of its Obligations to be performed hereunder at or prior to the making of any such Loans or issuance of such Letters of Credit and to the satisfaction of the following further conditions:</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250.1  </w:t>
      </w:r>
      <w:r>
        <w:rPr>
          <w:rFonts w:ascii="Times New Roman" w:cs="Times New Roman" w:eastAsia="Times New Roman" w:hAnsi="Times New Roman"/>
          <w:sz w:val="20"/>
          <w:szCs w:val="20"/>
          <w:u w:val="single" w:color="auto"/>
          <w:color w:val="auto"/>
        </w:rPr>
        <w:t>Initial Loans and Letters of Credit</w:t>
      </w:r>
      <w:r>
        <w:rPr>
          <w:rFonts w:ascii="Times New Roman" w:cs="Times New Roman" w:eastAsia="Times New Roman" w:hAnsi="Times New Roman"/>
          <w:sz w:val="20"/>
          <w:szCs w:val="20"/>
          <w:color w:val="auto"/>
        </w:rPr>
        <w:t>.</w:t>
      </w:r>
    </w:p>
    <w:p>
      <w:pPr>
        <w:ind w:firstLine="1224"/>
        <w:spacing w:after="0" w:line="233" w:lineRule="auto"/>
        <w:tabs>
          <w:tab w:leader="none" w:pos="1831"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Deliveries</w:t>
      </w:r>
      <w:r>
        <w:rPr>
          <w:rFonts w:ascii="Times New Roman" w:cs="Times New Roman" w:eastAsia="Times New Roman" w:hAnsi="Times New Roman"/>
          <w:sz w:val="20"/>
          <w:szCs w:val="20"/>
          <w:color w:val="auto"/>
        </w:rPr>
        <w:t>. On the Closing Date, the Administrative Agent shall have received each of the following in form and substance satisfactory to the Administrative Agent:</w:t>
      </w:r>
    </w:p>
    <w:p>
      <w:pPr>
        <w:spacing w:after="0" w:line="142" w:lineRule="exact"/>
        <w:rPr>
          <w:rFonts w:ascii="Times New Roman" w:cs="Times New Roman" w:eastAsia="Times New Roman" w:hAnsi="Times New Roman"/>
          <w:sz w:val="20"/>
          <w:szCs w:val="20"/>
          <w:color w:val="auto"/>
        </w:rPr>
      </w:pPr>
    </w:p>
    <w:p>
      <w:pPr>
        <w:jc w:val="both"/>
        <w:ind w:left="540" w:firstLine="1219"/>
        <w:spacing w:after="0"/>
        <w:tabs>
          <w:tab w:leader="none" w:pos="2438" w:val="left"/>
        </w:tabs>
        <w:numPr>
          <w:ilvl w:val="2"/>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each of the Loan Parties signed by an Authorized Officer, dated the Closing Date stating that (w) the representations and warranties hereunder and under the Loan Documents are accurate, (x) the Loan Parties are in compliance with each of the covenants hereunder and under the Loan Documents, (y) no Material Adverse Effect has occurred since the date of the last audited financial statements of the Borrower delivered to the Administrative Agent (and the Administrative Agent and Required Lenders shall not have otherwise determined) and (z) there is no Potential Default or Event of Default as of closing;</w:t>
      </w:r>
    </w:p>
    <w:p>
      <w:pPr>
        <w:spacing w:after="0" w:line="276" w:lineRule="exact"/>
        <w:rPr>
          <w:rFonts w:ascii="Times New Roman" w:cs="Times New Roman" w:eastAsia="Times New Roman" w:hAnsi="Times New Roman"/>
          <w:sz w:val="20"/>
          <w:szCs w:val="20"/>
          <w:color w:val="auto"/>
        </w:rPr>
      </w:pPr>
    </w:p>
    <w:p>
      <w:pPr>
        <w:jc w:val="both"/>
        <w:ind w:left="540" w:firstLine="1219"/>
        <w:spacing w:after="0" w:line="220" w:lineRule="auto"/>
        <w:tabs>
          <w:tab w:leader="none" w:pos="2444" w:val="left"/>
        </w:tabs>
        <w:numPr>
          <w:ilvl w:val="2"/>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dated the Closing Date and signed by the Secretary or an Assistant Secretary of each of the Loan Parties, certifying as appropriate as to: (A) all action taken by each Loan Party to validly authorize, duly execute and deliver this Agreement and the other Loan Documents and attaching copies of such resolution or other corporate or organizational action;</w:t>
      </w:r>
    </w:p>
    <w:p>
      <w:pPr>
        <w:jc w:val="both"/>
        <w:ind w:left="540" w:hanging="3"/>
        <w:spacing w:after="0" w:line="220" w:lineRule="auto"/>
        <w:tabs>
          <w:tab w:leader="none" w:pos="868"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authority and capacity of the Authorized Officers authorized to sign the Loan Documents and their true signatures; and (C) copies of its organizational documents as in effect on the Closing Date, to the extent applicable, certified as of a sufficiently recent date prior to the Closing Date by the appropriate state official where such documents are filed in a state office together with certificates from the appropriate state officials as to due organization and the continued valid existence, good standing and qualification to engage in its business of each Loan Party in the state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324"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20"/>
          <w:szCs w:val="20"/>
          <w:color w:val="auto"/>
        </w:rPr>
        <w:t>organization and in each state where conduct of business or ownership or lease of properties or assets requires such qualification;</w:t>
      </w:r>
    </w:p>
    <w:p>
      <w:pPr>
        <w:spacing w:after="0" w:line="178" w:lineRule="exact"/>
        <w:rPr>
          <w:sz w:val="20"/>
          <w:szCs w:val="20"/>
          <w:color w:val="auto"/>
        </w:rPr>
      </w:pPr>
    </w:p>
    <w:p>
      <w:pPr>
        <w:ind w:left="1900" w:hanging="681"/>
        <w:spacing w:after="0"/>
        <w:tabs>
          <w:tab w:leader="none" w:pos="19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each of the other Loan Documents duly executed by the parties thereto;</w:t>
      </w:r>
    </w:p>
    <w:p>
      <w:pPr>
        <w:spacing w:after="0" w:line="177" w:lineRule="exact"/>
        <w:rPr>
          <w:rFonts w:ascii="Times New Roman" w:cs="Times New Roman" w:eastAsia="Times New Roman" w:hAnsi="Times New Roman"/>
          <w:sz w:val="20"/>
          <w:szCs w:val="20"/>
          <w:color w:val="auto"/>
        </w:rPr>
      </w:pPr>
    </w:p>
    <w:p>
      <w:pPr>
        <w:ind w:left="1900" w:hanging="681"/>
        <w:spacing w:after="0"/>
        <w:tabs>
          <w:tab w:leader="none" w:pos="19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Appropriate transfer powers and stock or other certificates evidencing the pledged Collateral;</w:t>
      </w:r>
    </w:p>
    <w:p>
      <w:pPr>
        <w:spacing w:after="0" w:line="177" w:lineRule="exact"/>
        <w:rPr>
          <w:rFonts w:ascii="Times New Roman" w:cs="Times New Roman" w:eastAsia="Times New Roman" w:hAnsi="Times New Roman"/>
          <w:sz w:val="20"/>
          <w:szCs w:val="20"/>
          <w:color w:val="auto"/>
        </w:rPr>
      </w:pPr>
    </w:p>
    <w:p>
      <w:pPr>
        <w:ind w:firstLine="1219"/>
        <w:spacing w:after="0" w:line="249" w:lineRule="auto"/>
        <w:tabs>
          <w:tab w:leader="none" w:pos="1906"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opinion(s) of counsel for the Loan Parties, dated the Closing Date and in form and substance satisfactory to the Administrative Agent;</w:t>
      </w:r>
    </w:p>
    <w:p>
      <w:pPr>
        <w:spacing w:after="0" w:line="134" w:lineRule="exact"/>
        <w:rPr>
          <w:rFonts w:ascii="Times New Roman" w:cs="Times New Roman" w:eastAsia="Times New Roman" w:hAnsi="Times New Roman"/>
          <w:sz w:val="20"/>
          <w:szCs w:val="20"/>
          <w:color w:val="auto"/>
        </w:rPr>
      </w:pPr>
    </w:p>
    <w:p>
      <w:pPr>
        <w:jc w:val="both"/>
        <w:ind w:firstLine="1219"/>
        <w:spacing w:after="0" w:line="234" w:lineRule="auto"/>
        <w:tabs>
          <w:tab w:leader="none" w:pos="189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adequate insurance, required to be maintained under this Agreement is in full force and effect, with additional insured and lender loss payable special endorsements attached thereto in form and substance satisfactory to the Administrative Agent and its counsel naming the Administrative Agent as additional insured and lender loss payee;</w:t>
      </w:r>
    </w:p>
    <w:p>
      <w:pPr>
        <w:spacing w:after="0" w:line="142" w:lineRule="exact"/>
        <w:rPr>
          <w:rFonts w:ascii="Times New Roman" w:cs="Times New Roman" w:eastAsia="Times New Roman" w:hAnsi="Times New Roman"/>
          <w:sz w:val="20"/>
          <w:szCs w:val="20"/>
          <w:color w:val="auto"/>
        </w:rPr>
      </w:pPr>
    </w:p>
    <w:p>
      <w:pPr>
        <w:ind w:left="1900" w:hanging="681"/>
        <w:spacing w:after="0"/>
        <w:tabs>
          <w:tab w:leader="none" w:pos="19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7" w:lineRule="exact"/>
        <w:rPr>
          <w:rFonts w:ascii="Times New Roman" w:cs="Times New Roman" w:eastAsia="Times New Roman" w:hAnsi="Times New Roman"/>
          <w:sz w:val="20"/>
          <w:szCs w:val="20"/>
          <w:color w:val="auto"/>
        </w:rPr>
      </w:pPr>
    </w:p>
    <w:p>
      <w:pPr>
        <w:jc w:val="both"/>
        <w:ind w:firstLine="1219"/>
        <w:spacing w:after="0" w:line="234" w:lineRule="auto"/>
        <w:tabs>
          <w:tab w:leader="none" w:pos="191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material consents, licenses and approvals required for the delivery and performance by any Loan Party of any Loan Document and the enforceability of any Loan Document against such Loan Party, certified by an Authorized Officer that each is in full force and effect and none other is so required or necessary;</w:t>
      </w:r>
    </w:p>
    <w:p>
      <w:pPr>
        <w:spacing w:after="0" w:line="142" w:lineRule="exact"/>
        <w:rPr>
          <w:rFonts w:ascii="Times New Roman" w:cs="Times New Roman" w:eastAsia="Times New Roman" w:hAnsi="Times New Roman"/>
          <w:sz w:val="20"/>
          <w:szCs w:val="20"/>
          <w:color w:val="auto"/>
        </w:rPr>
      </w:pPr>
    </w:p>
    <w:p>
      <w:pPr>
        <w:jc w:val="both"/>
        <w:ind w:firstLine="1219"/>
        <w:spacing w:after="0"/>
        <w:tabs>
          <w:tab w:leader="none" w:pos="189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Evidence that all Indebtedness not permitted under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[Indebtedness], including but not limited to the Existing Credit Agreement, shall have been paid in full and that all necessary termination statements, release statements and other releases in connection with all Liens (other than Permitted Liens) have been filed or satisfactory arrangements have been made for such filing (including payoff letters, if applicable, in form and substance reasonably satisfactory to the Administrative Agent);</w:t>
      </w:r>
    </w:p>
    <w:p>
      <w:pPr>
        <w:spacing w:after="0" w:line="302" w:lineRule="exact"/>
        <w:rPr>
          <w:rFonts w:ascii="Times New Roman" w:cs="Times New Roman" w:eastAsia="Times New Roman" w:hAnsi="Times New Roman"/>
          <w:sz w:val="20"/>
          <w:szCs w:val="20"/>
          <w:color w:val="auto"/>
        </w:rPr>
      </w:pPr>
    </w:p>
    <w:p>
      <w:pPr>
        <w:ind w:left="1900" w:hanging="681"/>
        <w:spacing w:after="0"/>
        <w:tabs>
          <w:tab w:leader="none" w:pos="19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 searches in acceptable scope and with acceptable results;</w:t>
      </w:r>
    </w:p>
    <w:p>
      <w:pPr>
        <w:spacing w:after="0" w:line="177" w:lineRule="exact"/>
        <w:rPr>
          <w:rFonts w:ascii="Times New Roman" w:cs="Times New Roman" w:eastAsia="Times New Roman" w:hAnsi="Times New Roman"/>
          <w:sz w:val="20"/>
          <w:szCs w:val="20"/>
          <w:color w:val="auto"/>
        </w:rPr>
      </w:pPr>
    </w:p>
    <w:p>
      <w:pPr>
        <w:ind w:firstLine="1219"/>
        <w:spacing w:after="0" w:line="249" w:lineRule="auto"/>
        <w:tabs>
          <w:tab w:leader="none" w:pos="189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executed landlord’s waiver or other lien waiver agreement from the lessor, warehouse operator or other applicable Person for each leased Collateral location as required under the Guaranty and Security Agreement;</w:t>
      </w:r>
    </w:p>
    <w:p>
      <w:pPr>
        <w:spacing w:after="0" w:line="134" w:lineRule="exact"/>
        <w:rPr>
          <w:rFonts w:ascii="Times New Roman" w:cs="Times New Roman" w:eastAsia="Times New Roman" w:hAnsi="Times New Roman"/>
          <w:sz w:val="20"/>
          <w:szCs w:val="20"/>
          <w:color w:val="auto"/>
        </w:rPr>
      </w:pPr>
    </w:p>
    <w:p>
      <w:pPr>
        <w:ind w:firstLine="1219"/>
        <w:spacing w:after="0" w:line="249" w:lineRule="auto"/>
        <w:tabs>
          <w:tab w:leader="none" w:pos="190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an Authorized Officer of the Borrower as to the Solvency of each of the Loan Parties taken as a whole after giving effect to the transactions contemplated by this Agreement;</w:t>
      </w:r>
    </w:p>
    <w:p>
      <w:pPr>
        <w:spacing w:after="0" w:line="134" w:lineRule="exact"/>
        <w:rPr>
          <w:rFonts w:ascii="Times New Roman" w:cs="Times New Roman" w:eastAsia="Times New Roman" w:hAnsi="Times New Roman"/>
          <w:sz w:val="20"/>
          <w:szCs w:val="20"/>
          <w:color w:val="auto"/>
        </w:rPr>
      </w:pPr>
    </w:p>
    <w:p>
      <w:pPr>
        <w:ind w:left="1900" w:hanging="681"/>
        <w:spacing w:after="0"/>
        <w:tabs>
          <w:tab w:leader="none" w:pos="19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executed Letter of Direction, along with a completed Funds Flow;</w:t>
      </w:r>
    </w:p>
    <w:p>
      <w:pPr>
        <w:spacing w:after="0" w:line="177" w:lineRule="exact"/>
        <w:rPr>
          <w:rFonts w:ascii="Times New Roman" w:cs="Times New Roman" w:eastAsia="Times New Roman" w:hAnsi="Times New Roman"/>
          <w:sz w:val="20"/>
          <w:szCs w:val="20"/>
          <w:color w:val="auto"/>
        </w:rPr>
      </w:pPr>
    </w:p>
    <w:p>
      <w:pPr>
        <w:jc w:val="both"/>
        <w:ind w:firstLine="1219"/>
        <w:spacing w:after="0" w:line="225" w:lineRule="auto"/>
        <w:tabs>
          <w:tab w:leader="none" w:pos="189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(x) the consolidated financial statements for the Borrower and its Subsidiaries for each Fiscal Year and Fiscal Quarter ended before the date of this Agreement to the extent required to be delivered pursuant to the Existing Credit Agreement and (y) pro forma financial projections (including a pro forma closing balance sheet, pro forma statements of operations and cash flow) for the Fiscal Years 2026 through 2030, on a quarterly basis for 2026 and on an annual basis thereafter, including assumptions used in preparing the forecast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0700"/>
          </w:cols>
          <w:pgMar w:left="860" w:top="1324" w:right="339" w:bottom="1440" w:gutter="0" w:footer="0" w:header="0"/>
        </w:sectPr>
      </w:pPr>
    </w:p>
    <w:bookmarkStart w:id="257" w:name="page258"/>
    <w:bookmarkEnd w:id="257"/>
    <w:p>
      <w:pPr>
        <w:jc w:val="both"/>
        <w:ind w:left="540" w:firstLine="1219"/>
        <w:spacing w:after="0" w:line="223" w:lineRule="auto"/>
        <w:tabs>
          <w:tab w:leader="none" w:pos="2446"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UCC financing statements for each appropriate jurisdiction as is necessary, in the Administrative Agent’s sole discretion, to perfect the Administrative Agent’s security interest in the Collateral and each other document required by this Agreement, any other Loan Document or under Law or reasonably requested by the Administrative Agent to be filed, registered or recorded in order to create, in favor of Administrative Agent, a perfected (to the extent required to be perfected pursuant to the Guaranty and Security Agreement) security interest in or lien upon the Collateral shall have been properly executed by the Loan Party;</w:t>
      </w:r>
    </w:p>
    <w:p>
      <w:pPr>
        <w:spacing w:after="0" w:line="144" w:lineRule="exact"/>
        <w:rPr>
          <w:rFonts w:ascii="Times New Roman" w:cs="Times New Roman" w:eastAsia="Times New Roman" w:hAnsi="Times New Roman"/>
          <w:sz w:val="20"/>
          <w:szCs w:val="20"/>
          <w:color w:val="auto"/>
        </w:rPr>
      </w:pPr>
    </w:p>
    <w:p>
      <w:pPr>
        <w:jc w:val="both"/>
        <w:ind w:left="540" w:firstLine="1219"/>
        <w:spacing w:after="0" w:line="228" w:lineRule="auto"/>
        <w:tabs>
          <w:tab w:leader="none" w:pos="243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each Lender shall have received, in form and substance acceptable to the Administrative Agent and each Lender an executed Certificate of Beneficial Ownership and such other documentation and other information requested in connection with applicable “know your customer” rules and regulations and Anti-Money Laundering Laws, including the USA PATRIOT Act; and</w:t>
      </w:r>
    </w:p>
    <w:p>
      <w:pPr>
        <w:spacing w:after="0" w:line="140" w:lineRule="exact"/>
        <w:rPr>
          <w:rFonts w:ascii="Times New Roman" w:cs="Times New Roman" w:eastAsia="Times New Roman" w:hAnsi="Times New Roman"/>
          <w:sz w:val="20"/>
          <w:szCs w:val="20"/>
          <w:color w:val="auto"/>
        </w:rPr>
      </w:pPr>
    </w:p>
    <w:p>
      <w:pPr>
        <w:ind w:left="2440" w:hanging="681"/>
        <w:spacing w:after="0"/>
        <w:tabs>
          <w:tab w:leader="none" w:pos="2440"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in connection with such transactions as the Administrative Agent or its counsel may</w:t>
      </w:r>
    </w:p>
    <w:p>
      <w:pPr>
        <w:ind w:left="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request.</w:t>
      </w:r>
    </w:p>
    <w:p>
      <w:pPr>
        <w:spacing w:after="0" w:line="155"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Fees</w:t>
      </w:r>
      <w:r>
        <w:rPr>
          <w:rFonts w:ascii="Times New Roman" w:cs="Times New Roman" w:eastAsia="Times New Roman" w:hAnsi="Times New Roman"/>
          <w:sz w:val="20"/>
          <w:szCs w:val="20"/>
          <w:color w:val="auto"/>
        </w:rPr>
        <w:t>. The Borrower shall have paid all fees and expenses payable on or before the Closing Date as required by this Agreement, the Administrative Agent’s Letter or any other Loan Document.</w:t>
      </w:r>
    </w:p>
    <w:p>
      <w:pPr>
        <w:spacing w:after="0" w:line="160" w:lineRule="exact"/>
        <w:rPr>
          <w:sz w:val="20"/>
          <w:szCs w:val="20"/>
          <w:color w:val="auto"/>
        </w:rPr>
      </w:pPr>
    </w:p>
    <w:p>
      <w:pPr>
        <w:jc w:val="both"/>
        <w:ind w:firstLine="611"/>
        <w:spacing w:after="0" w:line="265"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the last paragraph of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[Exculpatory Provisions], for purposes of determining compliance with the conditions specified in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31" w:lineRule="exact"/>
        <w:rPr>
          <w:sz w:val="20"/>
          <w:szCs w:val="20"/>
          <w:color w:val="auto"/>
        </w:rPr>
      </w:pPr>
    </w:p>
    <w:p>
      <w:pPr>
        <w:jc w:val="both"/>
        <w:ind w:firstLine="611"/>
        <w:spacing w:after="0" w:line="217" w:lineRule="auto"/>
        <w:rPr>
          <w:sz w:val="20"/>
          <w:szCs w:val="20"/>
          <w:color w:val="auto"/>
        </w:rPr>
      </w:pPr>
      <w:r>
        <w:rPr>
          <w:rFonts w:ascii="Times New Roman" w:cs="Times New Roman" w:eastAsia="Times New Roman" w:hAnsi="Times New Roman"/>
          <w:sz w:val="20"/>
          <w:szCs w:val="20"/>
          <w:color w:val="auto"/>
        </w:rPr>
        <w:t xml:space="preserve">250.2 </w:t>
      </w:r>
      <w:r>
        <w:rPr>
          <w:rFonts w:ascii="Times New Roman" w:cs="Times New Roman" w:eastAsia="Times New Roman" w:hAnsi="Times New Roman"/>
          <w:sz w:val="20"/>
          <w:szCs w:val="20"/>
          <w:u w:val="single" w:color="auto"/>
          <w:color w:val="auto"/>
        </w:rPr>
        <w:t>Each Loan or Letter of Credit</w:t>
      </w:r>
      <w:r>
        <w:rPr>
          <w:rFonts w:ascii="Times New Roman" w:cs="Times New Roman" w:eastAsia="Times New Roman" w:hAnsi="Times New Roman"/>
          <w:sz w:val="20"/>
          <w:szCs w:val="20"/>
          <w:color w:val="auto"/>
        </w:rPr>
        <w:t xml:space="preserve">. At the time of making any Loans or issuing, extending or increasing any Letters of Credit and after giving effect to the proposed extensions of credit: (a) the representations and warranties of the Loan Parties shall then be true and correct in all material respects (unless qualified by materiality or reference to the absence of a Material Adverse Effect, in which event shall be true and correct), except to the extent that such representations and warranties specifically refer to an earlier date, in which case they shall be true and correct as of such earlier date, and except that for purposes of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[Financial Statements] shall be deemed to refer to the most recent statements furnished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[Reporting Requirements], (b) no Event of Default or Potential Default shall have occurred and be continuing or would result from such Loan or Letter of Credit or the application of the proceeds thereof, (c) after giving effect to the making of the Loans or issuance, extension or increase of such Letter of Credit, the total extensions of credit under the Revolving Credit Facility shall not exceed the Revolving Credit Commitment, and (d) the Borrower shall have delivered to the Administrative Agent a duly executed and completed Loan Request or to the Issuing Lender an application for a Letter of Credit, as the case may be. Each Loan Request and Letter of Credit application shall be deemed to be a representation that the conditions specified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[Initial Loans and Letters of Credit] and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have been satisfied on or prior to the date thereof.</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324"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20"/>
          <w:szCs w:val="20"/>
          <w:color w:val="auto"/>
        </w:rPr>
        <w:t>ARTICLE 251</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181" w:lineRule="exact"/>
        <w:rPr>
          <w:sz w:val="20"/>
          <w:szCs w:val="20"/>
          <w:color w:val="auto"/>
        </w:rPr>
      </w:pPr>
    </w:p>
    <w:p>
      <w:pPr>
        <w:jc w:val="both"/>
        <w:ind w:firstLine="611"/>
        <w:spacing w:after="0" w:line="269" w:lineRule="auto"/>
        <w:rPr>
          <w:sz w:val="20"/>
          <w:szCs w:val="20"/>
          <w:color w:val="auto"/>
        </w:rPr>
      </w:pPr>
      <w:r>
        <w:rPr>
          <w:rFonts w:ascii="Times New Roman" w:cs="Times New Roman" w:eastAsia="Times New Roman" w:hAnsi="Times New Roman"/>
          <w:sz w:val="20"/>
          <w:szCs w:val="20"/>
          <w:color w:val="auto"/>
        </w:rPr>
        <w:t>Until the Commitments have expired or been terminated and all Obligations have been paid in full and all Letters of Credit shall have expired or terminated, in each case without any pending draw, or all such Letters of Credit shall have been cash collateralized to the satisfaction of the applicable Issuing Lender, and all Letter of Credit Borrowing shall have been reimbursed, the Borrower covenants and agrees with the Administrative Agent, the Lenders and the Issuing Lenders that:</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251.1  </w:t>
      </w:r>
      <w:r>
        <w:rPr>
          <w:rFonts w:ascii="Times New Roman" w:cs="Times New Roman" w:eastAsia="Times New Roman" w:hAnsi="Times New Roman"/>
          <w:sz w:val="20"/>
          <w:szCs w:val="20"/>
          <w:u w:val="single" w:color="auto"/>
          <w:color w:val="auto"/>
        </w:rPr>
        <w:t>Reporting Requirements</w:t>
      </w:r>
      <w:r>
        <w:rPr>
          <w:rFonts w:ascii="Times New Roman" w:cs="Times New Roman" w:eastAsia="Times New Roman" w:hAnsi="Times New Roman"/>
          <w:sz w:val="20"/>
          <w:szCs w:val="20"/>
          <w:color w:val="auto"/>
        </w:rPr>
        <w:t>. The Borrower will deliver to Administrative Agent:</w:t>
      </w:r>
    </w:p>
    <w:p>
      <w:pPr>
        <w:jc w:val="both"/>
        <w:ind w:firstLine="1224"/>
        <w:spacing w:after="0" w:line="216" w:lineRule="auto"/>
        <w:tabs>
          <w:tab w:leader="none" w:pos="1831"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As soon as available and in any event within ninety (90) days after the end of each Fiscal Year of the Borrower, a copy of the annual audited report for such Fiscal Year for the Borrower and its Subsidiaries, containing a consolidated balance sheet of the Borrower and its Subsidiaries as of the end of such Fiscal Year and the related consolidated statements of income, stockholders’ equity and cash flows (together with all footnotes thereto) of the Borrower and its Subsidiaries for such Fiscal Year, setting forth in each case in comparative form the figures for the previous Fiscal Year, all in reasonable detail and reported on by Deloitte LLP or other independent public accountants of nationally recognized standing (without a “going concern” or like qualification, exception or explanation and without any qualification or exception as to the scope of such audit) to the effect that such financial statements present fairly in all material respects the financial condition and the results of operations of the Borrower and its Subsidiaries for such Fiscal Year on a consolidated basis in accordance with GAAP and that the examination by such accountants in connection with such consolidated financial statements has been made in accordance with generally accepted auditing standards.</w:t>
      </w:r>
    </w:p>
    <w:p>
      <w:pPr>
        <w:spacing w:after="0" w:line="149" w:lineRule="exact"/>
        <w:rPr>
          <w:rFonts w:ascii="Times New Roman" w:cs="Times New Roman" w:eastAsia="Times New Roman" w:hAnsi="Times New Roman"/>
          <w:sz w:val="20"/>
          <w:szCs w:val="20"/>
          <w:color w:val="auto"/>
        </w:rPr>
      </w:pPr>
    </w:p>
    <w:p>
      <w:pPr>
        <w:jc w:val="both"/>
        <w:ind w:firstLine="1224"/>
        <w:spacing w:after="0"/>
        <w:tabs>
          <w:tab w:leader="none" w:pos="1829"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As soon as available and in any event within forty-five (45) days after the end of each Fiscal Quarter of the Borrower (other than the fourth Fiscal Quarter of each Fiscal Year), an unaudited consolidated and consolidating balance sheet of the Borrower and its Subsidiaries as of the end of such Fiscal Quarter and the related unaudited consolidated and consolidating statements of income and cash flows of the Borrower and its Subsidiaries for such Fiscal Quarter and the then elapsed portion of such Fiscal Year, setting forth in each case in comparative form the figures for the corresponding Fiscal Quarter and the corresponding portion of the Borrower’s previous Fiscal Year and the corresponding figures for the budget for the current Fiscal Year.</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251.2  </w:t>
      </w:r>
      <w:r>
        <w:rPr>
          <w:rFonts w:ascii="Times New Roman" w:cs="Times New Roman" w:eastAsia="Times New Roman" w:hAnsi="Times New Roman"/>
          <w:sz w:val="20"/>
          <w:szCs w:val="20"/>
          <w:u w:val="single" w:color="auto"/>
          <w:color w:val="auto"/>
        </w:rPr>
        <w:t>Certificates; Notices; Additional Information</w:t>
      </w:r>
      <w:r>
        <w:rPr>
          <w:rFonts w:ascii="Times New Roman" w:cs="Times New Roman" w:eastAsia="Times New Roman" w:hAnsi="Times New Roman"/>
          <w:sz w:val="20"/>
          <w:szCs w:val="20"/>
          <w:color w:val="auto"/>
        </w:rPr>
        <w:t>. The Borrower will deliver to the Administrative Agent:</w:t>
      </w:r>
    </w:p>
    <w:p>
      <w:pPr>
        <w:jc w:val="both"/>
        <w:ind w:firstLine="1224"/>
        <w:spacing w:after="0" w:line="217" w:lineRule="auto"/>
        <w:tabs>
          <w:tab w:leader="none" w:pos="183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the financial statements referred to in </w:t>
      </w:r>
      <w:r>
        <w:rPr>
          <w:rFonts w:ascii="Times New Roman" w:cs="Times New Roman" w:eastAsia="Times New Roman" w:hAnsi="Times New Roman"/>
          <w:sz w:val="20"/>
          <w:szCs w:val="20"/>
          <w:u w:val="single" w:color="auto"/>
          <w:color w:val="auto"/>
        </w:rPr>
        <w:t>Section 8.1 (a)</w:t>
      </w:r>
      <w:r>
        <w:rPr>
          <w:rFonts w:ascii="Times New Roman" w:cs="Times New Roman" w:eastAsia="Times New Roman" w:hAnsi="Times New Roman"/>
          <w:sz w:val="20"/>
          <w:szCs w:val="20"/>
          <w:color w:val="auto"/>
        </w:rPr>
        <w:t xml:space="preserve"> [Annual Financial Statements] and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xml:space="preserve"> [Quarterly Financial Statements], a Compliance Certificate signed by the principal executive officer or the principal financial officer of the Borrower (i) certifying as to whether there exists a Potential Default or Event of Default on the date of such certificate and, if a Default or an Event of Default then exists, specifying the details thereof and the action which the Borrower has taken or proposes to take with respect thereto, (ii) setting forth in reasonable detail calculations demonstrating compliance with the financial covenants set forth in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xml:space="preserve"> [Total Net Leverage Ratio] and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[Interest Coverage Ratio], (iii) specifying any change in the identity of the Subsidiaries as of the end of such Fiscal Year or Fiscal Quarter from the Subsidiaries identified to the Lenders on the Closing Date or as of the most recent Fiscal Year or Fiscal Quarter, as the case may be, and (iv) stating whether any change in GAAP or the application thereof has occurred since the date of the mostly recently delivered audited financial statements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320" w:right="339" w:bottom="1440" w:gutter="0" w:footer="0" w:header="0"/>
        </w:sectPr>
      </w:pPr>
    </w:p>
    <w:bookmarkStart w:id="259" w:name="page260"/>
    <w:bookmarkEnd w:id="259"/>
    <w:p>
      <w:pPr>
        <w:jc w:val="both"/>
        <w:spacing w:after="0" w:line="249" w:lineRule="auto"/>
        <w:rPr>
          <w:sz w:val="20"/>
          <w:szCs w:val="20"/>
          <w:color w:val="auto"/>
        </w:rPr>
      </w:pPr>
      <w:r>
        <w:rPr>
          <w:rFonts w:ascii="Times New Roman" w:cs="Times New Roman" w:eastAsia="Times New Roman" w:hAnsi="Times New Roman"/>
          <w:sz w:val="20"/>
          <w:szCs w:val="20"/>
          <w:color w:val="auto"/>
        </w:rPr>
        <w:t>Borrower and its Subsidiaries, and, if any change has occurred, specifying the effect of such change on the financial statements accompanying such Compliance Certificate.</w:t>
      </w:r>
    </w:p>
    <w:p>
      <w:pPr>
        <w:spacing w:after="0" w:line="134" w:lineRule="exact"/>
        <w:rPr>
          <w:sz w:val="20"/>
          <w:szCs w:val="20"/>
          <w:color w:val="auto"/>
        </w:rPr>
      </w:pPr>
    </w:p>
    <w:p>
      <w:pPr>
        <w:jc w:val="both"/>
        <w:ind w:firstLine="1223"/>
        <w:spacing w:after="0" w:line="228" w:lineRule="auto"/>
        <w:rPr>
          <w:sz w:val="20"/>
          <w:szCs w:val="20"/>
          <w:color w:val="auto"/>
        </w:rPr>
      </w:pPr>
      <w:r>
        <w:rPr>
          <w:rFonts w:ascii="Times New Roman" w:cs="Times New Roman" w:eastAsia="Times New Roman" w:hAnsi="Times New Roman"/>
          <w:sz w:val="20"/>
          <w:szCs w:val="20"/>
          <w:color w:val="auto"/>
        </w:rPr>
        <w:t xml:space="preserve">(b) Concurrently with the delivery of each Compliance Certificate delivered in connection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 (a)</w:t>
      </w:r>
      <w:r>
        <w:rPr>
          <w:rFonts w:ascii="Times New Roman" w:cs="Times New Roman" w:eastAsia="Times New Roman" w:hAnsi="Times New Roman"/>
          <w:sz w:val="20"/>
          <w:szCs w:val="20"/>
          <w:color w:val="auto"/>
        </w:rPr>
        <w:t xml:space="preserve"> [Annual Financial Statements], an updated </w:t>
      </w:r>
      <w:r>
        <w:rPr>
          <w:rFonts w:ascii="Times New Roman" w:cs="Times New Roman" w:eastAsia="Times New Roman" w:hAnsi="Times New Roman"/>
          <w:sz w:val="20"/>
          <w:szCs w:val="20"/>
          <w:u w:val="single" w:color="auto"/>
          <w:color w:val="auto"/>
        </w:rPr>
        <w:t>Schedule 6.22</w:t>
      </w:r>
      <w:r>
        <w:rPr>
          <w:rFonts w:ascii="Times New Roman" w:cs="Times New Roman" w:eastAsia="Times New Roman" w:hAnsi="Times New Roman"/>
          <w:sz w:val="20"/>
          <w:szCs w:val="20"/>
          <w:color w:val="auto"/>
        </w:rPr>
        <w:t xml:space="preserve"> which shall be attached to such Compliance Certificate;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updated Schedule shall only be required to the extent such information provided on </w:t>
      </w:r>
      <w:r>
        <w:rPr>
          <w:rFonts w:ascii="Times New Roman" w:cs="Times New Roman" w:eastAsia="Times New Roman" w:hAnsi="Times New Roman"/>
          <w:sz w:val="20"/>
          <w:szCs w:val="20"/>
          <w:u w:val="single" w:color="auto"/>
          <w:color w:val="auto"/>
        </w:rPr>
        <w:t>Schedule 6.22</w:t>
      </w:r>
      <w:r>
        <w:rPr>
          <w:rFonts w:ascii="Times New Roman" w:cs="Times New Roman" w:eastAsia="Times New Roman" w:hAnsi="Times New Roman"/>
          <w:sz w:val="20"/>
          <w:szCs w:val="20"/>
          <w:color w:val="auto"/>
        </w:rPr>
        <w:t xml:space="preserve"> becomes outdated or incorrect in any material respect.</w:t>
      </w:r>
    </w:p>
    <w:p>
      <w:pPr>
        <w:spacing w:after="0" w:line="145" w:lineRule="exact"/>
        <w:rPr>
          <w:sz w:val="20"/>
          <w:szCs w:val="20"/>
          <w:color w:val="auto"/>
        </w:rPr>
      </w:pPr>
    </w:p>
    <w:p>
      <w:pPr>
        <w:ind w:firstLine="1224"/>
        <w:spacing w:after="0" w:line="249" w:lineRule="auto"/>
        <w:tabs>
          <w:tab w:leader="none" w:pos="1831"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within sixty (60) days after the end of the calendar year, forecasts and a pro forma budget for the succeeding Fiscal Year, containing an income statement, balance sheet and statement of cash flow.</w:t>
      </w:r>
    </w:p>
    <w:p>
      <w:pPr>
        <w:spacing w:after="0" w:line="134"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filed with the Securities and Exchange Commission, or any Official Body succeeding to any or all functions of said Commission, or with any national securities exchange, or distributed by the Borrower to its shareholders generally, as the case may be.</w:t>
      </w:r>
    </w:p>
    <w:p>
      <w:pPr>
        <w:spacing w:after="0" w:line="142" w:lineRule="exact"/>
        <w:rPr>
          <w:rFonts w:ascii="Times New Roman" w:cs="Times New Roman" w:eastAsia="Times New Roman" w:hAnsi="Times New Roman"/>
          <w:sz w:val="20"/>
          <w:szCs w:val="20"/>
          <w:color w:val="auto"/>
        </w:rPr>
      </w:pPr>
    </w:p>
    <w:p>
      <w:pPr>
        <w:jc w:val="both"/>
        <w:ind w:firstLine="1224"/>
        <w:spacing w:after="0" w:line="225" w:lineRule="auto"/>
        <w:tabs>
          <w:tab w:leader="none" w:pos="1831"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(i) such other information regarding the results of operations, business affairs and financial condition of the Borrower or any of its Subsidiaries as the Administrative Agent, any Lender or any Issuing Lender may reasonably request and (ii) information and documentation reasonably requested by the Administrative Agent, any Lender or any Issuing Lender for purposes of compliance with applicable “know your customer” requirements under the PATRIOT Act or other applicable Anti-Money Laundering Laws.</w:t>
      </w:r>
    </w:p>
    <w:p>
      <w:pPr>
        <w:spacing w:after="0" w:line="169" w:lineRule="exact"/>
        <w:rPr>
          <w:rFonts w:ascii="Times New Roman" w:cs="Times New Roman" w:eastAsia="Times New Roman" w:hAnsi="Times New Roman"/>
          <w:sz w:val="20"/>
          <w:szCs w:val="20"/>
          <w:color w:val="auto"/>
        </w:rPr>
      </w:pPr>
    </w:p>
    <w:p>
      <w:pPr>
        <w:jc w:val="both"/>
        <w:ind w:firstLine="2"/>
        <w:spacing w:after="0" w:line="269" w:lineRule="auto"/>
        <w:tabs>
          <w:tab w:leader="none" w:pos="611"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the Borrower is required to file periodic reports under Section 13(a) or Section 15(d) of the Exchange Act, the Borrower may satisfy its obligation to deliver the financial statements referred to in </w:t>
      </w:r>
      <w:r>
        <w:rPr>
          <w:rFonts w:ascii="Times New Roman" w:cs="Times New Roman" w:eastAsia="Times New Roman" w:hAnsi="Times New Roman"/>
          <w:sz w:val="20"/>
          <w:szCs w:val="20"/>
          <w:u w:val="single" w:color="auto"/>
          <w:color w:val="auto"/>
        </w:rPr>
        <w:t>Section 8.1 (a)</w:t>
      </w:r>
      <w:r>
        <w:rPr>
          <w:rFonts w:ascii="Times New Roman" w:cs="Times New Roman" w:eastAsia="Times New Roman" w:hAnsi="Times New Roman"/>
          <w:sz w:val="20"/>
          <w:szCs w:val="20"/>
          <w:color w:val="auto"/>
        </w:rPr>
        <w:t xml:space="preserve"> [Annual Financial Statements] and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xml:space="preserve"> [Quarterly Financial Statements] by delivering such financial statements by electronic mail to such e-mail addresses as the Administrative Agent, the Lenders and the Issuing Lenders shall have provided to the Borrower from time to time.</w:t>
      </w:r>
    </w:p>
    <w:p>
      <w:pPr>
        <w:spacing w:after="0" w:line="153" w:lineRule="exact"/>
        <w:rPr>
          <w:rFonts w:ascii="Times New Roman" w:cs="Times New Roman" w:eastAsia="Times New Roman" w:hAnsi="Times New Roman"/>
          <w:sz w:val="20"/>
          <w:szCs w:val="20"/>
          <w:color w:val="auto"/>
        </w:rPr>
      </w:pPr>
    </w:p>
    <w:p>
      <w:pPr>
        <w:jc w:val="both"/>
        <w:ind w:firstLine="1224"/>
        <w:spacing w:after="0" w:line="258" w:lineRule="auto"/>
        <w:tabs>
          <w:tab w:leader="none" w:pos="1829"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acknowledges that (a) the Administrative Agent and/or the Arrangers will make available to the Lenders and each Issuing Lender materials and/or information provided by or on behalf of the Borrower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the Platform and (b) certain of the Lenders and Issuing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Issuing Lenders and the Lenders to treat such Borrower Materials as not containing any material non-public information (although it may be sensitive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324" w:right="339" w:bottom="1440" w:gutter="0" w:footer="0" w:header="0"/>
        </w:sectPr>
      </w:pPr>
    </w:p>
    <w:bookmarkStart w:id="260" w:name="page261"/>
    <w:bookmarkEnd w:id="260"/>
    <w:p>
      <w:pPr>
        <w:jc w:val="both"/>
        <w:spacing w:after="0" w:line="263" w:lineRule="auto"/>
        <w:rPr>
          <w:sz w:val="20"/>
          <w:szCs w:val="20"/>
          <w:color w:val="auto"/>
        </w:rPr>
      </w:pPr>
      <w:r>
        <w:rPr>
          <w:rFonts w:ascii="Times New Roman" w:cs="Times New Roman" w:eastAsia="Times New Roman" w:hAnsi="Times New Roman"/>
          <w:sz w:val="20"/>
          <w:szCs w:val="20"/>
          <w:color w:val="auto"/>
        </w:rPr>
        <w:t>proprietary) with respect to the Borrower or its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Borrower Materials constitute confidential information, they shall be treated as set forth in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[Confidentiality]);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3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251.3  </w:t>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w:t>
      </w:r>
    </w:p>
    <w:p>
      <w:pPr>
        <w:ind w:firstLine="1224"/>
        <w:spacing w:after="0" w:line="233" w:lineRule="auto"/>
        <w:tabs>
          <w:tab w:leader="none" w:pos="1831"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furnish to the Administrative Agent, each Lender and each Issuing Lender prompt written notice of the following:</w:t>
      </w:r>
    </w:p>
    <w:p>
      <w:pPr>
        <w:spacing w:after="0" w:line="142" w:lineRule="exact"/>
        <w:rPr>
          <w:rFonts w:ascii="Times New Roman" w:cs="Times New Roman" w:eastAsia="Times New Roman" w:hAnsi="Times New Roman"/>
          <w:sz w:val="20"/>
          <w:szCs w:val="20"/>
          <w:color w:val="auto"/>
        </w:rPr>
      </w:pPr>
    </w:p>
    <w:p>
      <w:pPr>
        <w:ind w:left="2440" w:hanging="681"/>
        <w:spacing w:after="0"/>
        <w:tabs>
          <w:tab w:leader="none" w:pos="2440" w:val="left"/>
        </w:tabs>
        <w:numPr>
          <w:ilvl w:val="2"/>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Potential Default or Event of Default;</w:t>
      </w:r>
    </w:p>
    <w:p>
      <w:pPr>
        <w:spacing w:after="0" w:line="177" w:lineRule="exact"/>
        <w:rPr>
          <w:rFonts w:ascii="Times New Roman" w:cs="Times New Roman" w:eastAsia="Times New Roman" w:hAnsi="Times New Roman"/>
          <w:sz w:val="20"/>
          <w:szCs w:val="20"/>
          <w:color w:val="auto"/>
        </w:rPr>
      </w:pPr>
    </w:p>
    <w:p>
      <w:pPr>
        <w:jc w:val="both"/>
        <w:ind w:left="540" w:firstLine="1219"/>
        <w:spacing w:after="0" w:line="234" w:lineRule="auto"/>
        <w:tabs>
          <w:tab w:leader="none" w:pos="2444" w:val="left"/>
        </w:tabs>
        <w:numPr>
          <w:ilvl w:val="2"/>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or any material development in, any action, suit or proceeding by or before any arbitrator or Official Body against or, to the knowledge of the Borrower, affecting the Borrower or any of its Subsidiaries which, if adversely determined, could reasonably be expected to result in a Material Adverse Effect;</w:t>
      </w:r>
    </w:p>
    <w:p>
      <w:pPr>
        <w:spacing w:after="0" w:line="138" w:lineRule="exact"/>
        <w:rPr>
          <w:rFonts w:ascii="Times New Roman" w:cs="Times New Roman" w:eastAsia="Times New Roman" w:hAnsi="Times New Roman"/>
          <w:sz w:val="20"/>
          <w:szCs w:val="20"/>
          <w:color w:val="auto"/>
        </w:rPr>
      </w:pPr>
    </w:p>
    <w:p>
      <w:pPr>
        <w:ind w:left="2440" w:hanging="681"/>
        <w:spacing w:after="0"/>
        <w:tabs>
          <w:tab w:leader="none" w:pos="2440" w:val="left"/>
        </w:tabs>
        <w:numPr>
          <w:ilvl w:val="2"/>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or any other development by which the Borrower or any of its Subsidiaries</w:t>
      </w:r>
    </w:p>
    <w:p>
      <w:pPr>
        <w:jc w:val="both"/>
        <w:ind w:left="540" w:hanging="3"/>
        <w:spacing w:after="0" w:line="223" w:lineRule="auto"/>
        <w:tabs>
          <w:tab w:leader="none" w:pos="902"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comply with any Environmental Law or to obtain, maintain or comply with any permit, license or other approval required under any Environmental Law, (B) becomes subject to any Environmental Liability, (C) receives notice of any claim with respect to any Environmental Liability, or (D) becomes aware of any basis for any Environmental Liability, in each case which, either individually or in the aggregate, could reasonably be expected to result in a Material Adverse Effect;</w:t>
      </w:r>
    </w:p>
    <w:p>
      <w:pPr>
        <w:spacing w:after="0" w:line="141" w:lineRule="exact"/>
        <w:rPr>
          <w:rFonts w:ascii="Times New Roman" w:cs="Times New Roman" w:eastAsia="Times New Roman" w:hAnsi="Times New Roman"/>
          <w:sz w:val="20"/>
          <w:szCs w:val="20"/>
          <w:color w:val="auto"/>
        </w:rPr>
      </w:pPr>
    </w:p>
    <w:p>
      <w:pPr>
        <w:jc w:val="both"/>
        <w:ind w:left="540" w:firstLine="1219"/>
        <w:spacing w:after="0" w:line="218" w:lineRule="auto"/>
        <w:tabs>
          <w:tab w:leader="none" w:pos="2438" w:val="left"/>
        </w:tabs>
        <w:numPr>
          <w:ilvl w:val="2"/>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within any event within fifteen (15) days after (A) the Borrower or any other member of the ERISA Group knows or has reason to know that any ERISA Event has occurred, a certificate of the chief financial officer of the Borrower describing such ERISA Event and the action, if any, proposed to be taken with respect to such ERISA Event and a copy of any notice filed with the PBGC or the IRS pertaining to such ERISA Event and any notices received by a member of the ERISA Group from the PBGC or any other governmental agency with respect thereto, and (B) becoming aware (1) that there has been an increase in Unfunded Pension Liabilities (not taking into account Plans with negative Unfunded Pension Liabilities) since the date the representations hereunder are given or deemed given, or from any prior notice, as applicable, (2) of the existence of any Withdrawal Liability, (3) of the adoption of, or the commencement of contributions to, any Plan subject to Section 412 of the Code by a member of the ERISA Group, or (4) of the adoption of any amendment to a Plan subject to Section 412 of the Code which results in a material increase in contribution obligations of a member of the ERISA Group, a detailed written description thereof from the chief financial officer of the Borrower;</w:t>
      </w:r>
    </w:p>
    <w:p>
      <w:pPr>
        <w:spacing w:after="0" w:line="147" w:lineRule="exact"/>
        <w:rPr>
          <w:rFonts w:ascii="Times New Roman" w:cs="Times New Roman" w:eastAsia="Times New Roman" w:hAnsi="Times New Roman"/>
          <w:sz w:val="20"/>
          <w:szCs w:val="20"/>
          <w:color w:val="auto"/>
        </w:rPr>
      </w:pPr>
    </w:p>
    <w:p>
      <w:pPr>
        <w:jc w:val="both"/>
        <w:ind w:left="540" w:firstLine="1219"/>
        <w:spacing w:after="0" w:line="224" w:lineRule="auto"/>
        <w:tabs>
          <w:tab w:leader="none" w:pos="2446" w:val="left"/>
        </w:tabs>
        <w:numPr>
          <w:ilvl w:val="2"/>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within any event within three (3) Business Days after (a) the Borrower knows or has reason to know that it has been proposed by any Official Body for suspension or debarment in relation to any Government Contracts;</w:t>
      </w:r>
    </w:p>
    <w:p>
      <w:pPr>
        <w:jc w:val="both"/>
        <w:ind w:left="540"/>
        <w:spacing w:after="0" w:line="22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the Borrower knows or has reason to know that it should make a mandatory disclosure to an Official Body regarding or relating credible evidence of a violation of Federal criminal law involving fraud, conflict of interest, bribery, or gratuity violations found in Title 18 of the United States Code or a violation of the civil False Claims Act, 31 U.S.C. §§ 3729–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350" w:right="339" w:bottom="1440" w:gutter="0" w:footer="0" w:header="0"/>
        </w:sectPr>
      </w:pPr>
    </w:p>
    <w:bookmarkStart w:id="261" w:name="page262"/>
    <w:bookmarkEnd w:id="261"/>
    <w:p>
      <w:pPr>
        <w:ind w:left="540"/>
        <w:spacing w:after="0" w:line="249" w:lineRule="auto"/>
        <w:rPr>
          <w:sz w:val="20"/>
          <w:szCs w:val="20"/>
          <w:color w:val="auto"/>
        </w:rPr>
      </w:pPr>
      <w:r>
        <w:rPr>
          <w:rFonts w:ascii="Times New Roman" w:cs="Times New Roman" w:eastAsia="Times New Roman" w:hAnsi="Times New Roman"/>
          <w:sz w:val="20"/>
          <w:szCs w:val="20"/>
          <w:color w:val="auto"/>
        </w:rPr>
        <w:t>3733; or (c) the Borrower knows or has reason to believe that it is under investigation by an Official Body for a potential violation of the civil False Claims Act, 31 U.S.C. §§ 3729–3733;</w:t>
      </w:r>
    </w:p>
    <w:p>
      <w:pPr>
        <w:spacing w:after="0" w:line="134" w:lineRule="exact"/>
        <w:rPr>
          <w:sz w:val="20"/>
          <w:szCs w:val="20"/>
          <w:color w:val="auto"/>
        </w:rPr>
      </w:pPr>
    </w:p>
    <w:p>
      <w:pPr>
        <w:jc w:val="both"/>
        <w:ind w:left="540" w:firstLine="1219"/>
        <w:spacing w:after="0" w:line="234" w:lineRule="auto"/>
        <w:tabs>
          <w:tab w:leader="none" w:pos="2438"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 or the receipt by the Borrower or any of its Subsidiaries of any written notice of an alleged default or event of default, with respect to any Material Indebtedness of the Borrower or any of its Subsidiaries;</w:t>
      </w:r>
    </w:p>
    <w:p>
      <w:pPr>
        <w:spacing w:after="0" w:line="142" w:lineRule="exact"/>
        <w:rPr>
          <w:rFonts w:ascii="Times New Roman" w:cs="Times New Roman" w:eastAsia="Times New Roman" w:hAnsi="Times New Roman"/>
          <w:sz w:val="20"/>
          <w:szCs w:val="20"/>
          <w:color w:val="auto"/>
        </w:rPr>
      </w:pPr>
    </w:p>
    <w:p>
      <w:pPr>
        <w:jc w:val="both"/>
        <w:ind w:left="540" w:firstLine="1219"/>
        <w:spacing w:after="0" w:line="228" w:lineRule="auto"/>
        <w:tabs>
          <w:tab w:leader="none" w:pos="2444"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amendment or modification to any Material Agreement (together with a copy thereof), and prompt notice of any termination, expiration or loss of any Material Agreement that, individually or in the aggregate, could reasonably be expected to result in a reduction in revenue to be received by the Loan Parties during any Fiscal Year under such Material Agreement of more than 25%;</w:t>
      </w:r>
    </w:p>
    <w:p>
      <w:pPr>
        <w:spacing w:after="0" w:line="144" w:lineRule="exact"/>
        <w:rPr>
          <w:rFonts w:ascii="Times New Roman" w:cs="Times New Roman" w:eastAsia="Times New Roman" w:hAnsi="Times New Roman"/>
          <w:sz w:val="20"/>
          <w:szCs w:val="20"/>
          <w:color w:val="auto"/>
        </w:rPr>
      </w:pPr>
    </w:p>
    <w:p>
      <w:pPr>
        <w:ind w:left="540" w:firstLine="1219"/>
        <w:spacing w:after="0" w:line="249" w:lineRule="auto"/>
        <w:tabs>
          <w:tab w:leader="none" w:pos="245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of any “Cure Notice”, “Show Cause” or other similar notice in connection with a Government Contract that relates to an issue involving $5,000,000 or more;</w:t>
      </w:r>
    </w:p>
    <w:p>
      <w:pPr>
        <w:spacing w:after="0" w:line="129" w:lineRule="exact"/>
        <w:rPr>
          <w:rFonts w:ascii="Times New Roman" w:cs="Times New Roman" w:eastAsia="Times New Roman" w:hAnsi="Times New Roman"/>
          <w:sz w:val="20"/>
          <w:szCs w:val="20"/>
          <w:color w:val="auto"/>
        </w:rPr>
      </w:pPr>
    </w:p>
    <w:p>
      <w:pPr>
        <w:ind w:left="2440" w:hanging="681"/>
        <w:spacing w:after="0"/>
        <w:tabs>
          <w:tab w:leader="none" w:pos="244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 that results in, or could reasonably be expected to result in a Material Adverse</w:t>
      </w:r>
    </w:p>
    <w:p>
      <w:pPr>
        <w:ind w:left="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and</w:t>
      </w:r>
    </w:p>
    <w:p>
      <w:pPr>
        <w:spacing w:after="0" w:line="155" w:lineRule="exact"/>
        <w:rPr>
          <w:rFonts w:ascii="Times New Roman" w:cs="Times New Roman" w:eastAsia="Times New Roman" w:hAnsi="Times New Roman"/>
          <w:sz w:val="20"/>
          <w:szCs w:val="20"/>
          <w:color w:val="auto"/>
        </w:rPr>
      </w:pPr>
    </w:p>
    <w:p>
      <w:pPr>
        <w:ind w:left="540" w:firstLine="1219"/>
        <w:spacing w:after="0" w:line="249" w:lineRule="auto"/>
        <w:tabs>
          <w:tab w:leader="none" w:pos="2446"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information provided in the Beneficial Ownership Certification that would result in a change to the list of beneficial owners identified in part (c) or (d) of such certification.</w:t>
      </w:r>
    </w:p>
    <w:p>
      <w:pPr>
        <w:spacing w:after="0" w:line="134" w:lineRule="exact"/>
        <w:rPr>
          <w:rFonts w:ascii="Times New Roman" w:cs="Times New Roman" w:eastAsia="Times New Roman" w:hAnsi="Times New Roman"/>
          <w:sz w:val="20"/>
          <w:szCs w:val="20"/>
          <w:color w:val="auto"/>
        </w:rPr>
      </w:pPr>
    </w:p>
    <w:p>
      <w:pPr>
        <w:jc w:val="both"/>
        <w:ind w:firstLine="1224"/>
        <w:spacing w:after="0" w:line="223" w:lineRule="auto"/>
        <w:tabs>
          <w:tab w:leader="none" w:pos="1829"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furnish to the Administrative Agent, each Lender and each Issuing Lender, promptly and in any event at least thirty (30) days prior thereto, notice of any change (A) in any Loan Party’s legal name, (B) in any Loan Party’s chief executive office, its principal place of business, any office in which it maintains books or records or any office or facility at which Collateral owned by it is located (including the establishment of any such new office or facility), (C) in any Loan Party’s identity or legal structure, (D) in any Loan Party’s federal taxpayer identification number or organizational number or (E) in any Loan Party’s jurisdiction of organization; and</w:t>
      </w:r>
    </w:p>
    <w:p>
      <w:pPr>
        <w:spacing w:after="0" w:line="170" w:lineRule="exact"/>
        <w:rPr>
          <w:sz w:val="20"/>
          <w:szCs w:val="20"/>
          <w:color w:val="auto"/>
        </w:rPr>
      </w:pPr>
    </w:p>
    <w:p>
      <w:pPr>
        <w:jc w:val="both"/>
        <w:ind w:firstLine="613"/>
        <w:spacing w:after="0" w:line="271" w:lineRule="auto"/>
        <w:tabs>
          <w:tab w:leader="none" w:pos="1219"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notice or other document delivered under this Section shall be accompanied by a written statement of an Authorized Officer setting forth the details of the event or development requiring such notice or other document and any action taken or proposed to be taken with respect thereto.</w:t>
      </w:r>
    </w:p>
    <w:p>
      <w:pPr>
        <w:spacing w:after="0" w:line="138" w:lineRule="exact"/>
        <w:rPr>
          <w:sz w:val="20"/>
          <w:szCs w:val="20"/>
          <w:color w:val="auto"/>
        </w:rPr>
      </w:pPr>
    </w:p>
    <w:p>
      <w:pPr>
        <w:jc w:val="both"/>
        <w:ind w:firstLine="611"/>
        <w:spacing w:after="0" w:line="218" w:lineRule="auto"/>
        <w:rPr>
          <w:sz w:val="20"/>
          <w:szCs w:val="20"/>
          <w:color w:val="auto"/>
        </w:rPr>
      </w:pPr>
      <w:r>
        <w:rPr>
          <w:rFonts w:ascii="Times New Roman" w:cs="Times New Roman" w:eastAsia="Times New Roman" w:hAnsi="Times New Roman"/>
          <w:sz w:val="20"/>
          <w:szCs w:val="20"/>
          <w:color w:val="auto"/>
        </w:rPr>
        <w:t xml:space="preserve">251.4 </w:t>
      </w:r>
      <w:r>
        <w:rPr>
          <w:rFonts w:ascii="Times New Roman" w:cs="Times New Roman" w:eastAsia="Times New Roman" w:hAnsi="Times New Roman"/>
          <w:sz w:val="20"/>
          <w:szCs w:val="20"/>
          <w:u w:val="single" w:color="auto"/>
          <w:color w:val="auto"/>
        </w:rPr>
        <w:t>Existence; Conduct of Business</w:t>
      </w:r>
      <w:r>
        <w:rPr>
          <w:rFonts w:ascii="Times New Roman" w:cs="Times New Roman" w:eastAsia="Times New Roman" w:hAnsi="Times New Roman"/>
          <w:sz w:val="20"/>
          <w:szCs w:val="20"/>
          <w:color w:val="auto"/>
        </w:rPr>
        <w:t xml:space="preserve">. The will, and will cause each of its Subsidiaries to, do or cause to be done all things necessary to preserve, renew and maintain in full force and effect its legal existence and its respective rights, licenses, permits, privileges, franchises, patents, copyrights, trademarks and trade names material to the conduct of its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Section shall prohibit any merger, consolidation, liquidation or dissolution permitted under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[Fundamental Changes].</w:t>
      </w:r>
    </w:p>
    <w:p>
      <w:pPr>
        <w:spacing w:after="0" w:line="1" w:lineRule="exact"/>
        <w:rPr>
          <w:sz w:val="20"/>
          <w:szCs w:val="20"/>
          <w:color w:val="auto"/>
        </w:rPr>
      </w:pPr>
    </w:p>
    <w:p>
      <w:pPr>
        <w:jc w:val="both"/>
        <w:ind w:firstLine="611"/>
        <w:spacing w:after="0" w:line="220" w:lineRule="auto"/>
        <w:rPr>
          <w:sz w:val="20"/>
          <w:szCs w:val="20"/>
          <w:color w:val="auto"/>
        </w:rPr>
      </w:pPr>
      <w:r>
        <w:rPr>
          <w:rFonts w:ascii="Times New Roman" w:cs="Times New Roman" w:eastAsia="Times New Roman" w:hAnsi="Times New Roman"/>
          <w:sz w:val="20"/>
          <w:szCs w:val="20"/>
          <w:color w:val="auto"/>
        </w:rPr>
        <w:t xml:space="preserve">251.5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The Borrower will, and will cause each of its Subsidiaries to, comply with all laws, rules, regulations and requirements of any Official Body applicable to its business and properties, including all Environmental Laws, ERISA, the Code and the U.S. Occupational Safety and Health Act of 1970, except where the failure to do so, either individually or in the aggregate, could not reasonably be expected to result in a Material Adverse Effect. The Borrower will maintain in effect and enforce policies and procedures designed to promote and achieve compliance by the Borrower, its Subsidiaries and their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324"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20"/>
          <w:szCs w:val="20"/>
          <w:color w:val="auto"/>
        </w:rPr>
        <w:t>respective directors, officers, employees and agents with applicable International Trade Laws and Anti-Corruption Laws.</w:t>
      </w: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251.6 </w:t>
      </w:r>
      <w:r>
        <w:rPr>
          <w:rFonts w:ascii="Times New Roman" w:cs="Times New Roman" w:eastAsia="Times New Roman" w:hAnsi="Times New Roman"/>
          <w:sz w:val="20"/>
          <w:szCs w:val="20"/>
          <w:u w:val="single" w:color="auto"/>
          <w:color w:val="auto"/>
        </w:rPr>
        <w:t>Payment of Obligations</w:t>
      </w:r>
      <w:r>
        <w:rPr>
          <w:rFonts w:ascii="Times New Roman" w:cs="Times New Roman" w:eastAsia="Times New Roman" w:hAnsi="Times New Roman"/>
          <w:sz w:val="20"/>
          <w:szCs w:val="20"/>
          <w:color w:val="auto"/>
        </w:rPr>
        <w:t>. The Borrower will, and will cause each of its Subsidiaries to, pay and discharge at or before maturity all of its obligations and liabilities (including all taxes, assessments and other governmental charges, levies and all other claims that could result in a statutory Lien)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4"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251.7 </w:t>
      </w:r>
      <w:r>
        <w:rPr>
          <w:rFonts w:ascii="Times New Roman" w:cs="Times New Roman" w:eastAsia="Times New Roman" w:hAnsi="Times New Roman"/>
          <w:sz w:val="20"/>
          <w:szCs w:val="20"/>
          <w:u w:val="single" w:color="auto"/>
          <w:color w:val="auto"/>
        </w:rPr>
        <w:t>Books and Records</w:t>
      </w:r>
      <w:r>
        <w:rPr>
          <w:rFonts w:ascii="Times New Roman" w:cs="Times New Roman" w:eastAsia="Times New Roman" w:hAnsi="Times New Roman"/>
          <w:sz w:val="20"/>
          <w:szCs w:val="20"/>
          <w:color w:val="auto"/>
        </w:rPr>
        <w:t>. The Borrower will, and will cause each of its Subsidiaries to, keep proper books of record and account in which full, true and correct entries shall be made of all dealings and transactions in relation to its business and activities to the extent necessary to prepare the consolidated financial statements of the Borrower in conformity with GAAP.</w:t>
      </w:r>
    </w:p>
    <w:p>
      <w:pPr>
        <w:spacing w:after="0" w:line="2"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251.8 </w:t>
      </w:r>
      <w:r>
        <w:rPr>
          <w:rFonts w:ascii="Times New Roman" w:cs="Times New Roman" w:eastAsia="Times New Roman" w:hAnsi="Times New Roman"/>
          <w:sz w:val="20"/>
          <w:szCs w:val="20"/>
          <w:u w:val="single" w:color="auto"/>
          <w:color w:val="auto"/>
        </w:rPr>
        <w:t>Visitation and Inspection</w:t>
      </w:r>
      <w:r>
        <w:rPr>
          <w:rFonts w:ascii="Times New Roman" w:cs="Times New Roman" w:eastAsia="Times New Roman" w:hAnsi="Times New Roman"/>
          <w:sz w:val="20"/>
          <w:szCs w:val="20"/>
          <w:color w:val="auto"/>
        </w:rPr>
        <w:t xml:space="preserve">. The Borrower will, and will cause each of its Subsidiaries to, permit any representative of the Administrative Agent, any Lender or any Issuing Lender to visit and inspect its properties, to examine its books and records and to make copies and take extracts therefrom, and to discuss its affairs, finances and accounts with any of its officers and with its independent certified public accountants, all at such reasonable times and as often as the Administrative Agent, any Lender or any Issuing Lender may reasonably request after reasonable prior notice 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 Event of Default has occurred and is continuing, no prior notice shall be required.</w:t>
      </w:r>
    </w:p>
    <w:p>
      <w:pPr>
        <w:spacing w:after="0" w:line="4" w:lineRule="exact"/>
        <w:rPr>
          <w:sz w:val="20"/>
          <w:szCs w:val="20"/>
          <w:color w:val="auto"/>
        </w:rPr>
      </w:pPr>
    </w:p>
    <w:p>
      <w:pPr>
        <w:jc w:val="both"/>
        <w:ind w:firstLine="611"/>
        <w:spacing w:after="0" w:line="231" w:lineRule="auto"/>
        <w:rPr>
          <w:sz w:val="20"/>
          <w:szCs w:val="20"/>
          <w:color w:val="auto"/>
        </w:rPr>
      </w:pPr>
      <w:r>
        <w:rPr>
          <w:rFonts w:ascii="Times New Roman" w:cs="Times New Roman" w:eastAsia="Times New Roman" w:hAnsi="Times New Roman"/>
          <w:sz w:val="20"/>
          <w:szCs w:val="20"/>
          <w:color w:val="auto"/>
        </w:rPr>
        <w:t xml:space="preserve">251.9 </w:t>
      </w:r>
      <w:r>
        <w:rPr>
          <w:rFonts w:ascii="Times New Roman" w:cs="Times New Roman" w:eastAsia="Times New Roman" w:hAnsi="Times New Roman"/>
          <w:sz w:val="20"/>
          <w:szCs w:val="20"/>
          <w:u w:val="single" w:color="auto"/>
          <w:color w:val="auto"/>
        </w:rPr>
        <w:t>Maintenance of Properties; Insurance</w:t>
      </w:r>
      <w:r>
        <w:rPr>
          <w:rFonts w:ascii="Times New Roman" w:cs="Times New Roman" w:eastAsia="Times New Roman" w:hAnsi="Times New Roman"/>
          <w:sz w:val="20"/>
          <w:szCs w:val="20"/>
          <w:color w:val="auto"/>
        </w:rPr>
        <w:t>. Borrower will, and will cause each of its Subsidiaries to, (a) keep and maintain all property material to the conduct of its business in good working order and condition, ordinary wear and tear excepted, (b) maintain with financially sound and reputable insurance companies which are not Affiliates of the Borrower (i) insurance with respect to its properties and business, and the properties and business of its Subsidiaries, against loss or damage of the kinds customarily insured against by companies in the same or similar businesses operating in the same or similar locations and (ii) all insurance required to be maintained pursuant to the Collateral Documents, and will, upon request of the Administrative Agent, furnish to the Administrative Agent, each Lender and each Issuing Lender at reasonable intervals a certificate of an Authorized Officer setting forth the nature and extent of all insurance maintained by the Borrower and its Subsidiaries in accordance with this Section (and if requested by the Administrative Agent, any Lender or any Issuing Lender a copy of any policy referenced therein if not already delivered), and (c) at all times shall name the Administrative Agent as additional insured on all liability policies of the Borrower and its Subsidiaries and as lenders’ loss payee (pursuant to a lenders’ loss payee endorsement approved by the Administrative Agent) on all casualty and property insurance policies of the Borrower and its Subsidiaries.</w:t>
      </w:r>
    </w:p>
    <w:p>
      <w:pPr>
        <w:spacing w:after="0" w:line="10" w:lineRule="exact"/>
        <w:rPr>
          <w:sz w:val="20"/>
          <w:szCs w:val="20"/>
          <w:color w:val="auto"/>
        </w:rPr>
      </w:pPr>
    </w:p>
    <w:p>
      <w:pPr>
        <w:jc w:val="both"/>
        <w:ind w:firstLine="611"/>
        <w:spacing w:after="0"/>
        <w:rPr>
          <w:sz w:val="20"/>
          <w:szCs w:val="20"/>
          <w:color w:val="auto"/>
        </w:rPr>
      </w:pPr>
      <w:r>
        <w:rPr>
          <w:rFonts w:ascii="Times New Roman" w:cs="Times New Roman" w:eastAsia="Times New Roman" w:hAnsi="Times New Roman"/>
          <w:sz w:val="20"/>
          <w:szCs w:val="20"/>
          <w:color w:val="auto"/>
        </w:rPr>
        <w:t xml:space="preserve">251.10 </w:t>
      </w:r>
      <w:r>
        <w:rPr>
          <w:rFonts w:ascii="Times New Roman" w:cs="Times New Roman" w:eastAsia="Times New Roman" w:hAnsi="Times New Roman"/>
          <w:sz w:val="20"/>
          <w:szCs w:val="20"/>
          <w:u w:val="single" w:color="auto"/>
          <w:color w:val="auto"/>
        </w:rPr>
        <w:t>Use of Proceeds; Margin Regulations</w:t>
      </w:r>
      <w:r>
        <w:rPr>
          <w:rFonts w:ascii="Times New Roman" w:cs="Times New Roman" w:eastAsia="Times New Roman" w:hAnsi="Times New Roman"/>
          <w:sz w:val="20"/>
          <w:szCs w:val="20"/>
          <w:color w:val="auto"/>
        </w:rPr>
        <w:t>. On the Closing Date, the Borrower will use the proceeds of any Revolving Credit Loans drawn on the Closing Date to refinance certain Indebtedness existing on the Closing Date and to pay transaction costs and expenses arising in connection therewith and with the Loan Documents and the other transactions contemplated hereby to occur on the Closing Date. After the Closing Date, the Borrower will use the proceeds of Loans to finance working capital needs, Permitted Acquisitions and capital expenditures and for other general corporate purposes of the Borrower and its Subsidiaries. No part of the proceeds of any Loan will be used, whether directly or indirectly, for any purpose that would violate any rule or regulation of the Board of Governors of the Federal Reserve System, including Regulation T, Regulation U or Regulation X. All Letters of Credit will be used for general corporate purposes.</w:t>
      </w:r>
    </w:p>
    <w:p>
      <w:pPr>
        <w:spacing w:after="0" w:line="20" w:lineRule="exact"/>
        <w:rPr>
          <w:sz w:val="20"/>
          <w:szCs w:val="20"/>
          <w:color w:val="auto"/>
        </w:rPr>
      </w:pPr>
    </w:p>
    <w:p>
      <w:pPr>
        <w:jc w:val="both"/>
        <w:ind w:firstLine="611"/>
        <w:spacing w:after="0" w:line="223" w:lineRule="auto"/>
        <w:rPr>
          <w:sz w:val="20"/>
          <w:szCs w:val="20"/>
          <w:color w:val="auto"/>
        </w:rPr>
      </w:pPr>
      <w:r>
        <w:rPr>
          <w:rFonts w:ascii="Times New Roman" w:cs="Times New Roman" w:eastAsia="Times New Roman" w:hAnsi="Times New Roman"/>
          <w:sz w:val="20"/>
          <w:szCs w:val="20"/>
          <w:color w:val="auto"/>
        </w:rPr>
        <w:t xml:space="preserve">251.11 </w:t>
      </w:r>
      <w:r>
        <w:rPr>
          <w:rFonts w:ascii="Times New Roman" w:cs="Times New Roman" w:eastAsia="Times New Roman" w:hAnsi="Times New Roman"/>
          <w:sz w:val="20"/>
          <w:szCs w:val="20"/>
          <w:u w:val="single" w:color="auto"/>
          <w:color w:val="auto"/>
        </w:rPr>
        <w:t>Casualty and Condemnation</w:t>
      </w:r>
      <w:r>
        <w:rPr>
          <w:rFonts w:ascii="Times New Roman" w:cs="Times New Roman" w:eastAsia="Times New Roman" w:hAnsi="Times New Roman"/>
          <w:sz w:val="20"/>
          <w:szCs w:val="20"/>
          <w:color w:val="auto"/>
        </w:rPr>
        <w:t>. Borrower (a) will furnish to the Administrative Agent, the Lenders and the Issuing Lenders prompt written notice of any casualty or other insured damage to any material portion of any Collateral or the commencement of any action or preceding for the taking of any material portion of any Collateral or any part thereof or interest therein under power of eminent domain or by condemnation or similar proceeding and (b) will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320" w:right="339" w:bottom="1440" w:gutter="0" w:footer="0" w:header="0"/>
        </w:sectPr>
      </w:pPr>
    </w:p>
    <w:bookmarkStart w:id="263" w:name="page264"/>
    <w:bookmarkEnd w:id="263"/>
    <w:p>
      <w:pPr>
        <w:jc w:val="both"/>
        <w:spacing w:after="0" w:line="224" w:lineRule="auto"/>
        <w:rPr>
          <w:sz w:val="20"/>
          <w:szCs w:val="20"/>
          <w:color w:val="auto"/>
        </w:rPr>
      </w:pPr>
      <w:r>
        <w:rPr>
          <w:rFonts w:ascii="Times New Roman" w:cs="Times New Roman" w:eastAsia="Times New Roman" w:hAnsi="Times New Roman"/>
          <w:sz w:val="20"/>
          <w:szCs w:val="20"/>
          <w:color w:val="auto"/>
        </w:rPr>
        <w:t>ensure that the net cash proceeds of any such event (whether in the form of insurance proceeds, condemnation awards or otherwise) are collected and applied in accordance with the applicable provisions of this Agreement and the Collateral Documents.</w:t>
      </w:r>
    </w:p>
    <w:p>
      <w:pPr>
        <w:jc w:val="both"/>
        <w:ind w:firstLine="611"/>
        <w:spacing w:after="0" w:line="217" w:lineRule="auto"/>
        <w:rPr>
          <w:sz w:val="20"/>
          <w:szCs w:val="20"/>
          <w:color w:val="auto"/>
        </w:rPr>
      </w:pPr>
      <w:r>
        <w:rPr>
          <w:rFonts w:ascii="Times New Roman" w:cs="Times New Roman" w:eastAsia="Times New Roman" w:hAnsi="Times New Roman"/>
          <w:sz w:val="20"/>
          <w:szCs w:val="20"/>
          <w:color w:val="auto"/>
        </w:rPr>
        <w:t xml:space="preserve">251.12 </w:t>
      </w:r>
      <w:r>
        <w:rPr>
          <w:rFonts w:ascii="Times New Roman" w:cs="Times New Roman" w:eastAsia="Times New Roman" w:hAnsi="Times New Roman"/>
          <w:sz w:val="20"/>
          <w:szCs w:val="20"/>
          <w:u w:val="single" w:color="auto"/>
          <w:color w:val="auto"/>
        </w:rPr>
        <w:t>Cash Management</w:t>
      </w:r>
      <w:r>
        <w:rPr>
          <w:rFonts w:ascii="Times New Roman" w:cs="Times New Roman" w:eastAsia="Times New Roman" w:hAnsi="Times New Roman"/>
          <w:sz w:val="20"/>
          <w:szCs w:val="20"/>
          <w:color w:val="auto"/>
        </w:rPr>
        <w:t xml:space="preserve">. The Borrower shall, and, except as set forth on </w:t>
      </w:r>
      <w:r>
        <w:rPr>
          <w:rFonts w:ascii="Times New Roman" w:cs="Times New Roman" w:eastAsia="Times New Roman" w:hAnsi="Times New Roman"/>
          <w:sz w:val="20"/>
          <w:szCs w:val="20"/>
          <w:u w:val="single" w:color="auto"/>
          <w:color w:val="auto"/>
        </w:rPr>
        <w:t>Schedule 8.12</w:t>
      </w:r>
      <w:r>
        <w:rPr>
          <w:rFonts w:ascii="Times New Roman" w:cs="Times New Roman" w:eastAsia="Times New Roman" w:hAnsi="Times New Roman"/>
          <w:sz w:val="20"/>
          <w:szCs w:val="20"/>
          <w:color w:val="auto"/>
        </w:rPr>
        <w:t>, shall cause its Domestic Subsidiaries to: maintain all cash management and treasury business with PNC or any other Lender(s), including all deposit accounts, disbursement accounts, investment accounts and lockbox accounts (other than Excluded Accounts) (each such deposit account, disbursement account, investment account and collection or lockbox account, a “</w:t>
      </w:r>
      <w:r>
        <w:rPr>
          <w:rFonts w:ascii="Times New Roman" w:cs="Times New Roman" w:eastAsia="Times New Roman" w:hAnsi="Times New Roman"/>
          <w:sz w:val="20"/>
          <w:szCs w:val="20"/>
          <w:u w:val="single" w:color="auto"/>
          <w:color w:val="auto"/>
        </w:rPr>
        <w:t>Domestic Account</w:t>
      </w:r>
      <w:r>
        <w:rPr>
          <w:rFonts w:ascii="Times New Roman" w:cs="Times New Roman" w:eastAsia="Times New Roman" w:hAnsi="Times New Roman"/>
          <w:sz w:val="20"/>
          <w:szCs w:val="20"/>
          <w:color w:val="auto"/>
        </w:rPr>
        <w:t>”); each Domestic Account shall be a cash collateral account, with all cash, checks and other similar items of payment in such account securing payment of the Obligations;</w:t>
      </w:r>
    </w:p>
    <w:p>
      <w:pPr>
        <w:spacing w:after="0" w:line="5" w:lineRule="exact"/>
        <w:rPr>
          <w:sz w:val="20"/>
          <w:szCs w:val="20"/>
          <w:color w:val="auto"/>
        </w:rPr>
      </w:pPr>
    </w:p>
    <w:p>
      <w:pPr>
        <w:jc w:val="both"/>
        <w:ind w:firstLine="613"/>
        <w:spacing w:after="0" w:line="256" w:lineRule="auto"/>
        <w:tabs>
          <w:tab w:leader="none" w:pos="1219"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maintaining a primary bank account of any Borrower expressly acknowledges and agrees that (a) the Administrative Agent, for the benefit of the Lenders ratably, has been granted a first priority security interest in and to such bank account pursuant to this Agreement, (b) the Lender’s possession of such bank account constitutes “control” for purposes of perfecting the Administrative Agent’s security interest in and to such bank account under the UCC or otherwise, and (c) such Lender’s rights and remedies with respect to such bank account (other than rights and remedies necessary to recoup normal and customary account fees and charges imposed from time to time for maintaining and administering such bank account, and rights and remedies with respect to items returned unpaid, whether for insufficient funds or for any other reason) shall be, and at all times remain, subject and subordinate to the rights and remedies of the Administrative Agent granted pursuant to this Agreement or available pursuant to applicable law.</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251.13 </w:t>
      </w:r>
      <w:r>
        <w:rPr>
          <w:rFonts w:ascii="Times New Roman" w:cs="Times New Roman" w:eastAsia="Times New Roman" w:hAnsi="Times New Roman"/>
          <w:sz w:val="20"/>
          <w:szCs w:val="20"/>
          <w:u w:val="single" w:color="auto"/>
          <w:color w:val="auto"/>
        </w:rPr>
        <w:t>Additional Subsidiaries and Collateral</w:t>
      </w:r>
      <w:r>
        <w:rPr>
          <w:rFonts w:ascii="Times New Roman" w:cs="Times New Roman" w:eastAsia="Times New Roman" w:hAnsi="Times New Roman"/>
          <w:sz w:val="20"/>
          <w:szCs w:val="20"/>
          <w:color w:val="auto"/>
        </w:rPr>
        <w:t>.</w:t>
      </w:r>
    </w:p>
    <w:p>
      <w:pPr>
        <w:jc w:val="both"/>
        <w:ind w:firstLine="1224"/>
        <w:spacing w:after="0" w:line="215" w:lineRule="auto"/>
        <w:tabs>
          <w:tab w:leader="none" w:pos="1831"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subsequent to the Closing Date, any Person becomes a Domestic Subsidiary (other than any Immaterial Subsidiary or Foreign Holding Company), whether pursuant to formation, acquisition or otherwise, (x) the Borrower shall promptly notify the Administrative Agent, the Lenders and the Issuing Lenders thereof and (y) within thirty (30) days after such Person becomes a Domestic Subsidiary, the Borrower shall cause such Domestic Subsidiary (i) to become a new Guarantor and to grant Liens in favor of the Administrative Agent in all of its personal property by executing and delivering to the Administrative Agent a Guarantor Joinder, executing and delivering any IP Security Agreements and authorizing and delivering, at the request of the Administrative Agent, such UCC financing statements or similar instruments required by the Administrative Agent to perfect the Liens in favor of the Administrative Agent and granted under any of the Loan Documents and (ii) to deliver all such other documentation (including certified organizational documents, resolutions, lien searches, and legal opinions) and to take all such other actions as such Subsidiary would have been required to deliver and take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[Initial Loans and Letters of Credit] if such Subsidiary had been a Loan Party on the Closing Date. In addition, within thirty (30) days after the date any Person becomes a Domestic Subsidiary, the Borrower shall, or shall cause the applicable Loan Party to (i) pledge all of the Equity Interests of such Domestic Subsidiary to the Administrative Agent as security for the Obligations by executing and delivering a supplement to the Guaranty and Security Agreement in form and substance satisfactory to the Administrative Agent, and (ii) deliver the original certificates evidencing such pledged Equity Interests to the Administrative Agent, together with appropriate powers executed in blank.</w:t>
      </w:r>
    </w:p>
    <w:p>
      <w:pPr>
        <w:spacing w:after="0" w:line="147"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29"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subsequent to the Closing Date, any Person becomes a Foreign Subsidiary or Foreign Holding Company, whether pursuant to formation, acquisition or otherwise, (x) the Borrower shall promptly notify the Administrative Agent, the Lenders and the Issuing Lenders thereof and (y) to the extent such Foreign Subsidiary or Foreign Holding Company is owned directly by any Loan Party, within sixty (60) days after such Person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324" w:right="339" w:bottom="1440" w:gutter="0" w:footer="0" w:header="0"/>
        </w:sectPr>
      </w:pPr>
    </w:p>
    <w:bookmarkStart w:id="264" w:name="page265"/>
    <w:bookmarkEnd w:id="264"/>
    <w:p>
      <w:pPr>
        <w:jc w:val="both"/>
        <w:spacing w:after="0"/>
        <w:rPr>
          <w:sz w:val="20"/>
          <w:szCs w:val="20"/>
          <w:color w:val="auto"/>
        </w:rPr>
      </w:pPr>
      <w:r>
        <w:rPr>
          <w:rFonts w:ascii="Times New Roman" w:cs="Times New Roman" w:eastAsia="Times New Roman" w:hAnsi="Times New Roman"/>
          <w:sz w:val="20"/>
          <w:szCs w:val="20"/>
          <w:color w:val="auto"/>
        </w:rPr>
        <w:t xml:space="preserve">a Foreign Subsidiary or Foreign Holding Company or, if the Administrative Agent determines in its sole discretion that the Borrower is working in good faith, such longer period as the Administrative Agent shall permit not to exceed sixty (60) additional days, the Borrower shall, or shall cause the applicable Loan Party to (i) pledge 65% of the issued and outstanding voting Equity Interests and 100% of the issued and outstanding non-voting Equity Interests of such Foreign Subsidiary or Foreign Holding Company to the Administrative Agent as security for the Obligations by executing and delivering a supplement to the Guaranty and Security Agreement in form and substance satisfactory to the Administrative Agent, (ii) deliver the original certificates evidencing such pledged Equity Interests to the Administrative Agent, together with appropriate powers executed in blank and (iii) deliver all such other documentation (including certified organizational documents, resolutions, lien searches and legal opinions) and to take all such other actions as the Administrative Agent may reasonably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actions in any non-U.S. jurisdiction or required by the laws of any non-U.S. jurisdiction shall be required to be taken to create or perfect any security interests in any assets or Equity Interests of any Foreign Subsidiary or Foreign Holding Company.</w:t>
      </w:r>
    </w:p>
    <w:p>
      <w:pPr>
        <w:spacing w:after="0" w:line="145" w:lineRule="exact"/>
        <w:rPr>
          <w:sz w:val="20"/>
          <w:szCs w:val="20"/>
          <w:color w:val="auto"/>
        </w:rPr>
      </w:pPr>
    </w:p>
    <w:p>
      <w:pPr>
        <w:jc w:val="both"/>
        <w:ind w:firstLine="1224"/>
        <w:spacing w:after="0" w:line="223" w:lineRule="auto"/>
        <w:tabs>
          <w:tab w:leader="none" w:pos="1831"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that, following the delivery of any Collateral Documents required to be executed and delivered by this Section, the Administrative Agent shall have a valid and enforceable, first priority perfected Lien on the property required to be pledged pursuant to paragraphs (a) and (b) of this Section (to the extent that such Lien can be perfected by execution, delivery and/or recording of the Collateral Documents or UCC financing statements, or possession of such Collateral), free and clear of all Liens other than Liens expressly permitted by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[Liens]. All actions to be taken pursuant to this Section shall be at the expense of the Borrower or the applicable Loan Party, and shall be taken to the reasonable satisfaction of the Administrative Agent.</w:t>
      </w:r>
    </w:p>
    <w:p>
      <w:pPr>
        <w:spacing w:after="0" w:line="144" w:lineRule="exact"/>
        <w:rPr>
          <w:sz w:val="20"/>
          <w:szCs w:val="20"/>
          <w:color w:val="auto"/>
        </w:rPr>
      </w:pPr>
    </w:p>
    <w:p>
      <w:pPr>
        <w:jc w:val="both"/>
        <w:ind w:firstLine="611"/>
        <w:spacing w:after="0" w:line="218" w:lineRule="auto"/>
        <w:rPr>
          <w:sz w:val="20"/>
          <w:szCs w:val="20"/>
          <w:color w:val="auto"/>
        </w:rPr>
      </w:pPr>
      <w:r>
        <w:rPr>
          <w:rFonts w:ascii="Times New Roman" w:cs="Times New Roman" w:eastAsia="Times New Roman" w:hAnsi="Times New Roman"/>
          <w:sz w:val="20"/>
          <w:szCs w:val="20"/>
          <w:color w:val="auto"/>
        </w:rPr>
        <w:t xml:space="preserve">251.14 </w:t>
      </w:r>
      <w:r>
        <w:rPr>
          <w:rFonts w:ascii="Times New Roman" w:cs="Times New Roman" w:eastAsia="Times New Roman" w:hAnsi="Times New Roman"/>
          <w:sz w:val="20"/>
          <w:szCs w:val="20"/>
          <w:u w:val="single" w:color="auto"/>
          <w:color w:val="auto"/>
        </w:rPr>
        <w:t>Leased Locations</w:t>
      </w:r>
      <w:r>
        <w:rPr>
          <w:rFonts w:ascii="Times New Roman" w:cs="Times New Roman" w:eastAsia="Times New Roman" w:hAnsi="Times New Roman"/>
          <w:sz w:val="20"/>
          <w:szCs w:val="20"/>
          <w:color w:val="auto"/>
        </w:rPr>
        <w:t>. To the extent otherwise permitted hereunder, if any Loan Party proposes to lease any Real Estate that is a headquarters location or a location where books or records will be stored or located, it shall first use commercially reasonable efforts to deliver a Collateral Access Agreement from the landlord of such leased property, which agreement or letter shall be reasonably satisfactory in form and substance to the Administrative Agent.</w:t>
      </w:r>
    </w:p>
    <w:p>
      <w:pPr>
        <w:spacing w:after="0" w:line="1"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251.15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xml:space="preserve"> . The Borrower will, and will cause each other Loan Party to, execute any and all further documents, financing statements, agreements and instruments, and take all such further actions (including the filing and recording of financing statements or other documents), which may be required under any applicable law, or which the Administrative Agent or the Required Lenders may reasonably request, to effectuate the transactions contemplated by the Loan Documents or to grant, preserve, protect or perfect the Liens created by the Collateral Documents or the validity or priority of any such Lien, all at the expense of the Loan Parties. The Borrower also agrees to provide to the Administrative Agent, from time to time upon request, evidence reasonably satisfactory to the Administrative Agent as to the perfection and priority of the Liens created or intended to be created by the Collateral Documents.</w:t>
      </w:r>
    </w:p>
    <w:p>
      <w:pPr>
        <w:ind w:left="620"/>
        <w:spacing w:after="0" w:line="217" w:lineRule="auto"/>
        <w:rPr>
          <w:sz w:val="20"/>
          <w:szCs w:val="20"/>
          <w:color w:val="auto"/>
        </w:rPr>
      </w:pPr>
      <w:r>
        <w:rPr>
          <w:rFonts w:ascii="Times New Roman" w:cs="Times New Roman" w:eastAsia="Times New Roman" w:hAnsi="Times New Roman"/>
          <w:sz w:val="20"/>
          <w:szCs w:val="20"/>
          <w:color w:val="auto"/>
        </w:rPr>
        <w:t xml:space="preserve">251.16 </w:t>
      </w:r>
      <w:r>
        <w:rPr>
          <w:rFonts w:ascii="Times New Roman" w:cs="Times New Roman" w:eastAsia="Times New Roman" w:hAnsi="Times New Roman"/>
          <w:sz w:val="20"/>
          <w:szCs w:val="20"/>
          <w:u w:val="single" w:color="auto"/>
          <w:color w:val="auto"/>
        </w:rPr>
        <w:t>Government Contracts</w:t>
      </w:r>
      <w:r>
        <w:rPr>
          <w:rFonts w:ascii="Times New Roman" w:cs="Times New Roman" w:eastAsia="Times New Roman" w:hAnsi="Times New Roman"/>
          <w:sz w:val="20"/>
          <w:szCs w:val="20"/>
          <w:color w:val="auto"/>
        </w:rPr>
        <w:t>.</w:t>
      </w:r>
    </w:p>
    <w:p>
      <w:pPr>
        <w:jc w:val="both"/>
        <w:ind w:firstLine="1224"/>
        <w:spacing w:after="0"/>
        <w:tabs>
          <w:tab w:leader="none" w:pos="1831"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request of the Required Lenders or the Administrative Agent, at any time after the occurrence and during the continuance of an Event of Default, the Loan Parties shall (i) promptly execute and deliver to the Administrative Agent to file with the appropriate Official Body all Instruments of Assignment and Notices of Assignment of Claims in connection with each Material Contract, excluding Government Subcontracts and SEC Material Contracts, to be an Assigned Government Contract or (ii) direct account debtors of prime Government Contracts to make payments on the Borrower’s receivables directly to a designated collection account of the Borrower through registration in the System for Award Management (SAM) that can be controlled by the Administrative Agent, if deemed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324" w:right="339" w:bottom="1440" w:gutter="0" w:footer="0" w:header="0"/>
        </w:sectPr>
      </w:pPr>
    </w:p>
    <w:bookmarkStart w:id="265" w:name="page266"/>
    <w:bookmarkEnd w:id="265"/>
    <w:p>
      <w:pPr>
        <w:jc w:val="both"/>
        <w:ind w:firstLine="1224"/>
        <w:spacing w:after="0" w:line="220" w:lineRule="auto"/>
        <w:tabs>
          <w:tab w:leader="none" w:pos="182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the Borrower will, and will cause each other Loan Party to, promptly upon request by the Administrative Agent, comply with any and all of the requirements of the Assignment of Claims Act (Title 31 Section 3727 and Title 41 Section 15 of the United States Code), and FAR Subpart 32.8 (including FAR 52.232-23) (and comparable laws of any state) where such statutes and regulations are applicable to any Government Contracts and take all such other action as may be necessary to make the direct assignment to the Administrative Agent of the payments due or to become due under such Government Contracts, and such further action as may be necessary to facilitate the creation and perfection of the Administrative Agent’s security interest in such and realization thereon. All costs, including reasonable attorneys’ fees and expenses, incurred in connection with the preparation, execution, delivery and administration of each Assigned Government Contract shall be at Borrower’s sole costs and expense.</w:t>
      </w:r>
    </w:p>
    <w:p>
      <w:pPr>
        <w:spacing w:after="0" w:line="147" w:lineRule="exact"/>
        <w:rPr>
          <w:sz w:val="20"/>
          <w:szCs w:val="20"/>
          <w:color w:val="auto"/>
        </w:rPr>
      </w:pPr>
    </w:p>
    <w:p>
      <w:pPr>
        <w:jc w:val="both"/>
        <w:ind w:firstLine="611"/>
        <w:spacing w:after="0" w:line="221" w:lineRule="auto"/>
        <w:rPr>
          <w:sz w:val="20"/>
          <w:szCs w:val="20"/>
          <w:color w:val="auto"/>
        </w:rPr>
      </w:pPr>
      <w:r>
        <w:rPr>
          <w:rFonts w:ascii="Times New Roman" w:cs="Times New Roman" w:eastAsia="Times New Roman" w:hAnsi="Times New Roman"/>
          <w:sz w:val="20"/>
          <w:szCs w:val="20"/>
          <w:color w:val="auto"/>
        </w:rPr>
        <w:t xml:space="preserve">251.17 </w:t>
      </w:r>
      <w:r>
        <w:rPr>
          <w:rFonts w:ascii="Times New Roman" w:cs="Times New Roman" w:eastAsia="Times New Roman" w:hAnsi="Times New Roman"/>
          <w:sz w:val="20"/>
          <w:szCs w:val="20"/>
          <w:u w:val="single" w:color="auto"/>
          <w:color w:val="auto"/>
        </w:rPr>
        <w:t>Anti-Corruption Laws; Anti-Money Laundering Laws; and International Trade Laws</w:t>
      </w:r>
      <w:r>
        <w:rPr>
          <w:rFonts w:ascii="Times New Roman" w:cs="Times New Roman" w:eastAsia="Times New Roman" w:hAnsi="Times New Roman"/>
          <w:sz w:val="20"/>
          <w:szCs w:val="20"/>
          <w:color w:val="auto"/>
        </w:rPr>
        <w:t>. Each of the Loan Parties covenants and agrees that it shall: (a) immediately notify the Administrative Agent, the Collateral Agent, and each of the Lenders in writing upon the occurrence of a Reportable Compliance Event; (b) provide substitute Collateral to the Collateral Agent if, at any time, any Collateral becomes Blocked Property; and (c) conduct its business in compliance with applicable Anti-Corruption Laws, Anti-Money Laundering Laws and International Trade Laws and maintain in effect policies and procedures reasonably designed to support compliance with all applicable Anti-Corruption Laws, Anti-Money Laundering Laws and International Trade Laws by each Covered Entity, and its directors and officers, and any employee, agent or affiliate acting on behalf of such Covered Entity in connection with this Agreement.</w:t>
      </w:r>
    </w:p>
    <w:p>
      <w:pPr>
        <w:spacing w:after="0" w:line="148" w:lineRule="exact"/>
        <w:rPr>
          <w:sz w:val="20"/>
          <w:szCs w:val="20"/>
          <w:color w:val="auto"/>
        </w:rPr>
      </w:pPr>
    </w:p>
    <w:p>
      <w:pPr>
        <w:jc w:val="both"/>
        <w:ind w:firstLine="611"/>
        <w:spacing w:after="0" w:line="218" w:lineRule="auto"/>
        <w:rPr>
          <w:sz w:val="20"/>
          <w:szCs w:val="20"/>
          <w:color w:val="auto"/>
        </w:rPr>
      </w:pPr>
      <w:r>
        <w:rPr>
          <w:rFonts w:ascii="Times New Roman" w:cs="Times New Roman" w:eastAsia="Times New Roman" w:hAnsi="Times New Roman"/>
          <w:sz w:val="20"/>
          <w:szCs w:val="20"/>
          <w:color w:val="auto"/>
        </w:rPr>
        <w:t xml:space="preserve">251.18 </w:t>
      </w:r>
      <w:r>
        <w:rPr>
          <w:rFonts w:ascii="Times New Roman" w:cs="Times New Roman" w:eastAsia="Times New Roman" w:hAnsi="Times New Roman"/>
          <w:sz w:val="20"/>
          <w:szCs w:val="20"/>
          <w:u w:val="single" w:color="auto"/>
          <w:color w:val="auto"/>
        </w:rPr>
        <w:t>Additional Beneficial Ownership Certifications</w:t>
      </w:r>
      <w:r>
        <w:rPr>
          <w:rFonts w:ascii="Times New Roman" w:cs="Times New Roman" w:eastAsia="Times New Roman" w:hAnsi="Times New Roman"/>
          <w:sz w:val="20"/>
          <w:szCs w:val="20"/>
          <w:color w:val="auto"/>
        </w:rPr>
        <w:t>. At least five (5) days prior to any Person becoming a Loan Party, if requested by the Administrative Agent, any Lender or any Issuing Lender, the Borrower shall cause any such Person that qualifies as a “legal entity customer” under 31 C.F.R. § 1010.230 and has not previously delivered a Beneficial Ownership Certification to deliver a Beneficial Ownership Certification to the Administrative Agent, the Issuing Lenders and the Lenders.</w:t>
      </w:r>
    </w:p>
    <w:p>
      <w:pPr>
        <w:spacing w:after="0" w:line="1"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251.19 </w:t>
      </w:r>
      <w:r>
        <w:rPr>
          <w:rFonts w:ascii="Times New Roman" w:cs="Times New Roman" w:eastAsia="Times New Roman" w:hAnsi="Times New Roman"/>
          <w:sz w:val="20"/>
          <w:szCs w:val="20"/>
          <w:u w:val="single" w:color="auto"/>
          <w:color w:val="auto"/>
        </w:rPr>
        <w:t>Post-Closing Obligations</w:t>
      </w:r>
      <w:r>
        <w:rPr>
          <w:rFonts w:ascii="Times New Roman" w:cs="Times New Roman" w:eastAsia="Times New Roman" w:hAnsi="Times New Roman"/>
          <w:sz w:val="20"/>
          <w:szCs w:val="20"/>
          <w:color w:val="auto"/>
        </w:rPr>
        <w:t xml:space="preserve">. Within the time periods specified in </w:t>
      </w:r>
      <w:r>
        <w:rPr>
          <w:rFonts w:ascii="Times New Roman" w:cs="Times New Roman" w:eastAsia="Times New Roman" w:hAnsi="Times New Roman"/>
          <w:sz w:val="20"/>
          <w:szCs w:val="20"/>
          <w:u w:val="single" w:color="auto"/>
          <w:color w:val="auto"/>
        </w:rPr>
        <w:t>Schedule 8.19</w:t>
      </w:r>
      <w:r>
        <w:rPr>
          <w:rFonts w:ascii="Times New Roman" w:cs="Times New Roman" w:eastAsia="Times New Roman" w:hAnsi="Times New Roman"/>
          <w:sz w:val="20"/>
          <w:szCs w:val="20"/>
          <w:color w:val="auto"/>
        </w:rPr>
        <w:t xml:space="preserve"> (or such longer periods of time as the Administrative Agent may agree in its sole discretion in writing), the Borrower will, and will cause each of its Subsidiaries, as applicable, to deliver the documents and take the actions specified on </w:t>
      </w:r>
      <w:r>
        <w:rPr>
          <w:rFonts w:ascii="Times New Roman" w:cs="Times New Roman" w:eastAsia="Times New Roman" w:hAnsi="Times New Roman"/>
          <w:sz w:val="20"/>
          <w:szCs w:val="20"/>
          <w:u w:val="single" w:color="auto"/>
          <w:color w:val="auto"/>
        </w:rPr>
        <w:t>Schedule 8.19</w:t>
      </w:r>
      <w:r>
        <w:rPr>
          <w:rFonts w:ascii="Times New Roman" w:cs="Times New Roman" w:eastAsia="Times New Roman" w:hAnsi="Times New Roman"/>
          <w:sz w:val="20"/>
          <w:szCs w:val="20"/>
          <w:color w:val="auto"/>
        </w:rPr>
        <w:t>.</w:t>
      </w:r>
    </w:p>
    <w:p>
      <w:pPr>
        <w:jc w:val="center"/>
        <w:spacing w:after="0" w:line="214" w:lineRule="auto"/>
        <w:rPr>
          <w:sz w:val="20"/>
          <w:szCs w:val="20"/>
          <w:color w:val="auto"/>
        </w:rPr>
      </w:pPr>
      <w:r>
        <w:rPr>
          <w:rFonts w:ascii="Times New Roman" w:cs="Times New Roman" w:eastAsia="Times New Roman" w:hAnsi="Times New Roman"/>
          <w:sz w:val="20"/>
          <w:szCs w:val="20"/>
          <w:color w:val="auto"/>
        </w:rPr>
        <w:t>ARTICLE 252</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181" w:lineRule="exact"/>
        <w:rPr>
          <w:sz w:val="20"/>
          <w:szCs w:val="20"/>
          <w:color w:val="auto"/>
        </w:rPr>
      </w:pPr>
    </w:p>
    <w:p>
      <w:pPr>
        <w:jc w:val="both"/>
        <w:ind w:firstLine="611"/>
        <w:spacing w:after="0" w:line="269" w:lineRule="auto"/>
        <w:rPr>
          <w:sz w:val="20"/>
          <w:szCs w:val="20"/>
          <w:color w:val="auto"/>
        </w:rPr>
      </w:pPr>
      <w:r>
        <w:rPr>
          <w:rFonts w:ascii="Times New Roman" w:cs="Times New Roman" w:eastAsia="Times New Roman" w:hAnsi="Times New Roman"/>
          <w:sz w:val="20"/>
          <w:szCs w:val="20"/>
          <w:color w:val="auto"/>
        </w:rPr>
        <w:t>Until the Commitments have expired or been terminated and all Obligations have been paid in full and all Letters of Credit shall have expired or terminated, in each case without any pending draw, or all such Letters of Credit shall have been cash collateralized to the satisfaction of the applicable Issuing Lender, and all Letter of Credit Borrowing shall have been reimbursed, the Borrower covenants and agrees with the Administrative Agents, the Lenders and the Issuing Lenders that:</w:t>
      </w:r>
    </w:p>
    <w:p>
      <w:pPr>
        <w:spacing w:after="0" w:line="128" w:lineRule="exact"/>
        <w:rPr>
          <w:sz w:val="20"/>
          <w:szCs w:val="20"/>
          <w:color w:val="auto"/>
        </w:rPr>
      </w:pPr>
    </w:p>
    <w:p>
      <w:pPr>
        <w:jc w:val="both"/>
        <w:ind w:firstLine="611"/>
        <w:spacing w:after="0" w:line="224" w:lineRule="auto"/>
        <w:rPr>
          <w:sz w:val="20"/>
          <w:szCs w:val="20"/>
          <w:color w:val="auto"/>
        </w:rPr>
      </w:pPr>
      <w:r>
        <w:rPr>
          <w:rFonts w:ascii="Times New Roman" w:cs="Times New Roman" w:eastAsia="Times New Roman" w:hAnsi="Times New Roman"/>
          <w:sz w:val="20"/>
          <w:szCs w:val="20"/>
          <w:color w:val="auto"/>
        </w:rPr>
        <w:t xml:space="preserve">252.1 </w:t>
      </w:r>
      <w:r>
        <w:rPr>
          <w:rFonts w:ascii="Times New Roman" w:cs="Times New Roman" w:eastAsia="Times New Roman" w:hAnsi="Times New Roman"/>
          <w:sz w:val="20"/>
          <w:szCs w:val="20"/>
          <w:u w:val="single" w:color="auto"/>
          <w:color w:val="auto"/>
        </w:rPr>
        <w:t>Indebtedness and Preferred Equity</w:t>
      </w:r>
      <w:r>
        <w:rPr>
          <w:rFonts w:ascii="Times New Roman" w:cs="Times New Roman" w:eastAsia="Times New Roman" w:hAnsi="Times New Roman"/>
          <w:sz w:val="20"/>
          <w:szCs w:val="20"/>
          <w:color w:val="auto"/>
        </w:rPr>
        <w:t>. The Borrower will not, and will not permit any of its Subsidiaries to, create, incur, assume or suffer to exist any Indebtedness, except:</w:t>
      </w:r>
    </w:p>
    <w:p>
      <w:pPr>
        <w:ind w:left="1840" w:hanging="616"/>
        <w:spacing w:after="0"/>
        <w:tabs>
          <w:tab w:leader="none" w:pos="184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created pursuant to the Loan Documents;</w:t>
      </w:r>
    </w:p>
    <w:p>
      <w:pPr>
        <w:spacing w:after="0" w:line="155"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and its Subsidiaries existing on the date hereof and set forth on </w:t>
      </w:r>
      <w:r>
        <w:rPr>
          <w:rFonts w:ascii="Times New Roman" w:cs="Times New Roman" w:eastAsia="Times New Roman" w:hAnsi="Times New Roman"/>
          <w:sz w:val="20"/>
          <w:szCs w:val="20"/>
          <w:u w:val="single" w:color="auto"/>
          <w:color w:val="auto"/>
        </w:rPr>
        <w:t>Schedule 9.1</w:t>
      </w:r>
      <w:r>
        <w:rPr>
          <w:rFonts w:ascii="Times New Roman" w:cs="Times New Roman" w:eastAsia="Times New Roman" w:hAnsi="Times New Roman"/>
          <w:sz w:val="20"/>
          <w:szCs w:val="20"/>
          <w:color w:val="auto"/>
        </w:rPr>
        <w:t xml:space="preserve"> and extensions, renewals and replacements of any such Indebtedness that do not increase the outstanding principal amount thereof immediately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324" w:right="339" w:bottom="1440" w:gutter="0" w:footer="0" w:header="0"/>
        </w:sectPr>
      </w:pPr>
    </w:p>
    <w:bookmarkStart w:id="266" w:name="page267"/>
    <w:bookmarkEnd w:id="266"/>
    <w:p>
      <w:pPr>
        <w:jc w:val="both"/>
        <w:spacing w:after="0" w:line="249" w:lineRule="auto"/>
        <w:rPr>
          <w:sz w:val="20"/>
          <w:szCs w:val="20"/>
          <w:color w:val="auto"/>
        </w:rPr>
      </w:pPr>
      <w:r>
        <w:rPr>
          <w:rFonts w:ascii="Times New Roman" w:cs="Times New Roman" w:eastAsia="Times New Roman" w:hAnsi="Times New Roman"/>
          <w:sz w:val="20"/>
          <w:szCs w:val="20"/>
          <w:color w:val="auto"/>
        </w:rPr>
        <w:t>giving effect to such extension, renewal or replacement (except by the amount of any accrued interest, fees or costs, and the amount of any transaction expenses relating to such extension, renewal or replacement), or shorten the maturity or the weighted average life thereof;</w:t>
      </w:r>
    </w:p>
    <w:p>
      <w:pPr>
        <w:spacing w:after="0" w:line="134" w:lineRule="exact"/>
        <w:rPr>
          <w:sz w:val="20"/>
          <w:szCs w:val="20"/>
          <w:color w:val="auto"/>
        </w:rPr>
      </w:pPr>
    </w:p>
    <w:p>
      <w:pPr>
        <w:jc w:val="both"/>
        <w:ind w:firstLine="1224"/>
        <w:spacing w:after="0" w:line="217" w:lineRule="auto"/>
        <w:tabs>
          <w:tab w:leader="none" w:pos="1831"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of its Subsidiaries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is incurred prior to or within ninety (90) days after such acquisition or the completion of such construction or improvements), and extensions, renewals or replacements of any such Indebtedness that do not increase the outstanding principal amount thereof immediately prior to giving effect to such extension, renewal or replacement (except by the amount of any accrued interest, fees or costs, and the amount of any transaction expenses relating to such extension, renewal or replacement), or shorten the maturity or the weighted average life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such Indebtedness does not exceed $135,000,000 at any time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for the avoidance of doubt, such amount shall be calculated without giving effect to Financial Accounting Standards Board (FASB) Standard ASC 842 (Leases), International Financial Reporting Standards 16 (Leases), (or any other applicable financial accounting standard having a similar result or effect) and related interpretations, in each case, to the extent any lease (or similar arrangement conveying the right to use any real or personal property or a combination thereof) would be required to be treated as a capital lease thereunder where such lease (or similar arrangement) would have been treated as an operating lease under GAAP as in effect immediately prior to the effectiveness of the ASC 842;</w:t>
      </w:r>
    </w:p>
    <w:p>
      <w:pPr>
        <w:spacing w:after="0" w:line="145"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owing to any Subsidiary and of any Subsidiary owing to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that is owed to a Loan Party by a Subsidiary that is not a Guarantor shall be subject to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[Investments, Loans];</w:t>
      </w:r>
    </w:p>
    <w:p>
      <w:pPr>
        <w:spacing w:after="0" w:line="142"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31"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Guaranty by the Borrower of Indebtedness of any Subsidiary and by any Subsidiary of Indebtedness of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Guarantees by any Loan Party of Indebtedness of any Subsidiary that is not a Guarantor shall be subject to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[Investments, Loans];</w:t>
      </w:r>
    </w:p>
    <w:p>
      <w:pPr>
        <w:spacing w:after="0" w:line="142"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3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any Person which becomes a Subsidiary after the date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exists at the time that such Person becomes a Subsidiary and is not created in contemplation of or in connection with such Person becoming a Subsidiary, and (ii) the aggregate principal amount of such Indebtedness permitted hereunder shall not exceed $60,000,000 at any time outstanding;</w:t>
      </w:r>
    </w:p>
    <w:p>
      <w:pPr>
        <w:spacing w:after="0" w:line="144"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in the ordinary course of business in connection with Other Lender Provided Financial Service Products;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any such Indebtedness in connection with corporate credit card programs shall not exceed $15,000,000 at any time outstanding;</w:t>
      </w:r>
    </w:p>
    <w:p>
      <w:pPr>
        <w:spacing w:after="0" w:line="142"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Hedge Liabilities permitted by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[Interest Rate Hedge];</w:t>
      </w:r>
    </w:p>
    <w:p>
      <w:pPr>
        <w:spacing w:after="0" w:line="177"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2"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with respect to surety, appeal, indemnity, performance or other similar bonds arising in the ordinary course of business and upon terms typical to the industry;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shall not include debt for (or Guaranty of debt for) borrowed money;</w:t>
      </w:r>
    </w:p>
    <w:p>
      <w:pPr>
        <w:spacing w:after="0" w:line="142" w:lineRule="exact"/>
        <w:rPr>
          <w:rFonts w:ascii="Times New Roman" w:cs="Times New Roman" w:eastAsia="Times New Roman" w:hAnsi="Times New Roman"/>
          <w:sz w:val="20"/>
          <w:szCs w:val="20"/>
          <w:color w:val="auto"/>
        </w:rPr>
      </w:pPr>
    </w:p>
    <w:p>
      <w:pPr>
        <w:ind w:firstLine="1224"/>
        <w:spacing w:after="0" w:line="249" w:lineRule="auto"/>
        <w:tabs>
          <w:tab w:leader="none" w:pos="1822"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connection with financing arrangements of accounts receivable of Foreign Subsidiaries, secured solely by the applicable specific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324" w:right="339" w:bottom="1440" w:gutter="0" w:footer="0" w:header="0"/>
        </w:sectPr>
      </w:pPr>
    </w:p>
    <w:bookmarkStart w:id="267" w:name="page268"/>
    <w:bookmarkEnd w:id="267"/>
    <w:p>
      <w:pPr>
        <w:spacing w:after="0" w:line="249" w:lineRule="auto"/>
        <w:rPr>
          <w:sz w:val="20"/>
          <w:szCs w:val="20"/>
          <w:color w:val="auto"/>
        </w:rPr>
      </w:pPr>
      <w:r>
        <w:rPr>
          <w:rFonts w:ascii="Times New Roman" w:cs="Times New Roman" w:eastAsia="Times New Roman" w:hAnsi="Times New Roman"/>
          <w:sz w:val="20"/>
          <w:szCs w:val="20"/>
          <w:color w:val="auto"/>
        </w:rPr>
        <w:t>receivable of the applicable Foreign Subsidiary, in an aggregate amount not to exceed $75,000,000 at any time outstanding, subject to such terms, conditions and documentation as are acceptable to the Administrative Agent in its reasonable discretion;</w:t>
      </w:r>
    </w:p>
    <w:p>
      <w:pPr>
        <w:spacing w:after="0" w:line="134" w:lineRule="exact"/>
        <w:rPr>
          <w:sz w:val="20"/>
          <w:szCs w:val="20"/>
          <w:color w:val="auto"/>
        </w:rPr>
      </w:pPr>
    </w:p>
    <w:p>
      <w:pPr>
        <w:ind w:left="1840" w:hanging="616"/>
        <w:spacing w:after="0"/>
        <w:tabs>
          <w:tab w:leader="none" w:pos="1840"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7" w:lineRule="exact"/>
        <w:rPr>
          <w:rFonts w:ascii="Times New Roman" w:cs="Times New Roman" w:eastAsia="Times New Roman" w:hAnsi="Times New Roman"/>
          <w:sz w:val="20"/>
          <w:szCs w:val="20"/>
          <w:color w:val="auto"/>
        </w:rPr>
      </w:pPr>
    </w:p>
    <w:p>
      <w:pPr>
        <w:ind w:firstLine="1224"/>
        <w:spacing w:after="0" w:line="249" w:lineRule="auto"/>
        <w:tabs>
          <w:tab w:leader="none" w:pos="1822"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Incremental Equivalent Debt which, together with the aggregate amount of Incremental Loans made hereunder, does not in the aggregate exceed the greater of (i) $135,000,000 and (ii) 100% of Consolidated EBITDA;</w:t>
      </w:r>
    </w:p>
    <w:p>
      <w:pPr>
        <w:spacing w:after="0" w:line="134"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2"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Incremental Equivalent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Incremental Equivalent Debt and after giving effect thereto, (i) no Event of Default shall have occurred and be continuing and (ii) the Total Net Leverage Ratio for the most recently ended Measurement Period, calculated on a Pro Forma Basis, is not greater than 3.25 to 1.00;</w:t>
      </w:r>
    </w:p>
    <w:p>
      <w:pPr>
        <w:spacing w:after="0" w:line="142"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unsecured Indebtedness, which in the aggregate does not exceed the greater of (i) $67,500,000 and (ii) 50% of Consolidated EBITDA; and</w:t>
      </w:r>
    </w:p>
    <w:p>
      <w:pPr>
        <w:spacing w:after="0" w:line="134" w:lineRule="exact"/>
        <w:rPr>
          <w:rFonts w:ascii="Times New Roman" w:cs="Times New Roman" w:eastAsia="Times New Roman" w:hAnsi="Times New Roman"/>
          <w:sz w:val="20"/>
          <w:szCs w:val="20"/>
          <w:color w:val="auto"/>
        </w:rPr>
      </w:pPr>
    </w:p>
    <w:p>
      <w:pPr>
        <w:jc w:val="both"/>
        <w:ind w:firstLine="1224"/>
        <w:spacing w:after="0" w:line="225" w:lineRule="auto"/>
        <w:tabs>
          <w:tab w:leader="none" w:pos="1829"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unsecured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unsecured Indebtedness and after giving effect thereto, (i) no Event of Default shall have occurred and be continuing and (ii) the financial covenants forth in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xml:space="preserve"> [Total Net Leverage Ratio] and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[Interest Coverage Ratio] for the most recently ended Measurement Period, calculated on a Pro Forma Basis (without including the cash proceeds of any such Indebtedness in the amount of unrestricted cash and Permitted Investments in the calculation of Total Net Leverage Ratio), are in compliance.</w:t>
      </w:r>
    </w:p>
    <w:p>
      <w:pPr>
        <w:spacing w:after="0" w:line="169" w:lineRule="exact"/>
        <w:rPr>
          <w:rFonts w:ascii="Times New Roman" w:cs="Times New Roman" w:eastAsia="Times New Roman" w:hAnsi="Times New Roman"/>
          <w:sz w:val="20"/>
          <w:szCs w:val="20"/>
          <w:color w:val="auto"/>
        </w:rPr>
      </w:pPr>
    </w:p>
    <w:p>
      <w:pPr>
        <w:ind w:left="600" w:hanging="598"/>
        <w:spacing w:after="0"/>
        <w:tabs>
          <w:tab w:leader="none" w:pos="6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and will not permit any Subsidiary to, issue any preferred stock or other preferred equity interest that</w:t>
      </w:r>
    </w:p>
    <w:p>
      <w:pPr>
        <w:spacing w:after="0" w:line="33" w:lineRule="exact"/>
        <w:rPr>
          <w:rFonts w:ascii="Times New Roman" w:cs="Times New Roman" w:eastAsia="Times New Roman" w:hAnsi="Times New Roman"/>
          <w:sz w:val="20"/>
          <w:szCs w:val="20"/>
          <w:color w:val="auto"/>
        </w:rPr>
      </w:pPr>
    </w:p>
    <w:p>
      <w:pPr>
        <w:jc w:val="both"/>
        <w:ind w:firstLine="2"/>
        <w:spacing w:after="0" w:line="261" w:lineRule="auto"/>
        <w:tabs>
          <w:tab w:leader="none" w:pos="2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matures or is mandatorily redeemable pursuant to a sinking fund obligation or otherwise, (ii) is or may become redeemable or repurchaseable by the Borrower or such Subsidiary at the option of the holder thereof, in whole or in part, or (iii) is convertible or exchangeable at the option of the holder thereof for Indebtedness or preferred stock or any other preferred equity interest described in this paragraph, on or prior to, in the case of clause (i), (ii) or (iii), the first anniversary of the Facility Termination Date.</w:t>
      </w:r>
    </w:p>
    <w:p>
      <w:pPr>
        <w:spacing w:after="0" w:line="136" w:lineRule="exact"/>
        <w:rPr>
          <w:sz w:val="20"/>
          <w:szCs w:val="20"/>
          <w:color w:val="auto"/>
        </w:rPr>
      </w:pPr>
    </w:p>
    <w:p>
      <w:pPr>
        <w:ind w:firstLine="611"/>
        <w:spacing w:after="0" w:line="224" w:lineRule="auto"/>
        <w:rPr>
          <w:sz w:val="20"/>
          <w:szCs w:val="20"/>
          <w:color w:val="auto"/>
        </w:rPr>
      </w:pPr>
      <w:r>
        <w:rPr>
          <w:rFonts w:ascii="Times New Roman" w:cs="Times New Roman" w:eastAsia="Times New Roman" w:hAnsi="Times New Roman"/>
          <w:sz w:val="20"/>
          <w:szCs w:val="20"/>
          <w:color w:val="auto"/>
        </w:rPr>
        <w:t xml:space="preserve">252.2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Borrower will not, and will not permit any of its Subsidiaries to, create, incur, assume or suffer to exist any Lien on any of its assets or property now owned or hereafter acquired, except:</w:t>
      </w:r>
    </w:p>
    <w:p>
      <w:pPr>
        <w:jc w:val="both"/>
        <w:ind w:firstLine="1224"/>
        <w:spacing w:after="0" w:line="223" w:lineRule="auto"/>
        <w:tabs>
          <w:tab w:leader="none" w:pos="1831"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Liens may secure Hedge Liabilities or Other Lender Provided Financial Service Products without securing all other Obligations on a basis at least pari passu with such Hedge Liabilities or Other Lender Provided Financial Service Products and subject to the priority of payments set forth in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[Pro Rata Treatment of Lenders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[Application of Proceeds from Collateral];</w:t>
      </w:r>
    </w:p>
    <w:p>
      <w:pPr>
        <w:spacing w:after="0" w:line="141"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177" w:lineRule="exact"/>
        <w:rPr>
          <w:rFonts w:ascii="Times New Roman" w:cs="Times New Roman" w:eastAsia="Times New Roman" w:hAnsi="Times New Roman"/>
          <w:sz w:val="20"/>
          <w:szCs w:val="20"/>
          <w:color w:val="auto"/>
        </w:rPr>
      </w:pPr>
    </w:p>
    <w:p>
      <w:pPr>
        <w:ind w:firstLine="1224"/>
        <w:spacing w:after="0" w:line="249" w:lineRule="auto"/>
        <w:tabs>
          <w:tab w:leader="none" w:pos="1831"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any property or asset of the Borrower or any of its Subsidiaries existing on the date hereof and set forth on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shall not apply to any other property or asset of the Borrower or any Subsidiary;</w:t>
      </w:r>
    </w:p>
    <w:p>
      <w:pPr>
        <w:spacing w:after="0" w:line="134"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money Liens upon or in any fixed or capital assets to secure the purchase price or the cost of construction or improvement of such fixed or capital assets or to secure Indebtedness incurred solely for the purpose of financing the acquisition, construction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324" w:right="339" w:bottom="1440" w:gutter="0" w:footer="0" w:header="0"/>
        </w:sectPr>
      </w:pPr>
    </w:p>
    <w:bookmarkStart w:id="268" w:name="page269"/>
    <w:bookmarkEnd w:id="268"/>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improvement of such fixed or capital assets (including Liens securing any Capital Lease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secures Indebtedness permitted by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(ii) such Lien attaches to such asset concurrently or within ninety (90) days after the acquisition or the completion of the construction or improvements thereof, (iii) such Lien does not extend to any other asset, and (iv) the Indebtedness secured thereby does not exceed the cost of acquiring, constructing or improving such fixed or capital assets;</w:t>
      </w:r>
    </w:p>
    <w:p>
      <w:pPr>
        <w:spacing w:after="0" w:line="141" w:lineRule="exact"/>
        <w:rPr>
          <w:sz w:val="20"/>
          <w:szCs w:val="20"/>
          <w:color w:val="auto"/>
        </w:rPr>
      </w:pPr>
    </w:p>
    <w:p>
      <w:pPr>
        <w:ind w:left="1840" w:hanging="616"/>
        <w:spacing w:after="0"/>
        <w:tabs>
          <w:tab w:leader="none" w:pos="1840"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(x) existing on any asset of any Person at the time such Person becomes a Subsidiary of the Borrower,</w:t>
      </w:r>
    </w:p>
    <w:p>
      <w:pPr>
        <w:jc w:val="both"/>
        <w:ind w:firstLine="2"/>
        <w:spacing w:after="0" w:line="223" w:lineRule="auto"/>
        <w:tabs>
          <w:tab w:leader="none" w:pos="31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existing on any asset of any Person at the time such Person is merged with or into the Borrower or any of its Subsidiaries, or (z) existing on any asset prior to the acquisition thereof by the Borrower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Lien was not created in the contemplation of any of the foregoing and (ii) any such Lien secures only those obligations which it secures on the date that such Person becomes a Subsidiary or the date of such merger or the date of such acquisition;</w:t>
      </w:r>
    </w:p>
    <w:p>
      <w:pPr>
        <w:spacing w:after="0" w:line="141"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34"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extensions, renewals, or replacements of any Lien referred to in paragraphs (b) through (e)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principal amount of the Indebtedness secured thereby is not increased (except by the amount of any accrued interest, fees or costs, and the amount of any transaction expenses relating to such extension, renewal or replacement) and that any such extension, renewal or replacement is limited to the assets originally encumbered thereby;</w:t>
      </w:r>
    </w:p>
    <w:p>
      <w:pPr>
        <w:spacing w:after="0" w:line="144"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7"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assets of Subsidiaries that are not Loan Parties securing Indebtedness permitted under </w:t>
      </w:r>
      <w:r>
        <w:rPr>
          <w:rFonts w:ascii="Times New Roman" w:cs="Times New Roman" w:eastAsia="Times New Roman" w:hAnsi="Times New Roman"/>
          <w:sz w:val="20"/>
          <w:szCs w:val="20"/>
          <w:u w:val="single" w:color="auto"/>
          <w:color w:val="auto"/>
        </w:rPr>
        <w:t>Section 9.1(d)</w:t>
      </w:r>
      <w:r>
        <w:rPr>
          <w:rFonts w:ascii="Times New Roman" w:cs="Times New Roman" w:eastAsia="Times New Roman" w:hAnsi="Times New Roman"/>
          <w:sz w:val="20"/>
          <w:szCs w:val="20"/>
          <w:color w:val="auto"/>
        </w:rPr>
        <w:t xml:space="preserve"> and any Guaranty thereof permitted under </w:t>
      </w:r>
      <w:r>
        <w:rPr>
          <w:rFonts w:ascii="Times New Roman" w:cs="Times New Roman" w:eastAsia="Times New Roman" w:hAnsi="Times New Roman"/>
          <w:sz w:val="20"/>
          <w:szCs w:val="20"/>
          <w:u w:val="single" w:color="auto"/>
          <w:color w:val="auto"/>
        </w:rPr>
        <w:t>Section 7.1(e)</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ind w:left="1820" w:hanging="596"/>
        <w:spacing w:after="0"/>
        <w:tabs>
          <w:tab w:leader="none" w:pos="182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accounts receivable of Foreign Subsidiaries securing Indebtedness permitted under </w:t>
      </w:r>
      <w:r>
        <w:rPr>
          <w:rFonts w:ascii="Times New Roman" w:cs="Times New Roman" w:eastAsia="Times New Roman" w:hAnsi="Times New Roman"/>
          <w:sz w:val="20"/>
          <w:szCs w:val="20"/>
          <w:u w:val="single" w:color="auto"/>
          <w:color w:val="auto"/>
        </w:rPr>
        <w:t>Section 9.1(j)</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22"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Incremental Equivalent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shall be subject to (x) with respect to Incremental Equivalent Debt secured on a junior basis to the Obligations, a customary “junior lien” intercreditor agreement in form and substance satisfactory to the Administrative Agent and (y) with respect to Incremental Equivalent Debt secured on a pari passu basis with the Obligations, a “pari passu” intercreditor agreement in form and substance satisfactory to the Administrative Agent;</w:t>
      </w:r>
    </w:p>
    <w:p>
      <w:pPr>
        <w:spacing w:after="0" w:line="144"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and other liquid investments in the nature of Permitted Investments held by a Foreign Subsidiary in deposit or securities accounts outside the United States securing letters of credit for the account of such Foreign Subsidiary; and</w:t>
      </w:r>
    </w:p>
    <w:p>
      <w:pPr>
        <w:spacing w:after="0" w:line="129" w:lineRule="exact"/>
        <w:rPr>
          <w:rFonts w:ascii="Times New Roman" w:cs="Times New Roman" w:eastAsia="Times New Roman" w:hAnsi="Times New Roman"/>
          <w:sz w:val="20"/>
          <w:szCs w:val="20"/>
          <w:color w:val="auto"/>
        </w:rPr>
      </w:pPr>
    </w:p>
    <w:p>
      <w:pPr>
        <w:ind w:left="1820" w:hanging="596"/>
        <w:spacing w:after="0"/>
        <w:tabs>
          <w:tab w:leader="none" w:pos="182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not securing debt for borrowed money, securing amounts in the aggregate not to exceed $40,000,000 at any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252.3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w:t>
      </w:r>
    </w:p>
    <w:p>
      <w:pPr>
        <w:jc w:val="both"/>
        <w:ind w:firstLine="1224"/>
        <w:spacing w:after="0" w:line="219" w:lineRule="auto"/>
        <w:tabs>
          <w:tab w:leader="none" w:pos="1831"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not, and will not permit any of its Subsidiaries to, merge into or consolidate into any other Person, or permit any other Person to merge into or consolidate with it, or sell, lease, transfer or otherwise dispose of (in a single transaction or a series of transactions) all or substantially all of its assets (in each case, whether now owned or hereafter acquired) or all or substantially all of the stock of any of its Subsidiaries (in each case, whether now owned or hereafter acquired) or liquidate or dissolve;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the time thereof and immediately after giving effect thereto, no Potential Default or Event of Default shall have occurred and be continuing, (i) the Borrower may merge with a Person (including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324" w:right="339" w:bottom="1440" w:gutter="0" w:footer="0" w:header="0"/>
        </w:sectPr>
      </w:pPr>
    </w:p>
    <w:bookmarkStart w:id="269" w:name="page270"/>
    <w:bookmarkEnd w:id="269"/>
    <w:p>
      <w:pPr>
        <w:jc w:val="both"/>
        <w:spacing w:after="0" w:line="218" w:lineRule="auto"/>
        <w:rPr>
          <w:sz w:val="20"/>
          <w:szCs w:val="20"/>
          <w:color w:val="auto"/>
        </w:rPr>
      </w:pPr>
      <w:r>
        <w:rPr>
          <w:rFonts w:ascii="Times New Roman" w:cs="Times New Roman" w:eastAsia="Times New Roman" w:hAnsi="Times New Roman"/>
          <w:sz w:val="20"/>
          <w:szCs w:val="20"/>
          <w:color w:val="auto"/>
        </w:rPr>
        <w:t xml:space="preserve">Subsidiary) if the Borrower is the surviving Person, (ii) any Subsidiary may merge into another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party to such merger is (or will, pursuant to </w:t>
      </w:r>
      <w:r>
        <w:rPr>
          <w:rFonts w:ascii="Times New Roman" w:cs="Times New Roman" w:eastAsia="Times New Roman" w:hAnsi="Times New Roman"/>
          <w:sz w:val="20"/>
          <w:szCs w:val="20"/>
          <w:u w:val="single" w:color="auto"/>
          <w:color w:val="auto"/>
        </w:rPr>
        <w:t>Section 8.13(a)</w:t>
      </w:r>
      <w:r>
        <w:rPr>
          <w:rFonts w:ascii="Times New Roman" w:cs="Times New Roman" w:eastAsia="Times New Roman" w:hAnsi="Times New Roman"/>
          <w:sz w:val="20"/>
          <w:szCs w:val="20"/>
          <w:color w:val="auto"/>
        </w:rPr>
        <w:t xml:space="preserve"> [Additional Subsidiaries and Collateral] become) a Guarantor, the Subsidiary that is or will become a Guarantor shall be the surviving Person, (iii) the Borrower may sell, transfer or otherwise dispose of its interest in any Subsidiary to a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sold, transferred or disposed of Subsidiary is a Guarantor prior to such sale, transfer or other disposition, it shall continue to be a Guarantor following such sale, transfer or other disposition), (iv) any Guarantor may sell, transfer, lease or otherwise dispose of all or substantially all of its assets to the Borrower or to a Guarantor, (v) any Subsidiary that is not a Loan Party may sell, transfer, lease or otherwise dispose of all or substantially all of its assets to the Borrower or to any other Subsidiary, and (vi) any Subsidiary that is not a Loan Party may liquidate or dissolve if the Borrower determines in good faith that such liquidation or dissolution is in the best interests of the Borrower and is not materially disadvantageous to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such merger involving a Person that is not a wholly owned Subsidiary immediately prior to such merger shall not be permitted unless also permitted by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 xml:space="preserve"> [Investments, Loans].</w:t>
      </w:r>
    </w:p>
    <w:p>
      <w:pPr>
        <w:spacing w:after="0" w:line="147" w:lineRule="exact"/>
        <w:rPr>
          <w:sz w:val="20"/>
          <w:szCs w:val="20"/>
          <w:color w:val="auto"/>
        </w:rPr>
      </w:pPr>
    </w:p>
    <w:p>
      <w:pPr>
        <w:ind w:firstLine="1224"/>
        <w:spacing w:after="0" w:line="249" w:lineRule="auto"/>
        <w:tabs>
          <w:tab w:leader="none" w:pos="1829"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and will not permit any of its Subsidiaries to, engage in any business other than businesses of the type conducted by the Borrower and its Subsidiaries on the date hereof and businesses reasonably related thereto.</w:t>
      </w:r>
    </w:p>
    <w:p>
      <w:pPr>
        <w:spacing w:after="0" w:line="134" w:lineRule="exact"/>
        <w:rPr>
          <w:sz w:val="20"/>
          <w:szCs w:val="20"/>
          <w:color w:val="auto"/>
        </w:rPr>
      </w:pPr>
    </w:p>
    <w:p>
      <w:pPr>
        <w:jc w:val="both"/>
        <w:ind w:firstLine="611"/>
        <w:spacing w:after="0" w:line="216" w:lineRule="auto"/>
        <w:rPr>
          <w:sz w:val="20"/>
          <w:szCs w:val="20"/>
          <w:color w:val="auto"/>
        </w:rPr>
      </w:pPr>
      <w:r>
        <w:rPr>
          <w:rFonts w:ascii="Times New Roman" w:cs="Times New Roman" w:eastAsia="Times New Roman" w:hAnsi="Times New Roman"/>
          <w:sz w:val="20"/>
          <w:szCs w:val="20"/>
          <w:color w:val="auto"/>
        </w:rPr>
        <w:t xml:space="preserve">252.4 </w:t>
      </w:r>
      <w:r>
        <w:rPr>
          <w:rFonts w:ascii="Times New Roman" w:cs="Times New Roman" w:eastAsia="Times New Roman" w:hAnsi="Times New Roman"/>
          <w:sz w:val="20"/>
          <w:szCs w:val="20"/>
          <w:u w:val="single" w:color="auto"/>
          <w:color w:val="auto"/>
        </w:rPr>
        <w:t>Investments, Loans</w:t>
      </w:r>
      <w:r>
        <w:rPr>
          <w:rFonts w:ascii="Times New Roman" w:cs="Times New Roman" w:eastAsia="Times New Roman" w:hAnsi="Times New Roman"/>
          <w:sz w:val="20"/>
          <w:szCs w:val="20"/>
          <w:color w:val="auto"/>
        </w:rPr>
        <w:t>. The Borrower will not, and will not permit any of its Subsidiaries to, purchase, hold or (including pursuant to any merger with any Person that was not a wholly owned Subsidiary prior to such merger) any Equity Interests, evidence of Indebtedness or other securities (including any option, warrant, or other right to acquire any of the foregoing) of, make or permit to exist any loans or advances to, Guaranty any obligations of, or make or permit to exist any investment or any other interest in, any other Person (all of the foregoing being collectively called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or purchase or otherwise acquire (in one transaction or a series of transactions) any assets of any other Person that constitute a business unit, or create or form any Subsidiary, except:</w:t>
      </w:r>
    </w:p>
    <w:p>
      <w:pPr>
        <w:spacing w:after="0" w:line="3" w:lineRule="exact"/>
        <w:rPr>
          <w:sz w:val="20"/>
          <w:szCs w:val="20"/>
          <w:color w:val="auto"/>
        </w:rPr>
      </w:pPr>
    </w:p>
    <w:p>
      <w:pPr>
        <w:ind w:firstLine="1224"/>
        <w:spacing w:after="0" w:line="233" w:lineRule="auto"/>
        <w:tabs>
          <w:tab w:leader="none" w:pos="1831"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(other than Permitted Investments) existing on the date hereof and set forth on </w:t>
      </w:r>
      <w:r>
        <w:rPr>
          <w:rFonts w:ascii="Times New Roman" w:cs="Times New Roman" w:eastAsia="Times New Roman" w:hAnsi="Times New Roman"/>
          <w:sz w:val="20"/>
          <w:szCs w:val="20"/>
          <w:u w:val="single" w:color="auto"/>
          <w:color w:val="auto"/>
        </w:rPr>
        <w:t>Schedule 9.4</w:t>
      </w:r>
      <w:r>
        <w:rPr>
          <w:rFonts w:ascii="Times New Roman" w:cs="Times New Roman" w:eastAsia="Times New Roman" w:hAnsi="Times New Roman"/>
          <w:sz w:val="20"/>
          <w:szCs w:val="20"/>
          <w:color w:val="auto"/>
        </w:rPr>
        <w:t xml:space="preserve"> (including Investments in Subsidiaries);</w:t>
      </w:r>
    </w:p>
    <w:p>
      <w:pPr>
        <w:spacing w:after="0" w:line="142"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w:t>
      </w:r>
    </w:p>
    <w:p>
      <w:pPr>
        <w:spacing w:after="0" w:line="177"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31"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Guaranty by the Borrower and its Subsidiaries constituting Indebtedness permitted by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Guaranty by the Loan Parties of Indebtedness of Subsidiaries that are not Loan Parties shall be subject to the limitations set forth in paragraph (d) of this Section;</w:t>
      </w:r>
    </w:p>
    <w:p>
      <w:pPr>
        <w:spacing w:after="0" w:line="142"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by the Borrower in or to any Subsidiary and by any Subsidiary in or to the Borrower or in or to another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Investments by the Loan Parties in or to (including a Guaranty by the Loan Parties of Indebtedness of) any Subsidiary that is not a Guarantor shall be limited to:</w:t>
      </w:r>
    </w:p>
    <w:p>
      <w:pPr>
        <w:spacing w:after="0" w:line="142" w:lineRule="exact"/>
        <w:rPr>
          <w:rFonts w:ascii="Times New Roman" w:cs="Times New Roman" w:eastAsia="Times New Roman" w:hAnsi="Times New Roman"/>
          <w:sz w:val="20"/>
          <w:szCs w:val="20"/>
          <w:color w:val="auto"/>
        </w:rPr>
      </w:pPr>
    </w:p>
    <w:p>
      <w:pPr>
        <w:jc w:val="both"/>
        <w:ind w:left="540" w:firstLine="1219"/>
        <w:spacing w:after="0" w:line="234" w:lineRule="auto"/>
        <w:tabs>
          <w:tab w:leader="none" w:pos="2438"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by Loan Parties to Subsidiaries that are not Loan Parties consisting of intercompany accounts receivable arising from the transfer of goods or services in the ordinary course of business and consistent with past business practices of the Borrower and its Subsidiaries, together with any capitalized interest thereon; and</w:t>
      </w:r>
    </w:p>
    <w:p>
      <w:pPr>
        <w:spacing w:after="0" w:line="142" w:lineRule="exact"/>
        <w:rPr>
          <w:rFonts w:ascii="Times New Roman" w:cs="Times New Roman" w:eastAsia="Times New Roman" w:hAnsi="Times New Roman"/>
          <w:sz w:val="20"/>
          <w:szCs w:val="20"/>
          <w:color w:val="auto"/>
        </w:rPr>
      </w:pPr>
    </w:p>
    <w:p>
      <w:pPr>
        <w:jc w:val="both"/>
        <w:ind w:left="540" w:firstLine="1219"/>
        <w:spacing w:after="0" w:line="234" w:lineRule="auto"/>
        <w:tabs>
          <w:tab w:leader="none" w:pos="2444"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Investments by Loan Parties in or to (including a Guaranty by the Loan Parties of Indebtedness of) Subsidiaries that are not Loan Parties made in the ordinary course of business, so long as the aggregate amount of all such Investments does not exceed $40,000,000;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324" w:right="339" w:bottom="1440" w:gutter="0" w:footer="0" w:header="0"/>
        </w:sectPr>
      </w:pPr>
    </w:p>
    <w:bookmarkStart w:id="270" w:name="page271"/>
    <w:bookmarkEnd w:id="270"/>
    <w:p>
      <w:pPr>
        <w:jc w:val="both"/>
        <w:ind w:firstLine="1224"/>
        <w:spacing w:after="0" w:line="234" w:lineRule="auto"/>
        <w:tabs>
          <w:tab w:leader="none" w:pos="1831"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or advances to employees, officers or directors of the Borrower or any of its Subsidiaries in the ordinary course of business for travel, relocation and related expenses or advances on commissions;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all such loans and advances does not exceed $10,000,000 at any time outstanding;</w:t>
      </w:r>
    </w:p>
    <w:p>
      <w:pPr>
        <w:spacing w:after="0" w:line="142" w:lineRule="exact"/>
        <w:rPr>
          <w:rFonts w:ascii="Times New Roman" w:cs="Times New Roman" w:eastAsia="Times New Roman" w:hAnsi="Times New Roman"/>
          <w:sz w:val="20"/>
          <w:szCs w:val="20"/>
          <w:color w:val="auto"/>
        </w:rPr>
      </w:pPr>
    </w:p>
    <w:p>
      <w:pPr>
        <w:ind w:firstLine="1224"/>
        <w:spacing w:after="0" w:line="249" w:lineRule="auto"/>
        <w:tabs>
          <w:tab w:leader="none" w:pos="183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to employees, officers and directors of the Borrower or any of its Subsidiaries the proceeds of which are used to purchase Equity Interests of the Borrower;</w:t>
      </w:r>
    </w:p>
    <w:p>
      <w:pPr>
        <w:spacing w:after="0" w:line="134"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or advances made to employees, officers or directors of the Borrower or any of its Subsidiaries made as a contribution to a 401(k) plan or pursuant to an employee stock purchase plan, other employee benefit plan, or officer and director equity purchase plan, in a manner and in amounts consistent with past business practices of the Borrower and its Subsidiaries;</w:t>
      </w:r>
    </w:p>
    <w:p>
      <w:pPr>
        <w:spacing w:after="0" w:line="142"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form of (i) Equity Interests received in satisfaction or partial satisfaction of accounts receivable owed by financially troubled account debtors, and (ii) constituting deposits, prepayments and other credits to suppliers made in the ordinary course of business consistent with the past business practices of the Borrower and its Subsidiaries;</w:t>
      </w:r>
    </w:p>
    <w:p>
      <w:pPr>
        <w:spacing w:after="0" w:line="142" w:lineRule="exact"/>
        <w:rPr>
          <w:rFonts w:ascii="Times New Roman" w:cs="Times New Roman" w:eastAsia="Times New Roman" w:hAnsi="Times New Roman"/>
          <w:sz w:val="20"/>
          <w:szCs w:val="20"/>
          <w:color w:val="auto"/>
        </w:rPr>
      </w:pPr>
    </w:p>
    <w:p>
      <w:pPr>
        <w:ind w:left="1820" w:hanging="596"/>
        <w:spacing w:after="0"/>
        <w:tabs>
          <w:tab w:leader="none" w:pos="182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Rate Hedges permitted by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[Interest Rate Hedge];</w:t>
      </w:r>
    </w:p>
    <w:p>
      <w:pPr>
        <w:spacing w:after="0" w:line="177" w:lineRule="exact"/>
        <w:rPr>
          <w:rFonts w:ascii="Times New Roman" w:cs="Times New Roman" w:eastAsia="Times New Roman" w:hAnsi="Times New Roman"/>
          <w:sz w:val="20"/>
          <w:szCs w:val="20"/>
          <w:color w:val="auto"/>
        </w:rPr>
      </w:pPr>
    </w:p>
    <w:p>
      <w:pPr>
        <w:ind w:left="1820" w:hanging="596"/>
        <w:spacing w:after="0"/>
        <w:tabs>
          <w:tab w:leader="none" w:pos="182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Prometheus Energetics Joint Venture;</w:t>
      </w:r>
    </w:p>
    <w:p>
      <w:pPr>
        <w:spacing w:after="0" w:line="177"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connection with the Orbit Acquisition not to exceed $360,000,000;</w:t>
      </w:r>
    </w:p>
    <w:p>
      <w:pPr>
        <w:spacing w:after="0" w:line="177" w:lineRule="exact"/>
        <w:rPr>
          <w:rFonts w:ascii="Times New Roman" w:cs="Times New Roman" w:eastAsia="Times New Roman" w:hAnsi="Times New Roman"/>
          <w:sz w:val="20"/>
          <w:szCs w:val="20"/>
          <w:color w:val="auto"/>
        </w:rPr>
      </w:pPr>
    </w:p>
    <w:p>
      <w:pPr>
        <w:ind w:firstLine="1224"/>
        <w:spacing w:after="0" w:line="249" w:lineRule="auto"/>
        <w:tabs>
          <w:tab w:leader="none" w:pos="1822"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any Loan Party in or to any other Joint Ventures in the aggregate not to exceed the greater of $67,500,000 and (ii) 50% of Consolidated EBITDA;</w:t>
      </w:r>
    </w:p>
    <w:p>
      <w:pPr>
        <w:spacing w:after="0" w:line="134" w:lineRule="exact"/>
        <w:rPr>
          <w:rFonts w:ascii="Times New Roman" w:cs="Times New Roman" w:eastAsia="Times New Roman" w:hAnsi="Times New Roman"/>
          <w:sz w:val="20"/>
          <w:szCs w:val="20"/>
          <w:color w:val="auto"/>
        </w:rPr>
      </w:pPr>
    </w:p>
    <w:p>
      <w:pPr>
        <w:ind w:left="1820" w:hanging="596"/>
        <w:spacing w:after="0"/>
        <w:tabs>
          <w:tab w:leader="none" w:pos="182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177"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which in the aggregate do not exceed the greater of (i) $67,500,000 and (ii) 50% of Consolidated EBITDA; and</w:t>
      </w:r>
    </w:p>
    <w:p>
      <w:pPr>
        <w:spacing w:after="0" w:line="134"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Investment and after giving effect thereto, (i) no Event of Default shall have occurred and be continuing and (ii) the Total Net Leverage Ratio for the most recently ended Measurement Period, calculated on a Pro Forma Basis, is not greater than 3.50 to 1.00.</w:t>
      </w:r>
    </w:p>
    <w:p>
      <w:pPr>
        <w:spacing w:after="0" w:line="142" w:lineRule="exact"/>
        <w:rPr>
          <w:sz w:val="20"/>
          <w:szCs w:val="20"/>
          <w:color w:val="auto"/>
        </w:rPr>
      </w:pPr>
    </w:p>
    <w:p>
      <w:pPr>
        <w:ind w:firstLine="611"/>
        <w:spacing w:after="0" w:line="224" w:lineRule="auto"/>
        <w:rPr>
          <w:sz w:val="20"/>
          <w:szCs w:val="20"/>
          <w:color w:val="auto"/>
        </w:rPr>
      </w:pPr>
      <w:r>
        <w:rPr>
          <w:rFonts w:ascii="Times New Roman" w:cs="Times New Roman" w:eastAsia="Times New Roman" w:hAnsi="Times New Roman"/>
          <w:sz w:val="20"/>
          <w:szCs w:val="20"/>
          <w:color w:val="auto"/>
        </w:rPr>
        <w:t xml:space="preserve">252.5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The Borrower will not, and will not permit any of its Subsidiaries to, declare or make, or agree to pay or make, directly or indirectly, any Restricted Payment, except:</w:t>
      </w:r>
    </w:p>
    <w:p>
      <w:pPr>
        <w:ind w:left="1840" w:hanging="616"/>
        <w:spacing w:after="0"/>
        <w:tabs>
          <w:tab w:leader="none" w:pos="184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payable by the Borrower solely in interests of any class of its common equity;</w:t>
      </w:r>
    </w:p>
    <w:p>
      <w:pPr>
        <w:spacing w:after="0" w:line="155" w:lineRule="exact"/>
        <w:rPr>
          <w:rFonts w:ascii="Times New Roman" w:cs="Times New Roman" w:eastAsia="Times New Roman" w:hAnsi="Times New Roman"/>
          <w:sz w:val="20"/>
          <w:szCs w:val="20"/>
          <w:color w:val="auto"/>
        </w:rPr>
      </w:pPr>
    </w:p>
    <w:p>
      <w:pPr>
        <w:jc w:val="both"/>
        <w:ind w:firstLine="1224"/>
        <w:spacing w:after="0"/>
        <w:tabs>
          <w:tab w:leader="none" w:pos="1829"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made by any Subsidiary to the Borrower or to another Subsidiary, on at least a pro rata basis with any other shareholders if such Subsidiary is not wholly owned by the Borrower and other wholly owned Subsidiaries of the Borrower;</w:t>
      </w:r>
    </w:p>
    <w:p>
      <w:pPr>
        <w:spacing w:after="0" w:line="351" w:lineRule="exact"/>
        <w:rPr>
          <w:sz w:val="20"/>
          <w:szCs w:val="20"/>
          <w:color w:val="auto"/>
        </w:rPr>
      </w:pPr>
    </w:p>
    <w:p>
      <w:pPr>
        <w:jc w:val="both"/>
        <w:ind w:left="1220"/>
        <w:spacing w:after="0"/>
        <w:tabs>
          <w:tab w:leader="none" w:pos="182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other Restricted Payments made by the Borrower, which in the aggregate do not exceed the greater of</w:t>
      </w:r>
    </w:p>
    <w:p>
      <w:pPr>
        <w:ind w:firstLine="2"/>
        <w:spacing w:after="0" w:line="233" w:lineRule="auto"/>
        <w:tabs>
          <w:tab w:leader="none" w:pos="267"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$37,500,000 and (ii) 25% of Consolidated EBITDA;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Restricted Payment and after giving effect thereto, no Event of Default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324" w:right="339" w:bottom="1440" w:gutter="0" w:footer="0" w:header="0"/>
        </w:sectPr>
      </w:pPr>
    </w:p>
    <w:bookmarkStart w:id="271" w:name="page272"/>
    <w:bookmarkEnd w:id="271"/>
    <w:p>
      <w:pPr>
        <w:jc w:val="both"/>
        <w:ind w:firstLine="1224"/>
        <w:spacing w:after="0" w:line="234" w:lineRule="auto"/>
        <w:tabs>
          <w:tab w:leader="none" w:pos="1829"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Restricted Payments made by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Restricted Payment and after giving effect thereto, (i) no Event of Default shall have occurred and be continuing and (ii) the Total Net Leverage Ratio for the most recently ended Measurement Period, calculated on a Pro Forma Basis, is not greater than 3.25 to 1.00; and</w:t>
      </w:r>
    </w:p>
    <w:p>
      <w:pPr>
        <w:spacing w:after="0" w:line="138"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required pursuant to the terms of the Nomad Loan Agreement, as in effect as of the date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hereof.</w:t>
      </w:r>
    </w:p>
    <w:p>
      <w:pPr>
        <w:spacing w:after="0" w:line="156" w:lineRule="exact"/>
        <w:rPr>
          <w:sz w:val="20"/>
          <w:szCs w:val="20"/>
          <w:color w:val="auto"/>
        </w:rPr>
      </w:pPr>
    </w:p>
    <w:p>
      <w:pPr>
        <w:jc w:val="both"/>
        <w:ind w:firstLine="611"/>
        <w:spacing w:after="0" w:line="218" w:lineRule="auto"/>
        <w:rPr>
          <w:sz w:val="20"/>
          <w:szCs w:val="20"/>
          <w:color w:val="auto"/>
        </w:rPr>
      </w:pPr>
      <w:r>
        <w:rPr>
          <w:rFonts w:ascii="Times New Roman" w:cs="Times New Roman" w:eastAsia="Times New Roman" w:hAnsi="Times New Roman"/>
          <w:sz w:val="20"/>
          <w:szCs w:val="20"/>
          <w:color w:val="auto"/>
        </w:rPr>
        <w:t xml:space="preserve">252.6 </w:t>
      </w:r>
      <w:r>
        <w:rPr>
          <w:rFonts w:ascii="Times New Roman" w:cs="Times New Roman" w:eastAsia="Times New Roman" w:hAnsi="Times New Roman"/>
          <w:sz w:val="20"/>
          <w:szCs w:val="20"/>
          <w:u w:val="single" w:color="auto"/>
          <w:color w:val="auto"/>
        </w:rPr>
        <w:t>Sale of Assets</w:t>
      </w:r>
      <w:r>
        <w:rPr>
          <w:rFonts w:ascii="Times New Roman" w:cs="Times New Roman" w:eastAsia="Times New Roman" w:hAnsi="Times New Roman"/>
          <w:sz w:val="20"/>
          <w:szCs w:val="20"/>
          <w:color w:val="auto"/>
        </w:rPr>
        <w:t>. The Borrower will not, and will not permit any of its Subsidiaries to, convey, sell, lease, assign, transfer or otherwise dispose of any of its assets, business or property or, in the case of any Subsidiary, any shares of such Subsidiary’s Equity Interests, in each case whether now owned or hereafter acquired, to any Person other than the Borrower or a Guarantor (or to qualify directors if required by applicable law), except:</w:t>
      </w:r>
    </w:p>
    <w:p>
      <w:pPr>
        <w:spacing w:after="0" w:line="1" w:lineRule="exact"/>
        <w:rPr>
          <w:sz w:val="20"/>
          <w:szCs w:val="20"/>
          <w:color w:val="auto"/>
        </w:rPr>
      </w:pPr>
    </w:p>
    <w:p>
      <w:pPr>
        <w:ind w:firstLine="1224"/>
        <w:spacing w:after="0" w:line="233" w:lineRule="auto"/>
        <w:tabs>
          <w:tab w:leader="none" w:pos="1831"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for fair market value of obsolete or worn out property or other property not necessary for operations disposed of in the ordinary course of business;</w:t>
      </w:r>
    </w:p>
    <w:p>
      <w:pPr>
        <w:spacing w:after="0" w:line="142"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inventory and Permitted Investments in the ordinary course of business; and</w:t>
      </w:r>
    </w:p>
    <w:p>
      <w:pPr>
        <w:spacing w:after="0" w:line="177"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31"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Potential Default or Event of Default has occurred and is continuing or would result therefrom, the sale or other disposition of such assets for fair market value in an aggregate amount not to exceed $70,000,000;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proceeds of such sales shall be at least 75% in cash.</w:t>
      </w:r>
    </w:p>
    <w:p>
      <w:pPr>
        <w:spacing w:after="0" w:line="142" w:lineRule="exact"/>
        <w:rPr>
          <w:sz w:val="20"/>
          <w:szCs w:val="20"/>
          <w:color w:val="auto"/>
        </w:rPr>
      </w:pPr>
    </w:p>
    <w:p>
      <w:pPr>
        <w:jc w:val="both"/>
        <w:ind w:firstLine="611"/>
        <w:spacing w:after="0" w:line="220" w:lineRule="auto"/>
        <w:rPr>
          <w:sz w:val="20"/>
          <w:szCs w:val="20"/>
          <w:color w:val="auto"/>
        </w:rPr>
      </w:pPr>
      <w:r>
        <w:rPr>
          <w:rFonts w:ascii="Times New Roman" w:cs="Times New Roman" w:eastAsia="Times New Roman" w:hAnsi="Times New Roman"/>
          <w:sz w:val="20"/>
          <w:szCs w:val="20"/>
          <w:color w:val="auto"/>
        </w:rPr>
        <w:t xml:space="preserve">252.7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The Borrower will not, and will not permit any of its Subsidiaries to, sell, lease or otherwise transfer any or assets to, or purchase, lease or otherwise acquire any property or assets from, or otherwise engage in any other transactions with, any of its Affiliates, except:</w:t>
      </w:r>
    </w:p>
    <w:p>
      <w:pPr>
        <w:spacing w:after="0" w:line="1" w:lineRule="exact"/>
        <w:rPr>
          <w:sz w:val="20"/>
          <w:szCs w:val="20"/>
          <w:color w:val="auto"/>
        </w:rPr>
      </w:pPr>
    </w:p>
    <w:p>
      <w:pPr>
        <w:ind w:firstLine="1224"/>
        <w:spacing w:after="0" w:line="233" w:lineRule="auto"/>
        <w:tabs>
          <w:tab w:leader="none" w:pos="1831"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ordinary course of business at prices and on terms and conditions not less favorable to the Borrower or such Subsidiary than could be obtained on an arm’s-length basis from unrelated third parties;</w:t>
      </w:r>
    </w:p>
    <w:p>
      <w:pPr>
        <w:spacing w:after="0" w:line="142" w:lineRule="exact"/>
        <w:rPr>
          <w:rFonts w:ascii="Times New Roman" w:cs="Times New Roman" w:eastAsia="Times New Roman" w:hAnsi="Times New Roman"/>
          <w:sz w:val="20"/>
          <w:szCs w:val="20"/>
          <w:color w:val="auto"/>
        </w:rPr>
      </w:pPr>
    </w:p>
    <w:p>
      <w:pPr>
        <w:ind w:firstLine="1224"/>
        <w:spacing w:after="0" w:line="249" w:lineRule="auto"/>
        <w:tabs>
          <w:tab w:leader="none" w:pos="182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the Borrower and any Guarantor or between or among Guarantors, in each case not involving any other Affiliates;</w:t>
      </w:r>
    </w:p>
    <w:p>
      <w:pPr>
        <w:spacing w:after="0" w:line="134"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Subsidiaries that are not Loan Parties; and</w:t>
      </w:r>
    </w:p>
    <w:p>
      <w:pPr>
        <w:spacing w:after="0" w:line="177"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Payment permitted by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xml:space="preserve"> [Restricted Payments].</w:t>
      </w:r>
    </w:p>
    <w:p>
      <w:pPr>
        <w:spacing w:after="0" w:line="178" w:lineRule="exact"/>
        <w:rPr>
          <w:sz w:val="20"/>
          <w:szCs w:val="20"/>
          <w:color w:val="auto"/>
        </w:rPr>
      </w:pPr>
    </w:p>
    <w:p>
      <w:pPr>
        <w:jc w:val="both"/>
        <w:ind w:firstLine="611"/>
        <w:spacing w:after="0" w:line="220" w:lineRule="auto"/>
        <w:rPr>
          <w:sz w:val="20"/>
          <w:szCs w:val="20"/>
          <w:color w:val="auto"/>
        </w:rPr>
      </w:pPr>
      <w:r>
        <w:rPr>
          <w:rFonts w:ascii="Times New Roman" w:cs="Times New Roman" w:eastAsia="Times New Roman" w:hAnsi="Times New Roman"/>
          <w:sz w:val="20"/>
          <w:szCs w:val="20"/>
          <w:color w:val="auto"/>
        </w:rPr>
        <w:t xml:space="preserve">252.8 </w:t>
      </w:r>
      <w:r>
        <w:rPr>
          <w:rFonts w:ascii="Times New Roman" w:cs="Times New Roman" w:eastAsia="Times New Roman" w:hAnsi="Times New Roman"/>
          <w:sz w:val="20"/>
          <w:szCs w:val="20"/>
          <w:u w:val="single" w:color="auto"/>
          <w:color w:val="auto"/>
        </w:rPr>
        <w:t>Restrictive Agreements</w:t>
      </w:r>
      <w:r>
        <w:rPr>
          <w:rFonts w:ascii="Times New Roman" w:cs="Times New Roman" w:eastAsia="Times New Roman" w:hAnsi="Times New Roman"/>
          <w:sz w:val="20"/>
          <w:szCs w:val="20"/>
          <w:color w:val="auto"/>
        </w:rPr>
        <w:t>. The Borrower will not, and will not permit any of its Subsidiaries to, directly or indirectly, enter into, incur or permit to exist any agreement that prohibits, restricts or imposes any condition upon (a) the ability of the Borrower or any of its Subsidiaries to create, incur or permit any Lien upon any of its assets or properties, whether now owned or hereafter acquired, or</w:t>
      </w:r>
    </w:p>
    <w:p>
      <w:pPr>
        <w:spacing w:after="0" w:line="1" w:lineRule="exact"/>
        <w:rPr>
          <w:sz w:val="20"/>
          <w:szCs w:val="20"/>
          <w:color w:val="auto"/>
        </w:rPr>
      </w:pPr>
    </w:p>
    <w:p>
      <w:pPr>
        <w:jc w:val="both"/>
        <w:ind w:firstLine="2"/>
        <w:spacing w:after="0" w:line="218" w:lineRule="auto"/>
        <w:tabs>
          <w:tab w:leader="none" w:pos="293"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ability of any of its Subsidiaries to pay dividends or other distributions with respect to its Equity Interests, to make or repay loans or advances to the Borrower or any other Subsidiary thereof, to Guaranty Indebtedness of the Borrower or any other Subsidiary thereof or to transfer any of its property or assets to the Borrower or any other Subsidiary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foregoing shall not apply to restrictions or conditions imposed by law or by this Agreement or any other Loan Document, (ii) the foregoing shall not apply to customary restrictions and conditions contained in agreements relating to the sale of a Subsidiary pending such sale,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restrictions and conditions apply only to the Subsidiary that is sold and such sale is permitted hereunder, (iii) clause (a) shall not apply to restrictions or conditions imposed by any agreement relating to secured Indebtedness permitted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324" w:right="339" w:bottom="1440" w:gutter="0" w:footer="0" w:header="0"/>
        </w:sectPr>
      </w:pPr>
    </w:p>
    <w:bookmarkStart w:id="272" w:name="page273"/>
    <w:bookmarkEnd w:id="272"/>
    <w:p>
      <w:pPr>
        <w:spacing w:after="0" w:line="224" w:lineRule="auto"/>
        <w:rPr>
          <w:sz w:val="20"/>
          <w:szCs w:val="20"/>
          <w:color w:val="auto"/>
        </w:rPr>
      </w:pPr>
      <w:r>
        <w:rPr>
          <w:rFonts w:ascii="Times New Roman" w:cs="Times New Roman" w:eastAsia="Times New Roman" w:hAnsi="Times New Roman"/>
          <w:sz w:val="20"/>
          <w:szCs w:val="20"/>
          <w:color w:val="auto"/>
        </w:rPr>
        <w:t>by this Agreement if such restrictions and conditions apply only to the property or assets securing such Indebtedness and (iv) clause (a) shall not apply to customary provisions in leases and other contracts restricting the assignment thereof.</w:t>
      </w: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252.9 </w:t>
      </w:r>
      <w:r>
        <w:rPr>
          <w:rFonts w:ascii="Times New Roman" w:cs="Times New Roman" w:eastAsia="Times New Roman" w:hAnsi="Times New Roman"/>
          <w:sz w:val="20"/>
          <w:szCs w:val="20"/>
          <w:u w:val="single" w:color="auto"/>
          <w:color w:val="auto"/>
        </w:rPr>
        <w:t>Sale and Leaseback Transactions</w:t>
      </w:r>
      <w:r>
        <w:rPr>
          <w:rFonts w:ascii="Times New Roman" w:cs="Times New Roman" w:eastAsia="Times New Roman" w:hAnsi="Times New Roman"/>
          <w:sz w:val="20"/>
          <w:szCs w:val="20"/>
          <w:color w:val="auto"/>
        </w:rPr>
        <w:t>. The Borrower will not, and will not permit any of its Subsidiaries to, enter into any arrangement, directly or indirectly, whereby it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(each, a “</w:t>
      </w:r>
      <w:r>
        <w:rPr>
          <w:rFonts w:ascii="Times New Roman" w:cs="Times New Roman" w:eastAsia="Times New Roman" w:hAnsi="Times New Roman"/>
          <w:sz w:val="20"/>
          <w:szCs w:val="20"/>
          <w:u w:val="single" w:color="auto"/>
          <w:color w:val="auto"/>
        </w:rPr>
        <w:t>Sale/Leaseback Transaction</w:t>
      </w:r>
      <w:r>
        <w:rPr>
          <w:rFonts w:ascii="Times New Roman" w:cs="Times New Roman" w:eastAsia="Times New Roman" w:hAnsi="Times New Roman"/>
          <w:sz w:val="20"/>
          <w:szCs w:val="20"/>
          <w:color w:val="auto"/>
        </w:rPr>
        <w:t xml:space="preserve">”), unless at the time such Sale/Leaseback Transaction is entered into (a) no Potential Default or Event of Default has occurred and is continuing or would result therefrom, (b) after giving pro forma effect to such Sale/Leaseback Transaction, the Borrower is in compliance with the financial covenants set forth in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xml:space="preserve"> [Total Net Leverage Ratio] and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[Interest Coverage Ratio]and (c) the Borrower has delivered a certificate to the Administrative Agent certifying the conditions set forth in clauses (a) and (b) and setting forth in reasonable detail calculations demonstrating pro forma compliance with the financial covenants set forth in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xml:space="preserve"> [Total Net Leverage Ratio] and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[Interest Coverage Ratio].</w:t>
      </w:r>
    </w:p>
    <w:p>
      <w:pPr>
        <w:spacing w:after="0" w:line="6"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252.10 </w:t>
      </w:r>
      <w:r>
        <w:rPr>
          <w:rFonts w:ascii="Times New Roman" w:cs="Times New Roman" w:eastAsia="Times New Roman" w:hAnsi="Times New Roman"/>
          <w:sz w:val="20"/>
          <w:szCs w:val="20"/>
          <w:u w:val="single" w:color="auto"/>
          <w:color w:val="auto"/>
        </w:rPr>
        <w:t>Interest Rate Hedge</w:t>
      </w:r>
      <w:r>
        <w:rPr>
          <w:rFonts w:ascii="Times New Roman" w:cs="Times New Roman" w:eastAsia="Times New Roman" w:hAnsi="Times New Roman"/>
          <w:sz w:val="20"/>
          <w:szCs w:val="20"/>
          <w:color w:val="auto"/>
        </w:rPr>
        <w:t>. The Borrower will not, and will not permit any of its Subsidiaries to, enter into any Interest Rate Hedge, other than Interest Rate Hedges entered into in the ordinary course of business to hedge or mitigate risks to which the Borrower or any of its Subsidiaries is exposed in the conduct of its business or the management of its liabilities. Solely for the avoidance of doubt, the Borrower acknowledges that an Interest Rate Hedge entered into for speculative purposes or of a speculative nature (which shall be deemed to include any Interest Rate Hedge under which the Borrower or any of its Subsidiaries is or may become obliged to make any payment (i) in connection with the purchase by any third party of any Equity Interests or any Indebtedness or (ii) as a result of changes in the market value of any Equity Interests or any Indebtedness) is not an Interest Rate Hedge entered into in the ordinary course of business to hedge or mitigate risks.</w:t>
      </w:r>
    </w:p>
    <w:p>
      <w:pPr>
        <w:spacing w:after="0" w:line="5"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252.11 </w:t>
      </w:r>
      <w:r>
        <w:rPr>
          <w:rFonts w:ascii="Times New Roman" w:cs="Times New Roman" w:eastAsia="Times New Roman" w:hAnsi="Times New Roman"/>
          <w:sz w:val="20"/>
          <w:szCs w:val="20"/>
          <w:u w:val="single" w:color="auto"/>
          <w:color w:val="auto"/>
        </w:rPr>
        <w:t>Amendment to Organizational Documents</w:t>
      </w:r>
      <w:r>
        <w:rPr>
          <w:rFonts w:ascii="Times New Roman" w:cs="Times New Roman" w:eastAsia="Times New Roman" w:hAnsi="Times New Roman"/>
          <w:sz w:val="20"/>
          <w:szCs w:val="20"/>
          <w:color w:val="auto"/>
        </w:rPr>
        <w:t>. The Borrower will not, and will not permit any of its Subsidiaries to, amend, modify or waive any of its rights under its certificate of incorporation, bylaws or other organizational documents, except in any manner that would not have an adverse effect on the Lenders, the Administrative Agent, the Borrower or any of its Subsidiaries.</w:t>
      </w:r>
    </w:p>
    <w:p>
      <w:pPr>
        <w:spacing w:after="0" w:line="2"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252.12 </w:t>
      </w:r>
      <w:r>
        <w:rPr>
          <w:rFonts w:ascii="Times New Roman" w:cs="Times New Roman" w:eastAsia="Times New Roman" w:hAnsi="Times New Roman"/>
          <w:sz w:val="20"/>
          <w:szCs w:val="20"/>
          <w:u w:val="single" w:color="auto"/>
          <w:color w:val="auto"/>
        </w:rPr>
        <w:t>Real Property; Negative Pledge; Limitation on Certain Restrictive Agreements</w:t>
      </w:r>
      <w:r>
        <w:rPr>
          <w:rFonts w:ascii="Times New Roman" w:cs="Times New Roman" w:eastAsia="Times New Roman" w:hAnsi="Times New Roman"/>
          <w:sz w:val="20"/>
          <w:szCs w:val="20"/>
          <w:color w:val="auto"/>
        </w:rPr>
        <w:t>. No Loan Party will, nor will any Loan Party permit any of its Subsidiaries to, directly or indirectly, (a) enter into, incur or permit to exist or become effective, any pledge, covenant or other agreement or arrangement that creates, incurs or suffers to exist any Lien upon any of its owned or leased Real Property, fixed assets or capitalized leases, except for any pledge in favor of the Administrative Agent or as required by applicable Law, or (b) enter into, incur or permit to exist or become effective, any “negative pledge” covenant or other agreement, restriction or arrangement that prohibits, restricts or imposes any condition upon (i) the ability of any Loan Party or any of their respective Subsidiaries to create, incur or suffer to exist any Lien upon any of its property or assets (including for the avoidance of doubt all owned or leased Real Property, fixed assets or capitalized leases) as security for the Obligations or (ii) the ability of any such Loan Party or any such Subsidiary to transfer any of its property or assets to any Loan Party or any Subsidiary.</w:t>
      </w:r>
    </w:p>
    <w:p>
      <w:pPr>
        <w:spacing w:after="0" w:line="5"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252.13 </w:t>
      </w:r>
      <w:r>
        <w:rPr>
          <w:rFonts w:ascii="Times New Roman" w:cs="Times New Roman" w:eastAsia="Times New Roman" w:hAnsi="Times New Roman"/>
          <w:sz w:val="20"/>
          <w:szCs w:val="20"/>
          <w:u w:val="single" w:color="auto"/>
          <w:color w:val="auto"/>
        </w:rPr>
        <w:t>Accounting Changes</w:t>
      </w:r>
      <w:r>
        <w:rPr>
          <w:rFonts w:ascii="Times New Roman" w:cs="Times New Roman" w:eastAsia="Times New Roman" w:hAnsi="Times New Roman"/>
          <w:sz w:val="20"/>
          <w:szCs w:val="20"/>
          <w:color w:val="auto"/>
        </w:rPr>
        <w:t xml:space="preserve">. The Borrower will not, and will not permit any of its Subsidiaries to, make any significant in accounting treatment or reporting practices, except as required by GAAP (but subject to the provisions of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[Accounting Principles; Changes in GAAP]), or change the fiscal year of the Borrower or of any of its Subsidiaries, except to change the fiscal year of a Subsidiary to conform its fiscal year to that of the Borrower.</w:t>
      </w:r>
    </w:p>
    <w:p>
      <w:pPr>
        <w:spacing w:after="0" w:line="2"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252.14 </w:t>
      </w:r>
      <w:r>
        <w:rPr>
          <w:rFonts w:ascii="Times New Roman" w:cs="Times New Roman" w:eastAsia="Times New Roman" w:hAnsi="Times New Roman"/>
          <w:sz w:val="20"/>
          <w:szCs w:val="20"/>
          <w:u w:val="single" w:color="auto"/>
          <w:color w:val="auto"/>
        </w:rPr>
        <w:t>No Plan Assets</w:t>
      </w:r>
      <w:r>
        <w:rPr>
          <w:rFonts w:ascii="Times New Roman" w:cs="Times New Roman" w:eastAsia="Times New Roman" w:hAnsi="Times New Roman"/>
          <w:sz w:val="20"/>
          <w:szCs w:val="20"/>
          <w:color w:val="auto"/>
        </w:rPr>
        <w:t>. No Loan Party will hold “plan assets” within the meaning of 29 C.F.R. 2510.3-101, as modified by Section 3(42) of ERISA.</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252.15 Anti-Corruption Laws; Anti-Money Laundering Laws; and International Trade Laws; Outbound Investment Rule.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324" w:right="339" w:bottom="1440" w:gutter="0" w:footer="0" w:header="0"/>
        </w:sectPr>
      </w:pPr>
    </w:p>
    <w:bookmarkStart w:id="273" w:name="page274"/>
    <w:bookmarkEnd w:id="273"/>
    <w:p>
      <w:pPr>
        <w:jc w:val="both"/>
        <w:ind w:firstLine="1224"/>
        <w:spacing w:after="0" w:line="216" w:lineRule="auto"/>
        <w:tabs>
          <w:tab w:leader="none" w:pos="1831"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Covered Entity shall, nor shall such Covered Entity permit any of its or their respective directors, officers, employees, agents, or affiliates acting on its or their behalf in connection with this Agreement to: (i) become a Sanctioned Person; (ii) directly or indirectly, provide, lend, contribute, use, or make available the proceeds of any Loan hereunder (A) to fund any activities or business of, with, or for the benefit of any Person that, at the time of such funding or facilitation, is a Sanctioned Person, (B) to fund or facilitate any activities or business of or in any Sanctioned Jurisdiction, (C) in furtherance of an offer, payment, promise to pay or authorization of the payment or giving of money or anything else of value to any Person in violation of applicable Anti-Corruption Laws,</w:t>
      </w:r>
    </w:p>
    <w:p>
      <w:pPr>
        <w:spacing w:after="0" w:line="2" w:lineRule="exact"/>
        <w:rPr>
          <w:rFonts w:ascii="Times New Roman" w:cs="Times New Roman" w:eastAsia="Times New Roman" w:hAnsi="Times New Roman"/>
          <w:sz w:val="20"/>
          <w:szCs w:val="20"/>
          <w:color w:val="auto"/>
        </w:rPr>
      </w:pPr>
    </w:p>
    <w:p>
      <w:pPr>
        <w:jc w:val="both"/>
        <w:ind w:firstLine="2"/>
        <w:spacing w:after="0" w:line="220" w:lineRule="auto"/>
        <w:tabs>
          <w:tab w:leader="none" w:pos="342"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manner that could result in a violation by any Person (including the Administrative Agent, any lead arranger, Issuing Lender, any Lender, underwriter, advisor, investor, or otherwise) of Anti-Corruption Law, Anti-Money Laundering, or International Trade Laws or cause any Person to become a Sanctioned Person or (E) in violation of any applicable Law, including any applicable Anti-Corruption Law, Anti-Money Laundering Law or International Trade Law; (iii) repay the Loan with Blocked Property or funds derived from any unlawful activity; or (iv) knowingly permit any Collateral to become Blocked Property.</w:t>
      </w:r>
    </w:p>
    <w:p>
      <w:pPr>
        <w:spacing w:after="0" w:line="146" w:lineRule="exact"/>
        <w:rPr>
          <w:rFonts w:ascii="Times New Roman" w:cs="Times New Roman" w:eastAsia="Times New Roman" w:hAnsi="Times New Roman"/>
          <w:sz w:val="20"/>
          <w:szCs w:val="20"/>
          <w:color w:val="auto"/>
        </w:rPr>
      </w:pPr>
    </w:p>
    <w:p>
      <w:pPr>
        <w:jc w:val="both"/>
        <w:ind w:firstLine="1224"/>
        <w:spacing w:after="0" w:line="218" w:lineRule="auto"/>
        <w:tabs>
          <w:tab w:leader="none" w:pos="1829"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Covered Entities and its subsidiaries will not (i) be or become a “covered foreign person”, as that term is defined in the Outbound Investment Rules, or (ii) engage,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any Covered Entity were a U.S. Person or</w:t>
      </w:r>
    </w:p>
    <w:p>
      <w:pPr>
        <w:spacing w:after="0" w:line="1" w:lineRule="exact"/>
        <w:rPr>
          <w:rFonts w:ascii="Times New Roman" w:cs="Times New Roman" w:eastAsia="Times New Roman" w:hAnsi="Times New Roman"/>
          <w:sz w:val="20"/>
          <w:szCs w:val="20"/>
          <w:color w:val="auto"/>
        </w:rPr>
      </w:pPr>
    </w:p>
    <w:p>
      <w:pPr>
        <w:jc w:val="both"/>
        <w:ind w:firstLine="2"/>
        <w:spacing w:after="0" w:line="226" w:lineRule="auto"/>
        <w:tabs>
          <w:tab w:leader="none" w:pos="326"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activity that would cause the Administrative Agent and the Lenders to be in violation of the Outbound Investment Rules or cause the Administrative Agent and the Lenders to be legally prohibited by the Outbound Investment Rules from performing under this Agreement</w:t>
      </w:r>
    </w:p>
    <w:p>
      <w:pPr>
        <w:spacing w:after="0" w:line="143" w:lineRule="exact"/>
        <w:rPr>
          <w:sz w:val="20"/>
          <w:szCs w:val="20"/>
          <w:color w:val="auto"/>
        </w:rPr>
      </w:pP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252.16 </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The will maintain as, of the end of each Fiscal Quarter, a Total Net Leverage Ratio of not greater than 4.00:1.00; provided that, at the Borrower’s written election in accordance with the definition of “Material Acquisition”, the maximum permitted Total Net Leverage Ratio set forth above may be increased to 4.25:1.00 (an “</w:t>
      </w:r>
      <w:r>
        <w:rPr>
          <w:rFonts w:ascii="Times New Roman" w:cs="Times New Roman" w:eastAsia="Times New Roman" w:hAnsi="Times New Roman"/>
          <w:sz w:val="20"/>
          <w:szCs w:val="20"/>
          <w:u w:val="single" w:color="auto"/>
          <w:color w:val="auto"/>
        </w:rPr>
        <w:t>Acquisition Step-Up</w:t>
      </w:r>
      <w:r>
        <w:rPr>
          <w:rFonts w:ascii="Times New Roman" w:cs="Times New Roman" w:eastAsia="Times New Roman" w:hAnsi="Times New Roman"/>
          <w:sz w:val="20"/>
          <w:szCs w:val="20"/>
          <w:color w:val="auto"/>
        </w:rPr>
        <w:t>”) for the fiscal quarter in which any such Material Acquisition is consummated, as well as the three succeeding fiscal quarters following such fiscal quarter (such four quarter period, an “</w:t>
      </w:r>
      <w:r>
        <w:rPr>
          <w:rFonts w:ascii="Times New Roman" w:cs="Times New Roman" w:eastAsia="Times New Roman" w:hAnsi="Times New Roman"/>
          <w:sz w:val="20"/>
          <w:szCs w:val="20"/>
          <w:u w:val="single" w:color="auto"/>
          <w:color w:val="auto"/>
        </w:rPr>
        <w:t>Acquisition Step-Up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 following any such Acquisition Step-Up Period, the maximum permitted Total Net Leverage Ratio shall step back down to 4.00:1.00 for at least two consecutive fiscal quarters before the Borrower can elect a subsequent Acquisition Step-Up, and (ii) the Borrower may not elect more than two (2) Acquisition Step-Ups during the term of this Agreement.</w:t>
      </w:r>
    </w:p>
    <w:p>
      <w:pPr>
        <w:spacing w:after="0" w:line="4"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252.17 </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The Borrower will maintain, as of the end of each Fiscal Quarter, an Interest Coverage Ratio of not less than 3.00:1.00.</w:t>
      </w:r>
    </w:p>
    <w:p>
      <w:pPr>
        <w:spacing w:after="0" w:line="1" w:lineRule="exact"/>
        <w:rPr>
          <w:sz w:val="20"/>
          <w:szCs w:val="20"/>
          <w:color w:val="auto"/>
        </w:rPr>
      </w:pPr>
    </w:p>
    <w:p>
      <w:pPr>
        <w:jc w:val="both"/>
        <w:ind w:firstLine="611"/>
        <w:spacing w:after="0" w:line="226" w:lineRule="auto"/>
        <w:rPr>
          <w:sz w:val="20"/>
          <w:szCs w:val="20"/>
          <w:color w:val="auto"/>
        </w:rPr>
      </w:pPr>
      <w:r>
        <w:rPr>
          <w:rFonts w:ascii="Times New Roman" w:cs="Times New Roman" w:eastAsia="Times New Roman" w:hAnsi="Times New Roman"/>
          <w:sz w:val="20"/>
          <w:szCs w:val="20"/>
          <w:color w:val="auto"/>
        </w:rPr>
        <w:t xml:space="preserve">252.18 </w:t>
      </w:r>
      <w:r>
        <w:rPr>
          <w:rFonts w:ascii="Times New Roman" w:cs="Times New Roman" w:eastAsia="Times New Roman" w:hAnsi="Times New Roman"/>
          <w:sz w:val="20"/>
          <w:szCs w:val="20"/>
          <w:u w:val="single" w:color="auto"/>
          <w:color w:val="auto"/>
        </w:rPr>
        <w:t>Amendment to Nomad Loan Agreement</w:t>
      </w:r>
      <w:r>
        <w:rPr>
          <w:rFonts w:ascii="Times New Roman" w:cs="Times New Roman" w:eastAsia="Times New Roman" w:hAnsi="Times New Roman"/>
          <w:sz w:val="20"/>
          <w:szCs w:val="20"/>
          <w:color w:val="auto"/>
        </w:rPr>
        <w:t>. After the Closing Date, Nomad will not enter into any amendment or modification of the Nomad Loan Agreement without the prior written consent of the Administrative Agent, except in any manner that would not have an adverse effect on the Lenders as determined by the Administrative Agent in its reasonable discretion.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253</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DEFAULT</w:t>
      </w:r>
    </w:p>
    <w:p>
      <w:pPr>
        <w:spacing w:after="0" w:line="156" w:lineRule="exact"/>
        <w:rPr>
          <w:sz w:val="20"/>
          <w:szCs w:val="20"/>
          <w:color w:val="auto"/>
        </w:rPr>
      </w:pPr>
    </w:p>
    <w:p>
      <w:pPr>
        <w:jc w:val="both"/>
        <w:ind w:firstLine="611"/>
        <w:spacing w:after="0" w:line="224" w:lineRule="auto"/>
        <w:rPr>
          <w:sz w:val="20"/>
          <w:szCs w:val="20"/>
          <w:color w:val="auto"/>
        </w:rPr>
      </w:pPr>
      <w:r>
        <w:rPr>
          <w:rFonts w:ascii="Times New Roman" w:cs="Times New Roman" w:eastAsia="Times New Roman" w:hAnsi="Times New Roman"/>
          <w:sz w:val="20"/>
          <w:szCs w:val="20"/>
          <w:color w:val="auto"/>
        </w:rPr>
        <w:t xml:space="preserve">253.1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An Event of Default means the occurrence or existence of any one or more of the following events or conditions (whatever the reason therefor and whether voluntary, involuntary or effected by operation of Law):</w:t>
      </w:r>
    </w:p>
    <w:p>
      <w:pPr>
        <w:ind w:firstLine="1224"/>
        <w:spacing w:after="0" w:line="233" w:lineRule="auto"/>
        <w:tabs>
          <w:tab w:leader="none" w:pos="1831"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principal of any Loan or of any reimbursement obligation in respect of any Letter of Credit Borrowing, when and as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324"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20"/>
          <w:szCs w:val="20"/>
          <w:color w:val="auto"/>
        </w:rPr>
        <w:t>shall become due and payable, whether at the due date thereof or at a date fixed for prepayment or otherwise; or</w:t>
      </w:r>
    </w:p>
    <w:p>
      <w:pPr>
        <w:spacing w:after="0" w:line="178" w:lineRule="exact"/>
        <w:rPr>
          <w:sz w:val="20"/>
          <w:szCs w:val="20"/>
          <w:color w:val="auto"/>
        </w:rPr>
      </w:pPr>
    </w:p>
    <w:p>
      <w:pPr>
        <w:jc w:val="both"/>
        <w:ind w:firstLine="1224"/>
        <w:spacing w:after="0" w:line="228" w:lineRule="auto"/>
        <w:tabs>
          <w:tab w:leader="none" w:pos="1829"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interest on any Loan or any fee or any other amount (other than an amount payable under paragraph (a) of this Section or an amount related to any Other Lender Provided Financial Service Products) payable under this Agreement or any other Loan Document, when and as the same shall become due and payable, and such failure shall continue unremedied for a period of five (5) Business Days; or</w:t>
      </w:r>
    </w:p>
    <w:p>
      <w:pPr>
        <w:spacing w:after="0" w:line="144" w:lineRule="exact"/>
        <w:rPr>
          <w:rFonts w:ascii="Times New Roman" w:cs="Times New Roman" w:eastAsia="Times New Roman" w:hAnsi="Times New Roman"/>
          <w:sz w:val="20"/>
          <w:szCs w:val="20"/>
          <w:color w:val="auto"/>
        </w:rPr>
      </w:pPr>
    </w:p>
    <w:p>
      <w:pPr>
        <w:jc w:val="both"/>
        <w:ind w:firstLine="1224"/>
        <w:spacing w:after="0" w:line="221" w:lineRule="auto"/>
        <w:tabs>
          <w:tab w:leader="none" w:pos="1831"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or on behalf of the Borrower or any of its Subsidiaries in or in connection with this Agreement or any other Loan Document (including the Schedules attached hereto and thereto), or in any amendments or modifications hereof or waivers hereunder, or in any certificate, report, financial statement or other document submitted to the Administrative Agent or the Lenders by any Loan Party or any representative of any Loan Party pursuant to or in connection with this Agreement or any other Loan Document shall prove to be incorrect in any material respect (other than any representation or warranty that is expressly qualified by a Material Adverse Effect or other materiality, in which case such representation or warranty shall prove to be incorrect in any respect) when made or deemed made or submitted; or</w:t>
      </w:r>
    </w:p>
    <w:p>
      <w:pPr>
        <w:spacing w:after="0" w:line="147"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fail to observe or perform any covenant or agreement contained in </w:t>
      </w:r>
      <w:r>
        <w:rPr>
          <w:rFonts w:ascii="Times New Roman" w:cs="Times New Roman" w:eastAsia="Times New Roman" w:hAnsi="Times New Roman"/>
          <w:sz w:val="20"/>
          <w:szCs w:val="20"/>
          <w:u w:val="single" w:color="auto"/>
          <w:color w:val="auto"/>
        </w:rPr>
        <w:t>Sections 8.1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(with respect to the Borrower’s legal existence and as provided in </w:t>
      </w:r>
      <w:r>
        <w:rPr>
          <w:rFonts w:ascii="Times New Roman" w:cs="Times New Roman" w:eastAsia="Times New Roman" w:hAnsi="Times New Roman"/>
          <w:sz w:val="20"/>
          <w:szCs w:val="20"/>
          <w:u w:val="single" w:color="auto"/>
          <w:color w:val="auto"/>
        </w:rPr>
        <w:t>Section 8.3(a)(i)</w:t>
      </w:r>
      <w:r>
        <w:rPr>
          <w:rFonts w:ascii="Times New Roman" w:cs="Times New Roman" w:eastAsia="Times New Roman" w:hAnsi="Times New Roman"/>
          <w:sz w:val="20"/>
          <w:szCs w:val="20"/>
          <w:color w:val="auto"/>
        </w:rPr>
        <w:t xml:space="preserve"> (with respect to the occurrence of an Event of Default only), </w:t>
      </w:r>
      <w:r>
        <w:rPr>
          <w:rFonts w:ascii="Times New Roman" w:cs="Times New Roman" w:eastAsia="Times New Roman" w:hAnsi="Times New Roman"/>
          <w:sz w:val="20"/>
          <w:szCs w:val="20"/>
          <w:u w:val="single" w:color="auto"/>
          <w:color w:val="auto"/>
        </w:rPr>
        <w:t>8.3(a)(v)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8.3(a)(ix)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or</w:t>
      </w:r>
    </w:p>
    <w:p>
      <w:pPr>
        <w:spacing w:after="0" w:line="142"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31"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fail to observe or perform any covenant or agreement contained in this Agreement (other than those referred to in the above paragraphs of this Section) or any other Loan Document or related to any Other Lender Provided Financial Service Products, and such failure shall remain unremedied for thirty (30) days after the earlier of (i) any officer of the Borrower becomes aware of such failure, or (ii) notice thereof shall have been given to the Borrower by the Administrative Agent or any Lender; or</w:t>
      </w:r>
    </w:p>
    <w:p>
      <w:pPr>
        <w:spacing w:after="0" w:line="144"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177" w:lineRule="exact"/>
        <w:rPr>
          <w:rFonts w:ascii="Times New Roman" w:cs="Times New Roman" w:eastAsia="Times New Roman" w:hAnsi="Times New Roman"/>
          <w:sz w:val="20"/>
          <w:szCs w:val="20"/>
          <w:color w:val="auto"/>
        </w:rPr>
      </w:pPr>
    </w:p>
    <w:p>
      <w:pPr>
        <w:jc w:val="both"/>
        <w:ind w:firstLine="1224"/>
        <w:spacing w:after="0" w:line="217" w:lineRule="auto"/>
        <w:tabs>
          <w:tab w:leader="none" w:pos="1829"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Borrower or any of its Subsidiaries (whether as primary obligor or as guarantor or other surety) shall fail to pay any principal of, or premium or interest on, any Material Indebtedness (other than any Hedge Liabilities)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any other event shall occur or condition shall exist under any agreement or instrument relating to any Material Indebtedness and shall continue after the applicable grace period, if any, specified in such agreement or instrument, if the effect of such event or condition is to accelerate, or permit the acceleration of, the maturity of such Indebtedness; or any Material Indebtedness shall be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or (ii) there occurs under any Interest Rate Hedge an Early Termination Date (as defined in such Interest Rate Hedge) resulting from (A) any event of default under such Interest Rate Hedge as to which the Borrower or any of its Subsidiaries is the Defaulting Party (as defined in such Interest Rate Hedge) and the Hedge Termination Value owed by the Borrower or such Subsidiary as a result thereof is greater than the Threshold Amount or (B) any Termination Event (as so defined) under such Interest Rate Hedge as to which the Borrower or any Subsidiary is an Affected Party (as so defined)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324" w:right="339" w:bottom="1440" w:gutter="0" w:footer="0" w:header="0"/>
        </w:sectPr>
      </w:pPr>
    </w:p>
    <w:bookmarkStart w:id="275" w:name="page276"/>
    <w:bookmarkEnd w:id="275"/>
    <w:p>
      <w:pPr>
        <w:spacing w:after="0" w:line="249" w:lineRule="auto"/>
        <w:rPr>
          <w:sz w:val="20"/>
          <w:szCs w:val="20"/>
          <w:color w:val="auto"/>
        </w:rPr>
      </w:pPr>
      <w:r>
        <w:rPr>
          <w:rFonts w:ascii="Times New Roman" w:cs="Times New Roman" w:eastAsia="Times New Roman" w:hAnsi="Times New Roman"/>
          <w:sz w:val="20"/>
          <w:szCs w:val="20"/>
          <w:color w:val="auto"/>
        </w:rPr>
        <w:t>Hedge Termination Value owed by the Borrower or such Subsidiary as a result thereof is greater than the Threshold Amount and is not paid; or</w:t>
      </w:r>
    </w:p>
    <w:p>
      <w:pPr>
        <w:spacing w:after="0" w:line="134" w:lineRule="exact"/>
        <w:rPr>
          <w:sz w:val="20"/>
          <w:szCs w:val="20"/>
          <w:color w:val="auto"/>
        </w:rPr>
      </w:pPr>
    </w:p>
    <w:p>
      <w:pPr>
        <w:jc w:val="both"/>
        <w:ind w:firstLine="1224"/>
        <w:spacing w:after="0" w:line="220" w:lineRule="auto"/>
        <w:tabs>
          <w:tab w:leader="none" w:pos="1829"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of its Subsidiaries shall (i)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 (ii) consent to the institution of, or fail to contest in a timely and appropriate manner, any proceeding or petition described in paragraph (i) of this Section, (iii) apply for or consent to the appointment of a custodian, trustee, receiver, liquidator or other similar official for the Borrower or any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spacing w:after="0" w:line="147" w:lineRule="exact"/>
        <w:rPr>
          <w:rFonts w:ascii="Times New Roman" w:cs="Times New Roman" w:eastAsia="Times New Roman" w:hAnsi="Times New Roman"/>
          <w:sz w:val="20"/>
          <w:szCs w:val="20"/>
          <w:color w:val="auto"/>
        </w:rPr>
      </w:pPr>
    </w:p>
    <w:p>
      <w:pPr>
        <w:jc w:val="both"/>
        <w:ind w:firstLine="1224"/>
        <w:spacing w:after="0" w:line="223" w:lineRule="auto"/>
        <w:tabs>
          <w:tab w:leader="none" w:pos="1822"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the Borrower or any of its Subsidiaries or its debts, or any substantial part of its assets, under any federal, state or foreign bankruptcy, insolvency or other similar law now or hereafter in effect or (ii) the appointment of a custodian, trustee, receiver, liquidator or other similar official for the Borrower or any of its Subsidiaries or for a substantial part of its assets, and in any such case, such proceeding or petition shall remain undismissed for a period of sixty (60) days or an order or decree approving or ordering any of the foregoing shall be entered; or</w:t>
      </w:r>
    </w:p>
    <w:p>
      <w:pPr>
        <w:spacing w:after="0" w:line="144" w:lineRule="exact"/>
        <w:rPr>
          <w:rFonts w:ascii="Times New Roman" w:cs="Times New Roman" w:eastAsia="Times New Roman" w:hAnsi="Times New Roman"/>
          <w:sz w:val="20"/>
          <w:szCs w:val="20"/>
          <w:color w:val="auto"/>
        </w:rPr>
      </w:pPr>
    </w:p>
    <w:p>
      <w:pPr>
        <w:ind w:firstLine="1224"/>
        <w:spacing w:after="0" w:line="249" w:lineRule="auto"/>
        <w:tabs>
          <w:tab w:leader="none" w:pos="1822"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of its Subsidiaries shall become unable to pay, shall admit in writing its inability to pay, or shall fail to pay, its debts as they become due; or</w:t>
      </w:r>
    </w:p>
    <w:p>
      <w:pPr>
        <w:spacing w:after="0" w:line="134" w:lineRule="exact"/>
        <w:rPr>
          <w:rFonts w:ascii="Times New Roman" w:cs="Times New Roman" w:eastAsia="Times New Roman" w:hAnsi="Times New Roman"/>
          <w:sz w:val="20"/>
          <w:szCs w:val="20"/>
          <w:color w:val="auto"/>
        </w:rPr>
      </w:pPr>
    </w:p>
    <w:p>
      <w:pPr>
        <w:jc w:val="both"/>
        <w:ind w:firstLine="1224"/>
        <w:spacing w:after="0" w:line="221" w:lineRule="auto"/>
        <w:tabs>
          <w:tab w:leader="none" w:pos="1829"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 ERISA Event occurs with respect to a Pension Plan or Multiemployer Plan which has resulted or could reasonably be expected to result in liability of Borrower or any member of the ERISA Group under Title IV of ERISA to the Pension Plan, Multiemployer Plan or the PBGC in an aggregate amount in excess of the Threshold Amount, (ii) Borrower or any member of the ERISA Group fails to pay when due, after the expiration of any applicable grace period, any installment payment with respect to its Withdrawal Liability under Section 4201 of ERISA under a Multiemployer Plan, where the aggregate amount of unamortized Withdrawal Liability is in excess of the Threshold Amount, or (iii) there is or arises an Unfunded Pension Liability (not taking into account Plans with negative Unfunded Pension Liability) in an aggregate amount exceeding the Threshold Amount; or</w:t>
      </w:r>
    </w:p>
    <w:p>
      <w:pPr>
        <w:spacing w:after="0" w:line="147"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22"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judgment, writ, warrant of attachment or similar process involving an amount in excess of the Threshold Amount in the aggregate shall be rendered against the Borrower or any of its Subsidiaries, and either (i) enforcement proceedings shall have been commenced by any creditor upon such judgment or order or (ii) there shall be a period of thirty (30) consecutive days during which a stay of enforcement of such judgment or order, by reason of a pending appeal or otherwise, shall not be in effect; or</w:t>
      </w:r>
    </w:p>
    <w:p>
      <w:pPr>
        <w:spacing w:after="0" w:line="144" w:lineRule="exact"/>
        <w:rPr>
          <w:rFonts w:ascii="Times New Roman" w:cs="Times New Roman" w:eastAsia="Times New Roman" w:hAnsi="Times New Roman"/>
          <w:sz w:val="20"/>
          <w:szCs w:val="20"/>
          <w:color w:val="auto"/>
        </w:rPr>
      </w:pPr>
    </w:p>
    <w:p>
      <w:pPr>
        <w:jc w:val="both"/>
        <w:ind w:firstLine="1224"/>
        <w:spacing w:after="0" w:line="224" w:lineRule="auto"/>
        <w:tabs>
          <w:tab w:leader="none" w:pos="1822"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non-monetary judgment or order shall be rendered against the Borrower or any of its Subsidiaries that could reasonably be expected, either individually or in the aggregate, to have a Material Adverse Effect, and there shall be a period of thirty</w:t>
      </w:r>
    </w:p>
    <w:p>
      <w:pPr>
        <w:ind w:firstLine="2"/>
        <w:spacing w:after="0" w:line="233" w:lineRule="auto"/>
        <w:tabs>
          <w:tab w:leader="none" w:pos="403"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consecutive days during which a stay of enforcement of such judgment or order, by reason of a pending appeal or otherwise, shall not be in effect; or</w:t>
      </w:r>
    </w:p>
    <w:p>
      <w:pPr>
        <w:spacing w:after="0" w:line="142"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 or exist;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324" w:right="339" w:bottom="1440" w:gutter="0" w:footer="0" w:header="0"/>
        </w:sectPr>
      </w:pPr>
    </w:p>
    <w:bookmarkStart w:id="276" w:name="page277"/>
    <w:bookmarkEnd w:id="276"/>
    <w:p>
      <w:pPr>
        <w:jc w:val="both"/>
        <w:ind w:firstLine="1224"/>
        <w:spacing w:after="0" w:line="228" w:lineRule="auto"/>
        <w:tabs>
          <w:tab w:leader="none" w:pos="1829"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provision of the Guaranty and Security Agreement or any other Loan Document shall for any reason cease to be valid and binding on, or enforceable against, any Loan Party, or any Loan Party shall so state in writing, or any Loan Party shall seek to terminate its obligation under the Guaranty and Security Agreement or any other Loan Document (other than the release of any guaranty or collateral to the extent permitted pursuant to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[Collateral and Guaranty Matters]); or</w:t>
      </w:r>
    </w:p>
    <w:p>
      <w:pPr>
        <w:spacing w:after="0" w:line="144"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with respect to a material portion of the Collateral purported to be created under any Collateral Document shall fail or cease to be, or shall be asserted by any Loan Party not to be, a valid and perfected Lien on any such Collateral, with the priority required by the applicable Collateral Documents; or</w:t>
      </w:r>
    </w:p>
    <w:p>
      <w:pPr>
        <w:spacing w:after="0" w:line="142" w:lineRule="exact"/>
        <w:rPr>
          <w:rFonts w:ascii="Times New Roman" w:cs="Times New Roman" w:eastAsia="Times New Roman" w:hAnsi="Times New Roman"/>
          <w:sz w:val="20"/>
          <w:szCs w:val="20"/>
          <w:color w:val="auto"/>
        </w:rPr>
      </w:pPr>
    </w:p>
    <w:p>
      <w:pPr>
        <w:jc w:val="both"/>
        <w:ind w:firstLine="1224"/>
        <w:spacing w:after="0" w:line="221" w:lineRule="auto"/>
        <w:tabs>
          <w:tab w:leader="none" w:pos="1829"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or any Subsidiary shall be debarred or suspended from contracting with the United States or any of its departments, agencies or instrumentalities; or if a notice of debarment or notice of suspension shall have been issued to any Borrower or any Subsidiary; or if a notice of termination for default or the actual termination for default of any Government Contract shall have been issued to or received by the Borrower or any Subsidiary which termination for default, individually or in the aggregate, would reasonably be expected to result in a reduction in revenue of the Borrower and its Subsidiaries of 10% or more on a consolidated basis from the most recently ended Fiscal Year for which financial statements have been (or are required to have been) delivered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[Reporting Requirements];</w:t>
      </w:r>
    </w:p>
    <w:p>
      <w:pPr>
        <w:spacing w:after="0" w:line="173" w:lineRule="exact"/>
        <w:rPr>
          <w:rFonts w:ascii="Times New Roman" w:cs="Times New Roman" w:eastAsia="Times New Roman" w:hAnsi="Times New Roman"/>
          <w:sz w:val="20"/>
          <w:szCs w:val="20"/>
          <w:color w:val="auto"/>
        </w:rPr>
      </w:pPr>
    </w:p>
    <w:p>
      <w:pPr>
        <w:jc w:val="both"/>
        <w:ind w:firstLine="613"/>
        <w:spacing w:after="0" w:line="257" w:lineRule="auto"/>
        <w:tabs>
          <w:tab w:leader="none" w:pos="1222"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then, and in every such event (other than an event described in paragraph (h) or (i) of this Section) and at any time thereafter during the continuance of such event, the Administrative Agent may, and upon the written request of the Required Lenders shall, by notice to the Borrower, take any or all of the following actions, at the same or different times: (i) terminate the Commitments, whereupon the Commitment of each Lender shall terminate immediately, (ii) declare the principal of and any accrued interest on the Loans, and all other Obligations owing hereunder, to be, whereupon the same shall become, due and payable immediately, without presentment, demand, protest or other notice of any kind, all of which are hereby waived by the Borrower, (iii) exercise all remedies contained in any other Loan Document, (iv) demand the Borrower to, and the Borrower shall, forthwith upon such demand and without any further notice or act, Cash Collateralize the Letter of Credit Obligations at such time in an amount equal to the Minimum Collateral Amount and (v) exercise any other remedies available at law or in equity;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 Event of Default specified in either paragraph (h) or (i) shall occur, the Commitments shall automatically terminate and the principal of the Loans then outstanding, together with accrued interest thereon, all fees and all other Obligations shall automatically become due and payable, and the obligation to Cash Collateralize the Letter of Credit Obligation in an amount equal to the Minimum Collateral Amount shall be automatic, without presentment, demand, protest or other notice of any kind, all of which are hereby waived by the Borrower. Notwithstanding anything herein or otherwise to the contrary, any Event of Default occurring hereunder shall continue to exist (and shall be deemed to be continuing) until such time as such Event of Default is waived in writing in accordance with the terms of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[Modifications; Amendments or Waivers] notwithstanding (i) any attempted cure or other action taken by the Borrower or any other Person subsequent to the occurrence of such Event of Default or (ii) any action taken or omitted to be taken by the Administrative Agent or any Lender prior to or subsequent to the occurrence of such Event of Default (other than the granting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324"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20"/>
          <w:szCs w:val="20"/>
          <w:color w:val="auto"/>
        </w:rPr>
        <w:t xml:space="preserve">waiver in writing in accordance with the terms of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[Modifications; Amendments or Waivers]).</w:t>
      </w:r>
    </w:p>
    <w:p>
      <w:pPr>
        <w:spacing w:after="0" w:line="216" w:lineRule="exact"/>
        <w:rPr>
          <w:sz w:val="20"/>
          <w:szCs w:val="20"/>
          <w:color w:val="auto"/>
        </w:rPr>
      </w:pPr>
    </w:p>
    <w:p>
      <w:pPr>
        <w:jc w:val="both"/>
        <w:ind w:firstLine="2"/>
        <w:spacing w:after="0" w:line="257" w:lineRule="auto"/>
        <w:tabs>
          <w:tab w:leader="none" w:pos="61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 Event of Default shall have occurred and be continuing, each Lender, the Issuing Lender, and each of their respective Affiliates and any participant of such Lender or Affiliate which has agreed in writing to be bound by the provisions of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[Sharing of Payments by Lenders], after obtaining the prior written consent of the Administrative Agent,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or participant to or for the credit or the account of any Loan Party against any and all of the Obligations of such Loan Party now or hereafter existing under this Agreement or any other Loan Document to such Lender, the Issuing Lender, Affiliate or participant, irrespective of whether or not such Lender, Issuing Lender, Affiliate or participant shall have made any demand under this Agreement or any other Loan Document and although such Obligations of the Borrower or such Loan Party may be contingent or unmatured or are owed to a branch or office of such Lender or the Issuing Lender different from the branch or office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[Defaulting Lenders] and, pending such payment, shall be segregated by such Defaulting Lender from its other funds and deemed held in trust for the benefit of the Administrative Agent, the Issuing Lenders, and the Lenders, and (y) the Defaulting Lender shall provide promptly to the Administrative Agent a statement describing in reasonable detail the Obligations owing to such Defaulting Lender as to which it exercised such right of setoff. The rights of each Lender, the Issuing Lender and their respective Affiliates and participants under this Section are in addition to other rights and remedies (including other rights of setoff) that such Lender, the Issuing Lender or their respective Affiliates and participants may have. Each Lender and the Issuing Lender agrees to notify the Borrower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253.2  </w:t>
      </w:r>
      <w:r>
        <w:rPr>
          <w:rFonts w:ascii="Times New Roman" w:cs="Times New Roman" w:eastAsia="Times New Roman" w:hAnsi="Times New Roman"/>
          <w:sz w:val="20"/>
          <w:szCs w:val="20"/>
          <w:u w:val="single" w:color="auto"/>
          <w:color w:val="auto"/>
        </w:rPr>
        <w:t>Application of Proceeds from Collateral</w:t>
      </w:r>
      <w:r>
        <w:rPr>
          <w:rFonts w:ascii="Times New Roman" w:cs="Times New Roman" w:eastAsia="Times New Roman" w:hAnsi="Times New Roman"/>
          <w:sz w:val="20"/>
          <w:szCs w:val="20"/>
          <w:color w:val="auto"/>
        </w:rPr>
        <w:t>. All proceeds from each sale of, or other realization upon, all or any part of the</w:t>
      </w:r>
    </w:p>
    <w:p>
      <w:pPr>
        <w:spacing w:after="0" w:line="212" w:lineRule="auto"/>
        <w:rPr>
          <w:sz w:val="20"/>
          <w:szCs w:val="20"/>
          <w:color w:val="auto"/>
        </w:rPr>
      </w:pPr>
      <w:r>
        <w:rPr>
          <w:rFonts w:ascii="Times New Roman" w:cs="Times New Roman" w:eastAsia="Times New Roman" w:hAnsi="Times New Roman"/>
          <w:sz w:val="20"/>
          <w:szCs w:val="20"/>
          <w:color w:val="auto"/>
        </w:rPr>
        <w:t>Collateral by any Secured Party after an Event of Default arises shall be applied as follows:</w:t>
      </w:r>
    </w:p>
    <w:p>
      <w:pPr>
        <w:spacing w:after="0" w:line="1" w:lineRule="exact"/>
        <w:rPr>
          <w:sz w:val="20"/>
          <w:szCs w:val="20"/>
          <w:color w:val="auto"/>
        </w:rPr>
      </w:pPr>
    </w:p>
    <w:p>
      <w:pPr>
        <w:ind w:firstLine="1224"/>
        <w:spacing w:after="0" w:line="233" w:lineRule="auto"/>
        <w:tabs>
          <w:tab w:leader="none" w:pos="1831"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the reimbursable expenses of the Administrative Agent incurred in connection with such sale or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realization upon the Collateral, until the same shall have been paid in full;</w:t>
      </w:r>
    </w:p>
    <w:p>
      <w:pPr>
        <w:spacing w:after="0" w:line="138" w:lineRule="exact"/>
        <w:rPr>
          <w:rFonts w:ascii="Times New Roman" w:cs="Times New Roman" w:eastAsia="Times New Roman" w:hAnsi="Times New Roman"/>
          <w:sz w:val="20"/>
          <w:szCs w:val="20"/>
          <w:color w:val="auto"/>
        </w:rPr>
      </w:pPr>
    </w:p>
    <w:p>
      <w:pPr>
        <w:jc w:val="both"/>
        <w:ind w:firstLine="1224"/>
        <w:spacing w:after="0" w:line="235" w:lineRule="auto"/>
        <w:tabs>
          <w:tab w:leader="none" w:pos="1829"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the fees, all amounts owed pursuant to Erroneous Payment Subrogation Rights, and other reimbursable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expenses of the Administrative Agent, the Swingline Lender and the Issuing Lenders then due and payable pursuant to any of the Loan Documents, until the same shall have been paid in full;</w:t>
      </w:r>
    </w:p>
    <w:p>
      <w:pPr>
        <w:spacing w:after="0" w:line="139" w:lineRule="exact"/>
        <w:rPr>
          <w:rFonts w:ascii="Times New Roman" w:cs="Times New Roman" w:eastAsia="Times New Roman" w:hAnsi="Times New Roman"/>
          <w:sz w:val="20"/>
          <w:szCs w:val="20"/>
          <w:color w:val="auto"/>
        </w:rPr>
      </w:pPr>
    </w:p>
    <w:p>
      <w:pPr>
        <w:ind w:firstLine="1224"/>
        <w:spacing w:after="0" w:line="253" w:lineRule="auto"/>
        <w:tabs>
          <w:tab w:leader="none" w:pos="1831"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all reimbursable expenses, if any, of the Lenders then due and payable pursuant to any of the Loan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Documents, until the same shall have been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349" w:right="339" w:bottom="1440" w:gutter="0" w:footer="0" w:header="0"/>
        </w:sectPr>
      </w:pPr>
    </w:p>
    <w:bookmarkStart w:id="278" w:name="page279"/>
    <w:bookmarkEnd w:id="278"/>
    <w:p>
      <w:pPr>
        <w:ind w:left="1840" w:hanging="616"/>
        <w:spacing w:after="0"/>
        <w:tabs>
          <w:tab w:leader="none" w:pos="1840"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the fees and interest then due and payable under the terms of this Agreement, until the same shall have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been paid in full;</w:t>
      </w:r>
    </w:p>
    <w:p>
      <w:pPr>
        <w:spacing w:after="0" w:line="151" w:lineRule="exact"/>
        <w:rPr>
          <w:rFonts w:ascii="Times New Roman" w:cs="Times New Roman" w:eastAsia="Times New Roman" w:hAnsi="Times New Roman"/>
          <w:sz w:val="20"/>
          <w:szCs w:val="20"/>
          <w:color w:val="auto"/>
        </w:rPr>
      </w:pPr>
    </w:p>
    <w:p>
      <w:pPr>
        <w:jc w:val="both"/>
        <w:ind w:firstLine="1224"/>
        <w:spacing w:after="0" w:line="229" w:lineRule="auto"/>
        <w:tabs>
          <w:tab w:leader="none" w:pos="1831"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to the aggregate outstanding principal amount of the Loans, the Reimbursement Obligations, the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Lender Provided Financial Service Products and the Hedge Liabilities that constitute Obligations, until the same shall have been paid in full, allocated pro rata among the Secured Parties based on their respective pro rata shares of the aggregate amount of such Loans, Reimbursement Obligations, Other Lender Provided Financial Service Products and Hedge Liabilities ;</w:t>
      </w:r>
    </w:p>
    <w:p>
      <w:pPr>
        <w:spacing w:after="0" w:line="140" w:lineRule="exact"/>
        <w:rPr>
          <w:rFonts w:ascii="Times New Roman" w:cs="Times New Roman" w:eastAsia="Times New Roman" w:hAnsi="Times New Roman"/>
          <w:sz w:val="20"/>
          <w:szCs w:val="20"/>
          <w:color w:val="auto"/>
        </w:rPr>
      </w:pPr>
    </w:p>
    <w:p>
      <w:pPr>
        <w:jc w:val="both"/>
        <w:ind w:firstLine="1224"/>
        <w:spacing w:after="0" w:line="235" w:lineRule="auto"/>
        <w:tabs>
          <w:tab w:leader="none" w:pos="1834"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to additional cash collateral for the aggregate amount of all outstanding Letters of Credit until the aggregate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amount of all cash collateral held by the Administrative Agent pursuant to this Agreement is at least 103% of the Reimbursement Obligations after giving effect to the foregoing clause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and</w:t>
      </w:r>
    </w:p>
    <w:p>
      <w:pPr>
        <w:spacing w:after="0" w:line="139"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to the extent any proceeds remain, to the Borrower or as otherwise provided by a court of competent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jurisdiction.</w:t>
      </w:r>
    </w:p>
    <w:p>
      <w:pPr>
        <w:spacing w:after="0" w:line="176" w:lineRule="exact"/>
        <w:rPr>
          <w:rFonts w:ascii="Times New Roman" w:cs="Times New Roman" w:eastAsia="Times New Roman" w:hAnsi="Times New Roman"/>
          <w:sz w:val="20"/>
          <w:szCs w:val="20"/>
          <w:color w:val="auto"/>
        </w:rPr>
      </w:pPr>
    </w:p>
    <w:p>
      <w:pPr>
        <w:jc w:val="both"/>
        <w:ind w:firstLine="613"/>
        <w:spacing w:after="0" w:line="260" w:lineRule="auto"/>
        <w:tabs>
          <w:tab w:leader="none" w:pos="1218"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allocated pursuant to the foregoing clauses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to the Lenders as a result of amounts owed to the Lenders under the Loan Documents shall be allocated among, and distributed to, the Lenders pro rata based on their respective Pro Rata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amounts allocated to that portion of the Reimbursement Obligations comprised of the aggregate undrawn amount of all outstanding Letters of Credit pursuant to clauses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shall be distributed to the Administrative Agent, rather than to the Lenders, and held by the Administrative Agent in an account in the name of the Administrative Agent for the benefit of the Issuing Lenders and the Lenders as cash collateral for the Reimbursement Obligations, such account to be administered in accordance with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[Letters of Credit]. All cash collateral for Reimbursement Obligations shall be applied to satisfy drawings under the Letters of Credit as they occur; if any amount remains on deposit on cash collateral after all letters of credit have either been fully drawn or expired, such remaining amount shall be applied to other Obligations, if any, in the order set forth above.</w:t>
      </w:r>
    </w:p>
    <w:p>
      <w:pPr>
        <w:spacing w:after="0" w:line="168" w:lineRule="exact"/>
        <w:rPr>
          <w:sz w:val="20"/>
          <w:szCs w:val="20"/>
          <w:color w:val="auto"/>
        </w:rPr>
      </w:pPr>
    </w:p>
    <w:p>
      <w:pPr>
        <w:jc w:val="both"/>
        <w:ind w:firstLine="611"/>
        <w:spacing w:after="0" w:line="259" w:lineRule="auto"/>
        <w:rPr>
          <w:sz w:val="20"/>
          <w:szCs w:val="20"/>
          <w:color w:val="auto"/>
        </w:rPr>
      </w:pPr>
      <w:r>
        <w:rPr>
          <w:rFonts w:ascii="Times New Roman" w:cs="Times New Roman" w:eastAsia="Times New Roman" w:hAnsi="Times New Roman"/>
          <w:sz w:val="20"/>
          <w:szCs w:val="20"/>
          <w:color w:val="auto"/>
        </w:rPr>
        <w:t xml:space="preserve">Notwithstanding the foregoing, (a) no amount received from any Guarantor (including any proceeds of any sale of, or other realization upon, all or any part of the Collateral owned by such Guarantor) shall be applied to any Excluded Swap Obligation of such Guarantor and (b) Other Lender Provided Financial Service Products and Hedge Liabilities shall be excluded from the application described above if the Administrative Agent has not received written notice thereof, together with such supporting documentation as the Administrative Agent may request, from the Cash Management Bank or Hedge Bank, as the case may be. Each Cash Management Bank or Hedge Bank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xml:space="preserve"> for itself and its Affiliates as if a “Lender” party hereto.</w:t>
      </w:r>
    </w:p>
    <w:p>
      <w:pPr>
        <w:spacing w:after="0" w:line="167" w:lineRule="exact"/>
        <w:rPr>
          <w:sz w:val="20"/>
          <w:szCs w:val="20"/>
          <w:color w:val="auto"/>
        </w:rPr>
      </w:pPr>
    </w:p>
    <w:p>
      <w:pPr>
        <w:jc w:val="both"/>
        <w:ind w:firstLine="613"/>
        <w:spacing w:after="0" w:line="277" w:lineRule="auto"/>
        <w:tabs>
          <w:tab w:leader="none" w:pos="1211"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320" w:right="339" w:bottom="1440" w:gutter="0" w:footer="0" w:header="0"/>
        </w:sectPr>
      </w:pPr>
    </w:p>
    <w:bookmarkStart w:id="279" w:name="page280"/>
    <w:bookmarkEnd w:id="279"/>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exclusively by, the Administrative Agent in accordance with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for the benefit of all the Lenders and the Issuing Lender and the other Secured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the Issuing Lender or the Swingline Loan Lender from exercising the rights and remedies that inure to its benefit (solely in its capacity as the Issuing Lender or Swingline Loan Lender, as the case may be) hereunder and under the other Loan Documents,</w:t>
      </w:r>
    </w:p>
    <w:p>
      <w:pPr>
        <w:spacing w:after="0" w:line="4" w:lineRule="exact"/>
        <w:rPr>
          <w:sz w:val="20"/>
          <w:szCs w:val="20"/>
          <w:color w:val="auto"/>
        </w:rPr>
      </w:pPr>
    </w:p>
    <w:p>
      <w:pPr>
        <w:jc w:val="both"/>
        <w:ind w:firstLine="2"/>
        <w:spacing w:after="0" w:line="255" w:lineRule="auto"/>
        <w:tabs>
          <w:tab w:leader="none" w:pos="367"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from exercising setoff rights in accordance with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[Sharing of Payments by Lenders]), or (iv) any Lender from filing proofs of claim or appearing and filing pleadings on its own behalf during the pendency of a proceeding relative to any Loan Party under any Insolvency Proceeding;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(A) the Required Lenders shall have the rights otherwise ascribed to the Administrative Agent pursuant to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and (B) in addition to the matters specified in clauses (ii),</w:t>
      </w:r>
    </w:p>
    <w:p>
      <w:pPr>
        <w:ind w:firstLine="2"/>
        <w:spacing w:after="0" w:line="266" w:lineRule="auto"/>
        <w:tabs>
          <w:tab w:leader="none" w:pos="359"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(iv) of the preceding proviso and subject to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[Sharing of Payments by Lenders]), any Lender may, with the consent of the Required Lenders, enforce any rights and remedies available to it and as authorized by the Required Lenders.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254</w:t>
      </w:r>
    </w:p>
    <w:p>
      <w:pPr>
        <w:jc w:val="center"/>
        <w:spacing w:after="0"/>
        <w:rPr>
          <w:sz w:val="20"/>
          <w:szCs w:val="20"/>
          <w:color w:val="auto"/>
        </w:rPr>
      </w:pPr>
      <w:r>
        <w:rPr>
          <w:rFonts w:ascii="Times New Roman" w:cs="Times New Roman" w:eastAsia="Times New Roman" w:hAnsi="Times New Roman"/>
          <w:sz w:val="20"/>
          <w:szCs w:val="20"/>
          <w:color w:val="auto"/>
        </w:rPr>
        <w:t>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-22225</wp:posOffset>
            </wp:positionV>
            <wp:extent cx="18472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136" w:lineRule="exact"/>
        <w:rPr>
          <w:sz w:val="20"/>
          <w:szCs w:val="20"/>
          <w:color w:val="auto"/>
        </w:rPr>
      </w:pP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254.1 </w:t>
      </w:r>
      <w:r>
        <w:rPr>
          <w:rFonts w:ascii="Times New Roman" w:cs="Times New Roman" w:eastAsia="Times New Roman" w:hAnsi="Times New Roman"/>
          <w:sz w:val="20"/>
          <w:szCs w:val="20"/>
          <w:u w:val="single" w:color="auto"/>
          <w:color w:val="auto"/>
        </w:rPr>
        <w:t>Appointment and Authority</w:t>
      </w:r>
      <w:r>
        <w:rPr>
          <w:rFonts w:ascii="Times New Roman" w:cs="Times New Roman" w:eastAsia="Times New Roman" w:hAnsi="Times New Roman"/>
          <w:sz w:val="20"/>
          <w:szCs w:val="20"/>
          <w:color w:val="auto"/>
        </w:rPr>
        <w:t>. Each of the Lenders and the Issuing Lender hereby irrevocably appoints PNC Bank, National Association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Lender,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254.2 </w:t>
      </w:r>
      <w:r>
        <w:rPr>
          <w:rFonts w:ascii="Times New Roman" w:cs="Times New Roman" w:eastAsia="Times New Roman" w:hAnsi="Times New Roman"/>
          <w:sz w:val="20"/>
          <w:szCs w:val="20"/>
          <w:u w:val="single" w:color="auto"/>
          <w:color w:val="auto"/>
        </w:rPr>
        <w:t>Rights as a Lender</w:t>
      </w:r>
      <w:r>
        <w:rPr>
          <w:rFonts w:ascii="Times New Roman" w:cs="Times New Roman" w:eastAsia="Times New Roman" w:hAnsi="Times New Roman"/>
          <w:sz w:val="20"/>
          <w:szCs w:val="20"/>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254.3  </w:t>
      </w: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w:t>
      </w:r>
    </w:p>
    <w:p>
      <w:pPr>
        <w:jc w:val="both"/>
        <w:ind w:firstLine="1224"/>
        <w:spacing w:after="0" w:line="266" w:lineRule="auto"/>
        <w:tabs>
          <w:tab w:leader="none" w:pos="1717"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have any duties or obligations except those expressly specified herein and in the other Loan Documents, and its duties hereunder shall be administrative in nature. Without limiting the generality of the foregoing, the Administrative Agent: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349" w:right="339" w:bottom="1440" w:gutter="0" w:footer="0" w:header="0"/>
        </w:sectPr>
      </w:pPr>
    </w:p>
    <w:bookmarkStart w:id="280" w:name="page281"/>
    <w:bookmarkEnd w:id="280"/>
    <w:p>
      <w:pPr>
        <w:ind w:left="1220" w:firstLine="616"/>
        <w:spacing w:after="0" w:line="276" w:lineRule="auto"/>
        <w:tabs>
          <w:tab w:leader="none" w:pos="223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Potential Default or Event of Default has occurred and is continuing;</w:t>
      </w:r>
    </w:p>
    <w:p>
      <w:pPr>
        <w:spacing w:after="0" w:line="171" w:lineRule="exact"/>
        <w:rPr>
          <w:rFonts w:ascii="Times New Roman" w:cs="Times New Roman" w:eastAsia="Times New Roman" w:hAnsi="Times New Roman"/>
          <w:sz w:val="20"/>
          <w:szCs w:val="20"/>
          <w:color w:val="auto"/>
        </w:rPr>
      </w:pPr>
    </w:p>
    <w:p>
      <w:pPr>
        <w:jc w:val="both"/>
        <w:ind w:left="1220" w:firstLine="616"/>
        <w:spacing w:after="0" w:line="250" w:lineRule="auto"/>
        <w:tabs>
          <w:tab w:leader="none" w:pos="2447"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4" w:lineRule="exact"/>
        <w:rPr>
          <w:rFonts w:ascii="Times New Roman" w:cs="Times New Roman" w:eastAsia="Times New Roman" w:hAnsi="Times New Roman"/>
          <w:sz w:val="20"/>
          <w:szCs w:val="20"/>
          <w:color w:val="auto"/>
        </w:rPr>
      </w:pPr>
    </w:p>
    <w:p>
      <w:pPr>
        <w:jc w:val="both"/>
        <w:ind w:left="1220" w:firstLine="616"/>
        <w:spacing w:after="0" w:line="264" w:lineRule="auto"/>
        <w:tabs>
          <w:tab w:leader="none" w:pos="2377"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specified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3" w:lineRule="exact"/>
        <w:rPr>
          <w:rFonts w:ascii="Times New Roman" w:cs="Times New Roman" w:eastAsia="Times New Roman" w:hAnsi="Times New Roman"/>
          <w:sz w:val="20"/>
          <w:szCs w:val="20"/>
          <w:color w:val="auto"/>
        </w:rPr>
      </w:pPr>
    </w:p>
    <w:p>
      <w:pPr>
        <w:jc w:val="both"/>
        <w:ind w:firstLine="1224"/>
        <w:spacing w:after="0" w:line="260" w:lineRule="auto"/>
        <w:tabs>
          <w:tab w:leader="none" w:pos="1735"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12.1</w:t>
      </w:r>
      <w:r>
        <w:rPr>
          <w:rFonts w:ascii="Times New Roman" w:cs="Times New Roman" w:eastAsia="Times New Roman" w:hAnsi="Times New Roman"/>
          <w:sz w:val="20"/>
          <w:szCs w:val="20"/>
          <w:color w:val="auto"/>
        </w:rPr>
        <w:t xml:space="preserve"> [Modifications; Amendments or Waivers] and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xml:space="preserve"> [Consequences of Event of Default]), or (ii) in the absence of its own gross negligence or willful misconduct as determined by a court of competent jurisdiction by final and nonappealable judgment. The Administrative Agent shall be deemed not to have knowledge of any Potential Default or Event of Default unless and until notice describing such Potential Default or Event of Default is given to the Administrative Agent in writing by the Borrower, a Lender or an Issuing Lender.</w:t>
      </w:r>
    </w:p>
    <w:p>
      <w:pPr>
        <w:spacing w:after="0" w:line="191" w:lineRule="exact"/>
        <w:rPr>
          <w:rFonts w:ascii="Times New Roman" w:cs="Times New Roman" w:eastAsia="Times New Roman" w:hAnsi="Times New Roman"/>
          <w:sz w:val="20"/>
          <w:szCs w:val="20"/>
          <w:color w:val="auto"/>
        </w:rPr>
      </w:pPr>
    </w:p>
    <w:p>
      <w:pPr>
        <w:jc w:val="both"/>
        <w:ind w:firstLine="1224"/>
        <w:spacing w:after="0" w:line="262" w:lineRule="auto"/>
        <w:tabs>
          <w:tab w:leader="none" w:pos="1666"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specified herein or therein or the occurrence of any Potential Default or Event of Default, (iv) the validity, enforceability, effectiveness or genuineness of this Agreement, any other Loan Document or any other agreement, instrument or document, or (v) the satisfaction of any condition specified in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[Conditions of Lending and Issuance of Letters of Credit] or elsewhere herein, other than to confirm receipt of items expressly required to be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336" w:right="339" w:bottom="1440" w:gutter="0" w:footer="0" w:header="0"/>
        </w:sectPr>
      </w:pPr>
    </w:p>
    <w:bookmarkStart w:id="281" w:name="page282"/>
    <w:bookmarkEnd w:id="281"/>
    <w:p>
      <w:pPr>
        <w:jc w:val="both"/>
        <w:ind w:firstLine="611"/>
        <w:spacing w:after="0" w:line="214" w:lineRule="auto"/>
        <w:rPr>
          <w:sz w:val="20"/>
          <w:szCs w:val="20"/>
          <w:color w:val="auto"/>
        </w:rPr>
      </w:pPr>
      <w:r>
        <w:rPr>
          <w:rFonts w:ascii="Times New Roman" w:cs="Times New Roman" w:eastAsia="Times New Roman" w:hAnsi="Times New Roman"/>
          <w:sz w:val="20"/>
          <w:szCs w:val="20"/>
          <w:color w:val="auto"/>
        </w:rPr>
        <w:t xml:space="preserve">254.4 </w:t>
      </w:r>
      <w:r>
        <w:rPr>
          <w:rFonts w:ascii="Times New Roman" w:cs="Times New Roman" w:eastAsia="Times New Roman" w:hAnsi="Times New Roman"/>
          <w:sz w:val="20"/>
          <w:szCs w:val="20"/>
          <w:u w:val="single" w:color="auto"/>
          <w:color w:val="auto"/>
        </w:rPr>
        <w:t>Reliance by Administrative Agent</w:t>
      </w:r>
      <w:r>
        <w:rPr>
          <w:rFonts w:ascii="Times New Roman" w:cs="Times New Roman" w:eastAsia="Times New Roman" w:hAnsi="Times New Roman"/>
          <w:sz w:val="20"/>
          <w:szCs w:val="20"/>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Issuing Lender, the Administrative Agent may presume that such condition is satisfactory to such Lender or Issuing Lender unless the Administrative Agent shall have received notice to the contrary from such Lender or the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8"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254.5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Revolving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ind w:left="620"/>
        <w:spacing w:after="0" w:line="218" w:lineRule="auto"/>
        <w:rPr>
          <w:sz w:val="20"/>
          <w:szCs w:val="20"/>
          <w:color w:val="auto"/>
        </w:rPr>
      </w:pPr>
      <w:r>
        <w:rPr>
          <w:rFonts w:ascii="Times New Roman" w:cs="Times New Roman" w:eastAsia="Times New Roman" w:hAnsi="Times New Roman"/>
          <w:sz w:val="20"/>
          <w:szCs w:val="20"/>
          <w:color w:val="auto"/>
        </w:rPr>
        <w:t xml:space="preserve">254.6  </w:t>
      </w:r>
      <w:r>
        <w:rPr>
          <w:rFonts w:ascii="Times New Roman" w:cs="Times New Roman" w:eastAsia="Times New Roman" w:hAnsi="Times New Roman"/>
          <w:sz w:val="20"/>
          <w:szCs w:val="20"/>
          <w:u w:val="single" w:color="auto"/>
          <w:color w:val="auto"/>
        </w:rPr>
        <w:t>Resignation of Administrative Agent</w:t>
      </w:r>
      <w:r>
        <w:rPr>
          <w:rFonts w:ascii="Times New Roman" w:cs="Times New Roman" w:eastAsia="Times New Roman" w:hAnsi="Times New Roman"/>
          <w:sz w:val="20"/>
          <w:szCs w:val="20"/>
          <w:color w:val="auto"/>
        </w:rPr>
        <w:t>.</w:t>
      </w:r>
    </w:p>
    <w:p>
      <w:pPr>
        <w:jc w:val="both"/>
        <w:ind w:firstLine="1224"/>
        <w:spacing w:after="0" w:line="216" w:lineRule="auto"/>
        <w:tabs>
          <w:tab w:leader="none" w:pos="1831"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Lenders, the Issuing Lender and the Borrower. Upon receipt of any such notice of resignation, the Required Lenders shall have the right, in consultation with the Borrower (so long as no Potential Default or Event of Default has occurred and is continuing), to appoint a successor, which shall be a bank with an office in the continental United States, or an Affiliate of any such bank with an office in the continental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and the Issuing Lender, appoint a successor Administrative Agent meeting the qualifications specified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49" w:lineRule="exact"/>
        <w:rPr>
          <w:rFonts w:ascii="Times New Roman" w:cs="Times New Roman" w:eastAsia="Times New Roman" w:hAnsi="Times New Roman"/>
          <w:sz w:val="20"/>
          <w:szCs w:val="20"/>
          <w:color w:val="auto"/>
        </w:rPr>
      </w:pPr>
    </w:p>
    <w:p>
      <w:pPr>
        <w:jc w:val="both"/>
        <w:ind w:firstLine="1224"/>
        <w:spacing w:after="0" w:line="223" w:lineRule="auto"/>
        <w:tabs>
          <w:tab w:leader="none" w:pos="1829"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324" w:right="339" w:bottom="1440" w:gutter="0" w:footer="0" w:header="0"/>
        </w:sectPr>
      </w:pPr>
    </w:p>
    <w:bookmarkStart w:id="282" w:name="page283"/>
    <w:bookmarkEnd w:id="282"/>
    <w:p>
      <w:pPr>
        <w:jc w:val="both"/>
        <w:ind w:firstLine="1224"/>
        <w:spacing w:after="0" w:line="224" w:lineRule="auto"/>
        <w:tabs>
          <w:tab w:leader="none" w:pos="1831"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effect from the Resignation Effective Date or the Removal Effective Date (as applicable) (i) the retiring or removed Administrative Agent shall be discharged from its duties and obligations hereunder and under the other Loan Documents and</w:t>
      </w:r>
    </w:p>
    <w:p>
      <w:pPr>
        <w:jc w:val="both"/>
        <w:ind w:firstLine="2"/>
        <w:spacing w:after="0" w:line="216" w:lineRule="auto"/>
        <w:tabs>
          <w:tab w:leader="none" w:pos="34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any indemnity payments owed to the retiring or removed Administrative Agent, all payments, communications and determinations provided to be made by, to or through the Administrative Agent shall instead be made by or to each Lender and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[Expense; Indemnity; Damage Waiver]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43" w:lineRule="exact"/>
        <w:rPr>
          <w:sz w:val="20"/>
          <w:szCs w:val="20"/>
          <w:color w:val="auto"/>
        </w:rPr>
      </w:pP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254.7 </w:t>
      </w:r>
      <w:r>
        <w:rPr>
          <w:rFonts w:ascii="Times New Roman" w:cs="Times New Roman" w:eastAsia="Times New Roman" w:hAnsi="Times New Roman"/>
          <w:sz w:val="20"/>
          <w:szCs w:val="20"/>
          <w:u w:val="single" w:color="auto"/>
          <w:color w:val="auto"/>
        </w:rPr>
        <w:t>Non-Reliance on Administrative Agent and Other Lenders</w:t>
      </w:r>
      <w:r>
        <w:rPr>
          <w:rFonts w:ascii="Times New Roman" w:cs="Times New Roman" w:eastAsia="Times New Roman" w:hAnsi="Times New Roman"/>
          <w:sz w:val="20"/>
          <w:szCs w:val="20"/>
          <w:color w:val="auto"/>
        </w:rPr>
        <w:t>. Each Lender and the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and each Issuing Lender represents and warrants that</w:t>
      </w:r>
    </w:p>
    <w:p>
      <w:pPr>
        <w:spacing w:after="0" w:line="6" w:lineRule="exact"/>
        <w:rPr>
          <w:sz w:val="20"/>
          <w:szCs w:val="20"/>
          <w:color w:val="auto"/>
        </w:rPr>
      </w:pPr>
    </w:p>
    <w:p>
      <w:pPr>
        <w:jc w:val="both"/>
        <w:ind w:firstLine="2"/>
        <w:spacing w:after="0" w:line="233" w:lineRule="auto"/>
        <w:tabs>
          <w:tab w:leader="none" w:pos="261"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Documents set forth the terms of a commercial lending facility and certain other facilities as set forth herein and (ii) it is engaged in making, acquiring or holding commercial loans, issuing or participating in letters of credit or providing other similar facilities in the ordinary course and is entering into this Agreement as a Lender or Issuing Lender for the purpose of making, acquiring or holding commercial loans, issuing or participating in letters of credit and providing other facilities as set forth herein and not for the purpose of purchasing, acquiring or holding any other type of financial instrument, and each Lender and each Issuing Lender agrees not to assert a claim in contravention of the foregoing. Each Lender and each Issuing Lender represents and warrants that it is sophisticated with respect to decisions to make, acquire or hold commercial loans, issue or participate in letters of credit and to provide other facilities set forth herein, as may be applicable to such Lender or such Issuing Lender, and either it, or the Person exercising discretion in making its decision to make, acquire or hold such commercial loans, issue or participate in letters of credit or to provide such other facilities, is experienced in making, acquiring or holding commercial loans, issuing or participating in letters of credit or providing such other facilities.</w:t>
      </w:r>
    </w:p>
    <w:p>
      <w:pPr>
        <w:spacing w:after="0" w:line="8" w:lineRule="exact"/>
        <w:rPr>
          <w:rFonts w:ascii="Times New Roman" w:cs="Times New Roman" w:eastAsia="Times New Roman" w:hAnsi="Times New Roman"/>
          <w:sz w:val="20"/>
          <w:szCs w:val="20"/>
          <w:color w:val="auto"/>
        </w:rPr>
      </w:pPr>
    </w:p>
    <w:p>
      <w:pPr>
        <w:jc w:val="both"/>
        <w:ind w:firstLine="611"/>
        <w:spacing w:after="0" w:line="21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254.8 </w:t>
      </w:r>
      <w:r>
        <w:rPr>
          <w:rFonts w:ascii="Times New Roman" w:cs="Times New Roman" w:eastAsia="Times New Roman" w:hAnsi="Times New Roman"/>
          <w:sz w:val="20"/>
          <w:szCs w:val="20"/>
          <w:u w:val="single" w:color="auto"/>
          <w:color w:val="auto"/>
        </w:rPr>
        <w:t>No Other Duties, Etc</w:t>
      </w:r>
      <w:r>
        <w:rPr>
          <w:rFonts w:ascii="Times New Roman" w:cs="Times New Roman" w:eastAsia="Times New Roman" w:hAnsi="Times New Roman"/>
          <w:sz w:val="20"/>
          <w:szCs w:val="20"/>
          <w:color w:val="auto"/>
        </w:rPr>
        <w:t>. Anything herein to the contrary notwithstanding, none of the bookrunners, arrangers or other titles as necessary listed on the cover page hereof shall have any powers, duties or responsibilities under this Agreement or any of the other Loan Documents, except in its capacity, as applicable, as the Administrative Agent, a Lender or an Issuing Lender hereunder.</w:t>
      </w:r>
    </w:p>
    <w:p>
      <w:pPr>
        <w:spacing w:after="0" w:line="1" w:lineRule="exact"/>
        <w:rPr>
          <w:rFonts w:ascii="Times New Roman" w:cs="Times New Roman" w:eastAsia="Times New Roman" w:hAnsi="Times New Roman"/>
          <w:sz w:val="20"/>
          <w:szCs w:val="20"/>
          <w:color w:val="auto"/>
        </w:rPr>
      </w:pPr>
    </w:p>
    <w:p>
      <w:pPr>
        <w:ind w:firstLine="611"/>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254.9 </w:t>
      </w:r>
      <w:r>
        <w:rPr>
          <w:rFonts w:ascii="Times New Roman" w:cs="Times New Roman" w:eastAsia="Times New Roman" w:hAnsi="Times New Roman"/>
          <w:sz w:val="20"/>
          <w:szCs w:val="20"/>
          <w:u w:val="single" w:color="auto"/>
          <w:color w:val="auto"/>
        </w:rPr>
        <w:t>Administrative Agent’s Fee</w:t>
      </w:r>
      <w:r>
        <w:rPr>
          <w:rFonts w:ascii="Times New Roman" w:cs="Times New Roman" w:eastAsia="Times New Roman" w:hAnsi="Times New Roman"/>
          <w:sz w:val="20"/>
          <w:szCs w:val="20"/>
          <w:color w:val="auto"/>
        </w:rPr>
        <w:t>. The Borrower shall pay to the Administrative Agent a nonrefundable fee (the “</w:t>
      </w:r>
      <w:r>
        <w:rPr>
          <w:rFonts w:ascii="Times New Roman" w:cs="Times New Roman" w:eastAsia="Times New Roman" w:hAnsi="Times New Roman"/>
          <w:sz w:val="20"/>
          <w:szCs w:val="20"/>
          <w:u w:val="single" w:color="auto"/>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Agent’s Fee</w:t>
      </w:r>
      <w:r>
        <w:rPr>
          <w:rFonts w:ascii="Times New Roman" w:cs="Times New Roman" w:eastAsia="Times New Roman" w:hAnsi="Times New Roman"/>
          <w:sz w:val="20"/>
          <w:szCs w:val="20"/>
          <w:color w:val="auto"/>
        </w:rPr>
        <w:t>”) under the terms of a letter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324"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Letter</w:t>
      </w:r>
      <w:r>
        <w:rPr>
          <w:rFonts w:ascii="Times New Roman" w:cs="Times New Roman" w:eastAsia="Times New Roman" w:hAnsi="Times New Roman"/>
          <w:sz w:val="20"/>
          <w:szCs w:val="20"/>
          <w:color w:val="auto"/>
        </w:rPr>
        <w:t>”) between the Borrower and Administrative Agent, as amended from time to time.</w:t>
      </w: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254.10 </w:t>
      </w:r>
      <w:r>
        <w:rPr>
          <w:rFonts w:ascii="Times New Roman" w:cs="Times New Roman" w:eastAsia="Times New Roman" w:hAnsi="Times New Roman"/>
          <w:sz w:val="20"/>
          <w:szCs w:val="20"/>
          <w:u w:val="single" w:color="auto"/>
          <w:color w:val="auto"/>
        </w:rPr>
        <w:t>Administrative Agent May File Proofs of Claim</w:t>
      </w:r>
      <w:r>
        <w:rPr>
          <w:rFonts w:ascii="Times New Roman" w:cs="Times New Roman" w:eastAsia="Times New Roman" w:hAnsi="Times New Roman"/>
          <w:sz w:val="20"/>
          <w:szCs w:val="20"/>
          <w:color w:val="auto"/>
        </w:rPr>
        <w:t>. In case of the pendency of any proceeding under any Debtor Relief Law or any other judicial proceeding relative to any Loan Party, the Administrative Agent (irrespective of whether the principal of any Loan or Letter of Credit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 w:lineRule="exact"/>
        <w:rPr>
          <w:sz w:val="20"/>
          <w:szCs w:val="20"/>
          <w:color w:val="auto"/>
        </w:rPr>
      </w:pPr>
    </w:p>
    <w:p>
      <w:pPr>
        <w:jc w:val="both"/>
        <w:ind w:firstLine="1224"/>
        <w:spacing w:after="0" w:line="247" w:lineRule="auto"/>
        <w:tabs>
          <w:tab w:leader="none" w:pos="1658"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Issuing Lender and the Administrative Agent (including any claim for the reasonable compensation, expenses, disbursements and advances of the Lenders, the Issuing Lender and the Administrative Agent and their respective agents and counsel and all other amounts due the Lenders, the Issuing Lender and the Administrative Agent under </w:t>
      </w:r>
      <w:r>
        <w:rPr>
          <w:rFonts w:ascii="Times New Roman" w:cs="Times New Roman" w:eastAsia="Times New Roman" w:hAnsi="Times New Roman"/>
          <w:sz w:val="20"/>
          <w:szCs w:val="20"/>
          <w:u w:val="single" w:color="auto"/>
          <w:color w:val="auto"/>
        </w:rPr>
        <w:t>Sections 2.8(b)</w:t>
      </w:r>
      <w:r>
        <w:rPr>
          <w:rFonts w:ascii="Times New Roman" w:cs="Times New Roman" w:eastAsia="Times New Roman" w:hAnsi="Times New Roman"/>
          <w:sz w:val="20"/>
          <w:szCs w:val="20"/>
          <w:color w:val="auto"/>
        </w:rPr>
        <w:t xml:space="preserve"> [Letter of Credit Fees] and </w:t>
      </w:r>
      <w:r>
        <w:rPr>
          <w:rFonts w:ascii="Times New Roman" w:cs="Times New Roman" w:eastAsia="Times New Roman" w:hAnsi="Times New Roman"/>
          <w:sz w:val="20"/>
          <w:szCs w:val="20"/>
          <w:u w:val="single" w:color="auto"/>
          <w:color w:val="auto"/>
        </w:rPr>
        <w:t>12.3</w:t>
      </w:r>
      <w:r>
        <w:rPr>
          <w:rFonts w:ascii="Times New Roman" w:cs="Times New Roman" w:eastAsia="Times New Roman" w:hAnsi="Times New Roman"/>
          <w:sz w:val="20"/>
          <w:szCs w:val="20"/>
          <w:color w:val="auto"/>
        </w:rPr>
        <w:t xml:space="preserve"> [Expenses; Indemnity; Damage Waiver]) allowed in such judicial proceeding; and</w:t>
      </w:r>
    </w:p>
    <w:p>
      <w:pPr>
        <w:spacing w:after="0" w:line="187" w:lineRule="exact"/>
        <w:rPr>
          <w:rFonts w:ascii="Times New Roman" w:cs="Times New Roman" w:eastAsia="Times New Roman" w:hAnsi="Times New Roman"/>
          <w:sz w:val="20"/>
          <w:szCs w:val="20"/>
          <w:color w:val="auto"/>
        </w:rPr>
      </w:pPr>
    </w:p>
    <w:p>
      <w:pPr>
        <w:ind w:left="1720" w:hanging="496"/>
        <w:spacing w:after="0"/>
        <w:tabs>
          <w:tab w:leader="none" w:pos="172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line="33"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Issuing Lender to make such payments to the Administrative Agent and, in the event that the Administrative Agent shall consent to the making of such payments directly to the Lenders and the Issuing Lender,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[Expenses; Indemnity; Damage Waiver].</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254.11 </w:t>
      </w:r>
      <w:r>
        <w:rPr>
          <w:rFonts w:ascii="Times New Roman" w:cs="Times New Roman" w:eastAsia="Times New Roman" w:hAnsi="Times New Roman"/>
          <w:sz w:val="20"/>
          <w:szCs w:val="20"/>
          <w:u w:val="single" w:color="auto"/>
          <w:color w:val="auto"/>
        </w:rPr>
        <w:t>Collateral and Guaranty Matters</w:t>
      </w:r>
      <w:r>
        <w:rPr>
          <w:rFonts w:ascii="Times New Roman" w:cs="Times New Roman" w:eastAsia="Times New Roman" w:hAnsi="Times New Roman"/>
          <w:sz w:val="20"/>
          <w:szCs w:val="20"/>
          <w:color w:val="auto"/>
        </w:rPr>
        <w:t>.</w:t>
      </w:r>
    </w:p>
    <w:p>
      <w:pPr>
        <w:ind w:left="1840" w:hanging="616"/>
        <w:spacing w:after="0"/>
        <w:tabs>
          <w:tab w:leader="none" w:pos="184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Secured Parties irrevocably authorizes the Administrative Agent, at its option and in its discretion,</w:t>
      </w:r>
    </w:p>
    <w:p>
      <w:pPr>
        <w:spacing w:after="0" w:line="168" w:lineRule="exact"/>
        <w:rPr>
          <w:rFonts w:ascii="Times New Roman" w:cs="Times New Roman" w:eastAsia="Times New Roman" w:hAnsi="Times New Roman"/>
          <w:sz w:val="20"/>
          <w:szCs w:val="20"/>
          <w:color w:val="auto"/>
        </w:rPr>
      </w:pPr>
    </w:p>
    <w:p>
      <w:pPr>
        <w:ind w:left="2240" w:hanging="404"/>
        <w:spacing w:after="0"/>
        <w:tabs>
          <w:tab w:leader="none" w:pos="2240"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Lien on any property granted to or held by the Administrative Agent under any Loan Document</w:t>
      </w:r>
    </w:p>
    <w:p>
      <w:pPr>
        <w:spacing w:after="0" w:line="33" w:lineRule="exact"/>
        <w:rPr>
          <w:rFonts w:ascii="Times New Roman" w:cs="Times New Roman" w:eastAsia="Times New Roman" w:hAnsi="Times New Roman"/>
          <w:sz w:val="20"/>
          <w:szCs w:val="20"/>
          <w:color w:val="auto"/>
        </w:rPr>
      </w:pPr>
    </w:p>
    <w:p>
      <w:pPr>
        <w:jc w:val="both"/>
        <w:ind w:left="1220" w:firstLine="4"/>
        <w:spacing w:after="0" w:line="252" w:lineRule="auto"/>
        <w:tabs>
          <w:tab w:leader="none" w:pos="1518"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Facility Termination Date, (y) that is sold or otherwise disposed of or to be sold or otherwise disposed of as part of or in connection with any sale or other disposition permitted under the Loan Documents, or (z)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12.1</w:t>
      </w:r>
      <w:r>
        <w:rPr>
          <w:rFonts w:ascii="Times New Roman" w:cs="Times New Roman" w:eastAsia="Times New Roman" w:hAnsi="Times New Roman"/>
          <w:sz w:val="20"/>
          <w:szCs w:val="20"/>
          <w:color w:val="auto"/>
        </w:rPr>
        <w:t xml:space="preserve"> [Modifications; Amendment or Waivers], if approved, authorized or ratified in writing by the Required Lenders;</w:t>
      </w:r>
    </w:p>
    <w:p>
      <w:pPr>
        <w:spacing w:after="0" w:line="183" w:lineRule="exact"/>
        <w:rPr>
          <w:rFonts w:ascii="Times New Roman" w:cs="Times New Roman" w:eastAsia="Times New Roman" w:hAnsi="Times New Roman"/>
          <w:sz w:val="20"/>
          <w:szCs w:val="20"/>
          <w:color w:val="auto"/>
        </w:rPr>
      </w:pPr>
    </w:p>
    <w:p>
      <w:pPr>
        <w:ind w:left="1220" w:firstLine="616"/>
        <w:spacing w:after="0" w:line="276" w:lineRule="auto"/>
        <w:tabs>
          <w:tab w:leader="none" w:pos="2332"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otherwise permitted by this Agreement, to subordinate any Lien on any property granted to or held by the Administrative Agent under any Loan Document to the holder of any Lien on such property; and</w:t>
      </w:r>
    </w:p>
    <w:p>
      <w:pPr>
        <w:spacing w:after="0" w:line="171" w:lineRule="exact"/>
        <w:rPr>
          <w:rFonts w:ascii="Times New Roman" w:cs="Times New Roman" w:eastAsia="Times New Roman" w:hAnsi="Times New Roman"/>
          <w:sz w:val="20"/>
          <w:szCs w:val="20"/>
          <w:color w:val="auto"/>
        </w:rPr>
      </w:pPr>
    </w:p>
    <w:p>
      <w:pPr>
        <w:ind w:left="1220" w:firstLine="616"/>
        <w:spacing w:after="0" w:line="276" w:lineRule="auto"/>
        <w:tabs>
          <w:tab w:leader="none" w:pos="2424"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the Guaranty and Security Agreement if such Person ceases to be a Subsidiary or becomes an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320" w:right="339" w:bottom="1440" w:gutter="0" w:footer="0" w:header="0"/>
        </w:sectPr>
      </w:pPr>
    </w:p>
    <w:bookmarkStart w:id="284" w:name="page285"/>
    <w:bookmarkEnd w:id="284"/>
    <w:p>
      <w:pPr>
        <w:ind w:left="1220"/>
        <w:spacing w:after="0"/>
        <w:rPr>
          <w:sz w:val="20"/>
          <w:szCs w:val="20"/>
          <w:color w:val="auto"/>
        </w:rPr>
      </w:pPr>
      <w:r>
        <w:rPr>
          <w:rFonts w:ascii="Times New Roman" w:cs="Times New Roman" w:eastAsia="Times New Roman" w:hAnsi="Times New Roman"/>
          <w:sz w:val="20"/>
          <w:szCs w:val="20"/>
          <w:color w:val="auto"/>
        </w:rPr>
        <w:t>Immaterial Subsidiary as a result of a transaction permitted under the Loan Documents.</w:t>
      </w:r>
    </w:p>
    <w:p>
      <w:pPr>
        <w:spacing w:after="0" w:line="228" w:lineRule="exact"/>
        <w:rPr>
          <w:sz w:val="20"/>
          <w:szCs w:val="20"/>
          <w:color w:val="auto"/>
        </w:rPr>
      </w:pPr>
    </w:p>
    <w:p>
      <w:pPr>
        <w:jc w:val="both"/>
        <w:ind w:firstLine="1223"/>
        <w:spacing w:after="0" w:line="264"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and Security Agreement pursuant to this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1224"/>
        <w:spacing w:after="0" w:line="256" w:lineRule="auto"/>
        <w:tabs>
          <w:tab w:leader="none" w:pos="166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65" w:lineRule="exact"/>
        <w:rPr>
          <w:sz w:val="20"/>
          <w:szCs w:val="20"/>
          <w:color w:val="auto"/>
        </w:rPr>
      </w:pP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254.12 </w:t>
      </w:r>
      <w:r>
        <w:rPr>
          <w:rFonts w:ascii="Times New Roman" w:cs="Times New Roman" w:eastAsia="Times New Roman" w:hAnsi="Times New Roman"/>
          <w:sz w:val="20"/>
          <w:szCs w:val="20"/>
          <w:u w:val="single" w:color="auto"/>
          <w:color w:val="auto"/>
        </w:rPr>
        <w:t>No Reliance on Administrative Agent’s Customer Identification Program</w:t>
      </w:r>
      <w:r>
        <w:rPr>
          <w:rFonts w:ascii="Times New Roman" w:cs="Times New Roman" w:eastAsia="Times New Roman" w:hAnsi="Times New Roman"/>
          <w:sz w:val="20"/>
          <w:szCs w:val="20"/>
          <w:color w:val="auto"/>
        </w:rPr>
        <w:t>.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20"/>
          <w:szCs w:val="20"/>
          <w:u w:val="single" w:color="auto"/>
          <w:color w:val="auto"/>
        </w:rPr>
        <w:t>CIP Regulations</w:t>
      </w:r>
      <w:r>
        <w:rPr>
          <w:rFonts w:ascii="Times New Roman" w:cs="Times New Roman" w:eastAsia="Times New Roman" w:hAnsi="Times New Roman"/>
          <w:sz w:val="20"/>
          <w:szCs w:val="20"/>
          <w:color w:val="auto"/>
        </w:rPr>
        <w:t>”), or any other Anti-Money Laundering Law, any Anti-Corruption Law, or any International Trade Law, including any programs involving any of the following items relating to or in connection with any of the Loan Parties,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spacing w:after="0" w:line="2"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254.13 </w:t>
      </w:r>
      <w:r>
        <w:rPr>
          <w:rFonts w:ascii="Times New Roman" w:cs="Times New Roman" w:eastAsia="Times New Roman" w:hAnsi="Times New Roman"/>
          <w:sz w:val="20"/>
          <w:szCs w:val="20"/>
          <w:u w:val="single" w:color="auto"/>
          <w:color w:val="auto"/>
        </w:rPr>
        <w:t>Lender Provided Interest Rate Hedges and Other Lender Provided Financial Service Products</w:t>
      </w:r>
      <w:r>
        <w:rPr>
          <w:rFonts w:ascii="Times New Roman" w:cs="Times New Roman" w:eastAsia="Times New Roman" w:hAnsi="Times New Roman"/>
          <w:sz w:val="20"/>
          <w:szCs w:val="20"/>
          <w:color w:val="auto"/>
        </w:rPr>
        <w:t xml:space="preserve">. Except as otherwise expressly specified herein, no Cash Management Bank or Hedge Bank that obtains the benefits of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[Application of Proceeds from Collateral], the Guaranty and Security Agreement or any Collateral by virtue of the provisions hereof or of the Guaranty and Security Agreement or any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Obligations arising under Lender Provided Interest Rate Hedges and/or Other Lender Provided Financial Service Products unless the Administrative Agent has received written notice of such Obligations, together with such supporting documentation as the Administrative Agent may request, from the applicable Cash Management Bank or Hedge Bank, as the case may be.</w:t>
      </w:r>
    </w:p>
    <w:p>
      <w:pPr>
        <w:ind w:left="620"/>
        <w:spacing w:after="0" w:line="219" w:lineRule="auto"/>
        <w:rPr>
          <w:sz w:val="20"/>
          <w:szCs w:val="20"/>
          <w:color w:val="auto"/>
        </w:rPr>
      </w:pPr>
      <w:r>
        <w:rPr>
          <w:rFonts w:ascii="Times New Roman" w:cs="Times New Roman" w:eastAsia="Times New Roman" w:hAnsi="Times New Roman"/>
          <w:sz w:val="20"/>
          <w:szCs w:val="20"/>
          <w:color w:val="auto"/>
        </w:rPr>
        <w:t xml:space="preserve">254.14 </w:t>
      </w:r>
      <w:r>
        <w:rPr>
          <w:rFonts w:ascii="Times New Roman" w:cs="Times New Roman" w:eastAsia="Times New Roman" w:hAnsi="Times New Roman"/>
          <w:sz w:val="20"/>
          <w:szCs w:val="20"/>
          <w:u w:val="single" w:color="auto"/>
          <w:color w:val="auto"/>
        </w:rPr>
        <w:t>Certain ERISA Matters</w:t>
      </w:r>
      <w:r>
        <w:rPr>
          <w:rFonts w:ascii="Times New Roman" w:cs="Times New Roman" w:eastAsia="Times New Roman" w:hAnsi="Times New Roman"/>
          <w:sz w:val="20"/>
          <w:szCs w:val="20"/>
          <w:color w:val="auto"/>
        </w:rPr>
        <w:t>.</w:t>
      </w:r>
    </w:p>
    <w:p>
      <w:pPr>
        <w:ind w:left="1840" w:hanging="616"/>
        <w:spacing w:after="0" w:line="213" w:lineRule="auto"/>
        <w:tabs>
          <w:tab w:leader="none" w:pos="1840"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w:t>
      </w:r>
    </w:p>
    <w:p>
      <w:pPr>
        <w:jc w:val="both"/>
        <w:ind w:firstLine="2"/>
        <w:spacing w:after="0" w:line="226" w:lineRule="auto"/>
        <w:tabs>
          <w:tab w:leader="none" w:pos="289"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covenants, from the date such Person became a Lender party hereto to the date such Person ceases being a Lender party hereto, for the benefit of, the Administrative Agent and any lead arranger and their respective Affiliates and not, for the avoidance of doubt, to or for the benefit of the Borrower or any other Loan Party, that at least one of the following is and will be 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337" w:right="339" w:bottom="1440" w:gutter="0" w:footer="0" w:header="0"/>
        </w:sectPr>
      </w:pPr>
    </w:p>
    <w:bookmarkStart w:id="285" w:name="page286"/>
    <w:bookmarkEnd w:id="285"/>
    <w:p>
      <w:pPr>
        <w:jc w:val="both"/>
        <w:ind w:left="540" w:firstLine="1219"/>
        <w:spacing w:after="0" w:line="234" w:lineRule="auto"/>
        <w:tabs>
          <w:tab w:leader="none" w:pos="2438" w:val="left"/>
        </w:tabs>
        <w:numPr>
          <w:ilvl w:val="2"/>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42" w:lineRule="exact"/>
        <w:rPr>
          <w:rFonts w:ascii="Times New Roman" w:cs="Times New Roman" w:eastAsia="Times New Roman" w:hAnsi="Times New Roman"/>
          <w:sz w:val="20"/>
          <w:szCs w:val="20"/>
          <w:color w:val="auto"/>
        </w:rPr>
      </w:pPr>
    </w:p>
    <w:p>
      <w:pPr>
        <w:jc w:val="both"/>
        <w:ind w:left="540" w:firstLine="1219"/>
        <w:spacing w:after="0" w:line="221" w:lineRule="auto"/>
        <w:tabs>
          <w:tab w:leader="none" w:pos="2444" w:val="left"/>
        </w:tabs>
        <w:numPr>
          <w:ilvl w:val="2"/>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47" w:lineRule="exact"/>
        <w:rPr>
          <w:rFonts w:ascii="Times New Roman" w:cs="Times New Roman" w:eastAsia="Times New Roman" w:hAnsi="Times New Roman"/>
          <w:sz w:val="20"/>
          <w:szCs w:val="20"/>
          <w:color w:val="auto"/>
        </w:rPr>
      </w:pPr>
    </w:p>
    <w:p>
      <w:pPr>
        <w:jc w:val="both"/>
        <w:ind w:left="540" w:firstLine="1219"/>
        <w:spacing w:after="0" w:line="220" w:lineRule="auto"/>
        <w:tabs>
          <w:tab w:leader="none" w:pos="2450" w:val="left"/>
        </w:tabs>
        <w:numPr>
          <w:ilvl w:val="2"/>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w:t>
      </w:r>
    </w:p>
    <w:p>
      <w:pPr>
        <w:jc w:val="both"/>
        <w:ind w:left="540" w:hanging="3"/>
        <w:spacing w:after="0" w:line="220" w:lineRule="auto"/>
        <w:tabs>
          <w:tab w:leader="none" w:pos="864"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entrance into, participation in, administration of and performance of the Loans, the Letters of Credit, the Commitments and this Agreement satisfies the requirements of sub-sections (b) through (g) and (k)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46" w:lineRule="exact"/>
        <w:rPr>
          <w:rFonts w:ascii="Times New Roman" w:cs="Times New Roman" w:eastAsia="Times New Roman" w:hAnsi="Times New Roman"/>
          <w:sz w:val="20"/>
          <w:szCs w:val="20"/>
          <w:color w:val="auto"/>
        </w:rPr>
      </w:pPr>
    </w:p>
    <w:p>
      <w:pPr>
        <w:ind w:left="540" w:firstLine="1219"/>
        <w:spacing w:after="0" w:line="249" w:lineRule="auto"/>
        <w:tabs>
          <w:tab w:leader="none" w:pos="2438" w:val="left"/>
        </w:tabs>
        <w:numPr>
          <w:ilvl w:val="2"/>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firstLine="2"/>
        <w:spacing w:after="0" w:line="259" w:lineRule="auto"/>
        <w:tabs>
          <w:tab w:leader="none" w:pos="607"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either (1) sub-clause (i)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(2) a Lender has provided another representation, warranty and covenant in accordance with sub-clause (iv)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any lead arranger and their respective Affiliates and not, for the avoidance of doubt, to or for the benefit of the Borrower or any other Loan Party, that none of the Administrative Agent or any lead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254.15 11.15 </w:t>
      </w:r>
      <w:r>
        <w:rPr>
          <w:rFonts w:ascii="Times New Roman" w:cs="Times New Roman" w:eastAsia="Times New Roman" w:hAnsi="Times New Roman"/>
          <w:sz w:val="20"/>
          <w:szCs w:val="20"/>
          <w:u w:val="single" w:color="auto"/>
          <w:color w:val="auto"/>
        </w:rPr>
        <w:t>Erroneous Payments</w:t>
      </w:r>
      <w:r>
        <w:rPr>
          <w:rFonts w:ascii="Times New Roman" w:cs="Times New Roman" w:eastAsia="Times New Roman" w:hAnsi="Times New Roman"/>
          <w:sz w:val="20"/>
          <w:szCs w:val="20"/>
          <w:color w:val="auto"/>
        </w:rPr>
        <w:t>.</w:t>
      </w:r>
    </w:p>
    <w:p>
      <w:pPr>
        <w:spacing w:after="0" w:line="9" w:lineRule="exact"/>
        <w:rPr>
          <w:sz w:val="20"/>
          <w:szCs w:val="20"/>
          <w:color w:val="auto"/>
        </w:rPr>
      </w:pPr>
    </w:p>
    <w:p>
      <w:pPr>
        <w:jc w:val="both"/>
        <w:ind w:firstLine="1224"/>
        <w:spacing w:after="0" w:line="223" w:lineRule="auto"/>
        <w:tabs>
          <w:tab w:leader="none" w:pos="1831"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a Lender, Issuing Lender or Secured Party, or any Person who has received funds on behalf of a Lender, Issuing Lender or Secured Party (any such Lender, Issuing Lender, Secured Party or other recipient, a “Payment Recipient”) that the Administrative Agent has determined in its sole discretion (whether or not after receipt of any notice under immediately succeeding clause (b)) that any funds received by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324" w:right="339" w:bottom="1440" w:gutter="0" w:footer="0" w:header="0"/>
        </w:sectPr>
      </w:pPr>
    </w:p>
    <w:bookmarkStart w:id="286" w:name="page287"/>
    <w:bookmarkEnd w:id="286"/>
    <w:p>
      <w:pPr>
        <w:jc w:val="both"/>
        <w:spacing w:after="0" w:line="217" w:lineRule="auto"/>
        <w:rPr>
          <w:sz w:val="20"/>
          <w:szCs w:val="20"/>
          <w:color w:val="auto"/>
        </w:rPr>
      </w:pPr>
      <w:r>
        <w:rPr>
          <w:rFonts w:ascii="Times New Roman" w:cs="Times New Roman" w:eastAsia="Times New Roman" w:hAnsi="Times New Roman"/>
          <w:sz w:val="20"/>
          <w:szCs w:val="20"/>
          <w:color w:val="auto"/>
        </w:rPr>
        <w:t>Recipient from the Administrative Agent or any of its Affiliates were erroneously transmitted to, or otherwise erroneously or mistakenly received by, such Payment Recipient (whether or not known to such Lender, Issuing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or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49" w:lineRule="exact"/>
        <w:rPr>
          <w:sz w:val="20"/>
          <w:szCs w:val="20"/>
          <w:color w:val="auto"/>
        </w:rPr>
      </w:pPr>
    </w:p>
    <w:p>
      <w:pPr>
        <w:jc w:val="both"/>
        <w:ind w:firstLine="1224"/>
        <w:spacing w:after="0" w:line="220" w:lineRule="auto"/>
        <w:tabs>
          <w:tab w:leader="none" w:pos="1829"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immediately preceding clause (a), each Lender, Issuing Lender or Secured Party, or any Person who has received funds on behalf of a Lender, Issuing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or Secured Party, or other such recipient, otherwise becomes aware was transmitted, or received, in error or by mistake (in whole or in part) in each case:</w:t>
      </w:r>
    </w:p>
    <w:p>
      <w:pPr>
        <w:spacing w:after="0" w:line="147" w:lineRule="exact"/>
        <w:rPr>
          <w:rFonts w:ascii="Times New Roman" w:cs="Times New Roman" w:eastAsia="Times New Roman" w:hAnsi="Times New Roman"/>
          <w:sz w:val="20"/>
          <w:szCs w:val="20"/>
          <w:color w:val="auto"/>
        </w:rPr>
      </w:pPr>
    </w:p>
    <w:p>
      <w:pPr>
        <w:jc w:val="both"/>
        <w:ind w:left="540" w:firstLine="1219"/>
        <w:spacing w:after="0" w:line="234" w:lineRule="auto"/>
        <w:tabs>
          <w:tab w:leader="none" w:pos="2438"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42" w:lineRule="exact"/>
        <w:rPr>
          <w:rFonts w:ascii="Times New Roman" w:cs="Times New Roman" w:eastAsia="Times New Roman" w:hAnsi="Times New Roman"/>
          <w:sz w:val="20"/>
          <w:szCs w:val="20"/>
          <w:color w:val="auto"/>
        </w:rPr>
      </w:pPr>
    </w:p>
    <w:p>
      <w:pPr>
        <w:jc w:val="both"/>
        <w:ind w:left="540" w:firstLine="1219"/>
        <w:spacing w:after="0" w:line="228" w:lineRule="auto"/>
        <w:tabs>
          <w:tab w:leader="none" w:pos="2444"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Issuing Lender or Secured Party shall (and shall cause any other recipient that receives funds on its respective behalf to) promptly (and, in all events, within one (1)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0"/>
          <w:szCs w:val="20"/>
          <w:u w:val="single" w:color="auto"/>
          <w:color w:val="auto"/>
        </w:rPr>
        <w:t>Section 11.15(b)</w:t>
      </w:r>
      <w:r>
        <w:rPr>
          <w:rFonts w:ascii="Times New Roman" w:cs="Times New Roman" w:eastAsia="Times New Roman" w:hAnsi="Times New Roman"/>
          <w:sz w:val="20"/>
          <w:szCs w:val="20"/>
          <w:color w:val="auto"/>
        </w:rPr>
        <w:t>.</w:t>
      </w:r>
    </w:p>
    <w:p>
      <w:pPr>
        <w:spacing w:after="0" w:line="144"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31"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Issuing Lender or Secured Party hereby authorizes the Administrative Agent to set off, net and apply any and all amounts at any time owing to such Lender, Issuing Lender or Secured Party under any Loan Document, or otherwise payable or distributable by the Administrative Agent to such Lender, Issuing Lender or Secured Party from any source, against any amount due to the Administrative Agent under immediately preceding clause (a) or under the indemnification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324" w:right="339" w:bottom="1440" w:gutter="0" w:footer="0" w:header="0"/>
        </w:sectPr>
      </w:pPr>
    </w:p>
    <w:bookmarkStart w:id="287" w:name="page288"/>
    <w:bookmarkEnd w:id="287"/>
    <w:p>
      <w:pPr>
        <w:jc w:val="both"/>
        <w:ind w:firstLine="1224"/>
        <w:spacing w:after="0" w:line="214" w:lineRule="auto"/>
        <w:tabs>
          <w:tab w:leader="none" w:pos="1829"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 Erroneous Payment (or portion thereof) is not recovered by the Administrative Agent for any reason, after demand therefor by the Administrative Agent in accordance with immediately preceding clause (a), from any Lender or Issuing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upon the Administrative Agent’s notice to such Lender or Issuing Lender at any time, (i) such Lender or Issuing Lender shall be deemed to have assigned its Loans (but not its Commitments) of the relevant Class with respect to which such Erroneous Payment was made (the “</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in an amount equal to the Erroneous Payment Return Deficiency (or such lesser amount as the Administrative Agent may specify) (such assignment of the Loans (but not Commitments) of the Erroneous Payment Impacted Class, the “Erroneous Payment Deficiency Assignment”) at par plus any accrued and unpaid interest (with the assignment fee to be waived by the Administrative Agent in such instance), and is hereby (together with the Borrower) deemed to execute and deliver an Assignment and Assumption Agreement with respect to such Erroneous Payment Deficiency Assignment, and such Lender or Issuing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Lender, as applicable, hereunder with respect to such Erroneous Payment Deficiency Assignment and the assigning Lender or assigning Issuing Lender shall cease to be a Lender or Issuing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Lender shall be reduced by the net proceeds of the sale of such Loan (or portion thereof), and the Administrative Agent shall retain all other rights, remedies and claims against such Lender or Issuing Lender (and/or against any recipient that receives funds on its respective behalf). For the avoidance of doubt, no Erroneous Payment Deficiency Assignment will reduce the Commitments of any Lender or Issuing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Lender or Secured Party under the Loan Documents with respect to each Erroneous Payment Return Deficiency (the “</w:t>
      </w:r>
      <w:r>
        <w:rPr>
          <w:rFonts w:ascii="Times New Roman" w:cs="Times New Roman" w:eastAsia="Times New Roman" w:hAnsi="Times New Roman"/>
          <w:sz w:val="20"/>
          <w:szCs w:val="20"/>
          <w:u w:val="single" w:color="auto"/>
          <w:color w:val="auto"/>
        </w:rPr>
        <w:t>Erroneous Payment Subrogation Rights</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31"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44"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34"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waiver of any defense based on “discharge for value” or any similar doctrine.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324" w:right="339" w:bottom="1440" w:gutter="0" w:footer="0" w:header="0"/>
        </w:sectPr>
      </w:pPr>
    </w:p>
    <w:bookmarkStart w:id="288" w:name="page289"/>
    <w:bookmarkEnd w:id="288"/>
    <w:p>
      <w:pPr>
        <w:jc w:val="both"/>
        <w:ind w:firstLine="1224"/>
        <w:spacing w:after="0" w:line="234" w:lineRule="auto"/>
        <w:tabs>
          <w:tab w:leader="none" w:pos="1829"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 xml:space="preserve"> shall survive the resignation or replacement of the Administrative Agent, the termination of the Commitments and/or the repayment, satisfaction or discharge of all Obligations (or any portion thereof) under any Loan Document.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255</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56" w:lineRule="exact"/>
        <w:rPr>
          <w:sz w:val="20"/>
          <w:szCs w:val="20"/>
          <w:color w:val="auto"/>
        </w:rPr>
      </w:pPr>
    </w:p>
    <w:p>
      <w:pPr>
        <w:jc w:val="both"/>
        <w:ind w:firstLine="611"/>
        <w:spacing w:after="0" w:line="216" w:lineRule="auto"/>
        <w:rPr>
          <w:sz w:val="20"/>
          <w:szCs w:val="20"/>
          <w:color w:val="auto"/>
        </w:rPr>
      </w:pPr>
      <w:r>
        <w:rPr>
          <w:rFonts w:ascii="Times New Roman" w:cs="Times New Roman" w:eastAsia="Times New Roman" w:hAnsi="Times New Roman"/>
          <w:sz w:val="20"/>
          <w:szCs w:val="20"/>
          <w:color w:val="auto"/>
        </w:rPr>
        <w:t xml:space="preserve">255.1 </w:t>
      </w:r>
      <w:r>
        <w:rPr>
          <w:rFonts w:ascii="Times New Roman" w:cs="Times New Roman" w:eastAsia="Times New Roman" w:hAnsi="Times New Roman"/>
          <w:sz w:val="20"/>
          <w:szCs w:val="20"/>
          <w:u w:val="single" w:color="auto"/>
          <w:color w:val="auto"/>
        </w:rPr>
        <w:t>Modifications, Amendments or Waivers</w:t>
      </w:r>
      <w:r>
        <w:rPr>
          <w:rFonts w:ascii="Times New Roman" w:cs="Times New Roman" w:eastAsia="Times New Roman" w:hAnsi="Times New Roman"/>
          <w:sz w:val="20"/>
          <w:szCs w:val="20"/>
          <w:color w:val="auto"/>
        </w:rPr>
        <w:t xml:space="preserve">. With the written consent of the Required Lenders (or as expressly provided by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[Incremental Loans]), the Administrative Agent, acting on behalf of all the Lenders, and the Borrower, on behalf of the Loan Parties, may from time to time enter into written agreements amending or changing any provision of this Agreement or any other Loan Document or the rights of the Lenders or the Loan Parties hereunder or thereunder, or may grant written waivers or consents hereunder or thereunder. Any such agreement, waiver or consent made with such written consent shall be effective to bind all the Lenders and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agreement, waiver or consent may be made which will:</w:t>
      </w:r>
    </w:p>
    <w:p>
      <w:pPr>
        <w:spacing w:after="0" w:line="3" w:lineRule="exact"/>
        <w:rPr>
          <w:sz w:val="20"/>
          <w:szCs w:val="20"/>
          <w:color w:val="auto"/>
        </w:rPr>
      </w:pPr>
    </w:p>
    <w:p>
      <w:pPr>
        <w:ind w:firstLine="1224"/>
        <w:spacing w:after="0" w:line="233" w:lineRule="auto"/>
        <w:tabs>
          <w:tab w:leader="none" w:pos="1831"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 of Commitment</w:t>
      </w:r>
      <w:r>
        <w:rPr>
          <w:rFonts w:ascii="Times New Roman" w:cs="Times New Roman" w:eastAsia="Times New Roman" w:hAnsi="Times New Roman"/>
          <w:sz w:val="20"/>
          <w:szCs w:val="20"/>
          <w:color w:val="auto"/>
        </w:rPr>
        <w:t>. Increase the amount of the Revolving Credit Commitment of any Lender hereunder without the consent of such Lender;</w:t>
      </w:r>
    </w:p>
    <w:p>
      <w:pPr>
        <w:spacing w:after="0" w:line="142" w:lineRule="exact"/>
        <w:rPr>
          <w:rFonts w:ascii="Times New Roman" w:cs="Times New Roman" w:eastAsia="Times New Roman" w:hAnsi="Times New Roman"/>
          <w:sz w:val="20"/>
          <w:szCs w:val="20"/>
          <w:color w:val="auto"/>
        </w:rPr>
      </w:pPr>
    </w:p>
    <w:p>
      <w:pPr>
        <w:jc w:val="both"/>
        <w:ind w:firstLine="1224"/>
        <w:spacing w:after="0" w:line="221" w:lineRule="auto"/>
        <w:tabs>
          <w:tab w:leader="none" w:pos="1829"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 Payment; Reduction of Principal, Interest or Fees; Modification of Terms of Payment</w:t>
      </w:r>
      <w:r>
        <w:rPr>
          <w:rFonts w:ascii="Times New Roman" w:cs="Times New Roman" w:eastAsia="Times New Roman" w:hAnsi="Times New Roman"/>
          <w:sz w:val="20"/>
          <w:szCs w:val="20"/>
          <w:color w:val="auto"/>
        </w:rPr>
        <w:t>. Whether or not any Loans are outstanding, extend the Expiration Date or the scheduled time for payment of principal or interest of any Loan (excluding the due date of any mandatory prepayment of a Loan), the Commitment Fee or any other fee payable to any Lender, or reduce the principal amount of or the stated rate of interest borne by any Loan (other than as a result of waiving the applicability of any post-default increase in interest rates) or reduce the stated rate of the Commitment Fee or any other fee payable to any Lender, without the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amendment or modification of defined terms used in the financial covenants of this Agreement shall not constitute a reduction in the stated rate of interest or fees for purposes of this clause (b));</w:t>
      </w:r>
    </w:p>
    <w:p>
      <w:pPr>
        <w:spacing w:after="0" w:line="147" w:lineRule="exact"/>
        <w:rPr>
          <w:rFonts w:ascii="Times New Roman" w:cs="Times New Roman" w:eastAsia="Times New Roman" w:hAnsi="Times New Roman"/>
          <w:sz w:val="20"/>
          <w:szCs w:val="20"/>
          <w:color w:val="auto"/>
        </w:rPr>
      </w:pPr>
    </w:p>
    <w:p>
      <w:pPr>
        <w:jc w:val="both"/>
        <w:ind w:firstLine="1224"/>
        <w:spacing w:after="0" w:line="221" w:lineRule="auto"/>
        <w:tabs>
          <w:tab w:leader="none" w:pos="1831"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Collateral or Guarantor; Subordination of Obligations or Collateral</w:t>
      </w:r>
      <w:r>
        <w:rPr>
          <w:rFonts w:ascii="Times New Roman" w:cs="Times New Roman" w:eastAsia="Times New Roman" w:hAnsi="Times New Roman"/>
          <w:sz w:val="20"/>
          <w:szCs w:val="20"/>
          <w:color w:val="auto"/>
        </w:rPr>
        <w:t xml:space="preserve">. Except as permitted by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[Sale of Assets] or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[Collateral and Guaranty Matters], each as in effect on the Closing Date, (i) release all or substantially all of the Collateral or release all or substantially all the value of the Guarantors from their Obligations under the Guaranty and Security Agreement, in each case without the consent of all Lenders (other than Defaulting Lenders) or (ii) (y) subordinate, or have the effect of subordinating, the Obligations hereunder to any other Indebtedness, or (z) subordinate, or have the effect of subordinating, the Liens securing the Obligations to Liens securing any other Indebtedness, in each case without the prior consent of each Lender directly affected thereby; or</w:t>
      </w:r>
    </w:p>
    <w:p>
      <w:pPr>
        <w:spacing w:after="0" w:line="147"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29"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xml:space="preserve">. Amend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[Pro Rata Treatment of Lenders],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[Exculpatory Provisions],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[Sharing of Payments by Lenders],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[Application of Proceeds from Collateral] or this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alter any provision regarding the pro rata treatment of the Lenders or requiring all Lenders to authorize the taking of any action or reduce any percentage specified in the definition of Required Lenders, in each case without the consent of all of the Lenders;</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agreement, waiver or consent which would modify the interests, rights or obligations of the Administrative Agent, the Issuing Lender, or the Swingline Loan Lender may be made without the written consent of the Administrative Agent, the Issuing Lender or the Swingline Loan Lender, as applicable, and (ii) the Administrative Agent’s Letter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324" w:right="339" w:bottom="1440" w:gutter="0" w:footer="0" w:header="0"/>
        </w:sectPr>
      </w:pPr>
    </w:p>
    <w:bookmarkStart w:id="289" w:name="page290"/>
    <w:bookmarkEnd w:id="289"/>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amended, or rights or privileges thereunder waived, in a writing executed only by the parties thereto,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in connection with any proposed waiver, amendment or modification referred to in </w:t>
      </w:r>
      <w:r>
        <w:rPr>
          <w:rFonts w:ascii="Times New Roman" w:cs="Times New Roman" w:eastAsia="Times New Roman" w:hAnsi="Times New Roman"/>
          <w:sz w:val="20"/>
          <w:szCs w:val="20"/>
          <w:u w:val="single" w:color="auto"/>
          <w:color w:val="auto"/>
        </w:rPr>
        <w:t>Sections 12.1(a)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there is a Non-Consenting Lender, then the Borrower shall have the right to replace any such Non-Consenting Lender with one or more replacement Lenders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[Replacement of a Lender].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Notwithstanding any provision herein to the contrary, this Agreement may be amended to extend the Expiration Date with respect to the Revolving Credit Commitments of Lenders that agree to such extension with respect to their Revolving Credit Commitments with the written consent of each such approving Lender, the Administrative Agent and the Borrower (and no other Lender) and, in connection therewith, to provide for different rates of interest and fees under the Revolving Credit Facility with respect to the portion of the Revolving Credit Commitments with an Expiration Date so extended;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such case any such proposed extension of the Expiration Date shall have been offered to each Lender with Loans or Commitments under the applicable Facility proposed to be extended, and if the consents of such Lenders exceed the portion of Commitments and Loans the Borrower wishes to extend, such consents shall be accepted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among the applicable consenting Lenders.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notwithstanding the foregoing, (a) with the consent of the Borrower, the Administrative Agent may amend, modify or supplement any Loan Document without the consent of any Lender or the Required Lenders in order to correct or cure any ambiguity, inconsistency or defect or correct any typographical or ministerial error in any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amendment, modification or supplement shall not be materially adverse to the interests of the Lenders taken as a whole), (b) without the consent of any Lender or the Borrower, within a reasonable time after (i) the effective date of any increase or addition to, extension of or decrease from, the Revolving Commitment Amount, or (ii) any assignment by any Lender of some or all of its Revolving Commitment Amount, the Administrative Agent shall, and is hereby authorized to, revise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to reflect such change, whereupon such revised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shall replace the old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and become part of this Agreement, and (c) with the consent of the Borrower, the Administrative Agent may amend or amend and restate this Agreement and the other Loan Documents without the consent of any Lender, if (i) upon giving effect to such amendment or amendment and restatement, such Lender shall no longer be a party to this Agreement (as so amended or amended and restated), (ii) the Commitments of such Lender shall have terminated, (iii) such Lender shall have no other commitment or other obligation hereunder, and (iv) such Lender shall have been paid in full all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349"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20"/>
          <w:szCs w:val="20"/>
          <w:color w:val="auto"/>
        </w:rPr>
        <w:t>principal, interest and other amounts owing to it or accrued for its account under this Agreement and the other Loan Documents.</w:t>
      </w:r>
    </w:p>
    <w:p>
      <w:pPr>
        <w:spacing w:after="0" w:line="216" w:lineRule="exact"/>
        <w:rPr>
          <w:sz w:val="20"/>
          <w:szCs w:val="20"/>
          <w:color w:val="auto"/>
        </w:rPr>
      </w:pPr>
    </w:p>
    <w:p>
      <w:pPr>
        <w:jc w:val="both"/>
        <w:ind w:firstLine="611"/>
        <w:spacing w:after="0" w:line="214" w:lineRule="auto"/>
        <w:rPr>
          <w:sz w:val="20"/>
          <w:szCs w:val="20"/>
          <w:color w:val="auto"/>
        </w:rPr>
      </w:pPr>
      <w:r>
        <w:rPr>
          <w:rFonts w:ascii="Times New Roman" w:cs="Times New Roman" w:eastAsia="Times New Roman" w:hAnsi="Times New Roman"/>
          <w:sz w:val="20"/>
          <w:szCs w:val="20"/>
          <w:color w:val="auto"/>
        </w:rPr>
        <w:t xml:space="preserve">255.2 </w:t>
      </w:r>
      <w:r>
        <w:rPr>
          <w:rFonts w:ascii="Times New Roman" w:cs="Times New Roman" w:eastAsia="Times New Roman" w:hAnsi="Times New Roman"/>
          <w:sz w:val="20"/>
          <w:szCs w:val="20"/>
          <w:u w:val="single" w:color="auto"/>
          <w:color w:val="auto"/>
        </w:rPr>
        <w:t>No Implied Waivers; Cumulative Remedies</w:t>
      </w:r>
      <w:r>
        <w:rPr>
          <w:rFonts w:ascii="Times New Roman" w:cs="Times New Roman" w:eastAsia="Times New Roman" w:hAnsi="Times New Roman"/>
          <w:sz w:val="20"/>
          <w:szCs w:val="20"/>
          <w:color w:val="auto"/>
        </w:rPr>
        <w:t>. No course of dealing and no delay or failure of the Administrative Agent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enumeration of the rights and remedies of the Administrative Agent and the Lenders specified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reasonable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w:t>
      </w:r>
    </w:p>
    <w:p>
      <w:pPr>
        <w:ind w:left="620"/>
        <w:spacing w:after="0" w:line="220" w:lineRule="auto"/>
        <w:rPr>
          <w:sz w:val="20"/>
          <w:szCs w:val="20"/>
          <w:color w:val="auto"/>
        </w:rPr>
      </w:pPr>
      <w:r>
        <w:rPr>
          <w:rFonts w:ascii="Times New Roman" w:cs="Times New Roman" w:eastAsia="Times New Roman" w:hAnsi="Times New Roman"/>
          <w:sz w:val="20"/>
          <w:szCs w:val="20"/>
          <w:color w:val="auto"/>
        </w:rPr>
        <w:t xml:space="preserve">255.3  </w:t>
      </w:r>
      <w:r>
        <w:rPr>
          <w:rFonts w:ascii="Times New Roman" w:cs="Times New Roman" w:eastAsia="Times New Roman" w:hAnsi="Times New Roman"/>
          <w:sz w:val="20"/>
          <w:szCs w:val="20"/>
          <w:u w:val="single" w:color="auto"/>
          <w:color w:val="auto"/>
        </w:rPr>
        <w:t>Expenses; Indemnity; Damage Waiver</w:t>
      </w:r>
      <w:r>
        <w:rPr>
          <w:rFonts w:ascii="Times New Roman" w:cs="Times New Roman" w:eastAsia="Times New Roman" w:hAnsi="Times New Roman"/>
          <w:sz w:val="20"/>
          <w:szCs w:val="20"/>
          <w:color w:val="auto"/>
        </w:rPr>
        <w:t>.</w:t>
      </w:r>
    </w:p>
    <w:p>
      <w:pPr>
        <w:jc w:val="both"/>
        <w:ind w:firstLine="1224"/>
        <w:spacing w:after="0" w:line="215" w:lineRule="auto"/>
        <w:tabs>
          <w:tab w:leader="none" w:pos="1831"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 shall pay (i) all reasonable out-of-pocket expenses incurred by the Administrative Agent and its Affiliates and the Arrangers (including the reasonable fees, charges and disbursements of counsel for the Administrative Agent and the Arrangers), and shall pay all fees and time charges and disbursements for attorneys who may be employees of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out-of-pocket expenses incurred by the Issuing Lender in connection with the issuance, amendment, renewal or extension of any Letter of Credit or any demand for payment thereunder, (iii) all out-of-pocket expenses incurred by the Administrative Agent, any Lender or the Issuing Lender (including the fees, charges and disbursements of any counsel for the Administrative Agent, any Lender or the Issuing Lender), and shall pay all fees and time charges for attorneys who may be employees of the Administrative Agent, any Lender or the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and (iv) all reasonable out-of-pocket expenses of the Administrative Agent’s regular employees and agents engaged periodically to perform audits of the Loan Parties’ books, records and business properties.</w:t>
      </w:r>
    </w:p>
    <w:p>
      <w:pPr>
        <w:spacing w:after="0" w:line="147" w:lineRule="exact"/>
        <w:rPr>
          <w:rFonts w:ascii="Times New Roman" w:cs="Times New Roman" w:eastAsia="Times New Roman" w:hAnsi="Times New Roman"/>
          <w:sz w:val="20"/>
          <w:szCs w:val="20"/>
          <w:color w:val="auto"/>
        </w:rPr>
      </w:pPr>
    </w:p>
    <w:p>
      <w:pPr>
        <w:jc w:val="both"/>
        <w:ind w:firstLine="1224"/>
        <w:spacing w:after="0" w:line="219" w:lineRule="auto"/>
        <w:tabs>
          <w:tab w:leader="none" w:pos="1829"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The Borrower shall indemnify the Administrative Agent (and any sub-agent thereof), the Arrangers, each Lender and the Issuing Lender,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against, and hold each Indemnitee harmless from (and shall reimburse each Indemnitee as the same are incurred),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 or any other Loan Party, or any affiliate of any such party) other than such Indemnitee and its Related Parties arising out of, in connection with, or as a result of (i) the execution or delivery of this Agreement, any other Loan Document or any agreement or instrument contemplated hereby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349" w:right="339" w:bottom="1440" w:gutter="0" w:footer="0" w:header="0"/>
        </w:sectPr>
      </w:pPr>
    </w:p>
    <w:bookmarkStart w:id="291" w:name="page292"/>
    <w:bookmarkEnd w:id="291"/>
    <w:p>
      <w:pPr>
        <w:jc w:val="both"/>
        <w:spacing w:after="0" w:line="216" w:lineRule="auto"/>
        <w:rPr>
          <w:sz w:val="20"/>
          <w:szCs w:val="20"/>
          <w:color w:val="auto"/>
        </w:rPr>
      </w:pPr>
      <w:r>
        <w:rPr>
          <w:rFonts w:ascii="Times New Roman" w:cs="Times New Roman" w:eastAsia="Times New Roman" w:hAnsi="Times New Roman"/>
          <w:sz w:val="20"/>
          <w:szCs w:val="20"/>
          <w:color w:val="auto"/>
        </w:rPr>
        <w:t xml:space="preserve">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or any affiliate of any such party,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This </w:t>
      </w:r>
      <w:r>
        <w:rPr>
          <w:rFonts w:ascii="Times New Roman" w:cs="Times New Roman" w:eastAsia="Times New Roman" w:hAnsi="Times New Roman"/>
          <w:sz w:val="20"/>
          <w:szCs w:val="20"/>
          <w:u w:val="single" w:color="auto"/>
          <w:color w:val="auto"/>
        </w:rPr>
        <w:t>Section 12.3(b)</w:t>
      </w:r>
      <w:r>
        <w:rPr>
          <w:rFonts w:ascii="Times New Roman" w:cs="Times New Roman" w:eastAsia="Times New Roman" w:hAnsi="Times New Roman"/>
          <w:sz w:val="20"/>
          <w:szCs w:val="20"/>
          <w:color w:val="auto"/>
        </w:rPr>
        <w:t xml:space="preserve"> shall not apply with respect to Taxes other than any Taxes that represent losses, claims, damages, liabilities or related expenses arising from any non-Tax claim.</w:t>
      </w:r>
    </w:p>
    <w:p>
      <w:pPr>
        <w:spacing w:after="0" w:line="155" w:lineRule="exact"/>
        <w:rPr>
          <w:sz w:val="20"/>
          <w:szCs w:val="20"/>
          <w:color w:val="auto"/>
        </w:rPr>
      </w:pPr>
    </w:p>
    <w:p>
      <w:pPr>
        <w:jc w:val="both"/>
        <w:ind w:firstLine="1224"/>
        <w:spacing w:after="0" w:line="216" w:lineRule="auto"/>
        <w:tabs>
          <w:tab w:leader="none" w:pos="1831"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Borrower for any reason fails to indefeasibly pay any amount required under paragraph (a) or (b) of this Section to be paid by it to the Administrative Agent (or any sub-agent thereof), the Issuing Lender, the Swingline Loan Lender or any Related Party of any of the foregoing, each Lender severally agrees to pay to the Administrative Agent (or any such sub-agent), such Issuing Lender, such Swingline Loan Lender or such Related Party, as the case may be, such Lender’s pro rata share (determined as of the time that the applicable unreimbursed expense or indemnity payment is sought based on each Lender’s Ratable Share at such time) of such unpaid amount (including any such unpaid amount in respect of a claim asserted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such unpaid amounts owed to the Issuing Lender or the Swingline Loan Lender solely in its capacity as such, only the Lenders with Revolving Credit Commitments shall be required to pay such unpaid amounts, such payment to be made severally among them based on such Lenders’ Ratable Share of the Revolving Credit Facility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sub-agent),the Issuing Lender or the Swingline Loan Lender in its capacity as such, or against any Related Party of any of the foregoing acting for the Administrative Agent (or any such sub-agent), the Issuing Lender or the Swingline Loan Lender in connection with such capacity. The obligations of the Lenders under this paragraph (b) are subject to the provisions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[Nature of Lenders’ Obligations with Respect to Revolving Credit Loans].</w:t>
      </w:r>
    </w:p>
    <w:p>
      <w:pPr>
        <w:spacing w:after="0" w:line="155" w:lineRule="exact"/>
        <w:rPr>
          <w:rFonts w:ascii="Times New Roman" w:cs="Times New Roman" w:eastAsia="Times New Roman" w:hAnsi="Times New Roman"/>
          <w:sz w:val="20"/>
          <w:szCs w:val="20"/>
          <w:color w:val="auto"/>
        </w:rPr>
      </w:pPr>
    </w:p>
    <w:p>
      <w:pPr>
        <w:jc w:val="both"/>
        <w:ind w:firstLine="1224"/>
        <w:spacing w:after="0"/>
        <w:tabs>
          <w:tab w:leader="none" w:pos="1829"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 xml:space="preserve"> [Costs and Expenses]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324" w:right="339" w:bottom="1440" w:gutter="0" w:footer="0" w:header="0"/>
        </w:sectPr>
      </w:pPr>
    </w:p>
    <w:bookmarkStart w:id="292" w:name="page293"/>
    <w:bookmarkEnd w:id="292"/>
    <w:p>
      <w:pPr>
        <w:spacing w:after="0" w:line="249" w:lineRule="auto"/>
        <w:rPr>
          <w:sz w:val="20"/>
          <w:szCs w:val="20"/>
          <w:color w:val="auto"/>
        </w:rPr>
      </w:pPr>
      <w:r>
        <w:rPr>
          <w:rFonts w:ascii="Times New Roman" w:cs="Times New Roman" w:eastAsia="Times New Roman" w:hAnsi="Times New Roman"/>
          <w:sz w:val="20"/>
          <w:szCs w:val="20"/>
          <w:color w:val="auto"/>
        </w:rPr>
        <w:t>transactions contemplated hereby or thereby, except to the extent such liability or damages are determined by a court of competent jurisdiction by final and non-appealable judgment to have resulted from the gross negligence or willful misconduct of such Indemnitee.</w:t>
      </w:r>
    </w:p>
    <w:p>
      <w:pPr>
        <w:spacing w:after="0" w:line="130" w:lineRule="exact"/>
        <w:rPr>
          <w:sz w:val="20"/>
          <w:szCs w:val="20"/>
          <w:color w:val="auto"/>
        </w:rPr>
      </w:pPr>
    </w:p>
    <w:p>
      <w:pPr>
        <w:ind w:left="1220"/>
        <w:spacing w:after="0"/>
        <w:tabs>
          <w:tab w:leader="none" w:pos="182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All amounts due under this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shall be payable not later than ten (10) days after demand</w:t>
      </w:r>
    </w:p>
    <w:p>
      <w:pPr>
        <w:spacing w:after="0"/>
        <w:rPr>
          <w:sz w:val="20"/>
          <w:szCs w:val="20"/>
          <w:color w:val="auto"/>
        </w:rPr>
      </w:pPr>
      <w:r>
        <w:rPr>
          <w:rFonts w:ascii="Times New Roman" w:cs="Times New Roman" w:eastAsia="Times New Roman" w:hAnsi="Times New Roman"/>
          <w:sz w:val="20"/>
          <w:szCs w:val="20"/>
          <w:color w:val="auto"/>
        </w:rPr>
        <w:t>therefor.</w:t>
      </w:r>
    </w:p>
    <w:p>
      <w:pPr>
        <w:spacing w:after="0" w:line="156" w:lineRule="exact"/>
        <w:rPr>
          <w:sz w:val="20"/>
          <w:szCs w:val="20"/>
          <w:color w:val="auto"/>
        </w:rPr>
      </w:pPr>
    </w:p>
    <w:p>
      <w:pPr>
        <w:ind w:firstLine="1224"/>
        <w:spacing w:after="0" w:line="249" w:lineRule="auto"/>
        <w:tabs>
          <w:tab w:leader="none" w:pos="1834"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shall survive the termination of the Loan Documents and payment of the obligations hereunder.</w:t>
      </w:r>
    </w:p>
    <w:p>
      <w:pPr>
        <w:spacing w:after="0" w:line="134" w:lineRule="exact"/>
        <w:rPr>
          <w:sz w:val="20"/>
          <w:szCs w:val="20"/>
          <w:color w:val="auto"/>
        </w:rPr>
      </w:pP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255.4 </w:t>
      </w:r>
      <w:r>
        <w:rPr>
          <w:rFonts w:ascii="Times New Roman" w:cs="Times New Roman" w:eastAsia="Times New Roman" w:hAnsi="Times New Roman"/>
          <w:sz w:val="20"/>
          <w:szCs w:val="20"/>
          <w:u w:val="single" w:color="auto"/>
          <w:color w:val="auto"/>
        </w:rPr>
        <w:t>Holidays</w:t>
      </w:r>
      <w:r>
        <w:rPr>
          <w:rFonts w:ascii="Times New Roman" w:cs="Times New Roman" w:eastAsia="Times New Roman" w:hAnsi="Times New Roman"/>
          <w:sz w:val="20"/>
          <w:szCs w:val="20"/>
          <w:color w:val="auto"/>
        </w:rPr>
        <w:t>. Whenever payment of a Loan to be made or taken hereunder shall be due on a day which is not a Business Day, such payment shall be due on the next Business Day (except as otherwise set forth herein) and such extension of time shall be included in computing interest and fees, except that the Loans under the Revolving Credit Facility shall be due on the Business Day preceding the Expiration Date if the Expiration Date is not a Business Day. Whenever any payment or action to be made or taken hereunder (other than payment of the Loans) shall be stated to be due on a day which is not a Business Day, such payment or action shall be made or taken on the next following Business Day, and such extension of time shall not be included in computing interest or fees, if any, in connection with such payment or action.</w:t>
      </w:r>
    </w:p>
    <w:p>
      <w:pPr>
        <w:ind w:left="620"/>
        <w:spacing w:after="0" w:line="218" w:lineRule="auto"/>
        <w:rPr>
          <w:sz w:val="20"/>
          <w:szCs w:val="20"/>
          <w:color w:val="auto"/>
        </w:rPr>
      </w:pPr>
      <w:r>
        <w:rPr>
          <w:rFonts w:ascii="Times New Roman" w:cs="Times New Roman" w:eastAsia="Times New Roman" w:hAnsi="Times New Roman"/>
          <w:sz w:val="20"/>
          <w:szCs w:val="20"/>
          <w:color w:val="auto"/>
        </w:rPr>
        <w:t xml:space="preserve">255.5  </w:t>
      </w:r>
      <w:r>
        <w:rPr>
          <w:rFonts w:ascii="Times New Roman" w:cs="Times New Roman" w:eastAsia="Times New Roman" w:hAnsi="Times New Roman"/>
          <w:sz w:val="20"/>
          <w:szCs w:val="20"/>
          <w:u w:val="single" w:color="auto"/>
          <w:color w:val="auto"/>
        </w:rPr>
        <w:t>Notices; Effectiveness; Electronic Communication.</w:t>
      </w:r>
    </w:p>
    <w:p>
      <w:pPr>
        <w:spacing w:after="0" w:line="1" w:lineRule="exact"/>
        <w:rPr>
          <w:sz w:val="20"/>
          <w:szCs w:val="20"/>
          <w:color w:val="auto"/>
        </w:rPr>
      </w:pPr>
    </w:p>
    <w:p>
      <w:pPr>
        <w:jc w:val="both"/>
        <w:ind w:firstLine="1224"/>
        <w:spacing w:after="0" w:line="212" w:lineRule="auto"/>
        <w:tabs>
          <w:tab w:leader="none" w:pos="1831"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Generally.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electronic mail as follows</w:t>
      </w:r>
    </w:p>
    <w:p>
      <w:pPr>
        <w:spacing w:after="0" w:line="1" w:lineRule="exact"/>
        <w:rPr>
          <w:rFonts w:ascii="Times New Roman" w:cs="Times New Roman" w:eastAsia="Times New Roman" w:hAnsi="Times New Roman"/>
          <w:sz w:val="20"/>
          <w:szCs w:val="20"/>
          <w:color w:val="auto"/>
        </w:rPr>
      </w:pPr>
    </w:p>
    <w:p>
      <w:pPr>
        <w:jc w:val="both"/>
        <w:ind w:firstLine="2"/>
        <w:spacing w:after="0" w:line="219" w:lineRule="auto"/>
        <w:tabs>
          <w:tab w:leader="none" w:pos="269"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a Lender, to it at its address (or electronic mail address) specified in its Administrative Questionnaire, or (ii) if to any other Person, to it at its address set forth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Notices sent by hand or overnight courier service, or mailed by certified or registered mail, shall be deemed to have been given when received; notices sent by electronic mail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45" w:lineRule="exact"/>
        <w:rPr>
          <w:rFonts w:ascii="Times New Roman" w:cs="Times New Roman" w:eastAsia="Times New Roman" w:hAnsi="Times New Roman"/>
          <w:sz w:val="20"/>
          <w:szCs w:val="20"/>
          <w:color w:val="auto"/>
        </w:rPr>
      </w:pPr>
    </w:p>
    <w:p>
      <w:pPr>
        <w:jc w:val="both"/>
        <w:ind w:firstLine="1224"/>
        <w:spacing w:after="0" w:line="221" w:lineRule="auto"/>
        <w:tabs>
          <w:tab w:leader="none" w:pos="1829"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Issuing Lender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Issuing Lender pursuant to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[Revolving Credit and Swingline Loan Facilities] if such Lender or Issuing Lender,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73" w:lineRule="exact"/>
        <w:rPr>
          <w:sz w:val="20"/>
          <w:szCs w:val="20"/>
          <w:color w:val="auto"/>
        </w:rPr>
      </w:pPr>
    </w:p>
    <w:p>
      <w:pPr>
        <w:jc w:val="both"/>
        <w:ind w:firstLine="1223"/>
        <w:spacing w:after="0" w:line="266" w:lineRule="auto"/>
        <w:rPr>
          <w:sz w:val="20"/>
          <w:szCs w:val="20"/>
          <w:color w:val="auto"/>
        </w:rPr>
      </w:pPr>
      <w:r>
        <w:rPr>
          <w:rFonts w:ascii="Times New Roman" w:cs="Times New Roman" w:eastAsia="Times New Roman" w:hAnsi="Times New Roman"/>
          <w:sz w:val="20"/>
          <w:szCs w:val="20"/>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324" w:right="339" w:bottom="1440" w:gutter="0" w:footer="0" w:header="0"/>
        </w:sectPr>
      </w:pPr>
    </w:p>
    <w:bookmarkStart w:id="293" w:name="page294"/>
    <w:bookmarkEnd w:id="293"/>
    <w:p>
      <w:pPr>
        <w:jc w:val="both"/>
        <w:spacing w:after="0" w:line="271" w:lineRule="auto"/>
        <w:rPr>
          <w:sz w:val="20"/>
          <w:szCs w:val="20"/>
          <w:color w:val="auto"/>
        </w:rPr>
      </w:pPr>
      <w:r>
        <w:rPr>
          <w:rFonts w:ascii="Times New Roman" w:cs="Times New Roman" w:eastAsia="Times New Roman" w:hAnsi="Times New Roman"/>
          <w:sz w:val="20"/>
          <w:szCs w:val="20"/>
          <w:color w:val="auto"/>
        </w:rPr>
        <w:t xml:space="preserve">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3" w:lineRule="exact"/>
        <w:rPr>
          <w:sz w:val="20"/>
          <w:szCs w:val="20"/>
          <w:color w:val="auto"/>
        </w:rPr>
      </w:pPr>
    </w:p>
    <w:p>
      <w:pPr>
        <w:ind w:firstLine="1224"/>
        <w:spacing w:after="0" w:line="249" w:lineRule="auto"/>
        <w:tabs>
          <w:tab w:leader="none" w:pos="1831"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Any party hereto may change its address or electronic mail address for notices and other communications hereunder by notice to the other parties hereto.</w:t>
      </w:r>
    </w:p>
    <w:p>
      <w:pPr>
        <w:spacing w:after="0" w:line="134"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jc w:val="both"/>
        <w:ind w:left="1220" w:firstLine="616"/>
        <w:spacing w:after="0" w:line="257" w:lineRule="auto"/>
        <w:tabs>
          <w:tab w:leader="none" w:pos="2426"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agrees that the Administrative Agent may, but shall not be obligated to, make the Communications (as defined below) available to the Issuing Lender and the other Lenders by posting the Communications on the Platform.</w:t>
      </w:r>
    </w:p>
    <w:p>
      <w:pPr>
        <w:spacing w:after="0" w:line="190" w:lineRule="exact"/>
        <w:rPr>
          <w:rFonts w:ascii="Times New Roman" w:cs="Times New Roman" w:eastAsia="Times New Roman" w:hAnsi="Times New Roman"/>
          <w:sz w:val="20"/>
          <w:szCs w:val="20"/>
          <w:color w:val="auto"/>
        </w:rPr>
      </w:pPr>
    </w:p>
    <w:p>
      <w:pPr>
        <w:jc w:val="both"/>
        <w:ind w:left="1220" w:firstLine="616"/>
        <w:spacing w:after="0" w:line="246" w:lineRule="auto"/>
        <w:tabs>
          <w:tab w:leader="none" w:pos="2300"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 the Borrower or the other Loan Parties, any Lender or any other Person or entity for damages of any kind, including direct or indirect, special, incidental or consequential damages, losses or expenses (whether in tort, contract or otherwise) arising out of the Borrower’s, any other Loan Party’s or the Administrative Agent’s transmission of communications through the Platform. “</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to the Administrative Agent, any Lender or any Issuing Lender by means of electronic communications pursuant to this Section, including through the Platform.</w:t>
      </w:r>
    </w:p>
    <w:p>
      <w:pPr>
        <w:spacing w:after="0" w:line="200" w:lineRule="exact"/>
        <w:rPr>
          <w:sz w:val="20"/>
          <w:szCs w:val="20"/>
          <w:color w:val="auto"/>
        </w:rPr>
      </w:pPr>
    </w:p>
    <w:p>
      <w:pPr>
        <w:spacing w:after="0" w:line="231" w:lineRule="exact"/>
        <w:rPr>
          <w:sz w:val="20"/>
          <w:szCs w:val="20"/>
          <w:color w:val="auto"/>
        </w:rPr>
      </w:pPr>
    </w:p>
    <w:p>
      <w:pPr>
        <w:jc w:val="both"/>
        <w:ind w:firstLine="611"/>
        <w:spacing w:after="0" w:line="215" w:lineRule="auto"/>
        <w:rPr>
          <w:sz w:val="20"/>
          <w:szCs w:val="20"/>
          <w:color w:val="auto"/>
        </w:rPr>
      </w:pPr>
      <w:r>
        <w:rPr>
          <w:rFonts w:ascii="Times New Roman" w:cs="Times New Roman" w:eastAsia="Times New Roman" w:hAnsi="Times New Roman"/>
          <w:sz w:val="20"/>
          <w:szCs w:val="20"/>
          <w:color w:val="auto"/>
        </w:rPr>
        <w:t xml:space="preserve">255.6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 Issuing Lender or the Swingline Loan Lender, as applicable, then such provisions shall be deemed to be in effect only to the extent not so limited.</w:t>
      </w:r>
    </w:p>
    <w:p>
      <w:pPr>
        <w:spacing w:after="0" w:line="6" w:lineRule="exact"/>
        <w:rPr>
          <w:sz w:val="20"/>
          <w:szCs w:val="20"/>
          <w:color w:val="auto"/>
        </w:rPr>
      </w:pPr>
    </w:p>
    <w:p>
      <w:pPr>
        <w:jc w:val="both"/>
        <w:ind w:firstLine="611"/>
        <w:spacing w:after="0" w:line="233" w:lineRule="auto"/>
        <w:rPr>
          <w:sz w:val="20"/>
          <w:szCs w:val="20"/>
          <w:color w:val="auto"/>
        </w:rPr>
      </w:pPr>
      <w:r>
        <w:rPr>
          <w:rFonts w:ascii="Times New Roman" w:cs="Times New Roman" w:eastAsia="Times New Roman" w:hAnsi="Times New Roman"/>
          <w:sz w:val="20"/>
          <w:szCs w:val="20"/>
          <w:color w:val="auto"/>
        </w:rPr>
        <w:t xml:space="preserve">255.7 </w:t>
      </w:r>
      <w:r>
        <w:rPr>
          <w:rFonts w:ascii="Times New Roman" w:cs="Times New Roman" w:eastAsia="Times New Roman" w:hAnsi="Times New Roman"/>
          <w:sz w:val="20"/>
          <w:szCs w:val="20"/>
          <w:u w:val="single" w:color="auto"/>
          <w:color w:val="auto"/>
        </w:rPr>
        <w:t>Duration; Survival</w:t>
      </w:r>
      <w:r>
        <w:rPr>
          <w:rFonts w:ascii="Times New Roman" w:cs="Times New Roman" w:eastAsia="Times New Roman" w:hAnsi="Times New Roman"/>
          <w:sz w:val="20"/>
          <w:szCs w:val="20"/>
          <w:color w:val="auto"/>
        </w:rPr>
        <w:t>. All representations and warranties of the Loan Parties contained herein or made in connection herewith shall survive the execution and delivery of this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349" w:right="339" w:bottom="1440" w:gutter="0" w:footer="0" w:header="0"/>
        </w:sectPr>
      </w:pPr>
    </w:p>
    <w:bookmarkStart w:id="294" w:name="page295"/>
    <w:bookmarkEnd w:id="294"/>
    <w:p>
      <w:pPr>
        <w:jc w:val="both"/>
        <w:spacing w:after="0" w:line="217" w:lineRule="auto"/>
        <w:rPr>
          <w:sz w:val="20"/>
          <w:szCs w:val="20"/>
          <w:color w:val="auto"/>
        </w:rPr>
      </w:pPr>
      <w:r>
        <w:rPr>
          <w:rFonts w:ascii="Times New Roman" w:cs="Times New Roman" w:eastAsia="Times New Roman" w:hAnsi="Times New Roman"/>
          <w:sz w:val="20"/>
          <w:szCs w:val="20"/>
          <w:color w:val="auto"/>
        </w:rPr>
        <w:t xml:space="preserve">Agreement and the completion of the transactions hereunder, and shall continue in full force and effect until the Facility Termination Date. All covenants and agreements of the Borrower contained herein relating to the payment of principal, interest, premiums, additional compensation or expenses and indemnification, including those specified in the Notes,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 xml:space="preserve"> [Payments] and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[Expenses; Indemnity; Damage Waiver], shall survive the Facility Termination Date. All other covenants and agreements of the Loan Parties shall continue in full force and effect from and after the Closing Date and until the Facility Termination Date.</w:t>
      </w:r>
    </w:p>
    <w:p>
      <w:pPr>
        <w:ind w:left="620"/>
        <w:spacing w:after="0" w:line="213" w:lineRule="auto"/>
        <w:rPr>
          <w:sz w:val="20"/>
          <w:szCs w:val="20"/>
          <w:color w:val="auto"/>
        </w:rPr>
      </w:pPr>
      <w:r>
        <w:rPr>
          <w:rFonts w:ascii="Times New Roman" w:cs="Times New Roman" w:eastAsia="Times New Roman" w:hAnsi="Times New Roman"/>
          <w:sz w:val="20"/>
          <w:szCs w:val="20"/>
          <w:color w:val="auto"/>
        </w:rPr>
        <w:t xml:space="preserve">255.8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firstLine="1224"/>
        <w:spacing w:after="0" w:line="212" w:lineRule="auto"/>
        <w:tabs>
          <w:tab w:leader="none" w:pos="1831"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(including, in each case, by way of an LLC Division) without the prior written consent of the Administrative Agent and each Lender and no Lender may assign or otherwise transfer any of its rights or obligations hereunder except (i) to an assignee in accordance with the provisions of paragraph (b) of this Section,</w:t>
      </w:r>
    </w:p>
    <w:p>
      <w:pPr>
        <w:spacing w:after="0" w:line="2" w:lineRule="exact"/>
        <w:rPr>
          <w:rFonts w:ascii="Times New Roman" w:cs="Times New Roman" w:eastAsia="Times New Roman" w:hAnsi="Times New Roman"/>
          <w:sz w:val="20"/>
          <w:szCs w:val="20"/>
          <w:color w:val="auto"/>
        </w:rPr>
      </w:pPr>
    </w:p>
    <w:p>
      <w:pPr>
        <w:jc w:val="both"/>
        <w:ind w:firstLine="2"/>
        <w:spacing w:after="0" w:line="219" w:lineRule="auto"/>
        <w:tabs>
          <w:tab w:leader="none" w:pos="3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45"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29"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42" w:lineRule="exact"/>
        <w:rPr>
          <w:rFonts w:ascii="Times New Roman" w:cs="Times New Roman" w:eastAsia="Times New Roman" w:hAnsi="Times New Roman"/>
          <w:sz w:val="20"/>
          <w:szCs w:val="20"/>
          <w:color w:val="auto"/>
        </w:rPr>
      </w:pPr>
    </w:p>
    <w:p>
      <w:pPr>
        <w:ind w:left="2440" w:hanging="681"/>
        <w:spacing w:after="0"/>
        <w:tabs>
          <w:tab w:leader="none" w:pos="2440" w:val="left"/>
        </w:tabs>
        <w:numPr>
          <w:ilvl w:val="2"/>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jc w:val="both"/>
        <w:ind w:left="1220" w:firstLine="1227"/>
        <w:spacing w:after="0" w:line="225" w:lineRule="auto"/>
        <w:tabs>
          <w:tab w:leader="none" w:pos="3049" w:val="left"/>
        </w:tabs>
        <w:numPr>
          <w:ilvl w:val="3"/>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 the Loans at the time owing to it or contemporaneous assignments to related Approved Funds (determined after giving effect to such assignments) that equal at least the amount specified in paragraph (b)(i)(2) of this Section in the aggregate or in the case of an assignment to a Lender, an Affiliate of a Lender or an Approved Fund, no minimum amount need be assigned; and</w:t>
      </w:r>
    </w:p>
    <w:p>
      <w:pPr>
        <w:spacing w:after="0" w:line="144" w:lineRule="exact"/>
        <w:rPr>
          <w:rFonts w:ascii="Times New Roman" w:cs="Times New Roman" w:eastAsia="Times New Roman" w:hAnsi="Times New Roman"/>
          <w:sz w:val="20"/>
          <w:szCs w:val="20"/>
          <w:color w:val="auto"/>
        </w:rPr>
      </w:pPr>
    </w:p>
    <w:p>
      <w:pPr>
        <w:jc w:val="both"/>
        <w:ind w:left="1220" w:firstLine="1227"/>
        <w:spacing w:after="0" w:line="220" w:lineRule="auto"/>
        <w:tabs>
          <w:tab w:leader="none" w:pos="3049" w:val="left"/>
        </w:tabs>
        <w:numPr>
          <w:ilvl w:val="3"/>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clause (i)(1)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Agreement with respect to such assignment is delivered to the Administrative Agent or, if “Trade Date” is specified in the Assignment and Assumption Agreement, as of the Trade Date) shall not be less than $2,500,000 and in minimum increments of $1,000,000, in the case of any assignment in respect of the Revolving Credit Commitment of the assigning Lender, so long as no Event of Default has occurred and is continuing, the Borrower otherwise consents (each such consent not to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324" w:right="339" w:bottom="1440" w:gutter="0" w:footer="0" w:header="0"/>
        </w:sectPr>
      </w:pPr>
    </w:p>
    <w:bookmarkStart w:id="295" w:name="page296"/>
    <w:bookmarkEnd w:id="295"/>
    <w:p>
      <w:pPr>
        <w:ind w:left="-580" w:firstLine="1219"/>
        <w:spacing w:after="0" w:line="249" w:lineRule="auto"/>
        <w:tabs>
          <w:tab w:leader="none" w:pos="1324"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 or the Commitment assigned.</w:t>
      </w:r>
    </w:p>
    <w:p>
      <w:pPr>
        <w:spacing w:after="0" w:line="134" w:lineRule="exact"/>
        <w:rPr>
          <w:rFonts w:ascii="Times New Roman" w:cs="Times New Roman" w:eastAsia="Times New Roman" w:hAnsi="Times New Roman"/>
          <w:sz w:val="20"/>
          <w:szCs w:val="20"/>
          <w:color w:val="auto"/>
        </w:rPr>
      </w:pPr>
    </w:p>
    <w:p>
      <w:pPr>
        <w:ind w:left="-580" w:firstLine="1219"/>
        <w:spacing w:after="0" w:line="249" w:lineRule="auto"/>
        <w:tabs>
          <w:tab w:leader="none" w:pos="133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paragraph (b)(i)(2) of this Section and, in addition:</w:t>
      </w:r>
    </w:p>
    <w:p>
      <w:pPr>
        <w:spacing w:after="0" w:line="134" w:lineRule="exact"/>
        <w:rPr>
          <w:rFonts w:ascii="Times New Roman" w:cs="Times New Roman" w:eastAsia="Times New Roman" w:hAnsi="Times New Roman"/>
          <w:sz w:val="20"/>
          <w:szCs w:val="20"/>
          <w:color w:val="auto"/>
        </w:rPr>
      </w:pPr>
    </w:p>
    <w:p>
      <w:pPr>
        <w:jc w:val="both"/>
        <w:ind w:left="100" w:firstLine="1227"/>
        <w:spacing w:after="0" w:line="225" w:lineRule="auto"/>
        <w:tabs>
          <w:tab w:leader="none" w:pos="1929"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ten (10) Business Days after having received notice thereof;</w:t>
      </w:r>
    </w:p>
    <w:p>
      <w:pPr>
        <w:spacing w:after="0" w:line="144" w:lineRule="exact"/>
        <w:rPr>
          <w:rFonts w:ascii="Times New Roman" w:cs="Times New Roman" w:eastAsia="Times New Roman" w:hAnsi="Times New Roman"/>
          <w:sz w:val="20"/>
          <w:szCs w:val="20"/>
          <w:color w:val="auto"/>
        </w:rPr>
      </w:pPr>
    </w:p>
    <w:p>
      <w:pPr>
        <w:jc w:val="both"/>
        <w:ind w:left="100" w:firstLine="1227"/>
        <w:spacing w:after="0" w:line="228" w:lineRule="auto"/>
        <w:tabs>
          <w:tab w:leader="none" w:pos="1929"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the Revolving Credit Facility if such assignment is to a Person that is not a Lender with a Commitment in respect of such Facility, an Affiliate of such Lender or an Approved Fund with respect to such Lender; and</w:t>
      </w:r>
    </w:p>
    <w:p>
      <w:pPr>
        <w:spacing w:after="0" w:line="144" w:lineRule="exact"/>
        <w:rPr>
          <w:rFonts w:ascii="Times New Roman" w:cs="Times New Roman" w:eastAsia="Times New Roman" w:hAnsi="Times New Roman"/>
          <w:sz w:val="20"/>
          <w:szCs w:val="20"/>
          <w:color w:val="auto"/>
        </w:rPr>
      </w:pPr>
    </w:p>
    <w:p>
      <w:pPr>
        <w:ind w:left="100" w:firstLine="1227"/>
        <w:spacing w:after="0" w:line="249" w:lineRule="auto"/>
        <w:tabs>
          <w:tab w:leader="none" w:pos="1929"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Issuing Lender and Swingline Loan Lender (such consent not to be unreasonably withheld or delayed) shall be required for any assignment in respect of the Revolving Credit Facility.</w:t>
      </w:r>
    </w:p>
    <w:p>
      <w:pPr>
        <w:spacing w:after="0" w:line="134" w:lineRule="exact"/>
        <w:rPr>
          <w:rFonts w:ascii="Times New Roman" w:cs="Times New Roman" w:eastAsia="Times New Roman" w:hAnsi="Times New Roman"/>
          <w:sz w:val="20"/>
          <w:szCs w:val="20"/>
          <w:color w:val="auto"/>
        </w:rPr>
      </w:pPr>
    </w:p>
    <w:p>
      <w:pPr>
        <w:jc w:val="both"/>
        <w:ind w:left="-580" w:firstLine="1219"/>
        <w:spacing w:after="0" w:line="234" w:lineRule="auto"/>
        <w:tabs>
          <w:tab w:leader="none" w:pos="1318"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 Agreement</w:t>
      </w:r>
      <w:r>
        <w:rPr>
          <w:rFonts w:ascii="Times New Roman" w:cs="Times New Roman" w:eastAsia="Times New Roman" w:hAnsi="Times New Roman"/>
          <w:sz w:val="20"/>
          <w:szCs w:val="20"/>
          <w:color w:val="auto"/>
        </w:rPr>
        <w:t>. The parties to each assignment shall execute and deliver to the Administrative Agent an Assignment and Assumption Agreement, together with a processing and recordation fee of $3,500. The assignee, if it is not a Lender, shall deliver to the Administrative Agent an Administrative Questionnaire.</w:t>
      </w:r>
    </w:p>
    <w:p>
      <w:pPr>
        <w:spacing w:after="0" w:line="142" w:lineRule="exact"/>
        <w:rPr>
          <w:rFonts w:ascii="Times New Roman" w:cs="Times New Roman" w:eastAsia="Times New Roman" w:hAnsi="Times New Roman"/>
          <w:sz w:val="20"/>
          <w:szCs w:val="20"/>
          <w:color w:val="auto"/>
        </w:rPr>
      </w:pPr>
    </w:p>
    <w:p>
      <w:pPr>
        <w:jc w:val="both"/>
        <w:ind w:left="-580" w:firstLine="1219"/>
        <w:spacing w:after="0" w:line="234" w:lineRule="auto"/>
        <w:tabs>
          <w:tab w:leader="none" w:pos="1326"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(a) to the Borrower or any of the Borrower’s Affiliates or Subsidiaries or (b) to any Defaulting Lender or any of its Subsidiaries, or any Person who, upon becoming a Lender hereunder, would constitute a Defaulting Lender or a Subsidiary thereof.</w:t>
      </w:r>
    </w:p>
    <w:p>
      <w:pPr>
        <w:spacing w:after="0" w:line="142" w:lineRule="exact"/>
        <w:rPr>
          <w:rFonts w:ascii="Times New Roman" w:cs="Times New Roman" w:eastAsia="Times New Roman" w:hAnsi="Times New Roman"/>
          <w:sz w:val="20"/>
          <w:szCs w:val="20"/>
          <w:color w:val="auto"/>
        </w:rPr>
      </w:pPr>
    </w:p>
    <w:p>
      <w:pPr>
        <w:ind w:left="-580" w:firstLine="1219"/>
        <w:spacing w:after="0" w:line="249" w:lineRule="auto"/>
        <w:tabs>
          <w:tab w:leader="none" w:pos="1318"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 (or a holding company, investment vehicle or trust for, or owned and operated for the primary benefit of, a natural Person).</w:t>
      </w:r>
    </w:p>
    <w:p>
      <w:pPr>
        <w:spacing w:after="0" w:line="134" w:lineRule="exact"/>
        <w:rPr>
          <w:rFonts w:ascii="Times New Roman" w:cs="Times New Roman" w:eastAsia="Times New Roman" w:hAnsi="Times New Roman"/>
          <w:sz w:val="20"/>
          <w:szCs w:val="20"/>
          <w:color w:val="auto"/>
        </w:rPr>
      </w:pPr>
    </w:p>
    <w:p>
      <w:pPr>
        <w:jc w:val="both"/>
        <w:ind w:left="-580" w:firstLine="1219"/>
        <w:spacing w:after="0"/>
        <w:tabs>
          <w:tab w:leader="none" w:pos="1324"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specified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Loan Lender and each other Lender hereunder (and interest accrued thereon), and (y) acquire (and fund as appropriate) its full pro rata share of all Loans and participations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0120"/>
          </w:cols>
          <w:pgMar w:left="1440" w:top="1324" w:right="339" w:bottom="1440" w:gutter="0" w:footer="0" w:header="0"/>
        </w:sectPr>
      </w:pPr>
    </w:p>
    <w:bookmarkStart w:id="296" w:name="page297"/>
    <w:bookmarkEnd w:id="296"/>
    <w:p>
      <w:pPr>
        <w:jc w:val="both"/>
        <w:ind w:left="540"/>
        <w:spacing w:after="0" w:line="228" w:lineRule="auto"/>
        <w:rPr>
          <w:sz w:val="20"/>
          <w:szCs w:val="20"/>
          <w:color w:val="auto"/>
        </w:rPr>
      </w:pPr>
      <w:r>
        <w:rPr>
          <w:rFonts w:ascii="Times New Roman" w:cs="Times New Roman" w:eastAsia="Times New Roman" w:hAnsi="Times New Roman"/>
          <w:sz w:val="20"/>
          <w:szCs w:val="20"/>
          <w:color w:val="auto"/>
        </w:rPr>
        <w:t>in Letters of Credit and Swingline Loans in accordance with its Ratable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45" w:lineRule="exact"/>
        <w:rPr>
          <w:sz w:val="20"/>
          <w:szCs w:val="20"/>
          <w:color w:val="auto"/>
        </w:rPr>
      </w:pPr>
    </w:p>
    <w:p>
      <w:pPr>
        <w:jc w:val="both"/>
        <w:ind w:left="540" w:firstLine="1219"/>
        <w:spacing w:after="0" w:line="217" w:lineRule="auto"/>
        <w:tabs>
          <w:tab w:leader="none" w:pos="2450" w:val="left"/>
        </w:tabs>
        <w:numPr>
          <w:ilvl w:val="2"/>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Release</w:t>
      </w:r>
      <w:r>
        <w:rPr>
          <w:rFonts w:ascii="Times New Roman" w:cs="Times New Roman" w:eastAsia="Times New Roman" w:hAnsi="Times New Roman"/>
          <w:sz w:val="20"/>
          <w:szCs w:val="20"/>
          <w:color w:val="auto"/>
        </w:rPr>
        <w:t xml:space="preserve">. Subject to acceptance and recording thereof by the Administrative Agent pursuant to paragraph (c), from and after the effective date specified in each Assignment and Assumption Agreement, the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4.4</w:t>
      </w:r>
      <w:r>
        <w:rPr>
          <w:rFonts w:ascii="Times New Roman" w:cs="Times New Roman" w:eastAsia="Times New Roman" w:hAnsi="Times New Roman"/>
          <w:sz w:val="20"/>
          <w:szCs w:val="20"/>
          <w:color w:val="auto"/>
        </w:rPr>
        <w:t xml:space="preserve"> [Rate Unascertainable; Etc.], </w:t>
      </w:r>
      <w:r>
        <w:rPr>
          <w:rFonts w:ascii="Times New Roman" w:cs="Times New Roman" w:eastAsia="Times New Roman" w:hAnsi="Times New Roman"/>
          <w:sz w:val="20"/>
          <w:szCs w:val="20"/>
          <w:u w:val="single" w:color="auto"/>
          <w:color w:val="auto"/>
        </w:rPr>
        <w:t>5.8</w:t>
      </w:r>
      <w:r>
        <w:rPr>
          <w:rFonts w:ascii="Times New Roman" w:cs="Times New Roman" w:eastAsia="Times New Roman" w:hAnsi="Times New Roman"/>
          <w:sz w:val="20"/>
          <w:szCs w:val="20"/>
          <w:color w:val="auto"/>
        </w:rPr>
        <w:t xml:space="preserve"> [Increased Costs], and </w:t>
      </w:r>
      <w:r>
        <w:rPr>
          <w:rFonts w:ascii="Times New Roman" w:cs="Times New Roman" w:eastAsia="Times New Roman" w:hAnsi="Times New Roman"/>
          <w:sz w:val="20"/>
          <w:szCs w:val="20"/>
          <w:u w:val="single" w:color="auto"/>
          <w:color w:val="auto"/>
        </w:rPr>
        <w:t>12.3</w:t>
      </w:r>
      <w:r>
        <w:rPr>
          <w:rFonts w:ascii="Times New Roman" w:cs="Times New Roman" w:eastAsia="Times New Roman" w:hAnsi="Times New Roman"/>
          <w:sz w:val="20"/>
          <w:szCs w:val="20"/>
          <w:color w:val="auto"/>
        </w:rPr>
        <w:t xml:space="preserve"> [Expenses, Indemnity; Damage Waiver]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49" w:lineRule="exact"/>
        <w:rPr>
          <w:rFonts w:ascii="Times New Roman" w:cs="Times New Roman" w:eastAsia="Times New Roman" w:hAnsi="Times New Roman"/>
          <w:sz w:val="20"/>
          <w:szCs w:val="20"/>
          <w:color w:val="auto"/>
        </w:rPr>
      </w:pPr>
    </w:p>
    <w:p>
      <w:pPr>
        <w:jc w:val="both"/>
        <w:ind w:firstLine="1224"/>
        <w:spacing w:after="0" w:line="221" w:lineRule="auto"/>
        <w:tabs>
          <w:tab w:leader="none" w:pos="1831"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an agent of the Borrower, shall maintain at one of its offices in the continental United States a copy of each Assignment and Assumption Agreement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47" w:lineRule="exact"/>
        <w:rPr>
          <w:rFonts w:ascii="Times New Roman" w:cs="Times New Roman" w:eastAsia="Times New Roman" w:hAnsi="Times New Roman"/>
          <w:sz w:val="20"/>
          <w:szCs w:val="20"/>
          <w:color w:val="auto"/>
        </w:rPr>
      </w:pPr>
    </w:p>
    <w:p>
      <w:pPr>
        <w:jc w:val="both"/>
        <w:ind w:firstLine="1224"/>
        <w:spacing w:after="0" w:line="216" w:lineRule="auto"/>
        <w:tabs>
          <w:tab w:leader="none" w:pos="1829"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or the Borrower or any of the Borrower’s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w:t>
      </w:r>
    </w:p>
    <w:p>
      <w:pPr>
        <w:spacing w:after="0" w:line="2" w:lineRule="exact"/>
        <w:rPr>
          <w:rFonts w:ascii="Times New Roman" w:cs="Times New Roman" w:eastAsia="Times New Roman" w:hAnsi="Times New Roman"/>
          <w:sz w:val="20"/>
          <w:szCs w:val="20"/>
          <w:color w:val="auto"/>
        </w:rPr>
      </w:pPr>
    </w:p>
    <w:p>
      <w:pPr>
        <w:jc w:val="both"/>
        <w:ind w:firstLine="2"/>
        <w:spacing w:after="0" w:line="223" w:lineRule="auto"/>
        <w:tabs>
          <w:tab w:leader="none" w:pos="364"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the Administrative Agent, the Issuing Lender and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[Expenses; Indemnity; Damage Waiver] with respect to any payments made by such Lender to its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324" w:right="339" w:bottom="1440" w:gutter="0" w:footer="0" w:header="0"/>
        </w:sectPr>
      </w:pPr>
    </w:p>
    <w:bookmarkStart w:id="297" w:name="page298"/>
    <w:bookmarkEnd w:id="297"/>
    <w:p>
      <w:pPr>
        <w:jc w:val="both"/>
        <w:ind w:firstLine="1223"/>
        <w:spacing w:after="0" w:line="256" w:lineRule="auto"/>
        <w:rPr>
          <w:sz w:val="20"/>
          <w:szCs w:val="20"/>
          <w:color w:val="auto"/>
        </w:rPr>
      </w:pPr>
      <w:r>
        <w:rPr>
          <w:rFonts w:ascii="Times New Roman" w:cs="Times New Roman" w:eastAsia="Times New Roman" w:hAnsi="Times New Roman"/>
          <w:sz w:val="20"/>
          <w:szCs w:val="20"/>
          <w:color w:val="auto"/>
        </w:rPr>
        <w:t xml:space="preserve">ARTICLE 256Any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(other than as is already provided for herein) to any amendment, modification or waiver with respect to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12.1(a)</w:t>
      </w:r>
      <w:r>
        <w:rPr>
          <w:rFonts w:ascii="Times New Roman" w:cs="Times New Roman" w:eastAsia="Times New Roman" w:hAnsi="Times New Roman"/>
          <w:sz w:val="20"/>
          <w:szCs w:val="20"/>
          <w:color w:val="auto"/>
        </w:rPr>
        <w:t xml:space="preserve"> [Increase of Commitment], </w:t>
      </w:r>
      <w:r>
        <w:rPr>
          <w:rFonts w:ascii="Times New Roman" w:cs="Times New Roman" w:eastAsia="Times New Roman" w:hAnsi="Times New Roman"/>
          <w:sz w:val="20"/>
          <w:szCs w:val="20"/>
          <w:u w:val="single" w:color="auto"/>
          <w:color w:val="auto"/>
        </w:rPr>
        <w:t>12.1(b)</w:t>
      </w:r>
      <w:r>
        <w:rPr>
          <w:rFonts w:ascii="Times New Roman" w:cs="Times New Roman" w:eastAsia="Times New Roman" w:hAnsi="Times New Roman"/>
          <w:sz w:val="20"/>
          <w:szCs w:val="20"/>
          <w:color w:val="auto"/>
        </w:rPr>
        <w:t xml:space="preserve"> [Extension of Payment, Etc.], or </w:t>
      </w:r>
      <w:r>
        <w:rPr>
          <w:rFonts w:ascii="Times New Roman" w:cs="Times New Roman" w:eastAsia="Times New Roman" w:hAnsi="Times New Roman"/>
          <w:sz w:val="20"/>
          <w:szCs w:val="20"/>
          <w:u w:val="single" w:color="auto"/>
          <w:color w:val="auto"/>
        </w:rPr>
        <w:t>12.1(c)</w:t>
      </w:r>
      <w:r>
        <w:rPr>
          <w:rFonts w:ascii="Times New Roman" w:cs="Times New Roman" w:eastAsia="Times New Roman" w:hAnsi="Times New Roman"/>
          <w:sz w:val="20"/>
          <w:szCs w:val="20"/>
          <w:color w:val="auto"/>
        </w:rPr>
        <w:t xml:space="preserve"> [Release of Collateral or Guarantor]) that affects such Participant. The Borrower agrees that each Participant shall be entitled to the benefits of </w:t>
      </w:r>
      <w:r>
        <w:rPr>
          <w:rFonts w:ascii="Times New Roman" w:cs="Times New Roman" w:eastAsia="Times New Roman" w:hAnsi="Times New Roman"/>
          <w:sz w:val="20"/>
          <w:szCs w:val="20"/>
          <w:u w:val="single" w:color="auto"/>
          <w:color w:val="auto"/>
        </w:rPr>
        <w:t>Sections 4.4</w:t>
      </w:r>
      <w:r>
        <w:rPr>
          <w:rFonts w:ascii="Times New Roman" w:cs="Times New Roman" w:eastAsia="Times New Roman" w:hAnsi="Times New Roman"/>
          <w:sz w:val="20"/>
          <w:szCs w:val="20"/>
          <w:color w:val="auto"/>
        </w:rPr>
        <w:t xml:space="preserve"> [Rate Unascertainable, Etc.], </w:t>
      </w:r>
      <w:r>
        <w:rPr>
          <w:rFonts w:ascii="Times New Roman" w:cs="Times New Roman" w:eastAsia="Times New Roman" w:hAnsi="Times New Roman"/>
          <w:sz w:val="20"/>
          <w:szCs w:val="20"/>
          <w:u w:val="single" w:color="auto"/>
          <w:color w:val="auto"/>
        </w:rPr>
        <w:t>5.8</w:t>
      </w:r>
      <w:r>
        <w:rPr>
          <w:rFonts w:ascii="Times New Roman" w:cs="Times New Roman" w:eastAsia="Times New Roman" w:hAnsi="Times New Roman"/>
          <w:sz w:val="20"/>
          <w:szCs w:val="20"/>
          <w:color w:val="auto"/>
        </w:rPr>
        <w:t xml:space="preserve"> [Increased Costs], </w:t>
      </w:r>
      <w:r>
        <w:rPr>
          <w:rFonts w:ascii="Times New Roman" w:cs="Times New Roman" w:eastAsia="Times New Roman" w:hAnsi="Times New Roman"/>
          <w:sz w:val="20"/>
          <w:szCs w:val="20"/>
          <w:u w:val="single" w:color="auto"/>
          <w:color w:val="auto"/>
        </w:rPr>
        <w:t>5.9</w:t>
      </w:r>
      <w:r>
        <w:rPr>
          <w:rFonts w:ascii="Times New Roman" w:cs="Times New Roman" w:eastAsia="Times New Roman" w:hAnsi="Times New Roman"/>
          <w:sz w:val="20"/>
          <w:szCs w:val="20"/>
          <w:color w:val="auto"/>
        </w:rPr>
        <w:t xml:space="preserve"> [Taxes] and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[Indemnity] (subject to the requirements and limitations therein, including the requirements under </w:t>
      </w:r>
      <w:r>
        <w:rPr>
          <w:rFonts w:ascii="Times New Roman" w:cs="Times New Roman" w:eastAsia="Times New Roman" w:hAnsi="Times New Roman"/>
          <w:sz w:val="20"/>
          <w:szCs w:val="20"/>
          <w:u w:val="single" w:color="auto"/>
          <w:color w:val="auto"/>
        </w:rPr>
        <w:t>Section 5.9(g)</w:t>
      </w:r>
      <w:r>
        <w:rPr>
          <w:rFonts w:ascii="Times New Roman" w:cs="Times New Roman" w:eastAsia="Times New Roman" w:hAnsi="Times New Roman"/>
          <w:sz w:val="20"/>
          <w:szCs w:val="20"/>
          <w:color w:val="auto"/>
        </w:rPr>
        <w:t xml:space="preserve"> [Status of Lenders] (it being understood that the documentation required under </w:t>
      </w:r>
      <w:r>
        <w:rPr>
          <w:rFonts w:ascii="Times New Roman" w:cs="Times New Roman" w:eastAsia="Times New Roman" w:hAnsi="Times New Roman"/>
          <w:sz w:val="20"/>
          <w:szCs w:val="20"/>
          <w:u w:val="single" w:color="auto"/>
          <w:color w:val="auto"/>
        </w:rPr>
        <w:t>Section 5.9(g)</w:t>
      </w:r>
      <w:r>
        <w:rPr>
          <w:rFonts w:ascii="Times New Roman" w:cs="Times New Roman" w:eastAsia="Times New Roman" w:hAnsi="Times New Roman"/>
          <w:sz w:val="20"/>
          <w:szCs w:val="20"/>
          <w:color w:val="auto"/>
        </w:rPr>
        <w:t xml:space="preserve"> [Status of Lenders]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[Replacement of a Lender] as if it were an assignee under to paragraph (b) of this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and (B) shall not be entitled to receive any greater payment under </w:t>
      </w:r>
      <w:r>
        <w:rPr>
          <w:rFonts w:ascii="Times New Roman" w:cs="Times New Roman" w:eastAsia="Times New Roman" w:hAnsi="Times New Roman"/>
          <w:sz w:val="20"/>
          <w:szCs w:val="20"/>
          <w:u w:val="single" w:color="auto"/>
          <w:color w:val="auto"/>
        </w:rPr>
        <w:t>Sections 5.8</w:t>
      </w:r>
      <w:r>
        <w:rPr>
          <w:rFonts w:ascii="Times New Roman" w:cs="Times New Roman" w:eastAsia="Times New Roman" w:hAnsi="Times New Roman"/>
          <w:sz w:val="20"/>
          <w:szCs w:val="20"/>
          <w:color w:val="auto"/>
        </w:rPr>
        <w:t xml:space="preserve"> [Increased Costs] or </w:t>
      </w:r>
      <w:r>
        <w:rPr>
          <w:rFonts w:ascii="Times New Roman" w:cs="Times New Roman" w:eastAsia="Times New Roman" w:hAnsi="Times New Roman"/>
          <w:sz w:val="20"/>
          <w:szCs w:val="20"/>
          <w:u w:val="single" w:color="auto"/>
          <w:color w:val="auto"/>
        </w:rPr>
        <w:t>5.9</w:t>
      </w:r>
      <w:r>
        <w:rPr>
          <w:rFonts w:ascii="Times New Roman" w:cs="Times New Roman" w:eastAsia="Times New Roman" w:hAnsi="Times New Roman"/>
          <w:sz w:val="20"/>
          <w:szCs w:val="20"/>
          <w:color w:val="auto"/>
        </w:rPr>
        <w:t xml:space="preserve"> [Taxes],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[Replacement of a Lender]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[Sharing of Payments by Lenders]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1" w:lineRule="exact"/>
        <w:rPr>
          <w:sz w:val="20"/>
          <w:szCs w:val="20"/>
          <w:color w:val="auto"/>
        </w:rPr>
      </w:pPr>
    </w:p>
    <w:p>
      <w:pPr>
        <w:jc w:val="both"/>
        <w:ind w:firstLine="1224"/>
        <w:spacing w:after="0" w:line="228" w:lineRule="auto"/>
        <w:tabs>
          <w:tab w:leader="none" w:pos="1831"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 Successors and Assigns Generally</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349" w:right="339" w:bottom="1440" w:gutter="0" w:footer="0" w:header="0"/>
        </w:sectPr>
      </w:pPr>
    </w:p>
    <w:bookmarkStart w:id="298" w:name="page299"/>
    <w:bookmarkEnd w:id="298"/>
    <w:p>
      <w:pPr>
        <w:jc w:val="both"/>
        <w:ind w:firstLine="1224"/>
        <w:spacing w:after="0" w:line="228" w:lineRule="auto"/>
        <w:tabs>
          <w:tab w:leader="none" w:pos="1829"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Cashless Settlement</w:t>
      </w:r>
      <w:r>
        <w:rPr>
          <w:rFonts w:ascii="Times New Roman" w:cs="Times New Roman" w:eastAsia="Times New Roman" w:hAnsi="Times New Roman"/>
          <w:sz w:val="20"/>
          <w:szCs w:val="20"/>
          <w:color w:val="auto"/>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44" w:lineRule="exact"/>
        <w:rPr>
          <w:rFonts w:ascii="Times New Roman" w:cs="Times New Roman" w:eastAsia="Times New Roman" w:hAnsi="Times New Roman"/>
          <w:sz w:val="20"/>
          <w:szCs w:val="20"/>
          <w:color w:val="auto"/>
        </w:rPr>
      </w:pPr>
    </w:p>
    <w:p>
      <w:pPr>
        <w:jc w:val="both"/>
        <w:ind w:firstLine="1224"/>
        <w:spacing w:after="0" w:line="228" w:lineRule="auto"/>
        <w:tabs>
          <w:tab w:leader="none" w:pos="1831"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Arrangers/Bookrunners</w:t>
      </w:r>
      <w:r>
        <w:rPr>
          <w:rFonts w:ascii="Times New Roman" w:cs="Times New Roman" w:eastAsia="Times New Roman" w:hAnsi="Times New Roman"/>
          <w:sz w:val="20"/>
          <w:szCs w:val="20"/>
          <w:color w:val="auto"/>
        </w:rPr>
        <w:t>. Notwithstanding anything to the contrary contained in this Agreement, the name of any arranger and/or bookrunner listed on the cover page of this Agreement may be changed by the Administrative Agent to the name of any Lender or Lender’s broker-dealer Affiliate, upon written request to the Administrative Agent by any such arranger and/or bookrunner and the applicable Lender or Lender’s broker-deal Affiliate.</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256.1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w:t>
      </w:r>
    </w:p>
    <w:p>
      <w:pPr>
        <w:jc w:val="both"/>
        <w:ind w:firstLine="1224"/>
        <w:spacing w:after="0" w:line="212" w:lineRule="auto"/>
        <w:tabs>
          <w:tab w:leader="none" w:pos="1831"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Each of the Administrative Agent, the Lenders and the Issuing Lender agree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(ii) any actual or prospective party (or its Related Parties) to any swap, derivative or other transaction under which payments are to be made by reference to the Borrower and its obligations, this Agreement or payments hereunder or (iii) any credit insurer or reinsurer; (g) to (i) any rating agency in connection with rating the Borrower or its Subsidiaries or the Revolving Credit Facility or (ii) the CUSIP Service Bureau or any similar agency in connection with the issuance and monitoring of CUSIP numbers with respect to the Revolving Credit Facility;</w:t>
      </w:r>
    </w:p>
    <w:p>
      <w:pPr>
        <w:spacing w:after="0" w:line="8" w:lineRule="exact"/>
        <w:rPr>
          <w:rFonts w:ascii="Times New Roman" w:cs="Times New Roman" w:eastAsia="Times New Roman" w:hAnsi="Times New Roman"/>
          <w:sz w:val="20"/>
          <w:szCs w:val="20"/>
          <w:color w:val="auto"/>
        </w:rPr>
      </w:pPr>
    </w:p>
    <w:p>
      <w:pPr>
        <w:jc w:val="both"/>
        <w:ind w:firstLine="2"/>
        <w:spacing w:after="0" w:line="219" w:lineRule="auto"/>
        <w:tabs>
          <w:tab w:leader="none" w:pos="312"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Borrower; or (i) to the extent such Information (x) becomes publicly available other than as a result of a breach of this Section, or (y) becomes available to the Administrative Agent, any Lender, any Issuing Lender or any of their respective Affiliates on a nonconfidential basis from a source other than the Borrower.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71" w:lineRule="exact"/>
        <w:rPr>
          <w:sz w:val="20"/>
          <w:szCs w:val="20"/>
          <w:color w:val="auto"/>
        </w:rPr>
      </w:pPr>
    </w:p>
    <w:p>
      <w:pPr>
        <w:jc w:val="both"/>
        <w:ind w:firstLine="2"/>
        <w:spacing w:after="0" w:line="260" w:lineRule="auto"/>
        <w:tabs>
          <w:tab w:leader="none" w:pos="607"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the Borrower or any of its Subsidiaries in connection with the transactions contemplated by the Transaction Documents relating to the Borrower or any of its Subsidiaries or any of their respective businesses, other than any such information that is available to the Administrative Agent, any Lender or any Issuing Lender on a nonconfidential basis prior to disclosure by the Borrower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324" w:right="339" w:bottom="1440" w:gutter="0" w:footer="0" w:header="0"/>
        </w:sectPr>
      </w:pPr>
    </w:p>
    <w:bookmarkStart w:id="299" w:name="page300"/>
    <w:bookmarkEnd w:id="299"/>
    <w:p>
      <w:pPr>
        <w:spacing w:after="0" w:line="289" w:lineRule="auto"/>
        <w:rPr>
          <w:sz w:val="20"/>
          <w:szCs w:val="20"/>
          <w:color w:val="auto"/>
        </w:rPr>
      </w:pPr>
      <w:r>
        <w:rPr>
          <w:rFonts w:ascii="Times New Roman" w:cs="Times New Roman" w:eastAsia="Times New Roman" w:hAnsi="Times New Roman"/>
          <w:sz w:val="20"/>
          <w:szCs w:val="20"/>
          <w:color w:val="auto"/>
        </w:rPr>
        <w:t>to do so if such Person has exercised the same degree of care to maintain the confidentiality of such Information as such Person would accord to its own confidential information.</w:t>
      </w:r>
    </w:p>
    <w:p>
      <w:pPr>
        <w:spacing w:after="0" w:line="134" w:lineRule="exact"/>
        <w:rPr>
          <w:sz w:val="20"/>
          <w:szCs w:val="20"/>
          <w:color w:val="auto"/>
        </w:rPr>
      </w:pPr>
    </w:p>
    <w:p>
      <w:pPr>
        <w:jc w:val="both"/>
        <w:ind w:firstLine="2"/>
        <w:spacing w:after="0" w:line="277" w:lineRule="auto"/>
        <w:tabs>
          <w:tab w:leader="none" w:pos="608"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nothing in this Section shall prohibit any Person from voluntarily communicating, disclosing or providing information within the scope of the confidentiality provisions of this Section regarding suspected violations of laws, rules, or regulations to a governmental, regulatory or self-regulatory organization without any notification to any Person.</w:t>
      </w:r>
    </w:p>
    <w:p>
      <w:pPr>
        <w:spacing w:after="0" w:line="120" w:lineRule="exact"/>
        <w:rPr>
          <w:rFonts w:ascii="Times New Roman" w:cs="Times New Roman" w:eastAsia="Times New Roman" w:hAnsi="Times New Roman"/>
          <w:sz w:val="20"/>
          <w:szCs w:val="20"/>
          <w:color w:val="auto"/>
        </w:rPr>
      </w:pPr>
    </w:p>
    <w:p>
      <w:pPr>
        <w:jc w:val="both"/>
        <w:ind w:firstLine="1224"/>
        <w:spacing w:after="0" w:line="225" w:lineRule="auto"/>
        <w:tabs>
          <w:tab w:leader="none" w:pos="1829"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Sharing Information with Affiliates of the Lenders</w:t>
      </w:r>
      <w:r>
        <w:rPr>
          <w:rFonts w:ascii="Times New Roman" w:cs="Times New Roman" w:eastAsia="Times New Roman" w:hAnsi="Times New Roman"/>
          <w:sz w:val="20"/>
          <w:szCs w:val="20"/>
          <w:color w:val="auto"/>
        </w:rPr>
        <w:t xml:space="preserve">. Each Loan Party acknowledges that from time to time financial advisory, investment banking and other services may be offered or provided to the Borrower or one or more of its Affiliates (in connection with this Agreement or otherwise) by any Lender or by one or more Subsidiaries or Affiliates of such Lender and each of the Loan Parties hereby authorizes each Lender to share any information delivered to such Lender by such Loan Party and its Subsidiaries pursuant to this Agreement with any such Subsidiary or Affiliate of the Lender subject to the provisions of </w:t>
      </w:r>
      <w:r>
        <w:rPr>
          <w:rFonts w:ascii="Times New Roman" w:cs="Times New Roman" w:eastAsia="Times New Roman" w:hAnsi="Times New Roman"/>
          <w:sz w:val="20"/>
          <w:szCs w:val="20"/>
          <w:u w:val="single" w:color="auto"/>
          <w:color w:val="auto"/>
        </w:rPr>
        <w:t>Section 12.9(a)</w:t>
      </w:r>
      <w:r>
        <w:rPr>
          <w:rFonts w:ascii="Times New Roman" w:cs="Times New Roman" w:eastAsia="Times New Roman" w:hAnsi="Times New Roman"/>
          <w:sz w:val="20"/>
          <w:szCs w:val="20"/>
          <w:color w:val="auto"/>
        </w:rPr>
        <w:t xml:space="preserve"> [General].</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256.2  </w:t>
      </w:r>
      <w:r>
        <w:rPr>
          <w:rFonts w:ascii="Times New Roman" w:cs="Times New Roman" w:eastAsia="Times New Roman" w:hAnsi="Times New Roman"/>
          <w:sz w:val="20"/>
          <w:szCs w:val="20"/>
          <w:u w:val="single" w:color="auto"/>
          <w:color w:val="auto"/>
        </w:rPr>
        <w:t>Counterparts; Integration; Effectiveness; Electronic Execution</w:t>
      </w:r>
      <w:r>
        <w:rPr>
          <w:rFonts w:ascii="Times New Roman" w:cs="Times New Roman" w:eastAsia="Times New Roman" w:hAnsi="Times New Roman"/>
          <w:sz w:val="20"/>
          <w:szCs w:val="20"/>
          <w:color w:val="auto"/>
        </w:rPr>
        <w:t>.</w:t>
      </w:r>
    </w:p>
    <w:p>
      <w:pPr>
        <w:jc w:val="both"/>
        <w:ind w:firstLine="1224"/>
        <w:spacing w:after="0" w:line="216" w:lineRule="auto"/>
        <w:tabs>
          <w:tab w:leader="none" w:pos="1831"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Integration; Effectiveness</w:t>
      </w:r>
      <w:r>
        <w:rPr>
          <w:rFonts w:ascii="Times New Roman" w:cs="Times New Roman" w:eastAsia="Times New Roman" w:hAnsi="Times New Roman"/>
          <w:sz w:val="20"/>
          <w:szCs w:val="20"/>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[Conditions of Lending and Issuance of Letters of Credit],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e-mail shall be effective as delivery of a manually executed counterpart of this Agreement.</w:t>
      </w:r>
    </w:p>
    <w:p>
      <w:pPr>
        <w:spacing w:after="0" w:line="149" w:lineRule="exact"/>
        <w:rPr>
          <w:rFonts w:ascii="Times New Roman" w:cs="Times New Roman" w:eastAsia="Times New Roman" w:hAnsi="Times New Roman"/>
          <w:sz w:val="20"/>
          <w:szCs w:val="20"/>
          <w:color w:val="auto"/>
        </w:rPr>
      </w:pPr>
    </w:p>
    <w:p>
      <w:pPr>
        <w:jc w:val="both"/>
        <w:ind w:firstLine="1224"/>
        <w:spacing w:after="0" w:line="221" w:lineRule="auto"/>
        <w:tabs>
          <w:tab w:leader="none" w:pos="1829"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Execution</w:t>
      </w:r>
      <w:r>
        <w:rPr>
          <w:rFonts w:ascii="Times New Roman" w:cs="Times New Roman" w:eastAsia="Times New Roman" w:hAnsi="Times New Roman"/>
          <w:sz w:val="20"/>
          <w:szCs w:val="20"/>
          <w:color w:val="auto"/>
        </w:rPr>
        <w:t>. The words “execution,” “signed,” “signature,” and words of like import in any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parties hereto consent to the use of electronic signatures and records with respect to this Agreement and the other Loan Documents.</w:t>
      </w:r>
    </w:p>
    <w:p>
      <w:pPr>
        <w:spacing w:after="0" w:line="148" w:lineRule="exact"/>
        <w:rPr>
          <w:sz w:val="20"/>
          <w:szCs w:val="20"/>
          <w:color w:val="auto"/>
        </w:rPr>
      </w:pPr>
    </w:p>
    <w:p>
      <w:pPr>
        <w:ind w:firstLine="611"/>
        <w:spacing w:after="0" w:line="224" w:lineRule="auto"/>
        <w:rPr>
          <w:sz w:val="20"/>
          <w:szCs w:val="20"/>
          <w:color w:val="auto"/>
        </w:rPr>
      </w:pPr>
      <w:r>
        <w:rPr>
          <w:rFonts w:ascii="Times New Roman" w:cs="Times New Roman" w:eastAsia="Times New Roman" w:hAnsi="Times New Roman"/>
          <w:sz w:val="20"/>
          <w:szCs w:val="20"/>
          <w:color w:val="auto"/>
        </w:rPr>
        <w:t xml:space="preserve">256.3 </w:t>
      </w:r>
      <w:r>
        <w:rPr>
          <w:rFonts w:ascii="Times New Roman" w:cs="Times New Roman" w:eastAsia="Times New Roman" w:hAnsi="Times New Roman"/>
          <w:sz w:val="20"/>
          <w:szCs w:val="20"/>
          <w:u w:val="single" w:color="auto"/>
          <w:color w:val="auto"/>
        </w:rPr>
        <w:t>CHOICE OF LAW; SUBMISSION TO JURISDICTION; WAIVER OF VENUE; SERVICE OF PROCESS; WAIVER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JURY TRIAL</w:t>
      </w:r>
      <w:r>
        <w:rPr>
          <w:rFonts w:ascii="Times New Roman" w:cs="Times New Roman" w:eastAsia="Times New Roman" w:hAnsi="Times New Roman"/>
          <w:sz w:val="20"/>
          <w:szCs w:val="20"/>
          <w:color w:val="auto"/>
        </w:rPr>
        <w:t>.</w:t>
      </w:r>
    </w:p>
    <w:p>
      <w:pPr>
        <w:jc w:val="both"/>
        <w:ind w:firstLine="1224"/>
        <w:spacing w:after="0" w:line="223" w:lineRule="auto"/>
        <w:tabs>
          <w:tab w:leader="none" w:pos="1831"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specified therein) and the transactions contemplated hereby and thereby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349" w:right="339" w:bottom="1440" w:gutter="0" w:footer="0" w:header="0"/>
        </w:sectPr>
      </w:pPr>
    </w:p>
    <w:bookmarkStart w:id="300" w:name="page301"/>
    <w:bookmarkEnd w:id="300"/>
    <w:p>
      <w:pPr>
        <w:jc w:val="both"/>
        <w:ind w:firstLine="1223"/>
        <w:spacing w:after="0" w:line="247" w:lineRule="auto"/>
        <w:rPr>
          <w:sz w:val="20"/>
          <w:szCs w:val="20"/>
          <w:color w:val="auto"/>
        </w:rPr>
      </w:pPr>
      <w:r>
        <w:rPr>
          <w:rFonts w:ascii="Times New Roman" w:cs="Times New Roman" w:eastAsia="Times New Roman" w:hAnsi="Times New Roman"/>
          <w:sz w:val="20"/>
          <w:szCs w:val="20"/>
          <w:color w:val="auto"/>
        </w:rPr>
        <w:t>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Issuing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Issuing Lender may otherwise have to bring any action or proceeding relating to this Agreement or any other Loan Document against the Borrower or any other Loan Party or its properties in the courts of any jurisdiction.</w:t>
      </w:r>
    </w:p>
    <w:p>
      <w:pPr>
        <w:spacing w:after="0" w:line="190" w:lineRule="exact"/>
        <w:rPr>
          <w:sz w:val="20"/>
          <w:szCs w:val="20"/>
          <w:color w:val="auto"/>
        </w:rPr>
      </w:pPr>
    </w:p>
    <w:p>
      <w:pPr>
        <w:jc w:val="both"/>
        <w:ind w:firstLine="1224"/>
        <w:spacing w:after="0" w:line="225" w:lineRule="auto"/>
        <w:tabs>
          <w:tab w:leader="none" w:pos="1829"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spacing w:after="0" w:line="144" w:lineRule="exact"/>
        <w:rPr>
          <w:rFonts w:ascii="Times New Roman" w:cs="Times New Roman" w:eastAsia="Times New Roman" w:hAnsi="Times New Roman"/>
          <w:sz w:val="20"/>
          <w:szCs w:val="20"/>
          <w:color w:val="auto"/>
        </w:rPr>
      </w:pPr>
    </w:p>
    <w:p>
      <w:pPr>
        <w:jc w:val="both"/>
        <w:ind w:firstLine="1224"/>
        <w:spacing w:after="0" w:line="234" w:lineRule="auto"/>
        <w:tabs>
          <w:tab w:leader="none" w:pos="1831"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12.5</w:t>
      </w:r>
      <w:r>
        <w:rPr>
          <w:rFonts w:ascii="Times New Roman" w:cs="Times New Roman" w:eastAsia="Times New Roman" w:hAnsi="Times New Roman"/>
          <w:sz w:val="20"/>
          <w:szCs w:val="20"/>
          <w:color w:val="auto"/>
        </w:rPr>
        <w:t xml:space="preserve"> [Notices; Effectiveness; Electronic Communication]. Nothing in this Agreement will affect the right of any party hereto to serve process in any other manner permitted by applicable Law.</w:t>
      </w:r>
    </w:p>
    <w:p>
      <w:pPr>
        <w:spacing w:after="0" w:line="142" w:lineRule="exact"/>
        <w:rPr>
          <w:rFonts w:ascii="Times New Roman" w:cs="Times New Roman" w:eastAsia="Times New Roman" w:hAnsi="Times New Roman"/>
          <w:sz w:val="20"/>
          <w:szCs w:val="20"/>
          <w:color w:val="auto"/>
        </w:rPr>
      </w:pPr>
    </w:p>
    <w:p>
      <w:pPr>
        <w:jc w:val="both"/>
        <w:ind w:firstLine="1224"/>
        <w:spacing w:after="0" w:line="215" w:lineRule="auto"/>
        <w:tabs>
          <w:tab w:leader="none" w:pos="1829"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6" w:lineRule="exact"/>
        <w:rPr>
          <w:rFonts w:ascii="Times New Roman" w:cs="Times New Roman" w:eastAsia="Times New Roman" w:hAnsi="Times New Roman"/>
          <w:sz w:val="20"/>
          <w:szCs w:val="20"/>
          <w:color w:val="auto"/>
        </w:rPr>
      </w:pPr>
    </w:p>
    <w:p>
      <w:pPr>
        <w:jc w:val="both"/>
        <w:ind w:firstLine="2"/>
        <w:spacing w:after="0" w:line="226" w:lineRule="auto"/>
        <w:tabs>
          <w:tab w:leader="none" w:pos="367"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IT AND THE OTHER PARTIES HERETO HAVE BEEN INDUCED TO ENTER INTO THIS AGREEMENT AND THE OTHER LOAN DOCUMENTS BY, AMONG OTHER THINGS, THE MUTUAL WAIVERS AND CERTIFICATIONS IN THIS SECTION.</w:t>
      </w:r>
    </w:p>
    <w:p>
      <w:pPr>
        <w:spacing w:after="0" w:line="143" w:lineRule="exact"/>
        <w:rPr>
          <w:sz w:val="20"/>
          <w:szCs w:val="20"/>
          <w:color w:val="auto"/>
        </w:rPr>
      </w:pPr>
    </w:p>
    <w:p>
      <w:pPr>
        <w:jc w:val="both"/>
        <w:ind w:firstLine="611"/>
        <w:spacing w:after="0" w:line="228" w:lineRule="auto"/>
        <w:rPr>
          <w:sz w:val="20"/>
          <w:szCs w:val="20"/>
          <w:color w:val="auto"/>
        </w:rPr>
      </w:pPr>
      <w:r>
        <w:rPr>
          <w:rFonts w:ascii="Times New Roman" w:cs="Times New Roman" w:eastAsia="Times New Roman" w:hAnsi="Times New Roman"/>
          <w:sz w:val="20"/>
          <w:szCs w:val="20"/>
          <w:color w:val="auto"/>
        </w:rPr>
        <w:t xml:space="preserve">256.4 </w:t>
      </w:r>
      <w:r>
        <w:rPr>
          <w:rFonts w:ascii="Times New Roman" w:cs="Times New Roman" w:eastAsia="Times New Roman" w:hAnsi="Times New Roman"/>
          <w:sz w:val="20"/>
          <w:szCs w:val="20"/>
          <w:u w:val="single" w:color="auto"/>
          <w:color w:val="auto"/>
        </w:rPr>
        <w:t>Mutual Negotiations</w:t>
      </w:r>
      <w:r>
        <w:rPr>
          <w:rFonts w:ascii="Times New Roman" w:cs="Times New Roman" w:eastAsia="Times New Roman" w:hAnsi="Times New Roman"/>
          <w:sz w:val="20"/>
          <w:szCs w:val="20"/>
          <w:color w:val="auto"/>
        </w:rPr>
        <w:t>. This Agreement and the other Loan Documents are the product of mutual negotiations by the parties thereto and their counsel, and no party shall be deemed the draftsperson of this Agreement or any other Loan Document or any provision hereof or thereof or to have provided the same. Accordingly, in the event of any inconsistency or ambiguity of any provision of this Agreement or any other Loan Document, such inconsistency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337"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20"/>
          <w:szCs w:val="20"/>
          <w:color w:val="auto"/>
        </w:rPr>
        <w:t>or ambiguity shall not be interpreted against any party because of such party’s involvement in the drafting thereof.</w:t>
      </w: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256.5 </w:t>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3" w:lineRule="exact"/>
        <w:rPr>
          <w:sz w:val="20"/>
          <w:szCs w:val="20"/>
          <w:color w:val="auto"/>
        </w:rPr>
      </w:pPr>
    </w:p>
    <w:p>
      <w:pPr>
        <w:ind w:firstLine="1224"/>
        <w:spacing w:after="0" w:line="233" w:lineRule="auto"/>
        <w:tabs>
          <w:tab w:leader="none" w:pos="1831"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2" w:lineRule="exact"/>
        <w:rPr>
          <w:rFonts w:ascii="Times New Roman" w:cs="Times New Roman" w:eastAsia="Times New Roman" w:hAnsi="Times New Roman"/>
          <w:sz w:val="20"/>
          <w:szCs w:val="20"/>
          <w:color w:val="auto"/>
        </w:rPr>
      </w:pPr>
    </w:p>
    <w:p>
      <w:pPr>
        <w:ind w:left="1840" w:hanging="616"/>
        <w:spacing w:after="0"/>
        <w:tabs>
          <w:tab w:leader="none" w:pos="184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77" w:lineRule="exact"/>
        <w:rPr>
          <w:rFonts w:ascii="Times New Roman" w:cs="Times New Roman" w:eastAsia="Times New Roman" w:hAnsi="Times New Roman"/>
          <w:sz w:val="20"/>
          <w:szCs w:val="20"/>
          <w:color w:val="auto"/>
        </w:rPr>
      </w:pPr>
    </w:p>
    <w:p>
      <w:pPr>
        <w:ind w:left="2440" w:hanging="681"/>
        <w:spacing w:after="0"/>
        <w:tabs>
          <w:tab w:leader="none" w:pos="2440"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177" w:lineRule="exact"/>
        <w:rPr>
          <w:rFonts w:ascii="Times New Roman" w:cs="Times New Roman" w:eastAsia="Times New Roman" w:hAnsi="Times New Roman"/>
          <w:sz w:val="20"/>
          <w:szCs w:val="20"/>
          <w:color w:val="auto"/>
        </w:rPr>
      </w:pPr>
    </w:p>
    <w:p>
      <w:pPr>
        <w:jc w:val="both"/>
        <w:ind w:left="540" w:firstLine="1219"/>
        <w:spacing w:after="0" w:line="228" w:lineRule="auto"/>
        <w:tabs>
          <w:tab w:leader="none" w:pos="2444"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4" w:lineRule="exact"/>
        <w:rPr>
          <w:rFonts w:ascii="Times New Roman" w:cs="Times New Roman" w:eastAsia="Times New Roman" w:hAnsi="Times New Roman"/>
          <w:sz w:val="20"/>
          <w:szCs w:val="20"/>
          <w:color w:val="auto"/>
        </w:rPr>
      </w:pPr>
    </w:p>
    <w:p>
      <w:pPr>
        <w:ind w:left="540" w:firstLine="1219"/>
        <w:spacing w:after="0" w:line="249" w:lineRule="auto"/>
        <w:tabs>
          <w:tab w:leader="none" w:pos="2450"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34" w:lineRule="exact"/>
        <w:rPr>
          <w:sz w:val="20"/>
          <w:szCs w:val="20"/>
          <w:color w:val="auto"/>
        </w:rPr>
      </w:pPr>
    </w:p>
    <w:p>
      <w:pPr>
        <w:jc w:val="both"/>
        <w:ind w:firstLine="611"/>
        <w:spacing w:after="0"/>
        <w:rPr>
          <w:sz w:val="20"/>
          <w:szCs w:val="20"/>
          <w:color w:val="auto"/>
        </w:rPr>
      </w:pPr>
      <w:r>
        <w:rPr>
          <w:rFonts w:ascii="Times New Roman" w:cs="Times New Roman" w:eastAsia="Times New Roman" w:hAnsi="Times New Roman"/>
          <w:sz w:val="20"/>
          <w:szCs w:val="20"/>
          <w:color w:val="auto"/>
        </w:rPr>
        <w:t xml:space="preserve">256.6 </w:t>
      </w:r>
      <w:r>
        <w:rPr>
          <w:rFonts w:ascii="Times New Roman" w:cs="Times New Roman" w:eastAsia="Times New Roman" w:hAnsi="Times New Roman"/>
          <w:sz w:val="20"/>
          <w:szCs w:val="20"/>
          <w:u w:val="single" w:color="auto"/>
          <w:color w:val="auto"/>
        </w:rPr>
        <w:t>USA PATRIOT Act Notice</w:t>
      </w:r>
      <w:r>
        <w:rPr>
          <w:rFonts w:ascii="Times New Roman" w:cs="Times New Roman" w:eastAsia="Times New Roman" w:hAnsi="Times New Roman"/>
          <w:sz w:val="20"/>
          <w:szCs w:val="20"/>
          <w:color w:val="auto"/>
        </w:rPr>
        <w:t>. Each Lender that is subject to the USA PATRIOT Act and the Administrative Agent (for itself and not on behalf of any Lender) hereby notifies the Loan Parties that pursuant to the requirements of the USA PATRIOT Act, it is required to obtain, verify and record information that identifies the Loan Parties, which information includes the name and address of Loan Parties and other information that will allow such Lender or Administrative Agent, as applicable, to identify the Loan Parties in accordance with the USA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rules and regulations and Anti-Money Laundering Laws, including the USA PATRIOT Act.</w:t>
      </w:r>
    </w:p>
    <w:p>
      <w:pPr>
        <w:spacing w:after="0" w:line="42" w:lineRule="exact"/>
        <w:rPr>
          <w:sz w:val="20"/>
          <w:szCs w:val="20"/>
          <w:color w:val="auto"/>
        </w:rPr>
      </w:pPr>
    </w:p>
    <w:p>
      <w:pPr>
        <w:jc w:val="both"/>
        <w:ind w:firstLine="611"/>
        <w:spacing w:after="0" w:line="212" w:lineRule="auto"/>
        <w:rPr>
          <w:sz w:val="20"/>
          <w:szCs w:val="20"/>
          <w:color w:val="auto"/>
        </w:rPr>
      </w:pPr>
      <w:r>
        <w:rPr>
          <w:rFonts w:ascii="Times New Roman" w:cs="Times New Roman" w:eastAsia="Times New Roman" w:hAnsi="Times New Roman"/>
          <w:sz w:val="20"/>
          <w:szCs w:val="20"/>
          <w:color w:val="auto"/>
        </w:rPr>
        <w:t xml:space="preserve">256.7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To the extent that the Loan Documents provide support, through a guarantee or otherwise, for Swaps or any other agreement or instrument that is a QFC (such support, “</w:t>
      </w:r>
      <w:r>
        <w:rPr>
          <w:rFonts w:ascii="Times New Roman" w:cs="Times New Roman" w:eastAsia="Times New Roman" w:hAnsi="Times New Roman"/>
          <w:sz w:val="20"/>
          <w:szCs w:val="20"/>
          <w:b w:val="1"/>
          <w:bCs w:val="1"/>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b w:val="1"/>
          <w:bCs w:val="1"/>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b w:val="1"/>
          <w:bCs w:val="1"/>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5" w:lineRule="exact"/>
        <w:rPr>
          <w:sz w:val="20"/>
          <w:szCs w:val="20"/>
          <w:color w:val="auto"/>
        </w:rPr>
      </w:pPr>
    </w:p>
    <w:p>
      <w:pPr>
        <w:jc w:val="both"/>
        <w:ind w:firstLine="1224"/>
        <w:spacing w:after="0" w:line="226" w:lineRule="auto"/>
        <w:tabs>
          <w:tab w:leader="none" w:pos="1831"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Entity/Bank/FSI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320" w:right="339" w:bottom="1440" w:gutter="0" w:footer="0" w:header="0"/>
        </w:sectPr>
      </w:pPr>
    </w:p>
    <w:bookmarkStart w:id="302" w:name="page303"/>
    <w:bookmarkEnd w:id="302"/>
    <w:p>
      <w:pPr>
        <w:jc w:val="both"/>
        <w:spacing w:after="0" w:line="219" w:lineRule="auto"/>
        <w:rPr>
          <w:sz w:val="20"/>
          <w:szCs w:val="20"/>
          <w:color w:val="auto"/>
        </w:rPr>
      </w:pPr>
      <w:r>
        <w:rPr>
          <w:rFonts w:ascii="Times New Roman" w:cs="Times New Roman" w:eastAsia="Times New Roman" w:hAnsi="Times New Roman"/>
          <w:sz w:val="20"/>
          <w:szCs w:val="20"/>
          <w:color w:val="auto"/>
        </w:rPr>
        <w:t>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3" w:lineRule="exact"/>
        <w:rPr>
          <w:sz w:val="20"/>
          <w:szCs w:val="20"/>
          <w:color w:val="auto"/>
        </w:rPr>
      </w:pPr>
    </w:p>
    <w:p>
      <w:pPr>
        <w:ind w:left="1840" w:hanging="616"/>
        <w:spacing w:after="0"/>
        <w:tabs>
          <w:tab w:leader="none" w:pos="184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12.15</w:t>
      </w:r>
      <w:r>
        <w:rPr>
          <w:rFonts w:ascii="Times New Roman" w:cs="Times New Roman" w:eastAsia="Times New Roman" w:hAnsi="Times New Roman"/>
          <w:sz w:val="20"/>
          <w:szCs w:val="20"/>
          <w:color w:val="auto"/>
        </w:rPr>
        <w:t>, the following terms have the following meanings:</w:t>
      </w:r>
    </w:p>
    <w:p>
      <w:pPr>
        <w:spacing w:after="0" w:line="202" w:lineRule="exact"/>
        <w:rPr>
          <w:rFonts w:ascii="Times New Roman" w:cs="Times New Roman" w:eastAsia="Times New Roman" w:hAnsi="Times New Roman"/>
          <w:sz w:val="20"/>
          <w:szCs w:val="20"/>
          <w:color w:val="auto"/>
        </w:rPr>
      </w:pPr>
    </w:p>
    <w:p>
      <w:pPr>
        <w:ind w:left="1220" w:firstLine="4"/>
        <w:spacing w:after="0" w:line="289" w:lineRule="auto"/>
        <w:tabs>
          <w:tab w:leader="none" w:pos="1828"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33" w:lineRule="exact"/>
        <w:rPr>
          <w:rFonts w:ascii="Times New Roman" w:cs="Times New Roman" w:eastAsia="Times New Roman" w:hAnsi="Times New Roman"/>
          <w:sz w:val="20"/>
          <w:szCs w:val="20"/>
          <w:color w:val="auto"/>
        </w:rPr>
      </w:pPr>
    </w:p>
    <w:p>
      <w:pPr>
        <w:jc w:val="both"/>
        <w:ind w:left="1220" w:firstLine="4"/>
        <w:spacing w:after="0" w:line="269" w:lineRule="auto"/>
        <w:tabs>
          <w:tab w:leader="none" w:pos="1827"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Entity/Bank/FSI</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53" w:lineRule="exact"/>
        <w:rPr>
          <w:rFonts w:ascii="Times New Roman" w:cs="Times New Roman" w:eastAsia="Times New Roman" w:hAnsi="Times New Roman"/>
          <w:sz w:val="20"/>
          <w:szCs w:val="20"/>
          <w:color w:val="auto"/>
        </w:rPr>
      </w:pPr>
    </w:p>
    <w:p>
      <w:pPr>
        <w:ind w:left="1220" w:firstLine="4"/>
        <w:spacing w:after="0" w:line="289" w:lineRule="auto"/>
        <w:tabs>
          <w:tab w:leader="none" w:pos="1828"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46" w:lineRule="exact"/>
        <w:rPr>
          <w:rFonts w:ascii="Times New Roman" w:cs="Times New Roman" w:eastAsia="Times New Roman" w:hAnsi="Times New Roman"/>
          <w:sz w:val="20"/>
          <w:szCs w:val="20"/>
          <w:color w:val="auto"/>
        </w:rPr>
      </w:pPr>
    </w:p>
    <w:p>
      <w:pPr>
        <w:ind w:left="1220" w:firstLine="4"/>
        <w:spacing w:after="0" w:line="289" w:lineRule="auto"/>
        <w:tabs>
          <w:tab w:leader="none" w:pos="1831"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324" w:right="339" w:bottom="1440" w:gutter="0" w:footer="0" w:header="0"/>
        </w:sectPr>
      </w:pPr>
    </w:p>
    <w:bookmarkStart w:id="303" w:name="page304"/>
    <w:bookmarkEnd w:id="303"/>
    <w:p>
      <w:pPr>
        <w:ind w:firstLine="611"/>
        <w:spacing w:after="0" w:line="289" w:lineRule="auto"/>
        <w:rPr>
          <w:sz w:val="20"/>
          <w:szCs w:val="20"/>
          <w:color w:val="auto"/>
        </w:rPr>
      </w:pPr>
      <w:r>
        <w:rPr>
          <w:rFonts w:ascii="Times New Roman" w:cs="Times New Roman" w:eastAsia="Times New Roman" w:hAnsi="Times New Roman"/>
          <w:sz w:val="20"/>
          <w:szCs w:val="20"/>
          <w:color w:val="auto"/>
        </w:rPr>
        <w:t>IN WITNESS WHEREOF, the parties hereto, by their officers thereunto duly authorized, have executed this Agreement as of the day and year first above written.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ATTEST:</w:t>
      </w: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-8255</wp:posOffset>
            </wp:positionV>
            <wp:extent cx="1295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19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-8255</wp:posOffset>
            </wp:positionV>
            <wp:extent cx="1295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19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-8255</wp:posOffset>
            </wp:positionV>
            <wp:extent cx="1295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NAI-5009586090v14</w:t>
      </w:r>
    </w:p>
    <w:p>
      <w:pPr>
        <w:sectPr>
          <w:pgSz w:w="11900" w:h="16838" w:orient="portrait"/>
          <w:cols w:equalWidth="0" w:num="1">
            <w:col w:w="11240"/>
          </w:cols>
          <w:pgMar w:left="320" w:top="1350" w:right="339" w:bottom="1440" w:gutter="0" w:footer="0" w:header="0"/>
        </w:sectPr>
      </w:pPr>
    </w:p>
    <w:bookmarkStart w:id="304" w:name="page305"/>
    <w:bookmarkEnd w:id="304"/>
    <w:p>
      <w:pPr>
        <w:ind w:left="3640"/>
        <w:spacing w:after="0"/>
        <w:rPr>
          <w:sz w:val="20"/>
          <w:szCs w:val="20"/>
          <w:color w:val="auto"/>
        </w:rPr>
      </w:pPr>
      <w:r>
        <w:rPr>
          <w:rFonts w:ascii="Times New Roman" w:cs="Times New Roman" w:eastAsia="Times New Roman" w:hAnsi="Times New Roman"/>
          <w:sz w:val="20"/>
          <w:szCs w:val="20"/>
          <w:b w:val="1"/>
          <w:bCs w:val="1"/>
          <w:color w:val="auto"/>
        </w:rPr>
        <w:t>GUARANTORS:</w:t>
      </w:r>
    </w:p>
    <w:p>
      <w:pPr>
        <w:spacing w:after="0" w:line="24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5-D SYSTEMS, INC.</w:t>
      </w:r>
    </w:p>
    <w:p>
      <w:pPr>
        <w:spacing w:after="0" w:line="3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BSC PARTNERS, LLC</w:t>
      </w:r>
    </w:p>
    <w:p>
      <w:pPr>
        <w:spacing w:after="0" w:line="1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CONSOLIDATED TURBINE SPECIALISTS LLC</w:t>
      </w:r>
    </w:p>
    <w:p>
      <w:pPr>
        <w:spacing w:after="0" w:line="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DALLASTOWN REALTY I, LLC</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DALLASTOWN REALTY II, LLC</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DIGITAL FUSION SOLUTIONS, INC.</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DIGITAL FUSION, INC.</w:t>
      </w:r>
    </w:p>
    <w:p>
      <w:pPr>
        <w:spacing w:after="0" w:line="1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DTI ASSOCIATES, INC.</w:t>
      </w:r>
    </w:p>
    <w:p>
      <w:pPr>
        <w:spacing w:after="0" w:line="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FLORIDA TURBINE TECHNOLOGIES, INC.</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FTT AMERICA, LLC</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GENERAL MICROWAVE CORPORATION</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GENERAL MICROWAVE ISRAEL CORPORATION</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GICHNER SYSTEMS GROUP, INC.</w:t>
      </w:r>
    </w:p>
    <w:p>
      <w:pPr>
        <w:spacing w:after="0" w:line="1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GICHNER SYSTEMS INTERNATIONAL, INC.</w:t>
      </w:r>
    </w:p>
    <w:p>
      <w:pPr>
        <w:spacing w:after="0" w:line="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HAVERSTICK CONSULTING, INC.</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HGS HOLDINGS, INC.</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KRATOS ANTENNA HOLDINGS DIVISION, INC.</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KRATOS ANTENNA SOLUTIONS CORPORATION</w:t>
      </w:r>
    </w:p>
    <w:p>
      <w:pPr>
        <w:spacing w:after="0" w:line="1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KRATOS ANTENNA SOLUTIONS GLOBAL CORPORATION</w:t>
      </w:r>
    </w:p>
    <w:p>
      <w:pPr>
        <w:spacing w:after="0" w:line="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KRATOS ANTENNA SOLUTIONS INTERNATIONAL CORPORATION</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KRATOS BLADEWORKS, INC.</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KRATOS COMMUNICATIONS, INC.</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KRATOS DEFENSE &amp; ROCKET SUPPORT SERVICES, INC.</w:t>
      </w:r>
    </w:p>
    <w:p>
      <w:pPr>
        <w:spacing w:after="0" w:line="1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KRATOS INTEGRAL HOLDINGS, LLC</w:t>
      </w:r>
    </w:p>
    <w:p>
      <w:pPr>
        <w:spacing w:after="0" w:line="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KRATOS INTEGRAL SYSTEMS INTERNATIONAL, INC.</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-8255</wp:posOffset>
            </wp:positionV>
            <wp:extent cx="1295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19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-8255</wp:posOffset>
            </wp:positionV>
            <wp:extent cx="1295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19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-8255</wp:posOffset>
            </wp:positionV>
            <wp:extent cx="1295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NAI-5009586090v14</w:t>
      </w:r>
    </w:p>
    <w:p>
      <w:pPr>
        <w:sectPr>
          <w:pgSz w:w="11900" w:h="16838" w:orient="portrait"/>
          <w:cols w:equalWidth="0" w:num="1">
            <w:col w:w="10160"/>
          </w:cols>
          <w:pgMar w:left="340" w:top="1345" w:right="1399" w:bottom="1440" w:gutter="0" w:footer="0" w:header="0"/>
        </w:sectPr>
      </w:pPr>
    </w:p>
    <w:bookmarkStart w:id="305" w:name="page306"/>
    <w:bookmarkEnd w:id="305"/>
    <w:p>
      <w:pPr>
        <w:ind w:left="2540"/>
        <w:spacing w:after="0"/>
        <w:rPr>
          <w:sz w:val="20"/>
          <w:szCs w:val="20"/>
          <w:color w:val="auto"/>
        </w:rPr>
      </w:pPr>
      <w:r>
        <w:rPr>
          <w:rFonts w:ascii="Times New Roman" w:cs="Times New Roman" w:eastAsia="Times New Roman" w:hAnsi="Times New Roman"/>
          <w:sz w:val="20"/>
          <w:szCs w:val="20"/>
          <w:b w:val="1"/>
          <w:bCs w:val="1"/>
          <w:color w:val="auto"/>
        </w:rPr>
        <w:t>GUARANTORS:</w:t>
      </w:r>
    </w:p>
    <w:p>
      <w:pPr>
        <w:spacing w:after="0" w:line="24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KRATOS MICROWAVE HOLDING, LLC</w:t>
      </w:r>
    </w:p>
    <w:p>
      <w:pPr>
        <w:spacing w:after="0" w:line="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KRATOS MICROWAVE, INC.</w:t>
      </w:r>
    </w:p>
    <w:p>
      <w:pPr>
        <w:spacing w:after="0" w:line="1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KRATOS S1, INC.</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KRATOS S2, INC.</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KRATOS SPACE &amp; MISSILE DEFENSE SYSTEMS, INC.</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KRATOS SRE, INC.</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KRATOS SYSTEMS AND SOLUTIONS, INC.</w:t>
      </w:r>
    </w:p>
    <w:p>
      <w:pPr>
        <w:spacing w:after="0" w:line="1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KRATOS TECHNOLOGY &amp; TRAINING SOLUTIONS, INC.</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KRATOS UNMANNED AERIAL SYSTEMS, INC.</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KRATOS UNMANNED SYSTEMS SOLUTIONS, INC.</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KTT CORE, INC.</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MICRO SYSTEMS, INC.</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MSI ACQUISITION CORP.</w:t>
      </w:r>
    </w:p>
    <w:p>
      <w:pPr>
        <w:spacing w:after="0" w:line="1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NOMAD GLOBAL COMMUNICATION SOLUTIONS, INCORPORATED</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SAT CORPORATION</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SHADOW I, INC.</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SHADOW II, INC.</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SIERRA TECHNICAL SERVICES, INC.</w:t>
      </w:r>
    </w:p>
    <w:p>
      <w:pPr>
        <w:spacing w:after="0" w:line="1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SUMMIT RESEARCH CORPORATION</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TECHNICAL DIRECTIONS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-8255</wp:posOffset>
            </wp:positionV>
            <wp:extent cx="1295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19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-8255</wp:posOffset>
            </wp:positionV>
            <wp:extent cx="1295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19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-8255</wp:posOffset>
            </wp:positionV>
            <wp:extent cx="1295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180"/>
          </w:cols>
          <w:pgMar w:left="1440" w:top="1345" w:right="1279" w:bottom="1440" w:gutter="0" w:footer="0" w:header="0"/>
        </w:sectPr>
      </w:pPr>
    </w:p>
    <w:bookmarkStart w:id="306" w:name="page307"/>
    <w:bookmarkEnd w:id="306"/>
    <w:p>
      <w:pPr>
        <w:spacing w:after="0" w:line="135"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-8255</wp:posOffset>
            </wp:positionV>
            <wp:extent cx="1295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19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-8255</wp:posOffset>
            </wp:positionV>
            <wp:extent cx="1295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20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-8255</wp:posOffset>
            </wp:positionV>
            <wp:extent cx="1295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NAI-5009586090v14</w:t>
      </w:r>
    </w:p>
    <w:p>
      <w:pPr>
        <w:sectPr>
          <w:pgSz w:w="11900" w:h="16838" w:orient="portrait"/>
          <w:cols w:equalWidth="0" w:num="1">
            <w:col w:w="10119"/>
          </w:cols>
          <w:pgMar w:left="340" w:top="1440" w:right="1440" w:bottom="1440" w:gutter="0" w:footer="0" w:header="0"/>
        </w:sectPr>
      </w:pPr>
    </w:p>
    <w:bookmarkStart w:id="307" w:name="page308"/>
    <w:bookmarkEnd w:id="307"/>
    <w:p>
      <w:pPr>
        <w:spacing w:after="0" w:line="339" w:lineRule="exact"/>
        <w:rPr>
          <w:sz w:val="20"/>
          <w:szCs w:val="20"/>
          <w:color w:val="auto"/>
        </w:rPr>
      </w:pPr>
    </w:p>
    <w:p>
      <w:pPr>
        <w:ind w:left="2540"/>
        <w:spacing w:after="0" w:line="293" w:lineRule="auto"/>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 as Swingline Loan Lender, Issuing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-8255</wp:posOffset>
            </wp:positionV>
            <wp:extent cx="1295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20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-8255</wp:posOffset>
            </wp:positionV>
            <wp:extent cx="1295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19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-8255</wp:posOffset>
            </wp:positionV>
            <wp:extent cx="1295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820"/>
          </w:cols>
          <w:pgMar w:left="1440" w:top="1440" w:right="639" w:bottom="1440" w:gutter="0" w:footer="0" w:header="0"/>
        </w:sectPr>
      </w:pPr>
    </w:p>
    <w:bookmarkStart w:id="308" w:name="page309"/>
    <w:bookmarkEnd w:id="308"/>
    <w:p>
      <w:pPr>
        <w:spacing w:after="0" w:line="3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b w:val="1"/>
          <w:bCs w:val="1"/>
          <w:color w:val="auto"/>
        </w:rPr>
        <w:t>[OTHER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-8255</wp:posOffset>
            </wp:positionV>
            <wp:extent cx="1295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19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-8255</wp:posOffset>
            </wp:positionV>
            <wp:extent cx="1295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20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-8255</wp:posOffset>
            </wp:positionV>
            <wp:extent cx="1295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9019"/>
          </w:cols>
          <w:pgMar w:left="1440" w:top="1440" w:right="1440"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270"/>
        </w:trPr>
        <w:tc>
          <w:tcPr>
            <w:tcW w:w="7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040" w:type="dxa"/>
            <w:vAlign w:val="bottom"/>
            <w:gridSpan w:val="5"/>
          </w:tcPr>
          <w:p>
            <w:pPr>
              <w:jc w:val="center"/>
              <w:ind w:right="1280"/>
              <w:spacing w:after="0"/>
              <w:rPr>
                <w:sz w:val="20"/>
                <w:szCs w:val="20"/>
                <w:color w:val="auto"/>
              </w:rPr>
            </w:pPr>
            <w:r>
              <w:rPr>
                <w:rFonts w:ascii="Times New Roman" w:cs="Times New Roman" w:eastAsia="Times New Roman" w:hAnsi="Times New Roman"/>
                <w:sz w:val="20"/>
                <w:szCs w:val="20"/>
                <w:b w:val="1"/>
                <w:bCs w:val="1"/>
                <w:color w:val="auto"/>
              </w:rPr>
              <w:t>SCHEDULE 1.1(A)</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46"/>
        </w:trPr>
        <w:tc>
          <w:tcPr>
            <w:tcW w:w="760" w:type="dxa"/>
            <w:vAlign w:val="bottom"/>
          </w:tcPr>
          <w:p>
            <w:pPr>
              <w:spacing w:after="0"/>
              <w:rPr>
                <w:sz w:val="24"/>
                <w:szCs w:val="24"/>
                <w:color w:val="auto"/>
              </w:rPr>
            </w:pPr>
          </w:p>
        </w:tc>
        <w:tc>
          <w:tcPr>
            <w:tcW w:w="9200" w:type="dxa"/>
            <w:vAlign w:val="bottom"/>
            <w:gridSpan w:val="13"/>
          </w:tcPr>
          <w:p>
            <w:pPr>
              <w:jc w:val="center"/>
              <w:ind w:left="418"/>
              <w:spacing w:after="0"/>
              <w:rPr>
                <w:sz w:val="20"/>
                <w:szCs w:val="20"/>
                <w:color w:val="auto"/>
              </w:rPr>
            </w:pPr>
            <w:r>
              <w:rPr>
                <w:rFonts w:ascii="Times New Roman" w:cs="Times New Roman" w:eastAsia="Times New Roman" w:hAnsi="Times New Roman"/>
                <w:sz w:val="20"/>
                <w:szCs w:val="20"/>
                <w:b w:val="1"/>
                <w:bCs w:val="1"/>
                <w:color w:val="auto"/>
              </w:rPr>
              <w:t>COMMITMENTS OF LENDERS AND ADDRESSES FOR NOTICES</w:t>
            </w:r>
          </w:p>
        </w:tc>
      </w:tr>
      <w:tr>
        <w:trPr>
          <w:trHeight w:val="446"/>
        </w:trPr>
        <w:tc>
          <w:tcPr>
            <w:tcW w:w="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40" w:type="dxa"/>
            <w:vAlign w:val="bottom"/>
            <w:gridSpan w:val="5"/>
          </w:tcPr>
          <w:p>
            <w:pPr>
              <w:jc w:val="center"/>
              <w:ind w:right="1280"/>
              <w:spacing w:after="0"/>
              <w:rPr>
                <w:sz w:val="20"/>
                <w:szCs w:val="20"/>
                <w:color w:val="auto"/>
              </w:rPr>
            </w:pPr>
            <w:r>
              <w:rPr>
                <w:rFonts w:ascii="Times New Roman" w:cs="Times New Roman" w:eastAsia="Times New Roman" w:hAnsi="Times New Roman"/>
                <w:sz w:val="20"/>
                <w:szCs w:val="20"/>
                <w:color w:val="auto"/>
              </w:rPr>
              <w:t>Page 1 of 2</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9"/>
        </w:trPr>
        <w:tc>
          <w:tcPr>
            <w:tcW w:w="778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Part 1 - Commitments of Lenders and Addresses for Notices to Lenders</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98"/>
        </w:trPr>
        <w:tc>
          <w:tcPr>
            <w:tcW w:w="76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Amount of</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42"/>
        </w:trPr>
        <w:tc>
          <w:tcPr>
            <w:tcW w:w="7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Commitment for</w:t>
            </w: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20"/>
        </w:trPr>
        <w:tc>
          <w:tcPr>
            <w:tcW w:w="7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60" w:type="dxa"/>
            <w:vAlign w:val="bottom"/>
            <w:gridSpan w:val="4"/>
          </w:tcPr>
          <w:p>
            <w:pPr>
              <w:jc w:val="center"/>
              <w:spacing w:after="0" w:line="220" w:lineRule="exact"/>
              <w:rPr>
                <w:sz w:val="20"/>
                <w:szCs w:val="20"/>
                <w:color w:val="auto"/>
              </w:rPr>
            </w:pPr>
            <w:r>
              <w:rPr>
                <w:rFonts w:ascii="Times New Roman" w:cs="Times New Roman" w:eastAsia="Times New Roman" w:hAnsi="Times New Roman"/>
                <w:sz w:val="20"/>
                <w:szCs w:val="20"/>
                <w:b w:val="1"/>
                <w:bCs w:val="1"/>
                <w:color w:val="auto"/>
              </w:rPr>
              <w:t>Revolving Credit</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40" w:type="dxa"/>
            <w:vAlign w:val="bottom"/>
          </w:tcPr>
          <w:p>
            <w:pPr>
              <w:spacing w:after="0" w:line="222" w:lineRule="exact"/>
              <w:rPr>
                <w:sz w:val="20"/>
                <w:szCs w:val="20"/>
                <w:color w:val="auto"/>
              </w:rPr>
            </w:pPr>
            <w:r>
              <w:rPr>
                <w:rFonts w:ascii="Times New Roman" w:cs="Times New Roman" w:eastAsia="Times New Roman" w:hAnsi="Times New Roman"/>
                <w:sz w:val="20"/>
                <w:szCs w:val="20"/>
                <w:b w:val="1"/>
                <w:bCs w:val="1"/>
                <w:color w:val="auto"/>
                <w:w w:val="99"/>
              </w:rPr>
              <w:t>Lender</w:t>
            </w:r>
          </w:p>
        </w:tc>
        <w:tc>
          <w:tcPr>
            <w:tcW w:w="1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60" w:type="dxa"/>
            <w:vAlign w:val="bottom"/>
            <w:gridSpan w:val="4"/>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Loans</w:t>
            </w:r>
          </w:p>
        </w:tc>
        <w:tc>
          <w:tcPr>
            <w:tcW w:w="600" w:type="dxa"/>
            <w:vAlign w:val="bottom"/>
          </w:tcPr>
          <w:p>
            <w:pPr>
              <w:spacing w:after="0"/>
              <w:rPr>
                <w:sz w:val="19"/>
                <w:szCs w:val="19"/>
                <w:color w:val="auto"/>
              </w:rPr>
            </w:pPr>
          </w:p>
        </w:tc>
        <w:tc>
          <w:tcPr>
            <w:tcW w:w="1580" w:type="dxa"/>
            <w:vAlign w:val="bottom"/>
            <w:gridSpan w:val="4"/>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Ratable Share</w:t>
            </w:r>
          </w:p>
        </w:tc>
      </w:tr>
      <w:tr>
        <w:trPr>
          <w:trHeight w:val="20"/>
        </w:trPr>
        <w:tc>
          <w:tcPr>
            <w:tcW w:w="27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15"/>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Name: PNC Bank, National Association</w:t>
            </w:r>
          </w:p>
        </w:tc>
        <w:tc>
          <w:tcPr>
            <w:tcW w:w="3040" w:type="dxa"/>
            <w:vAlign w:val="bottom"/>
            <w:gridSpan w:val="5"/>
          </w:tcPr>
          <w:p>
            <w:pPr>
              <w:ind w:left="1360"/>
              <w:spacing w:after="0"/>
              <w:rPr>
                <w:sz w:val="20"/>
                <w:szCs w:val="20"/>
                <w:color w:val="auto"/>
              </w:rPr>
            </w:pPr>
            <w:r>
              <w:rPr>
                <w:rFonts w:ascii="Times New Roman" w:cs="Times New Roman" w:eastAsia="Times New Roman" w:hAnsi="Times New Roman"/>
                <w:sz w:val="20"/>
                <w:szCs w:val="20"/>
                <w:color w:val="auto"/>
              </w:rPr>
              <w:t>$90,000,000.00</w:t>
            </w:r>
          </w:p>
        </w:tc>
        <w:tc>
          <w:tcPr>
            <w:tcW w:w="2180" w:type="dxa"/>
            <w:vAlign w:val="bottom"/>
            <w:gridSpan w:val="5"/>
          </w:tcPr>
          <w:p>
            <w:pPr>
              <w:ind w:left="980"/>
              <w:spacing w:after="0"/>
              <w:rPr>
                <w:sz w:val="20"/>
                <w:szCs w:val="20"/>
                <w:color w:val="auto"/>
              </w:rPr>
            </w:pPr>
            <w:r>
              <w:rPr>
                <w:rFonts w:ascii="Times New Roman" w:cs="Times New Roman" w:eastAsia="Times New Roman" w:hAnsi="Times New Roman"/>
                <w:sz w:val="20"/>
                <w:szCs w:val="20"/>
                <w:color w:val="auto"/>
              </w:rPr>
              <w:t>30.0000000 %</w:t>
            </w: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Address: 12255 El Camino Real, Suite 200</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San Diego, CA, 92130</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5"/>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Attention: Kelly Hogan</w:t>
            </w:r>
          </w:p>
        </w:tc>
        <w:tc>
          <w:tcPr>
            <w:tcW w:w="1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Telephone: (858) 947-4508</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6"/>
        </w:trPr>
        <w:tc>
          <w:tcPr>
            <w:tcW w:w="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Email:</w:t>
            </w:r>
          </w:p>
        </w:tc>
        <w:tc>
          <w:tcPr>
            <w:tcW w:w="3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kelly.hogan@pnc.com</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73"/>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Name: Truist Bank</w:t>
            </w:r>
          </w:p>
        </w:tc>
        <w:tc>
          <w:tcPr>
            <w:tcW w:w="3040" w:type="dxa"/>
            <w:vAlign w:val="bottom"/>
            <w:gridSpan w:val="5"/>
          </w:tcPr>
          <w:p>
            <w:pPr>
              <w:ind w:left="1360"/>
              <w:spacing w:after="0"/>
              <w:rPr>
                <w:sz w:val="20"/>
                <w:szCs w:val="20"/>
                <w:color w:val="auto"/>
              </w:rPr>
            </w:pPr>
            <w:r>
              <w:rPr>
                <w:rFonts w:ascii="Times New Roman" w:cs="Times New Roman" w:eastAsia="Times New Roman" w:hAnsi="Times New Roman"/>
                <w:sz w:val="20"/>
                <w:szCs w:val="20"/>
                <w:color w:val="auto"/>
              </w:rPr>
              <w:t>$85,000,000.00</w:t>
            </w:r>
          </w:p>
        </w:tc>
        <w:tc>
          <w:tcPr>
            <w:tcW w:w="2180" w:type="dxa"/>
            <w:vAlign w:val="bottom"/>
            <w:gridSpan w:val="5"/>
          </w:tcPr>
          <w:p>
            <w:pPr>
              <w:ind w:left="980"/>
              <w:spacing w:after="0"/>
              <w:rPr>
                <w:sz w:val="20"/>
                <w:szCs w:val="20"/>
                <w:color w:val="auto"/>
              </w:rPr>
            </w:pPr>
            <w:r>
              <w:rPr>
                <w:rFonts w:ascii="Times New Roman" w:cs="Times New Roman" w:eastAsia="Times New Roman" w:hAnsi="Times New Roman"/>
                <w:sz w:val="20"/>
                <w:szCs w:val="20"/>
                <w:color w:val="auto"/>
              </w:rPr>
              <w:t>28.3333333 %</w:t>
            </w: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Address: 101 S Stratford Rd</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Winston Salem, NC 27104</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5"/>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Attention: Shana Pask; Karla Soria</w:t>
            </w:r>
          </w:p>
        </w:tc>
        <w:tc>
          <w:tcPr>
            <w:tcW w:w="1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Telephone: (336) 733-2645; (336) 776-5340</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Telecopy: (888) 707-4162</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6"/>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Email: CapitalMarkets-W-S@truist.com</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73"/>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Name: U.S. Bank National Association</w:t>
            </w:r>
          </w:p>
        </w:tc>
        <w:tc>
          <w:tcPr>
            <w:tcW w:w="3040" w:type="dxa"/>
            <w:vAlign w:val="bottom"/>
            <w:gridSpan w:val="5"/>
          </w:tcPr>
          <w:p>
            <w:pPr>
              <w:ind w:left="1360"/>
              <w:spacing w:after="0"/>
              <w:rPr>
                <w:sz w:val="20"/>
                <w:szCs w:val="20"/>
                <w:color w:val="auto"/>
              </w:rPr>
            </w:pPr>
            <w:r>
              <w:rPr>
                <w:rFonts w:ascii="Times New Roman" w:cs="Times New Roman" w:eastAsia="Times New Roman" w:hAnsi="Times New Roman"/>
                <w:sz w:val="20"/>
                <w:szCs w:val="20"/>
                <w:color w:val="auto"/>
              </w:rPr>
              <w:t>$60,000,000.00</w:t>
            </w:r>
          </w:p>
        </w:tc>
        <w:tc>
          <w:tcPr>
            <w:tcW w:w="2180" w:type="dxa"/>
            <w:vAlign w:val="bottom"/>
            <w:gridSpan w:val="5"/>
          </w:tcPr>
          <w:p>
            <w:pPr>
              <w:ind w:left="980"/>
              <w:spacing w:after="0"/>
              <w:rPr>
                <w:sz w:val="20"/>
                <w:szCs w:val="20"/>
                <w:color w:val="auto"/>
              </w:rPr>
            </w:pPr>
            <w:r>
              <w:rPr>
                <w:rFonts w:ascii="Times New Roman" w:cs="Times New Roman" w:eastAsia="Times New Roman" w:hAnsi="Times New Roman"/>
                <w:sz w:val="20"/>
                <w:szCs w:val="20"/>
                <w:color w:val="auto"/>
              </w:rPr>
              <w:t>20.0000000 %</w:t>
            </w: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Address: 1850 Osborn Ave</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Oshkosh, WI 54902</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5"/>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Attention: NSLS Deal Administrator</w:t>
            </w:r>
          </w:p>
        </w:tc>
        <w:tc>
          <w:tcPr>
            <w:tcW w:w="1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Telephone: (920) 237-7601</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Telecopy: (866) 721-7062</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6"/>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Email: SyndicatedLendingServices@usbank.com</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73"/>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Name: JPMorgan Chase Bank, N.A.</w:t>
            </w:r>
          </w:p>
        </w:tc>
        <w:tc>
          <w:tcPr>
            <w:tcW w:w="3040" w:type="dxa"/>
            <w:vAlign w:val="bottom"/>
            <w:gridSpan w:val="5"/>
          </w:tcPr>
          <w:p>
            <w:pPr>
              <w:ind w:left="1360"/>
              <w:spacing w:after="0"/>
              <w:rPr>
                <w:sz w:val="20"/>
                <w:szCs w:val="20"/>
                <w:color w:val="auto"/>
              </w:rPr>
            </w:pPr>
            <w:r>
              <w:rPr>
                <w:rFonts w:ascii="Times New Roman" w:cs="Times New Roman" w:eastAsia="Times New Roman" w:hAnsi="Times New Roman"/>
                <w:sz w:val="20"/>
                <w:szCs w:val="20"/>
                <w:color w:val="auto"/>
              </w:rPr>
              <w:t>$40,000,000.00</w:t>
            </w:r>
          </w:p>
        </w:tc>
        <w:tc>
          <w:tcPr>
            <w:tcW w:w="2180" w:type="dxa"/>
            <w:vAlign w:val="bottom"/>
            <w:gridSpan w:val="5"/>
          </w:tcPr>
          <w:p>
            <w:pPr>
              <w:ind w:left="980"/>
              <w:spacing w:after="0"/>
              <w:rPr>
                <w:sz w:val="20"/>
                <w:szCs w:val="20"/>
                <w:color w:val="auto"/>
              </w:rPr>
            </w:pPr>
            <w:r>
              <w:rPr>
                <w:rFonts w:ascii="Times New Roman" w:cs="Times New Roman" w:eastAsia="Times New Roman" w:hAnsi="Times New Roman"/>
                <w:sz w:val="20"/>
                <w:szCs w:val="20"/>
                <w:color w:val="auto"/>
              </w:rPr>
              <w:t>13.3333333 %</w:t>
            </w: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Address: 10 South Dearborn L2</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Chicago, Illinois 60603</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5"/>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Attention: CLS Non Agented Servicing Team</w:t>
            </w:r>
          </w:p>
        </w:tc>
        <w:tc>
          <w:tcPr>
            <w:tcW w:w="1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66"/>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Email: cls.chicago.non.agented.servicing@jpmchase.com</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68"/>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Name: Royal Bank of Canada</w:t>
            </w:r>
          </w:p>
        </w:tc>
        <w:tc>
          <w:tcPr>
            <w:tcW w:w="3040" w:type="dxa"/>
            <w:vAlign w:val="bottom"/>
            <w:gridSpan w:val="5"/>
          </w:tcPr>
          <w:p>
            <w:pPr>
              <w:ind w:left="1360"/>
              <w:spacing w:after="0"/>
              <w:rPr>
                <w:sz w:val="20"/>
                <w:szCs w:val="20"/>
                <w:color w:val="auto"/>
              </w:rPr>
            </w:pPr>
            <w:r>
              <w:rPr>
                <w:rFonts w:ascii="Times New Roman" w:cs="Times New Roman" w:eastAsia="Times New Roman" w:hAnsi="Times New Roman"/>
                <w:sz w:val="20"/>
                <w:szCs w:val="20"/>
                <w:color w:val="auto"/>
              </w:rPr>
              <w:t>$25,000,000.00</w:t>
            </w:r>
          </w:p>
        </w:tc>
        <w:tc>
          <w:tcPr>
            <w:tcW w:w="2180" w:type="dxa"/>
            <w:vAlign w:val="bottom"/>
            <w:gridSpan w:val="5"/>
          </w:tcPr>
          <w:p>
            <w:pPr>
              <w:ind w:left="980"/>
              <w:spacing w:after="0"/>
              <w:rPr>
                <w:sz w:val="20"/>
                <w:szCs w:val="20"/>
                <w:color w:val="auto"/>
              </w:rPr>
            </w:pPr>
            <w:r>
              <w:rPr>
                <w:rFonts w:ascii="Times New Roman" w:cs="Times New Roman" w:eastAsia="Times New Roman" w:hAnsi="Times New Roman"/>
                <w:sz w:val="20"/>
                <w:szCs w:val="20"/>
                <w:color w:val="auto"/>
              </w:rPr>
              <w:t>8.33333333 %</w:t>
            </w:r>
          </w:p>
        </w:tc>
      </w:tr>
      <w:tr>
        <w:trPr>
          <w:trHeight w:val="247"/>
        </w:trPr>
        <w:tc>
          <w:tcPr>
            <w:tcW w:w="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3980" w:type="dxa"/>
            <w:vAlign w:val="bottom"/>
            <w:gridSpan w:val="3"/>
          </w:tcPr>
          <w:p>
            <w:pPr>
              <w:ind w:left="240"/>
              <w:spacing w:after="0" w:line="247" w:lineRule="exact"/>
              <w:rPr>
                <w:sz w:val="20"/>
                <w:szCs w:val="20"/>
                <w:color w:val="auto"/>
              </w:rPr>
            </w:pPr>
            <w:r>
              <w:rPr>
                <w:rFonts w:ascii="Times New Roman" w:cs="Times New Roman" w:eastAsia="Times New Roman" w:hAnsi="Times New Roman"/>
                <w:sz w:val="20"/>
                <w:szCs w:val="20"/>
                <w:color w:val="auto"/>
              </w:rPr>
              <w:t>200 Vesey Street,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New York, NY 10281</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5"/>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Attention: Nikhil Madhok</w:t>
            </w:r>
          </w:p>
        </w:tc>
        <w:tc>
          <w:tcPr>
            <w:tcW w:w="1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42"/>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Telephone: (212) 519-8462</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6"/>
        </w:trPr>
        <w:tc>
          <w:tcPr>
            <w:tcW w:w="47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Email: nikhil.madhok@rbccm.com</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880"/>
        </w:trPr>
        <w:tc>
          <w:tcPr>
            <w:tcW w:w="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w:t>
            </w: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80" w:type="dxa"/>
            <w:vAlign w:val="bottom"/>
            <w:gridSpan w:val="3"/>
          </w:tcPr>
          <w:p>
            <w:pPr>
              <w:ind w:left="1360"/>
              <w:spacing w:after="0"/>
              <w:rPr>
                <w:sz w:val="20"/>
                <w:szCs w:val="20"/>
                <w:color w:val="auto"/>
              </w:rPr>
            </w:pPr>
            <w:r>
              <w:rPr>
                <w:rFonts w:ascii="Times New Roman" w:cs="Times New Roman" w:eastAsia="Times New Roman" w:hAnsi="Times New Roman"/>
                <w:sz w:val="20"/>
                <w:szCs w:val="20"/>
                <w:color w:val="auto"/>
                <w:w w:val="99"/>
              </w:rPr>
              <w:t>$300,000,000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gridSpan w:val="4"/>
          </w:tcPr>
          <w:p>
            <w:pPr>
              <w:ind w:left="980"/>
              <w:spacing w:after="0"/>
              <w:rPr>
                <w:sz w:val="20"/>
                <w:szCs w:val="20"/>
                <w:color w:val="auto"/>
              </w:rPr>
            </w:pPr>
            <w:r>
              <w:rPr>
                <w:rFonts w:ascii="Times New Roman" w:cs="Times New Roman" w:eastAsia="Times New Roman" w:hAnsi="Times New Roman"/>
                <w:sz w:val="20"/>
                <w:szCs w:val="20"/>
                <w:color w:val="auto"/>
              </w:rPr>
              <w:t>100%</w:t>
            </w:r>
          </w:p>
        </w:tc>
        <w:tc>
          <w:tcPr>
            <w:tcW w:w="3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2099310</wp:posOffset>
            </wp:positionH>
            <wp:positionV relativeFrom="paragraph">
              <wp:posOffset>-5894070</wp:posOffset>
            </wp:positionV>
            <wp:extent cx="323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32385" cy="8255"/>
                    </a:xfrm>
                    <a:prstGeom prst="rect">
                      <a:avLst/>
                    </a:prstGeom>
                    <a:noFill/>
                  </pic:spPr>
                </pic:pic>
              </a:graphicData>
            </a:graphic>
          </wp:anchor>
        </w:drawing>
      </w:r>
    </w:p>
    <w:p>
      <w:pPr>
        <w:sectPr>
          <w:pgSz w:w="11900" w:h="16838" w:orient="portrait"/>
          <w:cols w:equalWidth="0" w:num="1">
            <w:col w:w="10139"/>
          </w:cols>
          <w:pgMar w:left="320" w:top="1345" w:right="1440" w:bottom="1440" w:gutter="0" w:footer="0" w:header="0"/>
        </w:sectPr>
      </w:pPr>
    </w:p>
    <w:bookmarkStart w:id="310" w:name="page311"/>
    <w:bookmarkEnd w:id="310"/>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1.1(A)</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COMMITMENTS OF LENDERS AND ADDRESSES FOR NOTICES</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Page 2 of 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2 - Addresses for Notices to Borrower and Guarantors: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ADMINISTRATIVE AGENT: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12255 El Camino Real, Suite 200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 92130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Kelly Hogan</w:t>
      </w:r>
    </w:p>
    <w:p>
      <w:pPr>
        <w:spacing w:after="0" w:line="2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Email:</w:t>
        <w:tab/>
        <w:t>kelly.hogan@pnc.com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With a Copy To: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Agency Services, PNC Bank, National Association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Mail Stop: P7-PFSC-04-I</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500 First Avenue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Pittsburgh, PA 15219</w:t>
      </w:r>
    </w:p>
    <w:p>
      <w:pPr>
        <w:spacing w:after="0" w:line="2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Attention:</w:t>
        <w:tab/>
        <w:t>Agency Services</w:t>
      </w:r>
    </w:p>
    <w:p>
      <w:pPr>
        <w:spacing w:after="0" w:line="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color w:val="auto"/>
        </w:rPr>
        <w:t>Telephone:</w:t>
        <w:tab/>
        <w:t>412 762 6442</w:t>
      </w:r>
    </w:p>
    <w:p>
      <w:pPr>
        <w:spacing w:after="0" w:line="1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Telecopy:</w:t>
        <w:tab/>
        <w:t>412 762 8672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With a Copy To</w:t>
      </w:r>
      <w:r>
        <w:rPr>
          <w:rFonts w:ascii="Times New Roman" w:cs="Times New Roman" w:eastAsia="Times New Roman" w:hAnsi="Times New Roman"/>
          <w:sz w:val="20"/>
          <w:szCs w:val="20"/>
          <w:color w:val="auto"/>
        </w:rPr>
        <w:t xml:space="preserve"> (which shall not constitute notice):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Jones Day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500 Grant Street, Suite 4500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Pittsburgh, PA 15219</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Brian Sullivan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Telephone: (412) 394-9567</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bwsullivan@jonesday.com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 OR ANY OTHER LOAN PARTY: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Kratos Defense &amp; Security Solutions,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10680 Treena Street, 6th Floor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 92131</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address: marie.mendoza@kratosdefense.com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Telephone number: 858-332-3759</w:t>
      </w:r>
    </w:p>
    <w:p>
      <w:pPr>
        <w:sectPr>
          <w:pgSz w:w="11900" w:h="16838" w:orient="portrait"/>
          <w:cols w:equalWidth="0" w:num="1">
            <w:col w:w="10139"/>
          </w:cols>
          <w:pgMar w:left="320" w:top="1345" w:right="1440"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280" w:type="dxa"/>
            <w:vAlign w:val="bottom"/>
          </w:tcPr>
          <w:p>
            <w:pPr>
              <w:spacing w:after="0"/>
              <w:rPr>
                <w:sz w:val="19"/>
                <w:szCs w:val="19"/>
                <w:color w:val="auto"/>
              </w:rPr>
            </w:pPr>
          </w:p>
        </w:tc>
        <w:tc>
          <w:tcPr>
            <w:tcW w:w="648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List of Subsidiaries</w:t>
            </w:r>
          </w:p>
        </w:tc>
      </w:tr>
      <w:tr>
        <w:trPr>
          <w:trHeight w:val="612"/>
        </w:trPr>
        <w:tc>
          <w:tcPr>
            <w:tcW w:w="4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5-D Systems,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Texas</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BSC Partners, LLC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New York</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Consolidated Turbine Specialists, LLC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Oklahoma</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Consolidated Turbine Specialists Canada, Ltd.</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Canada</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Dallastown Realty I, LLC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Dallastown Realty II, LLC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Digital Fusion Solutions,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Florida</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Digital Fusion,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DTI Associates,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Virginia</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Florida Turbine PR, LLC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Puerto Rico</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Florida Turbine Technologies,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Florida</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FTT America, LLC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FTT UK Limited</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FTT Deutschland GmbH</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Germany</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General Microwave Israel (1987) Ltd.</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Israel</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General Microwave Israel Corporation</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General Microwave Corporation</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New York</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Gichner Systems Group,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Gichner Systems International,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GMIC KTOS India Private Limited</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India</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Haverstick Consulting,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Indiana</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HGS Holdings,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Indiana</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Acquisition Ltd.</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Israel</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Antenna Holdings Division,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Antenna Solutions Corporation</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Antenna Solutions Global Corporation</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Antenna Solutions International Corporation</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Antenna Solutions Canada Corporation</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Canada</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Arabia, Ltd.</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Saudi Arabia</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BladeWorks,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Communications,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Communications Ltd.</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Communications S.A.S.</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France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Communications Japan,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Japan</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Communications Singapore Pte. Ltd.</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Singapore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Defence (Australia) Pty Limited</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Australia</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Defense &amp; Rocket Support Services,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Holdings U K Limited</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Integral Holdings, LLC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Maryland</w:t>
            </w:r>
          </w:p>
        </w:tc>
      </w:tr>
      <w:tr>
        <w:trPr>
          <w:trHeight w:val="235"/>
        </w:trPr>
        <w:tc>
          <w:tcPr>
            <w:tcW w:w="42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Integral Systems International, Inc.</w:t>
            </w:r>
          </w:p>
        </w:tc>
        <w:tc>
          <w:tcPr>
            <w:tcW w:w="1720" w:type="dxa"/>
            <w:vAlign w:val="bottom"/>
            <w:tcBorders>
              <w:bottom w:val="single" w:sz="8" w:color="auto"/>
              <w:right w:val="single" w:sz="8" w:color="auto"/>
            </w:tcBorders>
          </w:tcPr>
          <w:p>
            <w:pPr>
              <w:spacing w:after="0"/>
              <w:rPr>
                <w:sz w:val="20"/>
                <w:szCs w:val="20"/>
                <w:color w:val="auto"/>
              </w:rPr>
            </w:pP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bl>
    <w:p>
      <w:pPr>
        <w:sectPr>
          <w:pgSz w:w="11900" w:h="16838" w:orient="portrait"/>
          <w:cols w:equalWidth="0" w:num="1">
            <w:col w:w="10980"/>
          </w:cols>
          <w:pgMar w:left="580" w:top="857" w:right="339" w:bottom="1440" w:gutter="0" w:footer="0" w:header="0"/>
        </w:sectPr>
      </w:pPr>
    </w:p>
    <w:bookmarkStart w:id="312" w:name="page313"/>
    <w:bookmarkEnd w:id="3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60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GMI Eyal Ltd.</w:t>
            </w:r>
          </w:p>
        </w:tc>
        <w:tc>
          <w:tcPr>
            <w:tcW w:w="47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Israel</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Microwave Holding, LLC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Microwave,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Norway AS</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Norway</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Technology &amp; Training Solutions,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Unmanned Aerial Systems,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Unmanned Systems Solutions,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Space &amp; Missile Defense Systems,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SRE,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Systems and Solutions,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Virginia</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S1,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Colorado</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Kratos S2,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Colorado</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KTT CORE,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Micro Systems,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Florida</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MSI Acquisition Corp.</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Delaware</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Nomad Global Communications, Incorporated</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Montana</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SAT Corporation</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Shadow I,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Shadow II,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3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Sierra Technical Services,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California</w:t>
            </w:r>
          </w:p>
        </w:tc>
      </w:tr>
      <w:tr>
        <w:trPr>
          <w:trHeight w:val="227"/>
        </w:trPr>
        <w:tc>
          <w:tcPr>
            <w:tcW w:w="6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Summit Research Corporation</w:t>
            </w:r>
          </w:p>
        </w:tc>
        <w:tc>
          <w:tcPr>
            <w:tcW w:w="4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Alabama</w:t>
            </w:r>
          </w:p>
        </w:tc>
      </w:tr>
      <w:tr>
        <w:trPr>
          <w:trHeight w:val="246"/>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Technical Directions, Inc.</w:t>
            </w:r>
          </w:p>
        </w:tc>
        <w:tc>
          <w:tcPr>
            <w:tcW w:w="4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color w:val="auto"/>
              </w:rPr>
              <w:t>Michigan</w:t>
            </w:r>
          </w:p>
        </w:tc>
      </w:tr>
    </w:tbl>
    <w:p>
      <w:pPr>
        <w:sectPr>
          <w:pgSz w:w="11900" w:h="16838" w:orient="portrait"/>
          <w:cols w:equalWidth="0" w:num="1">
            <w:col w:w="10740"/>
          </w:cols>
          <w:pgMar w:left="580" w:top="871" w:right="57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17"/>
          <w:szCs w:val="17"/>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333-53014, 333-71618, 333-74108, 333-161340, 333-172103, 333-252914, 333-274868, and 333-277222 on Form S-3; Registration Statement Nos. 333-150165, 333-155604, 333-167840, 333-174745, 333-174760, 333-177493, and 333-198265 on Form S-4; and Registration Statement Nos. 333-90455, 333-54818, 333-71702, 333-91852, 333-116903, 333-124957, 333-127060, 333-155317, 333-157826, 333-167839, 333-171257, 333-173383, 333-177494, 333-179977, 333-182910, 333-191156, 333-198268, 333-206620, 333-219595, 333-240343, and 333-272172 on Form S-8 of our report dated February 23, 2026, relating to the financial statements of Kratos Defense &amp; Security Solutions, Inc., and the effectiveness of Kratos Defense &amp; Security Solutions, Inc.’s internal control over financial reporting appearing in this Annual Report on Form 10-K for the fiscal year ended December 28,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/s/ </w:t>
      </w:r>
      <w:r>
        <w:rPr>
          <w:rFonts w:ascii="Times New Roman" w:cs="Times New Roman" w:eastAsia="Times New Roman" w:hAnsi="Times New Roman"/>
          <w:sz w:val="17"/>
          <w:szCs w:val="17"/>
          <w:color w:val="auto"/>
        </w:rPr>
        <w:t>Deloitte &amp; Touche LLP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2026</w:t>
      </w:r>
    </w:p>
    <w:p>
      <w:pPr>
        <w:sectPr>
          <w:pgSz w:w="11900" w:h="16838" w:orient="portrait"/>
          <w:cols w:equalWidth="0" w:num="1">
            <w:col w:w="11240"/>
          </w:cols>
          <w:pgMar w:left="320" w:top="118" w:right="3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PRINCIPAL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302 OF THE SARBANES-OXLEY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Eric M. DeMarco, certify that:</w:t>
      </w:r>
    </w:p>
    <w:p>
      <w:pPr>
        <w:spacing w:after="0" w:line="197" w:lineRule="exact"/>
        <w:rPr>
          <w:sz w:val="20"/>
          <w:szCs w:val="20"/>
          <w:color w:val="auto"/>
        </w:rPr>
      </w:pPr>
    </w:p>
    <w:p>
      <w:pPr>
        <w:ind w:left="620" w:hanging="618"/>
        <w:spacing w:after="0"/>
        <w:tabs>
          <w:tab w:leader="none" w:pos="620"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Kratos Defense &amp; Security Solutions, Inc.;</w:t>
      </w:r>
    </w:p>
    <w:p>
      <w:pPr>
        <w:spacing w:after="0" w:line="21" w:lineRule="exact"/>
        <w:rPr>
          <w:rFonts w:ascii="Times New Roman" w:cs="Times New Roman" w:eastAsia="Times New Roman" w:hAnsi="Times New Roman"/>
          <w:sz w:val="15"/>
          <w:szCs w:val="15"/>
          <w:color w:val="auto"/>
        </w:rPr>
      </w:pPr>
    </w:p>
    <w:p>
      <w:pPr>
        <w:ind w:left="620" w:hanging="618"/>
        <w:spacing w:after="0" w:line="256" w:lineRule="auto"/>
        <w:tabs>
          <w:tab w:leader="none" w:pos="620"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5"/>
          <w:szCs w:val="15"/>
          <w:color w:val="auto"/>
        </w:rPr>
      </w:pPr>
    </w:p>
    <w:p>
      <w:pPr>
        <w:ind w:left="620" w:right="40" w:hanging="618"/>
        <w:spacing w:after="0" w:line="250" w:lineRule="auto"/>
        <w:tabs>
          <w:tab w:leader="none" w:pos="620"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5"/>
          <w:szCs w:val="15"/>
          <w:color w:val="auto"/>
        </w:rPr>
      </w:pPr>
    </w:p>
    <w:p>
      <w:pPr>
        <w:ind w:left="620" w:right="140" w:hanging="618"/>
        <w:spacing w:after="0" w:line="273" w:lineRule="auto"/>
        <w:tabs>
          <w:tab w:leader="none" w:pos="620"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5"/>
          <w:szCs w:val="15"/>
          <w:color w:val="auto"/>
        </w:rPr>
      </w:pPr>
    </w:p>
    <w:p>
      <w:pPr>
        <w:jc w:val="both"/>
        <w:ind w:left="1220" w:right="120" w:hanging="607"/>
        <w:spacing w:after="0" w:line="261" w:lineRule="auto"/>
        <w:tabs>
          <w:tab w:leader="none" w:pos="1211" w:val="left"/>
        </w:tabs>
        <w:numPr>
          <w:ilvl w:val="1"/>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220" w:right="140" w:hanging="607"/>
        <w:spacing w:after="0" w:line="253" w:lineRule="auto"/>
        <w:tabs>
          <w:tab w:leader="none" w:pos="1220" w:val="left"/>
        </w:tabs>
        <w:numPr>
          <w:ilvl w:val="1"/>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5"/>
          <w:szCs w:val="15"/>
          <w:color w:val="auto"/>
        </w:rPr>
      </w:pPr>
    </w:p>
    <w:p>
      <w:pPr>
        <w:ind w:left="1220" w:right="560" w:hanging="607"/>
        <w:spacing w:after="0" w:line="256" w:lineRule="auto"/>
        <w:tabs>
          <w:tab w:leader="none" w:pos="1211" w:val="left"/>
        </w:tabs>
        <w:numPr>
          <w:ilvl w:val="1"/>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5"/>
          <w:szCs w:val="15"/>
          <w:color w:val="auto"/>
        </w:rPr>
      </w:pPr>
    </w:p>
    <w:p>
      <w:pPr>
        <w:ind w:left="1220" w:right="180" w:hanging="607"/>
        <w:spacing w:after="0" w:line="263" w:lineRule="auto"/>
        <w:tabs>
          <w:tab w:leader="none" w:pos="1258" w:val="left"/>
        </w:tabs>
        <w:numPr>
          <w:ilvl w:val="1"/>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Times New Roman" w:cs="Times New Roman" w:eastAsia="Times New Roman" w:hAnsi="Times New Roman"/>
          <w:sz w:val="15"/>
          <w:szCs w:val="15"/>
          <w:color w:val="auto"/>
        </w:rPr>
      </w:pPr>
    </w:p>
    <w:p>
      <w:pPr>
        <w:ind w:left="620" w:right="240" w:hanging="618"/>
        <w:spacing w:after="0" w:line="283" w:lineRule="auto"/>
        <w:tabs>
          <w:tab w:leader="none" w:pos="620"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Times New Roman" w:cs="Times New Roman" w:eastAsia="Times New Roman" w:hAnsi="Times New Roman"/>
          <w:sz w:val="15"/>
          <w:szCs w:val="15"/>
          <w:color w:val="auto"/>
        </w:rPr>
      </w:pPr>
    </w:p>
    <w:p>
      <w:pPr>
        <w:ind w:left="1220" w:right="100" w:hanging="607"/>
        <w:spacing w:after="0" w:line="261" w:lineRule="auto"/>
        <w:tabs>
          <w:tab w:leader="none" w:pos="1211" w:val="left"/>
        </w:tabs>
        <w:numPr>
          <w:ilvl w:val="1"/>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5"/>
          <w:szCs w:val="15"/>
          <w:color w:val="auto"/>
        </w:rPr>
      </w:pPr>
    </w:p>
    <w:p>
      <w:pPr>
        <w:ind w:left="1220" w:right="340" w:hanging="607"/>
        <w:spacing w:after="0" w:line="273" w:lineRule="auto"/>
        <w:tabs>
          <w:tab w:leader="none" w:pos="1220" w:val="left"/>
        </w:tabs>
        <w:numPr>
          <w:ilvl w:val="1"/>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23, 2026</w:t>
      </w:r>
    </w:p>
    <w:p>
      <w:pPr>
        <w:spacing w:after="0" w:line="3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KRATOS DEFENSE &amp; SECURITY SOLUTIONS, INC.</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19685</wp:posOffset>
            </wp:positionV>
            <wp:extent cx="34607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3460750" cy="8255"/>
                    </a:xfrm>
                    <a:prstGeom prst="rect">
                      <a:avLst/>
                    </a:prstGeom>
                    <a:noFill/>
                  </pic:spPr>
                </pic:pic>
              </a:graphicData>
            </a:graphic>
          </wp:anchor>
        </w:drawing>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Eric M. DeMarco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Chief Executive Officer, President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p>
      <w:pPr>
        <w:sectPr>
          <w:pgSz w:w="11900" w:h="16838" w:orient="portrait"/>
          <w:cols w:equalWidth="0" w:num="1">
            <w:col w:w="11240"/>
          </w:cols>
          <w:pgMar w:left="320" w:top="849" w:right="33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302 OF THE SARBANES-OXLEY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Deanna H. Lund, certify that:</w:t>
      </w:r>
    </w:p>
    <w:p>
      <w:pPr>
        <w:spacing w:after="0" w:line="210" w:lineRule="exact"/>
        <w:rPr>
          <w:sz w:val="20"/>
          <w:szCs w:val="20"/>
          <w:color w:val="auto"/>
        </w:rPr>
      </w:pPr>
    </w:p>
    <w:p>
      <w:pPr>
        <w:ind w:left="620" w:hanging="618"/>
        <w:spacing w:after="0"/>
        <w:tabs>
          <w:tab w:leader="none" w:pos="62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I have reviewed this Annual report on Form 10-K of Kratos Defense &amp; Security Solutions, Inc.;</w:t>
      </w:r>
    </w:p>
    <w:p>
      <w:pPr>
        <w:spacing w:after="0" w:line="8" w:lineRule="exact"/>
        <w:rPr>
          <w:rFonts w:ascii="Times New Roman" w:cs="Times New Roman" w:eastAsia="Times New Roman" w:hAnsi="Times New Roman"/>
          <w:sz w:val="17"/>
          <w:szCs w:val="17"/>
          <w:color w:val="auto"/>
        </w:rPr>
      </w:pPr>
    </w:p>
    <w:p>
      <w:pPr>
        <w:ind w:left="620" w:hanging="618"/>
        <w:spacing w:after="0" w:line="253" w:lineRule="auto"/>
        <w:tabs>
          <w:tab w:leader="none" w:pos="62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7"/>
          <w:szCs w:val="17"/>
          <w:color w:val="auto"/>
        </w:rPr>
      </w:pPr>
    </w:p>
    <w:p>
      <w:pPr>
        <w:ind w:left="620" w:right="40" w:hanging="618"/>
        <w:spacing w:after="0" w:line="249" w:lineRule="auto"/>
        <w:tabs>
          <w:tab w:leader="none" w:pos="62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 w:lineRule="exact"/>
        <w:rPr>
          <w:rFonts w:ascii="Times New Roman" w:cs="Times New Roman" w:eastAsia="Times New Roman" w:hAnsi="Times New Roman"/>
          <w:sz w:val="17"/>
          <w:szCs w:val="17"/>
          <w:color w:val="auto"/>
        </w:rPr>
      </w:pPr>
    </w:p>
    <w:p>
      <w:pPr>
        <w:ind w:left="620" w:right="140" w:hanging="618"/>
        <w:spacing w:after="0" w:line="269" w:lineRule="auto"/>
        <w:tabs>
          <w:tab w:leader="none" w:pos="62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Times New Roman" w:cs="Times New Roman" w:eastAsia="Times New Roman" w:hAnsi="Times New Roman"/>
          <w:sz w:val="17"/>
          <w:szCs w:val="17"/>
          <w:color w:val="auto"/>
        </w:rPr>
      </w:pPr>
    </w:p>
    <w:p>
      <w:pPr>
        <w:jc w:val="both"/>
        <w:ind w:left="1220" w:right="100" w:hanging="607"/>
        <w:spacing w:after="0" w:line="257" w:lineRule="auto"/>
        <w:tabs>
          <w:tab w:leader="none" w:pos="1217"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ind w:left="1220" w:right="140" w:hanging="607"/>
        <w:spacing w:after="0" w:line="248" w:lineRule="auto"/>
        <w:tabs>
          <w:tab w:leader="none" w:pos="1214"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Times New Roman" w:cs="Times New Roman" w:eastAsia="Times New Roman" w:hAnsi="Times New Roman"/>
          <w:sz w:val="17"/>
          <w:szCs w:val="17"/>
          <w:color w:val="auto"/>
        </w:rPr>
      </w:pPr>
    </w:p>
    <w:p>
      <w:pPr>
        <w:ind w:left="1220" w:right="560" w:hanging="607"/>
        <w:spacing w:after="0" w:line="253" w:lineRule="auto"/>
        <w:tabs>
          <w:tab w:leader="none" w:pos="1217"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220" w:right="200" w:hanging="607"/>
        <w:spacing w:after="0" w:line="261" w:lineRule="auto"/>
        <w:tabs>
          <w:tab w:leader="none" w:pos="1252"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7"/>
          <w:szCs w:val="17"/>
          <w:color w:val="auto"/>
        </w:rPr>
      </w:pPr>
    </w:p>
    <w:p>
      <w:pPr>
        <w:ind w:left="620" w:right="240" w:hanging="618"/>
        <w:spacing w:after="0" w:line="269" w:lineRule="auto"/>
        <w:tabs>
          <w:tab w:leader="none" w:pos="62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17"/>
          <w:szCs w:val="17"/>
          <w:color w:val="auto"/>
        </w:rPr>
      </w:pPr>
    </w:p>
    <w:p>
      <w:pPr>
        <w:ind w:left="1220" w:right="100" w:hanging="607"/>
        <w:spacing w:after="0" w:line="253" w:lineRule="auto"/>
        <w:tabs>
          <w:tab w:leader="none" w:pos="1217"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Times New Roman" w:cs="Times New Roman" w:eastAsia="Times New Roman" w:hAnsi="Times New Roman"/>
          <w:sz w:val="17"/>
          <w:szCs w:val="17"/>
          <w:color w:val="auto"/>
        </w:rPr>
      </w:pPr>
    </w:p>
    <w:p>
      <w:pPr>
        <w:ind w:left="1220" w:right="360" w:hanging="607"/>
        <w:spacing w:after="0" w:line="269" w:lineRule="auto"/>
        <w:tabs>
          <w:tab w:leader="none" w:pos="1214"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23, 2026</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KRATOS DEFENSE &amp; SECURITY SOLUTIONS, INC.</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19685</wp:posOffset>
            </wp:positionV>
            <wp:extent cx="34607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3460750" cy="8255"/>
                    </a:xfrm>
                    <a:prstGeom prst="rect">
                      <a:avLst/>
                    </a:prstGeom>
                    <a:noFill/>
                  </pic:spPr>
                </pic:pic>
              </a:graphicData>
            </a:graphic>
          </wp:anchor>
        </w:drawing>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Deanna H. Lund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Executive Vice President, Chief Financial Officer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p>
      <w:pPr>
        <w:sectPr>
          <w:pgSz w:w="11900" w:h="16838" w:orient="portrait"/>
          <w:cols w:equalWidth="0" w:num="1">
            <w:col w:w="11240"/>
          </w:cols>
          <w:pgMar w:left="320" w:top="849" w:right="33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 SECTION 906 OF THE SARBANES-OXLEY ACT OF 2002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81" w:lineRule="exact"/>
        <w:rPr>
          <w:sz w:val="20"/>
          <w:szCs w:val="20"/>
          <w:color w:val="auto"/>
        </w:rPr>
      </w:pPr>
    </w:p>
    <w:p>
      <w:pPr>
        <w:ind w:right="40" w:firstLine="153"/>
        <w:spacing w:after="0" w:line="274" w:lineRule="auto"/>
        <w:rPr>
          <w:sz w:val="20"/>
          <w:szCs w:val="20"/>
          <w:color w:val="auto"/>
        </w:rPr>
      </w:pPr>
      <w:r>
        <w:rPr>
          <w:rFonts w:ascii="Times New Roman" w:cs="Times New Roman" w:eastAsia="Times New Roman" w:hAnsi="Times New Roman"/>
          <w:sz w:val="15"/>
          <w:szCs w:val="15"/>
          <w:color w:val="auto"/>
        </w:rPr>
        <w:t>In connection with the accompanying Annual Report of Kratos Defense &amp; Security Solutions, Inc. (the “Company”) on Form 10-K for the year ended December 28, 2025 (the “Report”), I, Eric M. DeMarco, Chief Executive Officer of the Company, certify, pursuant to 18 U.S.C. Section 1350, as adopted pursuant to Section 906 of the Sarbanes-Oxley Act of 2002, that:</w:t>
      </w:r>
    </w:p>
    <w:p>
      <w:pPr>
        <w:spacing w:after="0" w:line="148" w:lineRule="exact"/>
        <w:rPr>
          <w:sz w:val="20"/>
          <w:szCs w:val="20"/>
          <w:color w:val="auto"/>
        </w:rPr>
      </w:pPr>
    </w:p>
    <w:p>
      <w:pPr>
        <w:ind w:left="1220" w:hanging="607"/>
        <w:spacing w:after="0"/>
        <w:tabs>
          <w:tab w:leader="none" w:pos="1220"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21" w:lineRule="exact"/>
        <w:rPr>
          <w:rFonts w:ascii="Times New Roman" w:cs="Times New Roman" w:eastAsia="Times New Roman" w:hAnsi="Times New Roman"/>
          <w:sz w:val="15"/>
          <w:szCs w:val="15"/>
          <w:color w:val="auto"/>
        </w:rPr>
      </w:pPr>
    </w:p>
    <w:p>
      <w:pPr>
        <w:ind w:left="1260" w:hanging="647"/>
        <w:spacing w:after="0"/>
        <w:tabs>
          <w:tab w:leader="none" w:pos="1260"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23,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KRATOS DEFENSE &amp; SECURITY SOLUTIONS, INC.</w:t>
      </w: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19685</wp:posOffset>
            </wp:positionV>
            <wp:extent cx="35496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Eric M. DeMarco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Chief Executive Officer, President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p>
      <w:pPr>
        <w:sectPr>
          <w:pgSz w:w="11900" w:h="16838" w:orient="portrait"/>
          <w:cols w:equalWidth="0" w:num="1">
            <w:col w:w="11240"/>
          </w:cols>
          <w:pgMar w:left="320" w:top="849" w:right="33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 SECTION 906 OF THE SARBANES-OXLEY ACT OF 2002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181" w:lineRule="exact"/>
        <w:rPr>
          <w:sz w:val="20"/>
          <w:szCs w:val="20"/>
          <w:color w:val="auto"/>
        </w:rPr>
      </w:pPr>
    </w:p>
    <w:p>
      <w:pPr>
        <w:ind w:right="160" w:firstLine="153"/>
        <w:spacing w:after="0" w:line="274" w:lineRule="auto"/>
        <w:rPr>
          <w:sz w:val="20"/>
          <w:szCs w:val="20"/>
          <w:color w:val="auto"/>
        </w:rPr>
      </w:pPr>
      <w:r>
        <w:rPr>
          <w:rFonts w:ascii="Times New Roman" w:cs="Times New Roman" w:eastAsia="Times New Roman" w:hAnsi="Times New Roman"/>
          <w:sz w:val="15"/>
          <w:szCs w:val="15"/>
          <w:color w:val="auto"/>
        </w:rPr>
        <w:t>In connection with the accompanying Annual Report of Kratos Defense &amp; Security Solutions, Inc. (the “Company”) on Form 10-K for the year ended December 28, 2025 (the “Report”), I, Deanna H. Lund, Chief Financial Officer of the Company, certify, pursuant to 18 U.S.C. Section 1350, as adopted pursuant to Section 906 of the Sarbanes-Oxley Act of 2002, that:</w:t>
      </w:r>
    </w:p>
    <w:p>
      <w:pPr>
        <w:spacing w:after="0" w:line="148" w:lineRule="exact"/>
        <w:rPr>
          <w:sz w:val="20"/>
          <w:szCs w:val="20"/>
          <w:color w:val="auto"/>
        </w:rPr>
      </w:pPr>
    </w:p>
    <w:p>
      <w:pPr>
        <w:ind w:left="1220" w:hanging="607"/>
        <w:spacing w:after="0"/>
        <w:tabs>
          <w:tab w:leader="none" w:pos="1220"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21" w:lineRule="exact"/>
        <w:rPr>
          <w:rFonts w:ascii="Times New Roman" w:cs="Times New Roman" w:eastAsia="Times New Roman" w:hAnsi="Times New Roman"/>
          <w:sz w:val="15"/>
          <w:szCs w:val="15"/>
          <w:color w:val="auto"/>
        </w:rPr>
      </w:pPr>
    </w:p>
    <w:p>
      <w:pPr>
        <w:ind w:left="1260" w:hanging="647"/>
        <w:spacing w:after="0"/>
        <w:tabs>
          <w:tab w:leader="none" w:pos="1260"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23,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KRATOS DEFENSE &amp; SECURITY SOLUTIONS, INC.</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19685</wp:posOffset>
            </wp:positionV>
            <wp:extent cx="35496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Deanna H. Lund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Executive Vice President, Chief Financial Officer</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i w:val="1"/>
          <w:iCs w:val="1"/>
          <w:color w:val="auto"/>
        </w:rPr>
        <w:t>(Principal Financial Officer)</w:t>
      </w:r>
    </w:p>
    <w:sectPr>
      <w:pgSz w:w="11900" w:h="16838" w:orient="portrait"/>
      <w:cols w:equalWidth="0" w:num="1">
        <w:col w:w="11240"/>
      </w:cols>
      <w:pgMar w:left="320" w:top="8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B49DAF"/>
    <w:multiLevelType w:val="hybridMultilevel"/>
    <w:lvl w:ilvl="0">
      <w:lvlJc w:val="left"/>
      <w:lvlText w:val="☒"/>
      <w:numFmt w:val="bullet"/>
      <w:start w:val="1"/>
    </w:lvl>
  </w:abstractNum>
  <w:abstractNum w:abstractNumId="1">
    <w:nsid w:val="759F82CD"/>
    <w:multiLevelType w:val="hybridMultilevel"/>
    <w:lvl w:ilvl="0">
      <w:lvlJc w:val="left"/>
      <w:lvlText w:val="☐"/>
      <w:numFmt w:val="bullet"/>
      <w:start w:val="1"/>
    </w:lvl>
  </w:abstractNum>
  <w:abstractNum w:abstractNumId="2">
    <w:nsid w:val="61E74EA3"/>
    <w:multiLevelType w:val="hybridMultilevel"/>
    <w:lvl w:ilvl="0">
      <w:lvlJc w:val="left"/>
      <w:lvlText w:val="•"/>
      <w:numFmt w:val="bullet"/>
      <w:start w:val="1"/>
    </w:lvl>
  </w:abstractNum>
  <w:abstractNum w:abstractNumId="3">
    <w:nsid w:val="597B4D84"/>
    <w:multiLevelType w:val="hybridMultilevel"/>
    <w:lvl w:ilvl="0">
      <w:lvlJc w:val="left"/>
      <w:lvlText w:val="•"/>
      <w:numFmt w:val="bullet"/>
      <w:start w:val="1"/>
    </w:lvl>
  </w:abstractNum>
  <w:abstractNum w:abstractNumId="4">
    <w:nsid w:val="F819E7F"/>
    <w:multiLevelType w:val="hybridMultilevel"/>
    <w:lvl w:ilvl="0">
      <w:lvlJc w:val="left"/>
      <w:lvlText w:val="•"/>
      <w:numFmt w:val="bullet"/>
      <w:start w:val="1"/>
    </w:lvl>
  </w:abstractNum>
  <w:abstractNum w:abstractNumId="5">
    <w:nsid w:val="57C7D42D"/>
    <w:multiLevelType w:val="hybridMultilevel"/>
    <w:lvl w:ilvl="0">
      <w:lvlJc w:val="left"/>
      <w:lvlText w:val="•"/>
      <w:numFmt w:val="bullet"/>
      <w:start w:val="1"/>
    </w:lvl>
  </w:abstractNum>
  <w:abstractNum w:abstractNumId="6">
    <w:nsid w:val="312167AD"/>
    <w:multiLevelType w:val="hybridMultilevel"/>
    <w:lvl w:ilvl="0">
      <w:lvlJc w:val="left"/>
      <w:lvlText w:val="•"/>
      <w:numFmt w:val="bullet"/>
      <w:start w:val="1"/>
    </w:lvl>
  </w:abstractNum>
  <w:abstractNum w:abstractNumId="7">
    <w:nsid w:val="631B64D4"/>
    <w:multiLevelType w:val="hybridMultilevel"/>
    <w:lvl w:ilvl="0">
      <w:lvlJc w:val="left"/>
      <w:lvlText w:val="•"/>
      <w:numFmt w:val="bullet"/>
      <w:start w:val="1"/>
    </w:lvl>
  </w:abstractNum>
  <w:abstractNum w:abstractNumId="8">
    <w:nsid w:val="78B5E776"/>
    <w:multiLevelType w:val="hybridMultilevel"/>
    <w:lvl w:ilvl="0">
      <w:lvlJc w:val="left"/>
      <w:lvlText w:val="•"/>
      <w:numFmt w:val="bullet"/>
      <w:start w:val="1"/>
    </w:lvl>
  </w:abstractNum>
  <w:abstractNum w:abstractNumId="9">
    <w:nsid w:val="75486E47"/>
    <w:multiLevelType w:val="hybridMultilevel"/>
    <w:lvl w:ilvl="0">
      <w:lvlJc w:val="left"/>
      <w:lvlText w:val="•"/>
      <w:numFmt w:val="bullet"/>
      <w:start w:val="1"/>
    </w:lvl>
  </w:abstractNum>
  <w:abstractNum w:abstractNumId="10">
    <w:nsid w:val="6E534CDE"/>
    <w:multiLevelType w:val="hybridMultilevel"/>
    <w:lvl w:ilvl="0">
      <w:lvlJc w:val="left"/>
      <w:lvlText w:val="•"/>
      <w:numFmt w:val="bullet"/>
      <w:start w:val="1"/>
    </w:lvl>
  </w:abstractNum>
  <w:abstractNum w:abstractNumId="11">
    <w:nsid w:val="1A0DDE32"/>
    <w:multiLevelType w:val="hybridMultilevel"/>
    <w:lvl w:ilvl="0">
      <w:lvlJc w:val="left"/>
      <w:lvlText w:val="•"/>
      <w:numFmt w:val="bullet"/>
      <w:start w:val="1"/>
    </w:lvl>
  </w:abstractNum>
  <w:abstractNum w:abstractNumId="12">
    <w:nsid w:val="65968C1C"/>
    <w:multiLevelType w:val="hybridMultilevel"/>
    <w:lvl w:ilvl="0">
      <w:lvlJc w:val="left"/>
      <w:lvlText w:val="•"/>
      <w:numFmt w:val="bullet"/>
      <w:start w:val="1"/>
    </w:lvl>
  </w:abstractNum>
  <w:abstractNum w:abstractNumId="13">
    <w:nsid w:val="46263DEC"/>
    <w:multiLevelType w:val="hybridMultilevel"/>
    <w:lvl w:ilvl="0">
      <w:lvlJc w:val="left"/>
      <w:lvlText w:val="•"/>
      <w:numFmt w:val="bullet"/>
      <w:start w:val="1"/>
    </w:lvl>
  </w:abstractNum>
  <w:abstractNum w:abstractNumId="14">
    <w:nsid w:val="260D8C4A"/>
    <w:multiLevelType w:val="hybridMultilevel"/>
    <w:lvl w:ilvl="0">
      <w:lvlJc w:val="left"/>
      <w:lvlText w:val="•"/>
      <w:numFmt w:val="bullet"/>
      <w:start w:val="1"/>
    </w:lvl>
  </w:abstractNum>
  <w:abstractNum w:abstractNumId="15">
    <w:nsid w:val="73D4D3C4"/>
    <w:multiLevelType w:val="hybridMultilevel"/>
    <w:lvl w:ilvl="0">
      <w:lvlJc w:val="left"/>
      <w:lvlText w:val="•"/>
      <w:numFmt w:val="bullet"/>
      <w:start w:val="1"/>
    </w:lvl>
  </w:abstractNum>
  <w:abstractNum w:abstractNumId="16">
    <w:nsid w:val="746F2E30"/>
    <w:multiLevelType w:val="hybridMultilevel"/>
    <w:lvl w:ilvl="0">
      <w:lvlJc w:val="left"/>
      <w:lvlText w:val="•"/>
      <w:numFmt w:val="bullet"/>
      <w:start w:val="1"/>
    </w:lvl>
  </w:abstractNum>
  <w:abstractNum w:abstractNumId="17">
    <w:nsid w:val="6FDE8AF6"/>
    <w:multiLevelType w:val="hybridMultilevel"/>
    <w:lvl w:ilvl="0">
      <w:lvlJc w:val="left"/>
      <w:lvlText w:val="•"/>
      <w:numFmt w:val="bullet"/>
      <w:start w:val="1"/>
    </w:lvl>
  </w:abstractNum>
  <w:abstractNum w:abstractNumId="18">
    <w:nsid w:val="3FC32E20"/>
    <w:multiLevelType w:val="hybridMultilevel"/>
    <w:lvl w:ilvl="0">
      <w:lvlJc w:val="left"/>
      <w:lvlText w:val="•"/>
      <w:numFmt w:val="bullet"/>
      <w:start w:val="1"/>
    </w:lvl>
  </w:abstractNum>
  <w:abstractNum w:abstractNumId="19">
    <w:nsid w:val="49C0E823"/>
    <w:multiLevelType w:val="hybridMultilevel"/>
    <w:lvl w:ilvl="0">
      <w:lvlJc w:val="left"/>
      <w:lvlText w:val="•"/>
      <w:numFmt w:val="bullet"/>
      <w:start w:val="1"/>
    </w:lvl>
  </w:abstractNum>
  <w:abstractNum w:abstractNumId="20">
    <w:nsid w:val="14D53685"/>
    <w:multiLevelType w:val="hybridMultilevel"/>
    <w:lvl w:ilvl="0">
      <w:lvlJc w:val="left"/>
      <w:lvlText w:val="•"/>
      <w:numFmt w:val="bullet"/>
      <w:start w:val="1"/>
    </w:lvl>
  </w:abstractNum>
  <w:abstractNum w:abstractNumId="21">
    <w:nsid w:val="230F856C"/>
    <w:multiLevelType w:val="hybridMultilevel"/>
    <w:lvl w:ilvl="0">
      <w:lvlJc w:val="left"/>
      <w:lvlText w:val="•"/>
      <w:numFmt w:val="bullet"/>
      <w:start w:val="1"/>
    </w:lvl>
  </w:abstractNum>
  <w:abstractNum w:abstractNumId="22">
    <w:nsid w:val="6EAA85FB"/>
    <w:multiLevelType w:val="hybridMultilevel"/>
    <w:lvl w:ilvl="0">
      <w:lvlJc w:val="left"/>
      <w:lvlText w:val="•"/>
      <w:numFmt w:val="bullet"/>
      <w:start w:val="1"/>
    </w:lvl>
  </w:abstractNum>
  <w:abstractNum w:abstractNumId="23">
    <w:nsid w:val="3F06ECB2"/>
    <w:multiLevelType w:val="hybridMultilevel"/>
    <w:lvl w:ilvl="0">
      <w:lvlJc w:val="left"/>
      <w:lvlText w:val="•"/>
      <w:numFmt w:val="bullet"/>
      <w:start w:val="1"/>
    </w:lvl>
  </w:abstractNum>
  <w:abstractNum w:abstractNumId="24">
    <w:nsid w:val="3B594807"/>
    <w:multiLevelType w:val="hybridMultilevel"/>
    <w:lvl w:ilvl="0">
      <w:lvlJc w:val="left"/>
      <w:lvlText w:val="•"/>
      <w:numFmt w:val="bullet"/>
      <w:start w:val="1"/>
    </w:lvl>
  </w:abstractNum>
  <w:abstractNum w:abstractNumId="25">
    <w:nsid w:val="6CAA2304"/>
    <w:multiLevelType w:val="hybridMultilevel"/>
    <w:lvl w:ilvl="0">
      <w:lvlJc w:val="left"/>
      <w:lvlText w:val="•"/>
      <w:numFmt w:val="bullet"/>
      <w:start w:val="1"/>
    </w:lvl>
  </w:abstractNum>
  <w:abstractNum w:abstractNumId="26">
    <w:nsid w:val="3F7C2FF4"/>
    <w:multiLevelType w:val="hybridMultilevel"/>
    <w:lvl w:ilvl="0">
      <w:lvlJc w:val="left"/>
      <w:lvlText w:val="•"/>
      <w:numFmt w:val="bullet"/>
      <w:start w:val="1"/>
    </w:lvl>
  </w:abstractNum>
  <w:abstractNum w:abstractNumId="27">
    <w:nsid w:val="25413BEC"/>
    <w:multiLevelType w:val="hybridMultilevel"/>
    <w:lvl w:ilvl="0">
      <w:lvlJc w:val="left"/>
      <w:lvlText w:val="•"/>
      <w:numFmt w:val="bullet"/>
      <w:start w:val="1"/>
    </w:lvl>
  </w:abstractNum>
  <w:abstractNum w:abstractNumId="28">
    <w:nsid w:val="17180B0B"/>
    <w:multiLevelType w:val="hybridMultilevel"/>
    <w:lvl w:ilvl="0">
      <w:lvlJc w:val="left"/>
      <w:lvlText w:val="•"/>
      <w:numFmt w:val="bullet"/>
      <w:start w:val="1"/>
    </w:lvl>
  </w:abstractNum>
  <w:abstractNum w:abstractNumId="29">
    <w:nsid w:val="579328B9"/>
    <w:multiLevelType w:val="hybridMultilevel"/>
    <w:lvl w:ilvl="0">
      <w:lvlJc w:val="left"/>
      <w:lvlText w:val="•"/>
      <w:numFmt w:val="bullet"/>
      <w:start w:val="1"/>
    </w:lvl>
  </w:abstractNum>
  <w:abstractNum w:abstractNumId="30">
    <w:nsid w:val="5D205E20"/>
    <w:multiLevelType w:val="hybridMultilevel"/>
    <w:lvl w:ilvl="0">
      <w:lvlJc w:val="left"/>
      <w:lvlText w:val="•"/>
      <w:numFmt w:val="bullet"/>
      <w:start w:val="1"/>
    </w:lvl>
  </w:abstractNum>
  <w:abstractNum w:abstractNumId="31">
    <w:nsid w:val="11CCA8BA"/>
    <w:multiLevelType w:val="hybridMultilevel"/>
    <w:lvl w:ilvl="0">
      <w:lvlJc w:val="left"/>
      <w:lvlText w:val="(%1)"/>
      <w:numFmt w:val="lowerLetter"/>
      <w:start w:val="1"/>
    </w:lvl>
  </w:abstractNum>
  <w:abstractNum w:abstractNumId="32">
    <w:nsid w:val="4D32AB86"/>
    <w:multiLevelType w:val="hybridMultilevel"/>
    <w:lvl w:ilvl="0">
      <w:lvlJc w:val="left"/>
      <w:lvlText w:val="•"/>
      <w:numFmt w:val="bullet"/>
      <w:start w:val="1"/>
    </w:lvl>
  </w:abstractNum>
  <w:abstractNum w:abstractNumId="33">
    <w:nsid w:val="3F07ACC3"/>
    <w:multiLevelType w:val="hybridMultilevel"/>
    <w:lvl w:ilvl="0">
      <w:lvlJc w:val="left"/>
      <w:lvlText w:val="%1"/>
      <w:numFmt w:val="decimal"/>
      <w:start w:val="97"/>
    </w:lvl>
  </w:abstractNum>
  <w:abstractNum w:abstractNumId="34">
    <w:nsid w:val="6B47F63E"/>
    <w:multiLevelType w:val="hybridMultilevel"/>
    <w:lvl w:ilvl="0">
      <w:lvlJc w:val="left"/>
      <w:lvlText w:val="**"/>
      <w:numFmt w:val="bullet"/>
      <w:start w:val="1"/>
    </w:lvl>
  </w:abstractNum>
  <w:abstractNum w:abstractNumId="35">
    <w:nsid w:val="5CB44A05"/>
    <w:multiLevelType w:val="hybridMultilevel"/>
    <w:lvl w:ilvl="0">
      <w:lvlJc w:val="left"/>
      <w:lvlText w:val="***"/>
      <w:numFmt w:val="bullet"/>
      <w:start w:val="1"/>
    </w:lvl>
  </w:abstractNum>
  <w:abstractNum w:abstractNumId="36">
    <w:nsid w:val="16CF80F1"/>
    <w:multiLevelType w:val="hybridMultilevel"/>
    <w:lvl w:ilvl="0">
      <w:lvlJc w:val="left"/>
      <w:lvlText w:val="(%1)"/>
      <w:numFmt w:val="lowerLetter"/>
      <w:start w:val="3"/>
    </w:lvl>
  </w:abstractNum>
  <w:abstractNum w:abstractNumId="37">
    <w:nsid w:val="1C695DEC"/>
    <w:multiLevelType w:val="hybridMultilevel"/>
    <w:lvl w:ilvl="0">
      <w:lvlJc w:val="left"/>
      <w:lvlText w:val="•"/>
      <w:numFmt w:val="bullet"/>
      <w:start w:val="1"/>
    </w:lvl>
    <w:lvl w:ilvl="1">
      <w:lvlJc w:val="left"/>
      <w:lvlText w:val="-"/>
      <w:numFmt w:val="bullet"/>
      <w:start w:val="1"/>
    </w:lvl>
  </w:abstractNum>
  <w:abstractNum w:abstractNumId="38">
    <w:nsid w:val="3FCFAED9"/>
    <w:multiLevelType w:val="hybridMultilevel"/>
    <w:lvl w:ilvl="0">
      <w:lvlJc w:val="left"/>
      <w:lvlText w:val="(%1)"/>
      <w:numFmt w:val="lowerLetter"/>
      <w:start w:val="3"/>
    </w:lvl>
  </w:abstractNum>
  <w:abstractNum w:abstractNumId="39">
    <w:nsid w:val="F856867"/>
    <w:multiLevelType w:val="hybridMultilevel"/>
    <w:lvl w:ilvl="0">
      <w:lvlJc w:val="left"/>
      <w:lvlText w:val="(%1)"/>
      <w:numFmt w:val="decimal"/>
      <w:start w:val="1"/>
    </w:lvl>
  </w:abstractNum>
  <w:abstractNum w:abstractNumId="40">
    <w:nsid w:val="11B1CC33"/>
    <w:multiLevelType w:val="hybridMultilevel"/>
    <w:lvl w:ilvl="0">
      <w:lvlJc w:val="left"/>
      <w:lvlText w:val="(%1)"/>
      <w:numFmt w:val="lowerLetter"/>
      <w:start w:val="6"/>
    </w:lvl>
  </w:abstractNum>
  <w:abstractNum w:abstractNumId="41">
    <w:nsid w:val="2E22FBB7"/>
    <w:multiLevelType w:val="hybridMultilevel"/>
    <w:lvl w:ilvl="0">
      <w:lvlJc w:val="left"/>
      <w:lvlText w:val="(%1)"/>
      <w:numFmt w:val="lowerRoman"/>
      <w:start w:val="1"/>
    </w:lvl>
  </w:abstractNum>
  <w:abstractNum w:abstractNumId="42">
    <w:nsid w:val="29934699"/>
    <w:multiLevelType w:val="hybridMultilevel"/>
    <w:lvl w:ilvl="0">
      <w:lvlJc w:val="left"/>
      <w:lvlText w:val="(%1)"/>
      <w:numFmt w:val="lowerLetter"/>
      <w:start w:val="10"/>
    </w:lvl>
  </w:abstractNum>
  <w:abstractNum w:abstractNumId="43">
    <w:nsid w:val="77485850"/>
    <w:multiLevelType w:val="hybridMultilevel"/>
    <w:lvl w:ilvl="0">
      <w:lvlJc w:val="left"/>
      <w:lvlText w:val="(%1)"/>
      <w:numFmt w:val="lowerLetter"/>
      <w:start w:val="12"/>
    </w:lvl>
  </w:abstractNum>
  <w:abstractNum w:abstractNumId="44">
    <w:nsid w:val="744939A3"/>
    <w:multiLevelType w:val="hybridMultilevel"/>
    <w:lvl w:ilvl="0">
      <w:lvlJc w:val="left"/>
      <w:lvlText w:val="(%1)"/>
      <w:numFmt w:val="decimal"/>
      <w:start w:val="2"/>
    </w:lvl>
  </w:abstractNum>
  <w:abstractNum w:abstractNumId="45">
    <w:nsid w:val="4FA0D2E3"/>
    <w:multiLevelType w:val="hybridMultilevel"/>
    <w:lvl w:ilvl="0">
      <w:lvlJc w:val="left"/>
      <w:lvlText w:val="$"/>
      <w:numFmt w:val="bullet"/>
      <w:start w:val="1"/>
    </w:lvl>
  </w:abstractNum>
  <w:abstractNum w:abstractNumId="46">
    <w:nsid w:val="6B1D2C14"/>
    <w:multiLevelType w:val="hybridMultilevel"/>
    <w:lvl w:ilvl="0">
      <w:lvlJc w:val="left"/>
      <w:lvlText w:val="$"/>
      <w:numFmt w:val="bullet"/>
      <w:start w:val="1"/>
    </w:lvl>
  </w:abstractNum>
  <w:abstractNum w:abstractNumId="47">
    <w:nsid w:val="68B867D3"/>
    <w:multiLevelType w:val="hybridMultilevel"/>
    <w:lvl w:ilvl="0">
      <w:lvlJc w:val="left"/>
      <w:lvlText w:val="$"/>
      <w:numFmt w:val="bullet"/>
      <w:start w:val="1"/>
    </w:lvl>
  </w:abstractNum>
  <w:abstractNum w:abstractNumId="48">
    <w:nsid w:val="3F7F5DD9"/>
    <w:multiLevelType w:val="hybridMultilevel"/>
    <w:lvl w:ilvl="0">
      <w:lvlJc w:val="left"/>
      <w:lvlText w:val="$"/>
      <w:numFmt w:val="bullet"/>
      <w:start w:val="1"/>
    </w:lvl>
  </w:abstractNum>
  <w:abstractNum w:abstractNumId="49">
    <w:nsid w:val="2AE05A34"/>
    <w:multiLevelType w:val="hybridMultilevel"/>
    <w:lvl w:ilvl="0">
      <w:lvlJc w:val="left"/>
      <w:lvlText w:val="(%1)"/>
      <w:numFmt w:val="lowerLetter"/>
      <w:start w:val="3"/>
    </w:lvl>
  </w:abstractNum>
  <w:abstractNum w:abstractNumId="50">
    <w:nsid w:val="32794FF7"/>
    <w:multiLevelType w:val="hybridMultilevel"/>
    <w:lvl w:ilvl="0">
      <w:lvlJc w:val="left"/>
      <w:lvlText w:val="(%1)"/>
      <w:numFmt w:val="decimal"/>
      <w:start w:val="1"/>
    </w:lvl>
  </w:abstractNum>
  <w:abstractNum w:abstractNumId="51">
    <w:nsid w:val="5454945E"/>
    <w:multiLevelType w:val="hybridMultilevel"/>
    <w:lvl w:ilvl="0">
      <w:lvlJc w:val="left"/>
      <w:lvlText w:val="(%1)"/>
      <w:numFmt w:val="lowerLetter"/>
      <w:start w:val="3"/>
    </w:lvl>
  </w:abstractNum>
  <w:abstractNum w:abstractNumId="52">
    <w:nsid w:val="4DEFDFA0"/>
    <w:multiLevelType w:val="hybridMultilevel"/>
    <w:lvl w:ilvl="0">
      <w:lvlJc w:val="left"/>
      <w:lvlText w:val="(%1)"/>
      <w:numFmt w:val="lowerLetter"/>
      <w:start w:val="1"/>
    </w:lvl>
    <w:lvl w:ilvl="1">
      <w:lvlJc w:val="left"/>
      <w:lvlText w:val="(%2)"/>
      <w:numFmt w:val="lowerLetter"/>
      <w:start w:val="9"/>
    </w:lvl>
  </w:abstractNum>
  <w:abstractNum w:abstractNumId="53">
    <w:nsid w:val="2123D5F2"/>
    <w:multiLevelType w:val="hybridMultilevel"/>
    <w:lvl w:ilvl="0">
      <w:lvlJc w:val="left"/>
      <w:lvlText w:val="%1"/>
      <w:numFmt w:val="lowerLetter"/>
      <w:start w:val="1"/>
    </w:lvl>
    <w:lvl w:ilvl="1">
      <w:lvlJc w:val="left"/>
      <w:lvlText w:val="(%2)"/>
      <w:numFmt w:val="lowerLetter"/>
      <w:start w:val="35"/>
    </w:lvl>
  </w:abstractNum>
  <w:abstractNum w:abstractNumId="54">
    <w:nsid w:val="135B8110"/>
    <w:multiLevelType w:val="hybridMultilevel"/>
    <w:lvl w:ilvl="0">
      <w:lvlJc w:val="left"/>
      <w:lvlText w:val="(%1)"/>
      <w:numFmt w:val="lowerLetter"/>
      <w:start w:val="2"/>
    </w:lvl>
    <w:lvl w:ilvl="1">
      <w:lvlJc w:val="left"/>
      <w:lvlText w:val="%2"/>
      <w:numFmt w:val="lowerLetter"/>
      <w:start w:val="1"/>
    </w:lvl>
  </w:abstractNum>
  <w:abstractNum w:abstractNumId="55">
    <w:nsid w:val="94927A8"/>
    <w:multiLevelType w:val="hybridMultilevel"/>
    <w:lvl w:ilvl="0">
      <w:lvlJc w:val="left"/>
      <w:lvlText w:val="(%1)"/>
      <w:numFmt w:val="lowerLetter"/>
      <w:start w:val="3"/>
    </w:lvl>
  </w:abstractNum>
  <w:abstractNum w:abstractNumId="56">
    <w:nsid w:val="DCDF8F6"/>
    <w:multiLevelType w:val="hybridMultilevel"/>
    <w:lvl w:ilvl="0">
      <w:lvlJc w:val="left"/>
      <w:lvlText w:val="(%1)"/>
      <w:numFmt w:val="lowerLetter"/>
      <w:start w:val="4"/>
    </w:lvl>
    <w:lvl w:ilvl="1">
      <w:lvlJc w:val="left"/>
      <w:lvlText w:val="(%2)"/>
      <w:numFmt w:val="lowerRoman"/>
      <w:start w:val="1"/>
    </w:lvl>
  </w:abstractNum>
  <w:abstractNum w:abstractNumId="57">
    <w:nsid w:val="52D7B105"/>
    <w:multiLevelType w:val="hybridMultilevel"/>
    <w:lvl w:ilvl="0">
      <w:lvlJc w:val="left"/>
      <w:lvlText w:val="(%1)"/>
      <w:numFmt w:val="lowerRoman"/>
      <w:start w:val="5"/>
    </w:lvl>
  </w:abstractNum>
  <w:abstractNum w:abstractNumId="58">
    <w:nsid w:val="2E8A6394"/>
    <w:multiLevelType w:val="hybridMultilevel"/>
    <w:lvl w:ilvl="0">
      <w:lvlJc w:val="left"/>
      <w:lvlText w:val="(%1)"/>
      <w:numFmt w:val="lowerRoman"/>
      <w:start w:val="6"/>
    </w:lvl>
  </w:abstractNum>
  <w:abstractNum w:abstractNumId="59">
    <w:nsid w:val="24E60401"/>
    <w:multiLevelType w:val="hybridMultilevel"/>
    <w:lvl w:ilvl="0">
      <w:lvlJc w:val="left"/>
      <w:lvlText w:val="(%1)"/>
      <w:numFmt w:val="lowerLetter"/>
      <w:start w:val="6"/>
    </w:lvl>
  </w:abstractNum>
  <w:abstractNum w:abstractNumId="60">
    <w:nsid w:val="2A6AD9BE"/>
    <w:multiLevelType w:val="hybridMultilevel"/>
    <w:lvl w:ilvl="0">
      <w:lvlJc w:val="left"/>
      <w:lvlText w:val="(%1)"/>
      <w:numFmt w:val="lowerLetter"/>
      <w:start w:val="7"/>
    </w:lvl>
  </w:abstractNum>
  <w:abstractNum w:abstractNumId="61">
    <w:nsid w:val="BAAC1B4"/>
    <w:multiLevelType w:val="hybridMultilevel"/>
    <w:lvl w:ilvl="0">
      <w:lvlJc w:val="left"/>
      <w:lvlText w:val="(%1)"/>
      <w:numFmt w:val="lowerLetter"/>
      <w:start w:val="1"/>
    </w:lvl>
  </w:abstractNum>
  <w:abstractNum w:abstractNumId="62">
    <w:nsid w:val="36B2ACBC"/>
    <w:multiLevelType w:val="hybridMultilevel"/>
    <w:lvl w:ilvl="0">
      <w:lvlJc w:val="left"/>
      <w:lvlText w:val="(%1)"/>
      <w:numFmt w:val="lowerLetter"/>
      <w:start w:val="1"/>
    </w:lvl>
  </w:abstractNum>
  <w:abstractNum w:abstractNumId="63">
    <w:nsid w:val="779D8544"/>
    <w:multiLevelType w:val="hybridMultilevel"/>
    <w:lvl w:ilvl="0">
      <w:lvlJc w:val="left"/>
      <w:lvlText w:val="(%1)"/>
      <w:numFmt w:val="lowerLetter"/>
      <w:start w:val="4"/>
    </w:lvl>
  </w:abstractNum>
  <w:abstractNum w:abstractNumId="64">
    <w:nsid w:val="4AB26E78"/>
    <w:multiLevelType w:val="hybridMultilevel"/>
    <w:lvl w:ilvl="0">
      <w:lvlJc w:val="left"/>
      <w:lvlText w:val="(%1)"/>
      <w:numFmt w:val="lowerLetter"/>
      <w:start w:val="1"/>
    </w:lvl>
    <w:lvl w:ilvl="1">
      <w:lvlJc w:val="left"/>
      <w:lvlText w:val="(%2)"/>
      <w:numFmt w:val="lowerRoman"/>
      <w:start w:val="1"/>
    </w:lvl>
  </w:abstractNum>
  <w:abstractNum w:abstractNumId="65">
    <w:nsid w:val="21FAA2FA"/>
    <w:multiLevelType w:val="hybridMultilevel"/>
    <w:lvl w:ilvl="0">
      <w:lvlJc w:val="left"/>
      <w:lvlText w:val="(%1)"/>
      <w:numFmt w:val="lowerRoman"/>
      <w:start w:val="3"/>
    </w:lvl>
  </w:abstractNum>
  <w:abstractNum w:abstractNumId="66">
    <w:nsid w:val="5451CF49"/>
    <w:multiLevelType w:val="hybridMultilevel"/>
    <w:lvl w:ilvl="0">
      <w:lvlJc w:val="left"/>
      <w:lvlText w:val="(%1)"/>
      <w:numFmt w:val="lowerLetter"/>
      <w:start w:val="25"/>
    </w:lvl>
  </w:abstractNum>
  <w:abstractNum w:abstractNumId="67">
    <w:nsid w:val="6181EF69"/>
    <w:multiLevelType w:val="hybridMultilevel"/>
    <w:lvl w:ilvl="0">
      <w:lvlJc w:val="left"/>
      <w:lvlText w:val="(%1)"/>
      <w:numFmt w:val="lowerLetter"/>
      <w:start w:val="25"/>
    </w:lvl>
  </w:abstractNum>
  <w:abstractNum w:abstractNumId="68">
    <w:nsid w:val="3E6400E6"/>
    <w:multiLevelType w:val="hybridMultilevel"/>
    <w:lvl w:ilvl="0">
      <w:lvlJc w:val="left"/>
      <w:lvlText w:val="%1"/>
      <w:numFmt w:val="lowerRoman"/>
      <w:start w:val="1"/>
    </w:lvl>
    <w:lvl w:ilvl="1">
      <w:lvlJc w:val="left"/>
      <w:lvlText w:val="(%2)"/>
      <w:numFmt w:val="lowerRoman"/>
      <w:start w:val="1"/>
    </w:lvl>
  </w:abstractNum>
  <w:abstractNum w:abstractNumId="69">
    <w:nsid w:val="14217E23"/>
    <w:multiLevelType w:val="hybridMultilevel"/>
    <w:lvl w:ilvl="0">
      <w:lvlJc w:val="left"/>
      <w:lvlText w:val="(%1)"/>
      <w:numFmt w:val="lowerRoman"/>
      <w:start w:val="5"/>
    </w:lvl>
    <w:lvl w:ilvl="1">
      <w:lvlJc w:val="left"/>
      <w:lvlText w:val="(%2)"/>
      <w:numFmt w:val="lowerRoman"/>
      <w:start w:val="7"/>
    </w:lvl>
  </w:abstractNum>
  <w:abstractNum w:abstractNumId="70">
    <w:nsid w:val="710757D0"/>
    <w:multiLevelType w:val="hybridMultilevel"/>
    <w:lvl w:ilvl="0">
      <w:lvlJc w:val="left"/>
      <w:lvlText w:val="(%1)"/>
      <w:numFmt w:val="lowerLetter"/>
      <w:start w:val="2"/>
    </w:lvl>
  </w:abstractNum>
  <w:abstractNum w:abstractNumId="71">
    <w:nsid w:val="5015CD1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72">
    <w:nsid w:val="424479DA"/>
    <w:multiLevelType w:val="hybridMultilevel"/>
    <w:lvl w:ilvl="0">
      <w:lvlJc w:val="left"/>
      <w:lvlText w:val="(%1)"/>
      <w:numFmt w:val="lowerLetter"/>
      <w:start w:val="4"/>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73">
    <w:nsid w:val="1A9A9E69"/>
    <w:multiLevelType w:val="hybridMultilevel"/>
    <w:lvl w:ilvl="0">
      <w:lvlJc w:val="left"/>
      <w:lvlText w:val="(%1)"/>
      <w:numFmt w:val="lowerLetter"/>
      <w:start w:val="5"/>
    </w:lvl>
    <w:lvl w:ilvl="1">
      <w:lvlJc w:val="left"/>
      <w:lvlText w:val="(%2)"/>
      <w:numFmt w:val="lowerLetter"/>
      <w:start w:val="9"/>
    </w:lvl>
  </w:abstractNum>
  <w:abstractNum w:abstractNumId="74">
    <w:nsid w:val="475E256A"/>
    <w:multiLevelType w:val="hybridMultilevel"/>
    <w:lvl w:ilvl="0">
      <w:lvlJc w:val="left"/>
      <w:lvlText w:val="(%1)"/>
      <w:numFmt w:val="lowerRoman"/>
      <w:start w:val="2"/>
    </w:lvl>
  </w:abstractNum>
  <w:abstractNum w:abstractNumId="75">
    <w:nsid w:val="368DB37E"/>
    <w:multiLevelType w:val="hybridMultilevel"/>
    <w:lvl w:ilvl="0">
      <w:lvlJc w:val="left"/>
      <w:lvlText w:val="(%1)"/>
      <w:numFmt w:val="decimal"/>
      <w:start w:val="1"/>
    </w:lvl>
    <w:lvl w:ilvl="1">
      <w:lvlJc w:val="left"/>
      <w:lvlText w:val="(%2)"/>
      <w:numFmt w:val="lowerLetter"/>
      <w:start w:val="1"/>
    </w:lvl>
  </w:abstractNum>
  <w:abstractNum w:abstractNumId="76">
    <w:nsid w:val="6A3B714C"/>
    <w:multiLevelType w:val="hybridMultilevel"/>
    <w:lvl w:ilvl="0">
      <w:lvlJc w:val="left"/>
      <w:lvlText w:val="(%1)"/>
      <w:numFmt w:val="lowerLetter"/>
      <w:start w:val="1"/>
    </w:lvl>
  </w:abstractNum>
  <w:abstractNum w:abstractNumId="77">
    <w:nsid w:val="327B517E"/>
    <w:multiLevelType w:val="hybridMultilevel"/>
    <w:lvl w:ilvl="0">
      <w:lvlJc w:val="left"/>
      <w:lvlText w:val="-"/>
      <w:numFmt w:val="bullet"/>
      <w:start w:val="1"/>
    </w:lvl>
    <w:lvl w:ilvl="1">
      <w:lvlJc w:val="left"/>
      <w:lvlText w:val="(%2)"/>
      <w:numFmt w:val="lowerLetter"/>
      <w:start w:val="1"/>
    </w:lvl>
  </w:abstractNum>
  <w:abstractNum w:abstractNumId="78">
    <w:nsid w:val="1F461B51"/>
    <w:multiLevelType w:val="hybridMultilevel"/>
    <w:lvl w:ilvl="0">
      <w:lvlJc w:val="left"/>
      <w:lvlText w:val="-"/>
      <w:numFmt w:val="bullet"/>
      <w:start w:val="1"/>
    </w:lvl>
    <w:lvl w:ilvl="1">
      <w:lvlJc w:val="left"/>
      <w:lvlText w:val="(%2)"/>
      <w:numFmt w:val="lowerLetter"/>
      <w:start w:val="4"/>
    </w:lvl>
  </w:abstractNum>
  <w:abstractNum w:abstractNumId="79">
    <w:nsid w:val="29BACF25"/>
    <w:multiLevelType w:val="hybridMultilevel"/>
    <w:lvl w:ilvl="0">
      <w:lvlJc w:val="left"/>
      <w:lvlText w:val="(%1)"/>
      <w:numFmt w:val="lowerLetter"/>
      <w:start w:val="12"/>
    </w:lvl>
  </w:abstractNum>
  <w:abstractNum w:abstractNumId="80">
    <w:nsid w:val="5D5BABB3"/>
    <w:multiLevelType w:val="hybridMultilevel"/>
    <w:lvl w:ilvl="0">
      <w:lvlJc w:val="left"/>
      <w:lvlText w:val="(%1)"/>
      <w:numFmt w:val="lowerLetter"/>
      <w:start w:val="1"/>
    </w:lvl>
  </w:abstractNum>
  <w:abstractNum w:abstractNumId="81">
    <w:nsid w:val="51BF6B48"/>
    <w:multiLevelType w:val="hybridMultilevel"/>
    <w:lvl w:ilvl="0">
      <w:lvlJc w:val="left"/>
      <w:lvlText w:val="(%1)"/>
      <w:numFmt w:val="lowerLetter"/>
      <w:start w:val="2"/>
    </w:lvl>
    <w:lvl w:ilvl="1">
      <w:lvlJc w:val="left"/>
      <w:lvlText w:val="(%2)"/>
      <w:numFmt w:val="lowerLetter"/>
      <w:start w:val="11"/>
    </w:lvl>
  </w:abstractNum>
  <w:abstractNum w:abstractNumId="82">
    <w:nsid w:val="7E0F6384"/>
    <w:multiLevelType w:val="hybridMultilevel"/>
    <w:lvl w:ilvl="0">
      <w:lvlJc w:val="left"/>
      <w:lvlText w:val="(%1)"/>
      <w:numFmt w:val="lowerLetter"/>
      <w:start w:val="1"/>
    </w:lvl>
  </w:abstractNum>
  <w:abstractNum w:abstractNumId="83">
    <w:nsid w:val="2B4B8B53"/>
    <w:multiLevelType w:val="hybridMultilevel"/>
    <w:lvl w:ilvl="0">
      <w:lvlJc w:val="left"/>
      <w:lvlText w:val="-"/>
      <w:numFmt w:val="bullet"/>
      <w:start w:val="1"/>
    </w:lvl>
    <w:lvl w:ilvl="1">
      <w:lvlJc w:val="left"/>
      <w:lvlText w:val="(%2)"/>
      <w:numFmt w:val="lowerLetter"/>
      <w:start w:val="1"/>
    </w:lvl>
  </w:abstractNum>
  <w:abstractNum w:abstractNumId="84">
    <w:nsid w:val="72E3413A"/>
    <w:multiLevelType w:val="hybridMultilevel"/>
    <w:lvl w:ilvl="0">
      <w:lvlJc w:val="left"/>
      <w:lvlText w:val="(%1)"/>
      <w:numFmt w:val="lowerLetter"/>
      <w:start w:val="5"/>
    </w:lvl>
  </w:abstractNum>
  <w:abstractNum w:abstractNumId="85">
    <w:nsid w:val="116AE494"/>
    <w:multiLevelType w:val="hybridMultilevel"/>
    <w:lvl w:ilvl="0">
      <w:lvlJc w:val="left"/>
      <w:lvlText w:val="%1."/>
      <w:numFmt w:val="decimal"/>
      <w:start w:val="1"/>
    </w:lvl>
  </w:abstractNum>
  <w:abstractNum w:abstractNumId="86">
    <w:nsid w:val="3494B2FB"/>
    <w:multiLevelType w:val="hybridMultilevel"/>
    <w:lvl w:ilvl="0">
      <w:lvlJc w:val="left"/>
      <w:lvlText w:val="(%1)"/>
      <w:numFmt w:val="lowerLetter"/>
      <w:start w:val="1"/>
    </w:lvl>
  </w:abstractNum>
  <w:abstractNum w:abstractNumId="87">
    <w:nsid w:val="B13A31"/>
    <w:multiLevelType w:val="hybridMultilevel"/>
    <w:lvl w:ilvl="0">
      <w:lvlJc w:val="left"/>
      <w:lvlText w:val="(%1)"/>
      <w:numFmt w:val="lowerLetter"/>
      <w:start w:val="2"/>
    </w:lvl>
  </w:abstractNum>
  <w:abstractNum w:abstractNumId="88">
    <w:nsid w:val="64429599"/>
    <w:multiLevelType w:val="hybridMultilevel"/>
    <w:lvl w:ilvl="0">
      <w:lvlJc w:val="left"/>
      <w:lvlText w:val="(%1)"/>
      <w:numFmt w:val="lowerRoman"/>
      <w:start w:val="2"/>
    </w:lvl>
  </w:abstractNum>
  <w:abstractNum w:abstractNumId="89">
    <w:nsid w:val="631F1690"/>
    <w:multiLevelType w:val="hybridMultilevel"/>
    <w:lvl w:ilvl="0">
      <w:lvlJc w:val="left"/>
      <w:lvlText w:val="(%1)"/>
      <w:numFmt w:val="lowerLetter"/>
      <w:start w:val="1"/>
    </w:lvl>
  </w:abstractNum>
  <w:abstractNum w:abstractNumId="90">
    <w:nsid w:val="25973E32"/>
    <w:multiLevelType w:val="hybridMultilevel"/>
    <w:lvl w:ilvl="0">
      <w:lvlJc w:val="left"/>
      <w:lvlText w:val="(%1)"/>
      <w:numFmt w:val="lowerLetter"/>
      <w:start w:val="1"/>
    </w:lvl>
  </w:abstractNum>
  <w:abstractNum w:abstractNumId="91">
    <w:nsid w:val="EAD6F57"/>
    <w:multiLevelType w:val="hybridMultilevel"/>
    <w:lvl w:ilvl="0">
      <w:lvlJc w:val="left"/>
      <w:lvlText w:val="(%1)"/>
      <w:numFmt w:val="lowerRoman"/>
      <w:start w:val="4"/>
    </w:lvl>
  </w:abstractNum>
  <w:abstractNum w:abstractNumId="92">
    <w:nsid w:val="6EC9D844"/>
    <w:multiLevelType w:val="hybridMultilevel"/>
    <w:lvl w:ilvl="0">
      <w:lvlJc w:val="left"/>
      <w:lvlText w:val="(%1)"/>
      <w:numFmt w:val="lowerRoman"/>
      <w:start w:val="3"/>
    </w:lvl>
  </w:abstractNum>
  <w:abstractNum w:abstractNumId="93">
    <w:nsid w:val="5C49EAEE"/>
    <w:multiLevelType w:val="hybridMultilevel"/>
    <w:lvl w:ilvl="0">
      <w:lvlJc w:val="left"/>
      <w:lvlText w:val="(%1)"/>
      <w:numFmt w:val="lowerRoman"/>
      <w:start w:val="2"/>
    </w:lvl>
  </w:abstractNum>
  <w:abstractNum w:abstractNumId="94">
    <w:nsid w:val="64AF49B"/>
    <w:multiLevelType w:val="hybridMultilevel"/>
    <w:lvl w:ilvl="0">
      <w:lvlJc w:val="left"/>
      <w:lvlText w:val="(%1)"/>
      <w:numFmt w:val="lowerLetter"/>
      <w:start w:val="25"/>
    </w:lvl>
  </w:abstractNum>
  <w:abstractNum w:abstractNumId="95">
    <w:nsid w:val="397C46BC"/>
    <w:multiLevelType w:val="hybridMultilevel"/>
    <w:lvl w:ilvl="0">
      <w:lvlJc w:val="left"/>
      <w:lvlText w:val="(%1)"/>
      <w:numFmt w:val="lowerLetter"/>
      <w:start w:val="1"/>
    </w:lvl>
  </w:abstractNum>
  <w:abstractNum w:abstractNumId="96">
    <w:nsid w:val="7E448DE9"/>
    <w:multiLevelType w:val="hybridMultilevel"/>
    <w:lvl w:ilvl="0">
      <w:lvlJc w:val="left"/>
      <w:lvlText w:val="(%1)"/>
      <w:numFmt w:val="lowerLetter"/>
      <w:start w:val="4"/>
    </w:lvl>
  </w:abstractNum>
  <w:abstractNum w:abstractNumId="97">
    <w:nsid w:val="5A9CC3E5"/>
    <w:multiLevelType w:val="hybridMultilevel"/>
    <w:lvl w:ilvl="0">
      <w:lvlJc w:val="left"/>
      <w:lvlText w:val="(%1)"/>
      <w:numFmt w:val="lowerLetter"/>
      <w:start w:val="1"/>
    </w:lvl>
  </w:abstractNum>
  <w:abstractNum w:abstractNumId="98">
    <w:nsid w:val="1AFE3625"/>
    <w:multiLevelType w:val="hybridMultilevel"/>
    <w:lvl w:ilvl="0">
      <w:lvlJc w:val="left"/>
      <w:lvlText w:val="(%1)"/>
      <w:numFmt w:val="lowerLetter"/>
      <w:start w:val="5"/>
    </w:lvl>
  </w:abstractNum>
  <w:abstractNum w:abstractNumId="99">
    <w:nsid w:val="3CA88ECF"/>
    <w:multiLevelType w:val="hybridMultilevel"/>
    <w:lvl w:ilvl="0">
      <w:lvlJc w:val="left"/>
      <w:lvlText w:val="(%1)"/>
      <w:numFmt w:val="lowerLetter"/>
      <w:start w:val="1"/>
    </w:lvl>
  </w:abstractNum>
  <w:abstractNum w:abstractNumId="100">
    <w:nsid w:val="6EBE4208"/>
    <w:multiLevelType w:val="hybridMultilevel"/>
    <w:lvl w:ilvl="0">
      <w:lvlJc w:val="left"/>
      <w:lvlText w:val="(%1)"/>
      <w:numFmt w:val="lowerLetter"/>
      <w:start w:val="5"/>
    </w:lvl>
  </w:abstractNum>
  <w:abstractNum w:abstractNumId="101">
    <w:nsid w:val="C058DF5"/>
    <w:multiLevelType w:val="hybridMultilevel"/>
    <w:lvl w:ilvl="0">
      <w:lvlJc w:val="left"/>
      <w:lvlText w:val="%1"/>
      <w:numFmt w:val="lowerLetter"/>
      <w:start w:val="1"/>
    </w:lvl>
    <w:lvl w:ilvl="1">
      <w:lvlJc w:val="left"/>
      <w:lvlText w:val="(%2)"/>
      <w:numFmt w:val="lowerLetter"/>
      <w:start w:val="1"/>
    </w:lvl>
  </w:abstractNum>
  <w:abstractNum w:abstractNumId="102">
    <w:nsid w:val="CBE5BE9"/>
    <w:multiLevelType w:val="hybridMultilevel"/>
    <w:lvl w:ilvl="0">
      <w:lvlJc w:val="left"/>
      <w:lvlText w:val="(%1)"/>
      <w:numFmt w:val="lowerLetter"/>
      <w:start w:val="1"/>
    </w:lvl>
    <w:lvl w:ilvl="1">
      <w:lvlJc w:val="left"/>
      <w:lvlText w:val="(%2)"/>
      <w:numFmt w:val="lowerLetter"/>
      <w:start w:val="5"/>
    </w:lvl>
  </w:abstractNum>
  <w:abstractNum w:abstractNumId="103">
    <w:nsid w:val="3102BBE2"/>
    <w:multiLevelType w:val="hybridMultilevel"/>
    <w:lvl w:ilvl="0">
      <w:lvlJc w:val="left"/>
      <w:lvlText w:val="(%1)"/>
      <w:numFmt w:val="lowerRoman"/>
      <w:start w:val="3"/>
    </w:lvl>
  </w:abstractNum>
  <w:abstractNum w:abstractNumId="104">
    <w:nsid w:val="26A02C5E"/>
    <w:multiLevelType w:val="hybridMultilevel"/>
    <w:lvl w:ilvl="0">
      <w:lvlJc w:val="left"/>
      <w:lvlText w:val="(%1)"/>
      <w:numFmt w:val="lowerLetter"/>
      <w:start w:val="2"/>
    </w:lvl>
  </w:abstractNum>
  <w:abstractNum w:abstractNumId="105">
    <w:nsid w:val="541C8153"/>
    <w:multiLevelType w:val="hybridMultilevel"/>
    <w:lvl w:ilvl="0">
      <w:lvlJc w:val="left"/>
      <w:lvlText w:val="(%1)"/>
      <w:numFmt w:val="lowerLetter"/>
      <w:start w:val="1"/>
    </w:lvl>
  </w:abstractNum>
  <w:abstractNum w:abstractNumId="106">
    <w:nsid w:val="67906F60"/>
    <w:multiLevelType w:val="hybridMultilevel"/>
    <w:lvl w:ilvl="0">
      <w:lvlJc w:val="left"/>
      <w:lvlText w:val="(%1)"/>
      <w:numFmt w:val="lowerLetter"/>
      <w:start w:val="2"/>
    </w:lvl>
  </w:abstractNum>
  <w:abstractNum w:abstractNumId="107">
    <w:nsid w:val="10DB9DAA"/>
    <w:multiLevelType w:val="hybridMultilevel"/>
    <w:lvl w:ilvl="0">
      <w:lvlJc w:val="left"/>
      <w:lvlText w:val="(%1)"/>
      <w:numFmt w:val="lowerLetter"/>
      <w:start w:val="1"/>
    </w:lvl>
  </w:abstractNum>
  <w:abstractNum w:abstractNumId="108">
    <w:nsid w:val="697D2D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9">
    <w:nsid w:val="6D68AB2"/>
    <w:multiLevelType w:val="hybridMultilevel"/>
    <w:lvl w:ilvl="0">
      <w:lvlJc w:val="left"/>
      <w:lvlText w:val="(%1)"/>
      <w:numFmt w:val="lowerRoman"/>
      <w:start w:val="3"/>
    </w:lvl>
  </w:abstractNum>
  <w:abstractNum w:abstractNumId="110">
    <w:nsid w:val="3A966CD0"/>
    <w:multiLevelType w:val="hybridMultilevel"/>
    <w:lvl w:ilvl="0">
      <w:lvlJc w:val="left"/>
      <w:lvlText w:val="(%1)"/>
      <w:numFmt w:val="lowerLetter"/>
      <w:start w:val="2"/>
    </w:lvl>
  </w:abstractNum>
  <w:abstractNum w:abstractNumId="111">
    <w:nsid w:val="63F37E85"/>
    <w:multiLevelType w:val="hybridMultilevel"/>
    <w:lvl w:ilvl="0">
      <w:lvlJc w:val="left"/>
      <w:lvlText w:val="(%1)"/>
      <w:numFmt w:val="lowerLetter"/>
      <w:start w:val="1"/>
    </w:lvl>
  </w:abstractNum>
  <w:abstractNum w:abstractNumId="112">
    <w:nsid w:val="5895F5FA"/>
    <w:multiLevelType w:val="hybridMultilevel"/>
    <w:lvl w:ilvl="0">
      <w:lvlJc w:val="left"/>
      <w:lvlText w:val="(%1)"/>
      <w:numFmt w:val="lowerLetter"/>
      <w:start w:val="3"/>
    </w:lvl>
    <w:lvl w:ilvl="1">
      <w:lvlJc w:val="left"/>
      <w:lvlText w:val="(%2)"/>
      <w:numFmt w:val="lowerRoman"/>
      <w:start w:val="1"/>
    </w:lvl>
  </w:abstractNum>
  <w:abstractNum w:abstractNumId="113">
    <w:nsid w:val="38A5D054"/>
    <w:multiLevelType w:val="hybridMultilevel"/>
    <w:lvl w:ilvl="0">
      <w:lvlJc w:val="left"/>
      <w:lvlText w:val="%1"/>
      <w:numFmt w:val="lowerLetter"/>
      <w:start w:val="1"/>
    </w:lvl>
    <w:lvl w:ilvl="1">
      <w:lvlJc w:val="left"/>
      <w:lvlText w:val="(%2)"/>
      <w:numFmt w:val="lowerLetter"/>
      <w:start w:val="6"/>
    </w:lvl>
  </w:abstractNum>
  <w:abstractNum w:abstractNumId="114">
    <w:nsid w:val="F3F09D8"/>
    <w:multiLevelType w:val="hybridMultilevel"/>
    <w:lvl w:ilvl="0">
      <w:lvlJc w:val="left"/>
      <w:lvlText w:val="(%1)"/>
      <w:numFmt w:val="lowerLetter"/>
      <w:start w:val="35"/>
    </w:lvl>
    <w:lvl w:ilvl="1">
      <w:lvlJc w:val="left"/>
      <w:lvlText w:val="%2"/>
      <w:numFmt w:val="lowerLetter"/>
      <w:start w:val="1"/>
    </w:lvl>
  </w:abstractNum>
  <w:abstractNum w:abstractNumId="115">
    <w:nsid w:val="4B793735"/>
    <w:multiLevelType w:val="hybridMultilevel"/>
    <w:lvl w:ilvl="0">
      <w:lvlJc w:val="left"/>
      <w:lvlText w:val="(%1)"/>
      <w:numFmt w:val="lowerLetter"/>
      <w:start w:val="1"/>
    </w:lvl>
  </w:abstractNum>
  <w:abstractNum w:abstractNumId="116">
    <w:nsid w:val="4A10B4E8"/>
    <w:multiLevelType w:val="hybridMultilevel"/>
    <w:lvl w:ilvl="0">
      <w:lvlJc w:val="left"/>
      <w:lvlText w:val="(%1)"/>
      <w:numFmt w:val="lowerLetter"/>
      <w:start w:val="2"/>
    </w:lvl>
    <w:lvl w:ilvl="1">
      <w:lvlJc w:val="left"/>
      <w:lvlText w:val="(%2)"/>
      <w:numFmt w:val="lowerRoman"/>
      <w:start w:val="1"/>
    </w:lvl>
  </w:abstractNum>
  <w:abstractNum w:abstractNumId="117">
    <w:nsid w:val="43D3BCD4"/>
    <w:multiLevelType w:val="hybridMultilevel"/>
    <w:lvl w:ilvl="0">
      <w:lvlJc w:val="left"/>
      <w:lvlText w:val="%1"/>
      <w:numFmt w:val="lowerLetter"/>
      <w:start w:val="1"/>
    </w:lvl>
    <w:lvl w:ilvl="1">
      <w:lvlJc w:val="left"/>
      <w:lvlText w:val="(%2)"/>
      <w:numFmt w:val="lowerLetter"/>
      <w:start w:val="61"/>
    </w:lvl>
  </w:abstractNum>
  <w:abstractNum w:abstractNumId="118">
    <w:nsid w:val="4C2A7166"/>
    <w:multiLevelType w:val="hybridMultilevel"/>
    <w:lvl w:ilvl="0">
      <w:lvlJc w:val="left"/>
      <w:lvlText w:val="(%1)"/>
      <w:numFmt w:val="lowerLetter"/>
      <w:start w:val="3"/>
    </w:lvl>
    <w:lvl w:ilvl="1">
      <w:lvlJc w:val="left"/>
      <w:lvlText w:val="(%2)"/>
      <w:numFmt w:val="lowerLetter"/>
      <w:start w:val="9"/>
    </w:lvl>
  </w:abstractNum>
  <w:abstractNum w:abstractNumId="119">
    <w:nsid w:val="2E534A82"/>
    <w:multiLevelType w:val="hybridMultilevel"/>
    <w:lvl w:ilvl="0">
      <w:lvlJc w:val="left"/>
      <w:lvlText w:val="%1"/>
      <w:numFmt w:val="lowerLetter"/>
      <w:start w:val="1"/>
    </w:lvl>
    <w:lvl w:ilvl="1">
      <w:lvlJc w:val="left"/>
      <w:lvlText w:val="(%2)"/>
      <w:numFmt w:val="lowerRoman"/>
      <w:start w:val="2"/>
    </w:lvl>
  </w:abstractNum>
  <w:abstractNum w:abstractNumId="120">
    <w:nsid w:val="26F2D364"/>
    <w:multiLevelType w:val="hybridMultilevel"/>
    <w:lvl w:ilvl="0">
      <w:lvlJc w:val="left"/>
      <w:lvlText w:val="(%1)"/>
      <w:numFmt w:val="lowerLetter"/>
      <w:start w:val="5"/>
    </w:lvl>
    <w:lvl w:ilvl="1">
      <w:lvlJc w:val="left"/>
      <w:lvlText w:val="(%2)"/>
      <w:numFmt w:val="lowerRoman"/>
      <w:start w:val="1"/>
    </w:lvl>
  </w:abstractNum>
  <w:abstractNum w:abstractNumId="121">
    <w:nsid w:val="71C1AF98"/>
    <w:multiLevelType w:val="hybridMultilevel"/>
    <w:lvl w:ilvl="0">
      <w:lvlJc w:val="left"/>
      <w:lvlText w:val="%1"/>
      <w:numFmt w:val="lowerLetter"/>
      <w:start w:val="1"/>
    </w:lvl>
    <w:lvl w:ilvl="1">
      <w:lvlJc w:val="left"/>
      <w:lvlText w:val="(%2)"/>
      <w:numFmt w:val="lowerLetter"/>
      <w:start w:val="35"/>
    </w:lvl>
  </w:abstractNum>
  <w:abstractNum w:abstractNumId="122">
    <w:nsid w:val="3D00B9D9"/>
    <w:multiLevelType w:val="hybridMultilevel"/>
    <w:lvl w:ilvl="0">
      <w:lvlJc w:val="left"/>
      <w:lvlText w:val="(%1)"/>
      <w:numFmt w:val="lowerLetter"/>
      <w:start w:val="6"/>
    </w:lvl>
    <w:lvl w:ilvl="1">
      <w:lvlJc w:val="left"/>
      <w:lvlText w:val="(%2)"/>
      <w:numFmt w:val="lowerLetter"/>
      <w:start w:val="9"/>
    </w:lvl>
  </w:abstractNum>
  <w:abstractNum w:abstractNumId="123">
    <w:nsid w:val="15BCABA8"/>
    <w:multiLevelType w:val="hybridMultilevel"/>
    <w:lvl w:ilvl="0">
      <w:lvlJc w:val="left"/>
      <w:lvlText w:val="(%1)"/>
      <w:numFmt w:val="lowerRoman"/>
      <w:start w:val="2"/>
    </w:lvl>
  </w:abstractNum>
  <w:abstractNum w:abstractNumId="124">
    <w:nsid w:val="4E0B9A87"/>
    <w:multiLevelType w:val="hybridMultilevel"/>
    <w:lvl w:ilvl="0">
      <w:lvlJc w:val="left"/>
      <w:lvlText w:val="(%1)"/>
      <w:numFmt w:val="lowerRoman"/>
      <w:start w:val="3"/>
    </w:lvl>
  </w:abstractNum>
  <w:abstractNum w:abstractNumId="125">
    <w:nsid w:val="434BAE75"/>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3"/>
    </w:lvl>
  </w:abstractNum>
  <w:abstractNum w:abstractNumId="126">
    <w:nsid w:val="4F38F265"/>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127">
    <w:nsid w:val="4C502870"/>
    <w:multiLevelType w:val="hybridMultilevel"/>
    <w:lvl w:ilvl="0">
      <w:lvlJc w:val="left"/>
      <w:lvlText w:val="(%1)"/>
      <w:numFmt w:val="lowerRoman"/>
      <w:start w:val="8"/>
    </w:lvl>
    <w:lvl w:ilvl="1">
      <w:lvlJc w:val="left"/>
      <w:lvlText w:val="%2"/>
      <w:numFmt w:val="lowerRoman"/>
      <w:start w:val="1"/>
    </w:lvl>
    <w:lvl w:ilvl="2">
      <w:lvlJc w:val="left"/>
      <w:lvlText w:val="%3"/>
      <w:numFmt w:val="lowerRoman"/>
      <w:start w:val="1"/>
    </w:lvl>
  </w:abstractNum>
  <w:abstractNum w:abstractNumId="128">
    <w:nsid w:val="1DE8725A"/>
    <w:multiLevelType w:val="hybridMultilevel"/>
    <w:lvl w:ilvl="0">
      <w:lvlJc w:val="left"/>
      <w:lvlText w:val="%1"/>
      <w:numFmt w:val="lowerRoman"/>
      <w:start w:val="1"/>
    </w:lvl>
    <w:lvl w:ilvl="1">
      <w:lvlJc w:val="left"/>
      <w:lvlText w:val="(%2)"/>
      <w:numFmt w:val="lowerLetter"/>
      <w:start w:val="1"/>
    </w:lvl>
  </w:abstractNum>
  <w:abstractNum w:abstractNumId="129">
    <w:nsid w:val="6A37288A"/>
    <w:multiLevelType w:val="hybridMultilevel"/>
    <w:lvl w:ilvl="0">
      <w:lvlJc w:val="left"/>
      <w:lvlText w:val="(%1)"/>
      <w:numFmt w:val="lowerRoman"/>
      <w:start w:val="4"/>
    </w:lvl>
    <w:lvl w:ilvl="1">
      <w:lvlJc w:val="left"/>
      <w:lvlText w:val="%2"/>
      <w:numFmt w:val="lowerLetter"/>
      <w:start w:val="1"/>
    </w:lvl>
  </w:abstractNum>
  <w:abstractNum w:abstractNumId="130">
    <w:nsid w:val="8F8B73F"/>
    <w:multiLevelType w:val="hybridMultilevel"/>
    <w:lvl w:ilvl="0">
      <w:lvlJc w:val="left"/>
      <w:lvlText w:val="(%1)"/>
      <w:numFmt w:val="lowerLetter"/>
      <w:start w:val="1"/>
    </w:lvl>
  </w:abstractNum>
  <w:abstractNum w:abstractNumId="131">
    <w:nsid w:val="CA6B462"/>
    <w:multiLevelType w:val="hybridMultilevel"/>
    <w:lvl w:ilvl="0">
      <w:lvlJc w:val="left"/>
      <w:lvlText w:val="(%1)"/>
      <w:numFmt w:val="lowerRoman"/>
      <w:start w:val="1"/>
    </w:lvl>
    <w:lvl w:ilvl="1">
      <w:lvlJc w:val="left"/>
      <w:lvlText w:val="(%2)"/>
      <w:numFmt w:val="decimal"/>
      <w:start w:val="1"/>
    </w:lvl>
  </w:abstractNum>
  <w:abstractNum w:abstractNumId="132">
    <w:nsid w:val="763CB68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33">
    <w:nsid w:val="15B71329"/>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134">
    <w:nsid w:val="3DA9704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35">
    <w:nsid w:val="1CDCE2DE"/>
    <w:multiLevelType w:val="hybridMultilevel"/>
    <w:lvl w:ilvl="0">
      <w:lvlJc w:val="left"/>
      <w:lvlText w:val="(%1)"/>
      <w:numFmt w:val="lowerLetter"/>
      <w:start w:val="3"/>
    </w:lvl>
  </w:abstractNum>
  <w:abstractNum w:abstractNumId="136">
    <w:nsid w:val="69D3947C"/>
    <w:multiLevelType w:val="hybridMultilevel"/>
    <w:lvl w:ilvl="0">
      <w:lvlJc w:val="left"/>
      <w:lvlText w:val="(%1)"/>
      <w:numFmt w:val="lowerLetter"/>
      <w:start w:val="1"/>
    </w:lvl>
    <w:lvl w:ilvl="1">
      <w:lvlJc w:val="left"/>
      <w:lvlText w:val="(%2)"/>
      <w:numFmt w:val="lowerRoman"/>
      <w:start w:val="1"/>
    </w:lvl>
  </w:abstractNum>
  <w:abstractNum w:abstractNumId="137">
    <w:nsid w:val="2539DFA5"/>
    <w:multiLevelType w:val="hybridMultilevel"/>
    <w:lvl w:ilvl="0">
      <w:lvlJc w:val="left"/>
      <w:lvlText w:val="(%1)"/>
      <w:numFmt w:val="lowerRoman"/>
      <w:start w:val="3"/>
    </w:lvl>
    <w:lvl w:ilvl="1">
      <w:lvlJc w:val="left"/>
      <w:lvlText w:val="(%2)"/>
      <w:numFmt w:val="decimal"/>
      <w:start w:val="1"/>
    </w:lvl>
  </w:abstractNum>
  <w:abstractNum w:abstractNumId="138">
    <w:nsid w:val="2DB88089"/>
    <w:multiLevelType w:val="hybridMultilevel"/>
    <w:lvl w:ilvl="0">
      <w:lvlJc w:val="left"/>
      <w:lvlText w:val="(%1)"/>
      <w:numFmt w:val="upperLetter"/>
      <w:start w:val="9"/>
    </w:lvl>
  </w:abstractNum>
  <w:abstractNum w:abstractNumId="139">
    <w:nsid w:val="706B674E"/>
    <w:multiLevelType w:val="hybridMultilevel"/>
    <w:lvl w:ilvl="0">
      <w:lvlJc w:val="left"/>
      <w:lvlText w:val="(%1)"/>
      <w:numFmt w:val="upperLetter"/>
      <w:start w:val="35"/>
    </w:lvl>
  </w:abstractNum>
  <w:abstractNum w:abstractNumId="140">
    <w:nsid w:val="2C106A57"/>
    <w:multiLevelType w:val="hybridMultilevel"/>
    <w:lvl w:ilvl="0">
      <w:lvlJc w:val="left"/>
      <w:lvlText w:val="(%1)"/>
      <w:numFmt w:val="upperLetter"/>
      <w:start w:val="61"/>
    </w:lvl>
  </w:abstractNum>
  <w:abstractNum w:abstractNumId="141">
    <w:nsid w:val="684EED59"/>
    <w:multiLevelType w:val="hybridMultilevel"/>
    <w:lvl w:ilvl="0">
      <w:lvlJc w:val="left"/>
      <w:lvlText w:val="%1"/>
      <w:numFmt w:val="lowerLetter"/>
      <w:start w:val="1"/>
    </w:lvl>
    <w:lvl w:ilvl="1">
      <w:lvlJc w:val="left"/>
      <w:lvlText w:val="(%2)"/>
      <w:numFmt w:val="decimal"/>
      <w:start w:val="2"/>
    </w:lvl>
  </w:abstractNum>
  <w:abstractNum w:abstractNumId="142">
    <w:nsid w:val="545EE5D3"/>
    <w:multiLevelType w:val="hybridMultilevel"/>
    <w:lvl w:ilvl="0">
      <w:lvlJc w:val="left"/>
      <w:lvlText w:val="(%1)"/>
      <w:numFmt w:val="lowerLetter"/>
      <w:start w:val="2"/>
    </w:lvl>
    <w:lvl w:ilvl="1">
      <w:lvlJc w:val="left"/>
      <w:lvlText w:val="%2"/>
      <w:numFmt w:val="decimal"/>
      <w:start w:val="1"/>
    </w:lvl>
  </w:abstractNum>
  <w:abstractNum w:abstractNumId="143">
    <w:nsid w:val="4A66051"/>
    <w:multiLevelType w:val="hybridMultilevel"/>
    <w:lvl w:ilvl="0">
      <w:lvlJc w:val="left"/>
      <w:lvlText w:val="(%1)"/>
      <w:numFmt w:val="lowerLetter"/>
      <w:start w:val="1"/>
    </w:lvl>
    <w:lvl w:ilvl="1">
      <w:lvlJc w:val="left"/>
      <w:lvlText w:val="(%2)"/>
      <w:numFmt w:val="lowerRoman"/>
      <w:start w:val="1"/>
    </w:lvl>
  </w:abstractNum>
  <w:abstractNum w:abstractNumId="144">
    <w:nsid w:val="20F4BDAD"/>
    <w:multiLevelType w:val="hybridMultilevel"/>
    <w:lvl w:ilvl="0">
      <w:lvlJc w:val="left"/>
      <w:lvlText w:val="(%1)"/>
      <w:numFmt w:val="lowerLetter"/>
      <w:start w:val="1"/>
    </w:lvl>
  </w:abstractNum>
  <w:abstractNum w:abstractNumId="145">
    <w:nsid w:val="639DEFAC"/>
    <w:multiLevelType w:val="hybridMultilevel"/>
    <w:lvl w:ilvl="0">
      <w:lvlJc w:val="left"/>
      <w:lvlText w:val="(%1)"/>
      <w:numFmt w:val="lowerLetter"/>
      <w:start w:val="1"/>
    </w:lvl>
    <w:lvl w:ilvl="1">
      <w:lvlJc w:val="left"/>
      <w:lvlText w:val="(%2)"/>
      <w:numFmt w:val="lowerRoman"/>
      <w:start w:val="1"/>
    </w:lvl>
  </w:abstractNum>
  <w:abstractNum w:abstractNumId="146">
    <w:nsid w:val="501F9786"/>
    <w:multiLevelType w:val="hybridMultilevel"/>
    <w:lvl w:ilvl="0">
      <w:lvlJc w:val="left"/>
      <w:lvlText w:val="(%1)"/>
      <w:numFmt w:val="lowerLetter"/>
      <w:start w:val="2"/>
    </w:lvl>
  </w:abstractNum>
  <w:abstractNum w:abstractNumId="147">
    <w:nsid w:val="6B057295"/>
    <w:multiLevelType w:val="hybridMultilevel"/>
    <w:lvl w:ilvl="0">
      <w:lvlJc w:val="left"/>
      <w:lvlText w:val="(%1)"/>
      <w:numFmt w:val="lowerRoman"/>
      <w:start w:val="2"/>
    </w:lvl>
  </w:abstractNum>
  <w:abstractNum w:abstractNumId="148">
    <w:nsid w:val="2771AC80"/>
    <w:multiLevelType w:val="hybridMultilevel"/>
    <w:lvl w:ilvl="0">
      <w:lvlJc w:val="left"/>
      <w:lvlText w:val="(%1)"/>
      <w:numFmt w:val="lowerLetter"/>
      <w:start w:val="4"/>
    </w:lvl>
    <w:lvl w:ilvl="1">
      <w:lvlJc w:val="left"/>
      <w:lvlText w:val="(%2)"/>
      <w:numFmt w:val="lowerRoman"/>
      <w:start w:val="1"/>
    </w:lvl>
  </w:abstractNum>
  <w:abstractNum w:abstractNumId="149">
    <w:nsid w:val="1C4A08EC"/>
    <w:multiLevelType w:val="hybridMultilevel"/>
    <w:lvl w:ilvl="0">
      <w:lvlJc w:val="left"/>
      <w:lvlText w:val="%1"/>
      <w:numFmt w:val="upperLetter"/>
      <w:start w:val="1"/>
    </w:lvl>
    <w:lvl w:ilvl="1">
      <w:lvlJc w:val="left"/>
      <w:lvlText w:val="(%2)"/>
      <w:numFmt w:val="lowerRoman"/>
      <w:start w:val="4"/>
    </w:lvl>
  </w:abstractNum>
  <w:abstractNum w:abstractNumId="150">
    <w:nsid w:val="1958BD17"/>
    <w:multiLevelType w:val="hybridMultilevel"/>
    <w:lvl w:ilvl="0">
      <w:lvlJc w:val="left"/>
      <w:lvlText w:val="(%1)"/>
      <w:numFmt w:val="upperLetter"/>
      <w:start w:val="35"/>
    </w:lvl>
    <w:lvl w:ilvl="1">
      <w:lvlJc w:val="left"/>
      <w:lvlText w:val="(%2)"/>
      <w:numFmt w:val="lowerRoman"/>
      <w:start w:val="5"/>
    </w:lvl>
  </w:abstractNum>
  <w:abstractNum w:abstractNumId="151">
    <w:nsid w:val="4E647FE4"/>
    <w:multiLevelType w:val="hybridMultilevel"/>
    <w:lvl w:ilvl="0">
      <w:lvlJc w:val="left"/>
      <w:lvlText w:val="(%1)"/>
      <w:numFmt w:val="decimal"/>
      <w:start w:val="1"/>
    </w:lvl>
  </w:abstractNum>
  <w:abstractNum w:abstractNumId="152">
    <w:nsid w:val="E0BB885"/>
    <w:multiLevelType w:val="hybridMultilevel"/>
    <w:lvl w:ilvl="0">
      <w:lvlJc w:val="left"/>
      <w:lvlText w:val="%1"/>
      <w:numFmt w:val="upperLetter"/>
      <w:start w:val="1"/>
    </w:lvl>
    <w:lvl w:ilvl="1">
      <w:lvlJc w:val="left"/>
      <w:lvlText w:val="(%2)"/>
      <w:numFmt w:val="decimal"/>
      <w:start w:val="3"/>
    </w:lvl>
  </w:abstractNum>
  <w:abstractNum w:abstractNumId="153">
    <w:nsid w:val="565976F1"/>
    <w:multiLevelType w:val="hybridMultilevel"/>
    <w:lvl w:ilvl="0">
      <w:lvlJc w:val="left"/>
      <w:lvlText w:val="(%1)"/>
      <w:numFmt w:val="upperLetter"/>
      <w:start w:val="1"/>
    </w:lvl>
    <w:lvl w:ilvl="1">
      <w:lvlJc w:val="left"/>
      <w:lvlText w:val="%2"/>
      <w:numFmt w:val="decimal"/>
      <w:start w:val="1"/>
    </w:lvl>
  </w:abstractNum>
  <w:abstractNum w:abstractNumId="154">
    <w:nsid w:val="64212B8C"/>
    <w:multiLevelType w:val="hybridMultilevel"/>
    <w:lvl w:ilvl="0">
      <w:lvlJc w:val="left"/>
      <w:lvlText w:val="%1"/>
      <w:numFmt w:val="decimal"/>
      <w:start w:val="1"/>
    </w:lvl>
    <w:lvl w:ilvl="1">
      <w:lvlJc w:val="left"/>
      <w:lvlText w:val="(%2)"/>
      <w:numFmt w:val="decimal"/>
      <w:start w:val="4"/>
    </w:lvl>
  </w:abstractNum>
  <w:abstractNum w:abstractNumId="155">
    <w:nsid w:val="5C17530C"/>
    <w:multiLevelType w:val="hybridMultilevel"/>
    <w:lvl w:ilvl="0">
      <w:lvlJc w:val="left"/>
      <w:lvlText w:val="(%1)"/>
      <w:numFmt w:val="decimal"/>
      <w:start w:val="5"/>
    </w:lvl>
    <w:lvl w:ilvl="1">
      <w:lvlJc w:val="left"/>
      <w:lvlText w:val="%2"/>
      <w:numFmt w:val="decimal"/>
      <w:start w:val="1"/>
    </w:lvl>
  </w:abstractNum>
  <w:abstractNum w:abstractNumId="156">
    <w:nsid w:val="19A52566"/>
    <w:multiLevelType w:val="hybridMultilevel"/>
    <w:lvl w:ilvl="0">
      <w:lvlJc w:val="left"/>
      <w:lvlText w:val="(%1)"/>
      <w:numFmt w:val="decimal"/>
      <w:start w:val="6"/>
    </w:lvl>
  </w:abstractNum>
  <w:abstractNum w:abstractNumId="157">
    <w:nsid w:val="335A1DF1"/>
    <w:multiLevelType w:val="hybridMultilevel"/>
    <w:lvl w:ilvl="0">
      <w:lvlJc w:val="left"/>
      <w:lvlText w:val="(%1)"/>
      <w:numFmt w:val="decimal"/>
      <w:start w:val="8"/>
    </w:lvl>
  </w:abstractNum>
  <w:abstractNum w:abstractNumId="158">
    <w:nsid w:val="28677B7C"/>
    <w:multiLevelType w:val="hybridMultilevel"/>
    <w:lvl w:ilvl="0">
      <w:lvlJc w:val="left"/>
      <w:lvlText w:val="(%1)"/>
      <w:numFmt w:val="lowerLetter"/>
      <w:start w:val="1"/>
    </w:lvl>
    <w:lvl w:ilvl="1">
      <w:lvlJc w:val="left"/>
      <w:lvlText w:val="(%2)"/>
      <w:numFmt w:val="lowerRoman"/>
      <w:start w:val="1"/>
    </w:lvl>
  </w:abstractNum>
  <w:abstractNum w:abstractNumId="159">
    <w:nsid w:val="378D97C0"/>
    <w:multiLevelType w:val="hybridMultilevel"/>
    <w:lvl w:ilvl="0">
      <w:lvlJc w:val="left"/>
      <w:lvlText w:val="(%1)"/>
      <w:numFmt w:val="lowerLetter"/>
      <w:start w:val="1"/>
    </w:lvl>
  </w:abstractNum>
  <w:abstractNum w:abstractNumId="160">
    <w:nsid w:val="1D91467C"/>
    <w:multiLevelType w:val="hybridMultilevel"/>
    <w:lvl w:ilvl="0">
      <w:lvlJc w:val="left"/>
      <w:lvlText w:val="(%1)"/>
      <w:numFmt w:val="lowerRoman"/>
      <w:start w:val="1"/>
    </w:lvl>
  </w:abstractNum>
  <w:abstractNum w:abstractNumId="161">
    <w:nsid w:val="316032BB"/>
    <w:multiLevelType w:val="hybridMultilevel"/>
    <w:lvl w:ilvl="0">
      <w:lvlJc w:val="left"/>
      <w:lvlText w:val="(%1)"/>
      <w:numFmt w:val="lowerLetter"/>
      <w:start w:val="1"/>
    </w:lvl>
  </w:abstractNum>
  <w:abstractNum w:abstractNumId="162">
    <w:nsid w:val="44344C2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3">
    <w:nsid w:val="13CDFCFC"/>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3"/>
    </w:lvl>
  </w:abstractNum>
  <w:abstractNum w:abstractNumId="164">
    <w:nsid w:val="471745E4"/>
    <w:multiLevelType w:val="hybridMultilevel"/>
    <w:lvl w:ilvl="0">
      <w:lvlJc w:val="left"/>
      <w:lvlText w:val="(%1)"/>
      <w:numFmt w:val="lowerLetter"/>
      <w:start w:val="2"/>
    </w:lvl>
  </w:abstractNum>
  <w:abstractNum w:abstractNumId="165">
    <w:nsid w:val="1DDBC66"/>
    <w:multiLevelType w:val="hybridMultilevel"/>
    <w:lvl w:ilvl="0">
      <w:lvlJc w:val="left"/>
      <w:lvlText w:val="(%1)"/>
      <w:numFmt w:val="lowerLetter"/>
      <w:start w:val="1"/>
    </w:lvl>
  </w:abstractNum>
  <w:abstractNum w:abstractNumId="166">
    <w:nsid w:val="30AADFDA"/>
    <w:multiLevelType w:val="hybridMultilevel"/>
    <w:lvl w:ilvl="0">
      <w:lvlJc w:val="left"/>
      <w:lvlText w:val="(%1)"/>
      <w:numFmt w:val="lowerLetter"/>
      <w:start w:val="3"/>
    </w:lvl>
    <w:lvl w:ilvl="1">
      <w:lvlJc w:val="left"/>
      <w:lvlText w:val="(%2)"/>
      <w:numFmt w:val="lowerLetter"/>
      <w:start w:val="9"/>
    </w:lvl>
  </w:abstractNum>
  <w:abstractNum w:abstractNumId="167">
    <w:nsid w:val="30EADA61"/>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9"/>
    </w:lvl>
  </w:abstractNum>
  <w:abstractNum w:abstractNumId="168">
    <w:nsid w:val="27179C0B"/>
    <w:multiLevelType w:val="hybridMultilevel"/>
    <w:lvl w:ilvl="0">
      <w:lvlJc w:val="left"/>
      <w:lvlText w:val="(%1)"/>
      <w:numFmt w:val="upperLetter"/>
      <w:start w:val="35"/>
    </w:lvl>
  </w:abstractNum>
  <w:abstractNum w:abstractNumId="169">
    <w:nsid w:val="5E636063"/>
    <w:multiLevelType w:val="hybridMultilevel"/>
    <w:lvl w:ilvl="0">
      <w:lvlJc w:val="left"/>
      <w:lvlText w:val="(%1)"/>
      <w:numFmt w:val="upperLetter"/>
      <w:start w:val="61"/>
    </w:lvl>
  </w:abstractNum>
  <w:abstractNum w:abstractNumId="170">
    <w:nsid w:val="215641AF"/>
    <w:multiLevelType w:val="hybridMultilevel"/>
    <w:lvl w:ilvl="0">
      <w:lvlJc w:val="left"/>
      <w:lvlText w:val="(%1)"/>
      <w:numFmt w:val="decimal"/>
      <w:start w:val="3"/>
    </w:lvl>
  </w:abstractNum>
  <w:abstractNum w:abstractNumId="171">
    <w:nsid w:val="53280662"/>
    <w:multiLevelType w:val="hybridMultilevel"/>
    <w:lvl w:ilvl="0">
      <w:lvlJc w:val="left"/>
      <w:lvlText w:val="(%1)"/>
      <w:numFmt w:val="lowerLetter"/>
      <w:start w:val="8"/>
    </w:lvl>
  </w:abstractNum>
  <w:abstractNum w:abstractNumId="172">
    <w:nsid w:val="46B24DBC"/>
    <w:multiLevelType w:val="hybridMultilevel"/>
    <w:lvl w:ilvl="0">
      <w:lvlJc w:val="left"/>
      <w:lvlText w:val="(%1)"/>
      <w:numFmt w:val="lowerRoman"/>
      <w:start w:val="1"/>
    </w:lvl>
  </w:abstractNum>
  <w:abstractNum w:abstractNumId="173">
    <w:nsid w:val="75B52783"/>
    <w:multiLevelType w:val="hybridMultilevel"/>
    <w:lvl w:ilvl="0">
      <w:lvlJc w:val="left"/>
      <w:lvlText w:val="(%1)"/>
      <w:numFmt w:val="lowerLetter"/>
      <w:start w:val="1"/>
    </w:lvl>
  </w:abstractNum>
  <w:abstractNum w:abstractNumId="174">
    <w:nsid w:val="57CE66B4"/>
    <w:multiLevelType w:val="hybridMultilevel"/>
    <w:lvl w:ilvl="0">
      <w:lvlJc w:val="left"/>
      <w:lvlText w:val="%1"/>
      <w:numFmt w:val="lowerLetter"/>
      <w:start w:val="1"/>
    </w:lvl>
    <w:lvl w:ilvl="1">
      <w:lvlJc w:val="left"/>
      <w:lvlText w:val="(%2)"/>
      <w:numFmt w:val="lowerLetter"/>
      <w:start w:val="1"/>
    </w:lvl>
  </w:abstractNum>
  <w:abstractNum w:abstractNumId="175">
    <w:nsid w:val="67A70B69"/>
    <w:multiLevelType w:val="hybridMultilevel"/>
    <w:lvl w:ilvl="0">
      <w:lvlJc w:val="left"/>
      <w:lvlText w:val="(%1)"/>
      <w:numFmt w:val="lowerLetter"/>
      <w:start w:val="35"/>
    </w:lvl>
    <w:lvl w:ilvl="1">
      <w:lvlJc w:val="left"/>
      <w:lvlText w:val="%2"/>
      <w:numFmt w:val="lowerLetter"/>
      <w:start w:val="1"/>
    </w:lvl>
  </w:abstractNum>
  <w:abstractNum w:abstractNumId="176">
    <w:nsid w:val="5953172F"/>
    <w:multiLevelType w:val="hybridMultilevel"/>
    <w:lvl w:ilvl="0">
      <w:lvlJc w:val="left"/>
      <w:lvlText w:val="(%1)"/>
      <w:numFmt w:val="lowerLetter"/>
      <w:start w:val="1"/>
    </w:lvl>
  </w:abstractNum>
  <w:abstractNum w:abstractNumId="177">
    <w:nsid w:val="27EDFE3A"/>
    <w:multiLevelType w:val="hybridMultilevel"/>
    <w:lvl w:ilvl="0">
      <w:lvlJc w:val="left"/>
      <w:lvlText w:val="(%1)"/>
      <w:numFmt w:val="lowerLetter"/>
      <w:start w:val="1"/>
    </w:lvl>
  </w:abstractNum>
  <w:abstractNum w:abstractNumId="178">
    <w:nsid w:val="52AC7DFF"/>
    <w:multiLevelType w:val="hybridMultilevel"/>
    <w:lvl w:ilvl="0">
      <w:lvlJc w:val="left"/>
      <w:lvlText w:val="(%1)"/>
      <w:numFmt w:val="lowerLetter"/>
      <w:start w:val="1"/>
    </w:lvl>
  </w:abstractNum>
  <w:abstractNum w:abstractNumId="179">
    <w:nsid w:val="C4C3AF"/>
    <w:multiLevelType w:val="hybridMultilevel"/>
    <w:lvl w:ilvl="0">
      <w:lvlJc w:val="left"/>
      <w:lvlText w:val="(%1)"/>
      <w:numFmt w:val="lowerLetter"/>
      <w:start w:val="1"/>
    </w:lvl>
  </w:abstractNum>
  <w:abstractNum w:abstractNumId="180">
    <w:nsid w:val="44380727"/>
    <w:multiLevelType w:val="hybridMultilevel"/>
    <w:lvl w:ilvl="0">
      <w:lvlJc w:val="left"/>
      <w:lvlText w:val="(%1)"/>
      <w:numFmt w:val="lowerLetter"/>
      <w:start w:val="2"/>
    </w:lvl>
  </w:abstractNum>
  <w:abstractNum w:abstractNumId="181">
    <w:nsid w:val="6C053B16"/>
    <w:multiLevelType w:val="hybridMultilevel"/>
    <w:lvl w:ilvl="0">
      <w:lvlJc w:val="left"/>
      <w:lvlText w:val="(%1)"/>
      <w:numFmt w:val="lowerLetter"/>
      <w:start w:val="1"/>
    </w:lvl>
  </w:abstractNum>
  <w:abstractNum w:abstractNumId="182">
    <w:nsid w:val="4F294393"/>
    <w:multiLevelType w:val="hybridMultilevel"/>
    <w:lvl w:ilvl="0">
      <w:lvlJc w:val="left"/>
      <w:lvlText w:val="(%1)"/>
      <w:numFmt w:val="lowerLetter"/>
      <w:start w:val="3"/>
    </w:lvl>
  </w:abstractNum>
  <w:abstractNum w:abstractNumId="183">
    <w:nsid w:val="5243BFA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84">
    <w:nsid w:val="425EB20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85">
    <w:nsid w:val="334A6F1F"/>
    <w:multiLevelType w:val="hybridMultilevel"/>
    <w:lvl w:ilvl="0">
      <w:lvlJc w:val="left"/>
      <w:lvlText w:val="(%1)"/>
      <w:numFmt w:val="lowerRoman"/>
      <w:start w:val="3"/>
    </w:lvl>
  </w:abstractNum>
  <w:abstractNum w:abstractNumId="186">
    <w:nsid w:val="2E5B12B8"/>
    <w:multiLevelType w:val="hybridMultilevel"/>
    <w:lvl w:ilvl="0">
      <w:lvlJc w:val="left"/>
      <w:lvlText w:val="%1"/>
      <w:numFmt w:val="lowerLetter"/>
      <w:start w:val="1"/>
    </w:lvl>
    <w:lvl w:ilvl="1">
      <w:lvlJc w:val="left"/>
      <w:lvlText w:val="(%2)"/>
      <w:numFmt w:val="lowerRoman"/>
      <w:start w:val="15"/>
    </w:lvl>
  </w:abstractNum>
  <w:abstractNum w:abstractNumId="187">
    <w:nsid w:val="5C03D76D"/>
    <w:multiLevelType w:val="hybridMultilevel"/>
    <w:lvl w:ilvl="0">
      <w:lvlJc w:val="left"/>
      <w:lvlText w:val="(%1)"/>
      <w:numFmt w:val="lowerLetter"/>
      <w:start w:val="2"/>
    </w:lvl>
    <w:lvl w:ilvl="1">
      <w:lvlJc w:val="left"/>
      <w:lvlText w:val="%2"/>
      <w:numFmt w:val="lowerRoman"/>
      <w:start w:val="1"/>
    </w:lvl>
  </w:abstractNum>
  <w:abstractNum w:abstractNumId="188">
    <w:nsid w:val="66A48D11"/>
    <w:multiLevelType w:val="hybridMultilevel"/>
    <w:lvl w:ilvl="0">
      <w:lvlJc w:val="left"/>
      <w:lvlText w:val="(%1)"/>
      <w:numFmt w:val="lowerLetter"/>
      <w:start w:val="1"/>
    </w:lvl>
  </w:abstractNum>
  <w:abstractNum w:abstractNumId="189">
    <w:nsid w:val="56C28E34"/>
    <w:multiLevelType w:val="hybridMultilevel"/>
    <w:lvl w:ilvl="0">
      <w:lvlJc w:val="left"/>
      <w:lvlText w:val="(%1)"/>
      <w:numFmt w:val="lowerLetter"/>
      <w:start w:val="1"/>
    </w:lvl>
  </w:abstractNum>
  <w:abstractNum w:abstractNumId="190">
    <w:nsid w:val="13916F2D"/>
    <w:multiLevelType w:val="hybridMultilevel"/>
    <w:lvl w:ilvl="0">
      <w:lvlJc w:val="left"/>
      <w:lvlText w:val="%1"/>
      <w:numFmt w:val="lowerLetter"/>
      <w:start w:val="1"/>
    </w:lvl>
    <w:lvl w:ilvl="1">
      <w:lvlJc w:val="left"/>
      <w:lvlText w:val="(%2)"/>
      <w:numFmt w:val="lowerLetter"/>
      <w:start w:val="3"/>
    </w:lvl>
  </w:abstractNum>
  <w:abstractNum w:abstractNumId="191">
    <w:nsid w:val="435D38D"/>
    <w:multiLevelType w:val="hybridMultilevel"/>
    <w:lvl w:ilvl="0">
      <w:lvlJc w:val="left"/>
      <w:lvlText w:val="(%1)"/>
      <w:numFmt w:val="lowerLetter"/>
      <w:start w:val="6"/>
    </w:lvl>
    <w:lvl w:ilvl="1">
      <w:lvlJc w:val="left"/>
      <w:lvlText w:val="(%2)"/>
      <w:numFmt w:val="lowerLetter"/>
      <w:start w:val="7"/>
    </w:lvl>
  </w:abstractNum>
  <w:abstractNum w:abstractNumId="192">
    <w:nsid w:val="822C0E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93">
    <w:nsid w:val="57C5BB4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94">
    <w:nsid w:val="1803D089"/>
    <w:multiLevelType w:val="hybridMultilevel"/>
    <w:lvl w:ilvl="0">
      <w:lvlJc w:val="left"/>
      <w:lvlText w:val="%1"/>
      <w:numFmt w:val="lowerLetter"/>
      <w:start w:val="1"/>
    </w:lvl>
    <w:lvl w:ilvl="1">
      <w:lvlJc w:val="left"/>
      <w:lvlText w:val="(%2)"/>
      <w:numFmt w:val="lowerRoman"/>
      <w:start w:val="6"/>
    </w:lvl>
  </w:abstractNum>
  <w:abstractNum w:abstractNumId="195">
    <w:nsid w:val="4F3A06D4"/>
    <w:multiLevelType w:val="hybridMultilevel"/>
    <w:lvl w:ilvl="0">
      <w:lvlJc w:val="left"/>
      <w:lvlText w:val="(%1)"/>
      <w:numFmt w:val="lowerLetter"/>
      <w:start w:val="2"/>
    </w:lvl>
    <w:lvl w:ilvl="1">
      <w:lvlJc w:val="left"/>
      <w:lvlText w:val="%2"/>
      <w:numFmt w:val="lowerRoman"/>
      <w:start w:val="1"/>
    </w:lvl>
  </w:abstractNum>
  <w:abstractNum w:abstractNumId="196">
    <w:nsid w:val="59A377B6"/>
    <w:multiLevelType w:val="hybridMultilevel"/>
    <w:lvl w:ilvl="0">
      <w:lvlJc w:val="left"/>
      <w:lvlText w:val="(%1)"/>
      <w:numFmt w:val="lowerLetter"/>
      <w:start w:val="3"/>
    </w:lvl>
  </w:abstractNum>
  <w:abstractNum w:abstractNumId="197">
    <w:nsid w:val="48AEB063"/>
    <w:multiLevelType w:val="hybridMultilevel"/>
    <w:lvl w:ilvl="0">
      <w:lvlJc w:val="left"/>
      <w:lvlText w:val="(%1)"/>
      <w:numFmt w:val="lowerLetter"/>
      <w:start w:val="1"/>
    </w:lvl>
  </w:abstractNum>
  <w:abstractNum w:abstractNumId="198">
    <w:nsid w:val="24E135"/>
    <w:multiLevelType w:val="hybridMultilevel"/>
    <w:lvl w:ilvl="0">
      <w:lvlJc w:val="left"/>
      <w:lvlText w:val="(%1)"/>
      <w:numFmt w:val="lowerLetter"/>
      <w:start w:val="1"/>
    </w:lvl>
  </w:abstractNum>
  <w:abstractNum w:abstractNumId="199">
    <w:nsid w:val="BB13C1"/>
    <w:multiLevelType w:val="hybridMultilevel"/>
    <w:lvl w:ilvl="0">
      <w:lvlJc w:val="left"/>
      <w:lvlText w:val="(%1)"/>
      <w:numFmt w:val="lowerLetter"/>
      <w:start w:val="3"/>
    </w:lvl>
  </w:abstractNum>
  <w:abstractNum w:abstractNumId="200">
    <w:nsid w:val="271210C7"/>
    <w:multiLevelType w:val="hybridMultilevel"/>
    <w:lvl w:ilvl="0">
      <w:lvlJc w:val="left"/>
      <w:lvlText w:val="(%1)"/>
      <w:numFmt w:val="lowerLetter"/>
      <w:start w:val="1"/>
    </w:lvl>
  </w:abstractNum>
  <w:abstractNum w:abstractNumId="201">
    <w:nsid w:val="217B22E4"/>
    <w:multiLevelType w:val="hybridMultilevel"/>
    <w:lvl w:ilvl="0">
      <w:lvlJc w:val="left"/>
      <w:lvlText w:val="(%1)"/>
      <w:numFmt w:val="lowerLetter"/>
      <w:start w:val="2"/>
    </w:lvl>
  </w:abstractNum>
  <w:abstractNum w:abstractNumId="202">
    <w:nsid w:val="53E31A24"/>
    <w:multiLevelType w:val="hybridMultilevel"/>
    <w:lvl w:ilvl="0">
      <w:lvlJc w:val="left"/>
      <w:lvlText w:val="(%1)"/>
      <w:numFmt w:val="lowerLetter"/>
      <w:start w:val="1"/>
    </w:lvl>
  </w:abstractNum>
  <w:abstractNum w:abstractNumId="203">
    <w:nsid w:val="6DC45E83"/>
    <w:multiLevelType w:val="hybridMultilevel"/>
    <w:lvl w:ilvl="0">
      <w:lvlJc w:val="left"/>
      <w:lvlText w:val="(%1)"/>
      <w:numFmt w:val="lowerLetter"/>
      <w:start w:val="3"/>
    </w:lvl>
  </w:abstractNum>
  <w:abstractNum w:abstractNumId="204">
    <w:nsid w:val="17304A67"/>
    <w:multiLevelType w:val="hybridMultilevel"/>
    <w:lvl w:ilvl="0">
      <w:lvlJc w:val="left"/>
      <w:lvlText w:val="%1"/>
      <w:numFmt w:val="lowerLetter"/>
      <w:start w:val="1"/>
    </w:lvl>
    <w:lvl w:ilvl="1">
      <w:lvlJc w:val="left"/>
      <w:lvlText w:val="(%2)"/>
      <w:numFmt w:val="lowerLetter"/>
      <w:start w:val="11"/>
    </w:lvl>
  </w:abstractNum>
  <w:abstractNum w:abstractNumId="205">
    <w:nsid w:val="2BB180D8"/>
    <w:multiLevelType w:val="hybridMultilevel"/>
    <w:lvl w:ilvl="0">
      <w:lvlJc w:val="left"/>
      <w:lvlText w:val="(%1)"/>
      <w:numFmt w:val="lowerLetter"/>
      <w:start w:val="16"/>
    </w:lvl>
    <w:lvl w:ilvl="1">
      <w:lvlJc w:val="left"/>
      <w:lvlText w:val="%2"/>
      <w:numFmt w:val="lowerLetter"/>
      <w:start w:val="1"/>
    </w:lvl>
  </w:abstractNum>
  <w:abstractNum w:abstractNumId="206">
    <w:nsid w:val="556B69ED"/>
    <w:multiLevelType w:val="hybridMultilevel"/>
    <w:lvl w:ilvl="0">
      <w:lvlJc w:val="left"/>
      <w:lvlText w:val="(%1)"/>
      <w:numFmt w:val="lowerLetter"/>
      <w:start w:val="9"/>
    </w:lvl>
    <w:lvl w:ilvl="1">
      <w:lvlJc w:val="left"/>
      <w:lvlText w:val="%2"/>
      <w:numFmt w:val="lowerLetter"/>
      <w:start w:val="1"/>
    </w:lvl>
  </w:abstractNum>
  <w:abstractNum w:abstractNumId="207">
    <w:nsid w:val="70836196"/>
    <w:multiLevelType w:val="hybridMultilevel"/>
    <w:lvl w:ilvl="0">
      <w:lvlJc w:val="left"/>
      <w:lvlText w:val="(%1)"/>
      <w:numFmt w:val="lowerLetter"/>
      <w:start w:val="1"/>
    </w:lvl>
  </w:abstractNum>
  <w:abstractNum w:abstractNumId="208">
    <w:nsid w:val="539F7F12"/>
    <w:multiLevelType w:val="hybridMultilevel"/>
    <w:lvl w:ilvl="0">
      <w:lvlJc w:val="left"/>
      <w:lvlText w:val="%1"/>
      <w:numFmt w:val="lowerLetter"/>
      <w:start w:val="1"/>
    </w:lvl>
    <w:lvl w:ilvl="1">
      <w:lvlJc w:val="left"/>
      <w:lvlText w:val="(%2)"/>
      <w:numFmt w:val="lowerLetter"/>
      <w:start w:val="5"/>
    </w:lvl>
  </w:abstractNum>
  <w:abstractNum w:abstractNumId="209">
    <w:nsid w:val="2817E7EC"/>
    <w:multiLevelType w:val="hybridMultilevel"/>
    <w:lvl w:ilvl="0">
      <w:lvlJc w:val="left"/>
      <w:lvlText w:val="(%1)"/>
      <w:numFmt w:val="lowerLetter"/>
      <w:start w:val="25"/>
    </w:lvl>
    <w:lvl w:ilvl="1">
      <w:lvlJc w:val="left"/>
      <w:lvlText w:val="(%2)"/>
      <w:numFmt w:val="lowerLetter"/>
      <w:start w:val="6"/>
    </w:lvl>
  </w:abstractNum>
  <w:abstractNum w:abstractNumId="210">
    <w:nsid w:val="71482545"/>
    <w:multiLevelType w:val="hybridMultilevel"/>
    <w:lvl w:ilvl="0">
      <w:lvlJc w:val="left"/>
      <w:lvlText w:val="(%1)"/>
      <w:numFmt w:val="lowerLetter"/>
      <w:start w:val="1"/>
    </w:lvl>
  </w:abstractNum>
  <w:abstractNum w:abstractNumId="211">
    <w:nsid w:val="17D78639"/>
    <w:multiLevelType w:val="hybridMultilevel"/>
    <w:lvl w:ilvl="0">
      <w:lvlJc w:val="left"/>
      <w:lvlText w:val="(%1)"/>
      <w:numFmt w:val="lowerLetter"/>
      <w:start w:val="2"/>
    </w:lvl>
  </w:abstractNum>
  <w:abstractNum w:abstractNumId="212">
    <w:nsid w:val="141D2302"/>
    <w:multiLevelType w:val="hybridMultilevel"/>
    <w:lvl w:ilvl="0">
      <w:lvlJc w:val="left"/>
      <w:lvlText w:val="(%1)"/>
      <w:numFmt w:val="lowerLetter"/>
      <w:start w:val="1"/>
    </w:lvl>
    <w:lvl w:ilvl="1">
      <w:lvlJc w:val="left"/>
      <w:lvlText w:val="(%2)"/>
      <w:numFmt w:val="lowerRoman"/>
      <w:start w:val="1"/>
    </w:lvl>
  </w:abstractNum>
  <w:abstractNum w:abstractNumId="213">
    <w:nsid w:val="407168D8"/>
    <w:multiLevelType w:val="hybridMultilevel"/>
    <w:lvl w:ilvl="0">
      <w:lvlJc w:val="left"/>
      <w:lvlText w:val="(%1)"/>
      <w:numFmt w:val="lowerLetter"/>
      <w:start w:val="5"/>
    </w:lvl>
  </w:abstractNum>
  <w:abstractNum w:abstractNumId="214">
    <w:nsid w:val="6A1B45E5"/>
    <w:multiLevelType w:val="hybridMultilevel"/>
    <w:lvl w:ilvl="0">
      <w:lvlJc w:val="left"/>
      <w:lvlText w:val="(%1)"/>
      <w:numFmt w:val="lowerLetter"/>
      <w:start w:val="1"/>
    </w:lvl>
  </w:abstractNum>
  <w:abstractNum w:abstractNumId="215">
    <w:nsid w:val="567BD50A"/>
    <w:multiLevelType w:val="hybridMultilevel"/>
    <w:lvl w:ilvl="0">
      <w:lvlJc w:val="left"/>
      <w:lvlText w:val="(%1)"/>
      <w:numFmt w:val="lowerRoman"/>
      <w:start w:val="1"/>
    </w:lvl>
  </w:abstractNum>
  <w:abstractNum w:abstractNumId="216">
    <w:nsid w:val="73BBD7F8"/>
    <w:multiLevelType w:val="hybridMultilevel"/>
    <w:lvl w:ilvl="0">
      <w:lvlJc w:val="left"/>
      <w:lvlText w:val="(%1)"/>
      <w:numFmt w:val="lowerLetter"/>
      <w:start w:val="4"/>
    </w:lvl>
  </w:abstractNum>
  <w:abstractNum w:abstractNumId="217">
    <w:nsid w:val="1876589D"/>
    <w:multiLevelType w:val="hybridMultilevel"/>
    <w:lvl w:ilvl="0">
      <w:lvlJc w:val="left"/>
      <w:lvlText w:val="(%1)"/>
      <w:numFmt w:val="lowerLetter"/>
      <w:start w:val="1"/>
    </w:lvl>
  </w:abstractNum>
  <w:abstractNum w:abstractNumId="218">
    <w:nsid w:val="327FAC77"/>
    <w:multiLevelType w:val="hybridMultilevel"/>
    <w:lvl w:ilvl="0">
      <w:lvlJc w:val="left"/>
      <w:lvlText w:val="(%1)"/>
      <w:numFmt w:val="lowerLetter"/>
      <w:start w:val="1"/>
    </w:lvl>
  </w:abstractNum>
  <w:abstractNum w:abstractNumId="219">
    <w:nsid w:val="5A606509"/>
    <w:multiLevelType w:val="hybridMultilevel"/>
    <w:lvl w:ilvl="0">
      <w:lvlJc w:val="left"/>
      <w:lvlText w:val="(%1)"/>
      <w:numFmt w:val="lowerLetter"/>
      <w:start w:val="2"/>
    </w:lvl>
  </w:abstractNum>
  <w:abstractNum w:abstractNumId="220">
    <w:nsid w:val="6F38E6D1"/>
    <w:multiLevelType w:val="hybridMultilevel"/>
    <w:lvl w:ilvl="0">
      <w:lvlJc w:val="left"/>
      <w:lvlText w:val="%1"/>
      <w:numFmt w:val="upperLetter"/>
      <w:start w:val="1"/>
    </w:lvl>
    <w:lvl w:ilvl="1">
      <w:lvlJc w:val="left"/>
      <w:lvlText w:val="(%2)"/>
      <w:numFmt w:val="lowerLetter"/>
      <w:start w:val="1"/>
    </w:lvl>
  </w:abstractNum>
  <w:abstractNum w:abstractNumId="221">
    <w:nsid w:val="46111BA5"/>
    <w:multiLevelType w:val="hybridMultilevel"/>
    <w:lvl w:ilvl="0">
      <w:lvlJc w:val="left"/>
      <w:lvlText w:val="(%1)"/>
      <w:numFmt w:val="upperLetter"/>
      <w:start w:val="4"/>
    </w:lvl>
    <w:lvl w:ilvl="1">
      <w:lvlJc w:val="left"/>
      <w:lvlText w:val="(%2)"/>
      <w:numFmt w:val="lowerLetter"/>
      <w:start w:val="2"/>
    </w:lvl>
  </w:abstractNum>
  <w:abstractNum w:abstractNumId="222">
    <w:nsid w:val="5E963896"/>
    <w:multiLevelType w:val="hybridMultilevel"/>
    <w:lvl w:ilvl="0">
      <w:lvlJc w:val="left"/>
      <w:lvlText w:val="(%1)"/>
      <w:numFmt w:val="upperLetter"/>
      <w:start w:val="3"/>
    </w:lvl>
    <w:lvl w:ilvl="1">
      <w:lvlJc w:val="left"/>
      <w:lvlText w:val="%2"/>
      <w:numFmt w:val="lowerLetter"/>
      <w:start w:val="1"/>
    </w:lvl>
  </w:abstractNum>
  <w:abstractNum w:abstractNumId="223">
    <w:nsid w:val="775BA7C1"/>
    <w:multiLevelType w:val="hybridMultilevel"/>
    <w:lvl w:ilvl="0">
      <w:lvlJc w:val="left"/>
      <w:lvlText w:val="(%1)"/>
      <w:numFmt w:val="lowerLetter"/>
      <w:start w:val="1"/>
    </w:lvl>
  </w:abstractNum>
  <w:abstractNum w:abstractNumId="224">
    <w:nsid w:val="1DD6D6F4"/>
    <w:multiLevelType w:val="hybridMultilevel"/>
    <w:lvl w:ilvl="0">
      <w:lvlJc w:val="left"/>
      <w:lvlText w:val="(%1)"/>
      <w:numFmt w:val="lowerLetter"/>
      <w:start w:val="2"/>
    </w:lvl>
  </w:abstractNum>
  <w:abstractNum w:abstractNumId="225">
    <w:nsid w:val="769A091F"/>
    <w:multiLevelType w:val="hybridMultilevel"/>
    <w:lvl w:ilvl="0">
      <w:lvlJc w:val="left"/>
      <w:lvlText w:val="%1"/>
      <w:numFmt w:val="decimal"/>
      <w:start w:val="1"/>
    </w:lvl>
    <w:lvl w:ilvl="1">
      <w:lvlJc w:val="left"/>
      <w:lvlText w:val="(%2)"/>
      <w:numFmt w:val="lowerLetter"/>
      <w:start w:val="8"/>
    </w:lvl>
  </w:abstractNum>
  <w:abstractNum w:abstractNumId="226">
    <w:nsid w:val="4695AE95"/>
    <w:multiLevelType w:val="hybridMultilevel"/>
    <w:lvl w:ilvl="0">
      <w:lvlJc w:val="left"/>
      <w:lvlText w:val="(%1)"/>
      <w:numFmt w:val="decimal"/>
      <w:start w:val="30"/>
    </w:lvl>
    <w:lvl w:ilvl="1">
      <w:lvlJc w:val="left"/>
      <w:lvlText w:val="(%2)"/>
      <w:numFmt w:val="lowerLetter"/>
      <w:start w:val="14"/>
    </w:lvl>
  </w:abstractNum>
  <w:abstractNum w:abstractNumId="227">
    <w:nsid w:val="777A4EAA"/>
    <w:multiLevelType w:val="hybridMultilevel"/>
    <w:lvl w:ilvl="0">
      <w:lvlJc w:val="left"/>
      <w:lvlText w:val="%1"/>
      <w:numFmt w:val="lowerLetter"/>
      <w:start w:val="1"/>
    </w:lvl>
    <w:lvl w:ilvl="1">
      <w:lvlJc w:val="left"/>
      <w:lvlText w:val="(%2)"/>
      <w:numFmt w:val="lowerLetter"/>
      <w:start w:val="15"/>
    </w:lvl>
  </w:abstractNum>
  <w:abstractNum w:abstractNumId="228">
    <w:nsid w:val="3F48B982"/>
    <w:multiLevelType w:val="hybridMultilevel"/>
    <w:lvl w:ilvl="0">
      <w:lvlJc w:val="left"/>
      <w:lvlText w:val="(%1)"/>
      <w:numFmt w:val="lowerLetter"/>
      <w:start w:val="18"/>
    </w:lvl>
    <w:lvl w:ilvl="1">
      <w:lvlJc w:val="left"/>
      <w:lvlText w:val="%2"/>
      <w:numFmt w:val="lowerLetter"/>
      <w:start w:val="1"/>
    </w:lvl>
  </w:abstractNum>
  <w:abstractNum w:abstractNumId="229">
    <w:nsid w:val="46BA8FCA"/>
    <w:multiLevelType w:val="hybridMultilevel"/>
    <w:lvl w:ilvl="0">
      <w:lvlJc w:val="left"/>
      <w:lvlText w:val="(%1)"/>
      <w:numFmt w:val="lowerLetter"/>
      <w:start w:val="19"/>
    </w:lvl>
  </w:abstractNum>
  <w:abstractNum w:abstractNumId="230">
    <w:nsid w:val="7835626C"/>
    <w:multiLevelType w:val="hybridMultilevel"/>
    <w:lvl w:ilvl="0">
      <w:lvlJc w:val="left"/>
      <w:lvlText w:val="(%1)"/>
      <w:numFmt w:val="lowerLetter"/>
      <w:start w:val="1"/>
    </w:lvl>
  </w:abstractNum>
  <w:abstractNum w:abstractNumId="231">
    <w:nsid w:val="665ACA49"/>
    <w:multiLevelType w:val="hybridMultilevel"/>
    <w:lvl w:ilvl="0">
      <w:lvlJc w:val="left"/>
      <w:lvlText w:val="%1"/>
      <w:numFmt w:val="lowerLetter"/>
      <w:start w:val="1"/>
    </w:lvl>
    <w:lvl w:ilvl="1">
      <w:lvlJc w:val="left"/>
      <w:lvlText w:val="(%2)"/>
      <w:numFmt w:val="lowerLetter"/>
      <w:start w:val="4"/>
    </w:lvl>
  </w:abstractNum>
  <w:abstractNum w:abstractNumId="232">
    <w:nsid w:val="6835B2AE"/>
    <w:multiLevelType w:val="hybridMultilevel"/>
    <w:lvl w:ilvl="0">
      <w:lvlJc w:val="left"/>
      <w:lvlText w:val="(%1)"/>
      <w:numFmt w:val="lowerLetter"/>
      <w:start w:val="8"/>
    </w:lvl>
    <w:lvl w:ilvl="1">
      <w:lvlJc w:val="left"/>
      <w:lvlText w:val="%2"/>
      <w:numFmt w:val="lowerLetter"/>
      <w:start w:val="1"/>
    </w:lvl>
  </w:abstractNum>
  <w:abstractNum w:abstractNumId="233">
    <w:nsid w:val="4C187C90"/>
    <w:multiLevelType w:val="hybridMultilevel"/>
    <w:lvl w:ilvl="0">
      <w:lvlJc w:val="left"/>
      <w:lvlText w:val="(%1)"/>
      <w:numFmt w:val="lowerRoman"/>
      <w:start w:val="1"/>
    </w:lvl>
  </w:abstractNum>
  <w:abstractNum w:abstractNumId="234">
    <w:nsid w:val="541F28CD"/>
    <w:multiLevelType w:val="hybridMultilevel"/>
    <w:lvl w:ilvl="0">
      <w:lvlJc w:val="left"/>
      <w:lvlText w:val="(%1)"/>
      <w:numFmt w:val="lowerRoman"/>
      <w:start w:val="3"/>
    </w:lvl>
  </w:abstractNum>
  <w:abstractNum w:abstractNumId="235">
    <w:nsid w:val="7F65FD16"/>
    <w:multiLevelType w:val="hybridMultilevel"/>
    <w:lvl w:ilvl="0">
      <w:lvlJc w:val="left"/>
      <w:lvlText w:val="(%1)"/>
      <w:numFmt w:val="lowerRoman"/>
      <w:start w:val="3"/>
    </w:lvl>
  </w:abstractNum>
  <w:abstractNum w:abstractNumId="236">
    <w:nsid w:val="77C9FD68"/>
    <w:multiLevelType w:val="hybridMultilevel"/>
    <w:lvl w:ilvl="0">
      <w:lvlJc w:val="left"/>
      <w:lvlText w:val="(%1)"/>
      <w:numFmt w:val="lowerLetter"/>
      <w:start w:val="1"/>
    </w:lvl>
  </w:abstractNum>
  <w:abstractNum w:abstractNumId="237">
    <w:nsid w:val="298A92BA"/>
    <w:multiLevelType w:val="hybridMultilevel"/>
    <w:lvl w:ilvl="0">
      <w:lvlJc w:val="left"/>
      <w:lvlText w:val="%1"/>
      <w:numFmt w:val="lowerLetter"/>
      <w:start w:val="1"/>
    </w:lvl>
    <w:lvl w:ilvl="1">
      <w:lvlJc w:val="left"/>
      <w:lvlText w:val="(%2)"/>
      <w:numFmt w:val="lowerRoman"/>
      <w:start w:val="1"/>
    </w:lvl>
  </w:abstractNum>
  <w:abstractNum w:abstractNumId="238">
    <w:nsid w:val="6FE95EAC"/>
    <w:multiLevelType w:val="hybridMultilevel"/>
    <w:lvl w:ilvl="0">
      <w:lvlJc w:val="left"/>
      <w:lvlText w:val="(%1)"/>
      <w:numFmt w:val="lowerLetter"/>
      <w:start w:val="2"/>
    </w:lvl>
    <w:lvl w:ilvl="1">
      <w:lvlJc w:val="left"/>
      <w:lvlText w:val="%2"/>
      <w:numFmt w:val="lowerRoman"/>
      <w:start w:val="1"/>
    </w:lvl>
  </w:abstractNum>
  <w:abstractNum w:abstractNumId="239">
    <w:nsid w:val="4B697C7A"/>
    <w:multiLevelType w:val="hybridMultilevel"/>
    <w:lvl w:ilvl="0">
      <w:lvlJc w:val="left"/>
      <w:lvlText w:val="(%1)"/>
      <w:numFmt w:val="lowerLetter"/>
      <w:start w:val="1"/>
    </w:lvl>
  </w:abstractNum>
  <w:abstractNum w:abstractNumId="240">
    <w:nsid w:val="51A27AA6"/>
    <w:multiLevelType w:val="hybridMultilevel"/>
    <w:lvl w:ilvl="0">
      <w:lvlJc w:val="left"/>
      <w:lvlText w:val="%1"/>
      <w:numFmt w:val="lowerLetter"/>
      <w:start w:val="1"/>
    </w:lvl>
    <w:lvl w:ilvl="1">
      <w:lvlJc w:val="left"/>
      <w:lvlText w:val="(%2)"/>
      <w:numFmt w:val="lowerLetter"/>
      <w:start w:val="3"/>
    </w:lvl>
  </w:abstractNum>
  <w:abstractNum w:abstractNumId="241">
    <w:nsid w:val="613183F2"/>
    <w:multiLevelType w:val="hybridMultilevel"/>
    <w:lvl w:ilvl="0">
      <w:lvlJc w:val="left"/>
      <w:lvlText w:val="(%1)"/>
      <w:numFmt w:val="lowerLetter"/>
      <w:start w:val="35"/>
    </w:lvl>
    <w:lvl w:ilvl="1">
      <w:lvlJc w:val="left"/>
      <w:lvlText w:val="%2"/>
      <w:numFmt w:val="lowerLetter"/>
      <w:start w:val="1"/>
    </w:lvl>
  </w:abstractNum>
  <w:abstractNum w:abstractNumId="242">
    <w:nsid w:val="634102B4"/>
    <w:multiLevelType w:val="hybridMultilevel"/>
    <w:lvl w:ilvl="0">
      <w:lvlJc w:val="left"/>
      <w:lvlText w:val="(%1)"/>
      <w:numFmt w:val="lowerRoman"/>
      <w:start w:val="1"/>
    </w:lvl>
  </w:abstractNum>
  <w:abstractNum w:abstractNumId="243">
    <w:nsid w:val="65BF9DA8"/>
    <w:multiLevelType w:val="hybridMultilevel"/>
    <w:lvl w:ilvl="0">
      <w:lvlJc w:val="left"/>
      <w:lvlText w:val="(%1)"/>
      <w:numFmt w:val="lowerLetter"/>
      <w:start w:val="1"/>
    </w:lvl>
  </w:abstractNum>
  <w:abstractNum w:abstractNumId="244">
    <w:nsid w:val="21A2ECCA"/>
    <w:multiLevelType w:val="hybridMultilevel"/>
    <w:lvl w:ilvl="0">
      <w:lvlJc w:val="left"/>
      <w:lvlText w:val="(%1)"/>
      <w:numFmt w:val="lowerLetter"/>
      <w:start w:val="1"/>
    </w:lvl>
    <w:lvl w:ilvl="1">
      <w:lvlJc w:val="left"/>
      <w:lvlText w:val="(%2)"/>
      <w:numFmt w:val="lowerRoman"/>
      <w:start w:val="1"/>
    </w:lvl>
  </w:abstractNum>
  <w:abstractNum w:abstractNumId="245">
    <w:nsid w:val="4D5C4899"/>
    <w:multiLevelType w:val="hybridMultilevel"/>
    <w:lvl w:ilvl="0">
      <w:lvlJc w:val="left"/>
      <w:lvlText w:val="(%1)"/>
      <w:numFmt w:val="lowerLetter"/>
      <w:start w:val="24"/>
    </w:lvl>
    <w:lvl w:ilvl="1">
      <w:lvlJc w:val="left"/>
      <w:lvlText w:val="(%2)"/>
      <w:numFmt w:val="lowerRoman"/>
      <w:start w:val="2"/>
    </w:lvl>
  </w:abstractNum>
  <w:abstractNum w:abstractNumId="246">
    <w:nsid w:val="3C3B72B2"/>
    <w:multiLevelType w:val="hybridMultilevel"/>
    <w:lvl w:ilvl="0">
      <w:lvlJc w:val="left"/>
      <w:lvlText w:val="(%1)"/>
      <w:numFmt w:val="lowerLetter"/>
      <w:start w:val="2"/>
    </w:lvl>
  </w:abstractNum>
  <w:abstractNum w:abstractNumId="247">
    <w:nsid w:val="155EC4C2"/>
    <w:multiLevelType w:val="hybridMultilevel"/>
    <w:lvl w:ilvl="0">
      <w:lvlJc w:val="left"/>
      <w:lvlText w:val="%1"/>
      <w:numFmt w:val="lowerLetter"/>
      <w:start w:val="1"/>
    </w:lvl>
    <w:lvl w:ilvl="1">
      <w:lvlJc w:val="left"/>
      <w:lvlText w:val="(%2)"/>
      <w:numFmt w:val="lowerLetter"/>
      <w:start w:val="1"/>
    </w:lvl>
  </w:abstractNum>
  <w:abstractNum w:abstractNumId="248">
    <w:nsid w:val="65D2A137"/>
    <w:multiLevelType w:val="hybridMultilevel"/>
    <w:lvl w:ilvl="0">
      <w:lvlJc w:val="left"/>
      <w:lvlText w:val="(%1)"/>
      <w:numFmt w:val="lowerLetter"/>
      <w:start w:val="25"/>
    </w:lvl>
    <w:lvl w:ilvl="1">
      <w:lvlJc w:val="left"/>
      <w:lvlText w:val="%2"/>
      <w:numFmt w:val="lowerLetter"/>
      <w:start w:val="1"/>
    </w:lvl>
  </w:abstractNum>
  <w:abstractNum w:abstractNumId="249">
    <w:nsid w:val="6EBB1F2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250">
    <w:nsid w:val="6FBF29CB"/>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4"/>
    </w:lvl>
  </w:abstractNum>
  <w:abstractNum w:abstractNumId="251">
    <w:nsid w:val="550B8808"/>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252">
    <w:nsid w:val="34CC3ACF"/>
    <w:multiLevelType w:val="hybridMultilevel"/>
    <w:lvl w:ilvl="0">
      <w:lvlJc w:val="left"/>
      <w:lvlText w:val="(%1)"/>
      <w:numFmt w:val="lowerLetter"/>
      <w:start w:val="1"/>
    </w:lvl>
  </w:abstractNum>
  <w:abstractNum w:abstractNumId="253">
    <w:nsid w:val="4E556261"/>
    <w:multiLevelType w:val="hybridMultilevel"/>
    <w:lvl w:ilvl="0">
      <w:lvlJc w:val="left"/>
      <w:lvlText w:val="(%1)"/>
      <w:numFmt w:val="lowerLetter"/>
      <w:start w:val="2"/>
    </w:lvl>
    <w:lvl w:ilvl="1">
      <w:lvlJc w:val="left"/>
      <w:lvlText w:val="(%2)"/>
      <w:numFmt w:val="lowerRoman"/>
      <w:start w:val="1"/>
    </w:lvl>
  </w:abstractNum>
  <w:abstractNum w:abstractNumId="254">
    <w:nsid w:val="4C672FC9"/>
    <w:multiLevelType w:val="hybridMultilevel"/>
    <w:lvl w:ilvl="0">
      <w:lvlJc w:val="left"/>
      <w:lvlText w:val="(%1)"/>
      <w:numFmt w:val="lowerLetter"/>
      <w:start w:val="4"/>
    </w:lvl>
  </w:abstractNum>
  <w:abstractNum w:abstractNumId="255">
    <w:nsid w:val="52A311C3"/>
    <w:multiLevelType w:val="hybridMultilevel"/>
    <w:lvl w:ilvl="0">
      <w:lvlJc w:val="left"/>
      <w:lvlText w:val="(%1)"/>
      <w:numFmt w:val="lowerLetter"/>
      <w:start w:val="7"/>
    </w:lvl>
  </w:abstractNum>
  <w:abstractNum w:abstractNumId="256">
    <w:nsid w:val="44EF6B80"/>
    <w:multiLevelType w:val="hybridMultilevel"/>
    <w:lvl w:ilvl="0">
      <w:lvlJc w:val="left"/>
      <w:lvlText w:val="(%1)"/>
      <w:numFmt w:val="lowerLetter"/>
      <w:start w:val="1"/>
    </w:lvl>
  </w:abstractNum>
  <w:abstractNum w:abstractNumId="257">
    <w:nsid w:val="12FCDE5E"/>
    <w:multiLevelType w:val="hybridMultilevel"/>
    <w:lvl w:ilvl="0">
      <w:lvlJc w:val="left"/>
      <w:lvlText w:val="(%1)"/>
      <w:numFmt w:val="lowerLetter"/>
      <w:start w:val="1"/>
    </w:lvl>
  </w:abstractNum>
  <w:abstractNum w:abstractNumId="258">
    <w:nsid w:val="4A1D606E"/>
    <w:multiLevelType w:val="hybridMultilevel"/>
    <w:lvl w:ilvl="0">
      <w:lvlJc w:val="left"/>
      <w:lvlText w:val="(%1)"/>
      <w:numFmt w:val="lowerLetter"/>
      <w:start w:val="3"/>
    </w:lvl>
  </w:abstractNum>
  <w:abstractNum w:abstractNumId="259">
    <w:nsid w:val="4382503"/>
    <w:multiLevelType w:val="hybridMultilevel"/>
    <w:lvl w:ilvl="0">
      <w:lvlJc w:val="left"/>
      <w:lvlText w:val="(%1)"/>
      <w:numFmt w:val="lowerLetter"/>
      <w:start w:val="6"/>
    </w:lvl>
  </w:abstractNum>
  <w:abstractNum w:abstractNumId="260">
    <w:nsid w:val="59B76E28"/>
    <w:multiLevelType w:val="hybridMultilevel"/>
    <w:lvl w:ilvl="0">
      <w:lvlJc w:val="left"/>
      <w:lvlText w:val="%1"/>
      <w:numFmt w:val="lowerLetter"/>
      <w:start w:val="1"/>
    </w:lvl>
    <w:lvl w:ilvl="1">
      <w:lvlJc w:val="left"/>
      <w:lvlText w:val="(%2)"/>
      <w:numFmt w:val="lowerLetter"/>
      <w:start w:val="1"/>
    </w:lvl>
  </w:abstractNum>
  <w:abstractNum w:abstractNumId="261">
    <w:nsid w:val="4252C2DA"/>
    <w:multiLevelType w:val="hybridMultilevel"/>
    <w:lvl w:ilvl="0">
      <w:lvlJc w:val="left"/>
      <w:lvlText w:val="(%1)"/>
      <w:numFmt w:val="lowerLetter"/>
      <w:start w:val="9"/>
    </w:lvl>
    <w:lvl w:ilvl="1">
      <w:lvlJc w:val="left"/>
      <w:lvlText w:val="(%2)"/>
      <w:numFmt w:val="lowerLetter"/>
      <w:start w:val="2"/>
    </w:lvl>
  </w:abstractNum>
  <w:abstractNum w:abstractNumId="262">
    <w:nsid w:val="6A92EF4C"/>
    <w:multiLevelType w:val="hybridMultilevel"/>
    <w:lvl w:ilvl="0">
      <w:lvlJc w:val="left"/>
      <w:lvlText w:val="(%1)"/>
      <w:numFmt w:val="lowerLetter"/>
      <w:start w:val="3"/>
    </w:lvl>
    <w:lvl w:ilvl="1">
      <w:lvlJc w:val="left"/>
      <w:lvlText w:val="(%2)"/>
      <w:numFmt w:val="lowerRoman"/>
      <w:start w:val="1"/>
    </w:lvl>
  </w:abstractNum>
  <w:abstractNum w:abstractNumId="263">
    <w:nsid w:val="41ED20D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64">
    <w:nsid w:val="E6B3F6A"/>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265">
    <w:nsid w:val="3EB21819"/>
    <w:multiLevelType w:val="hybridMultilevel"/>
    <w:lvl w:ilvl="0">
      <w:lvlJc w:val="left"/>
      <w:lvlText w:val="(%1)"/>
      <w:numFmt w:val="lowerRoman"/>
      <w:start w:val="2"/>
    </w:lvl>
    <w:lvl w:ilvl="1">
      <w:lvlJc w:val="left"/>
      <w:lvlText w:val="(%2)"/>
      <w:numFmt w:val="decimal"/>
      <w:start w:val="1"/>
    </w:lvl>
  </w:abstractNum>
  <w:abstractNum w:abstractNumId="266">
    <w:nsid w:val="41531DE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8"/>
    </w:lvl>
  </w:abstractNum>
  <w:abstractNum w:abstractNumId="267">
    <w:nsid w:val="6353CD2"/>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68">
    <w:nsid w:val="683CAAD3"/>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69">
    <w:nsid w:val="313C7C99"/>
    <w:multiLevelType w:val="hybridMultilevel"/>
    <w:lvl w:ilvl="0">
      <w:lvlJc w:val="left"/>
      <w:lvlText w:val="(%1)"/>
      <w:numFmt w:val="lowerLetter"/>
      <w:start w:val="1"/>
    </w:lvl>
  </w:abstractNum>
  <w:abstractNum w:abstractNumId="270">
    <w:nsid w:val="519EB94C"/>
    <w:multiLevelType w:val="hybridMultilevel"/>
    <w:lvl w:ilvl="0">
      <w:lvlJc w:val="left"/>
      <w:lvlText w:val="(%1)"/>
      <w:numFmt w:val="lowerLetter"/>
      <w:start w:val="2"/>
    </w:lvl>
  </w:abstractNum>
  <w:abstractNum w:abstractNumId="271">
    <w:nsid w:val="39DF2579"/>
    <w:multiLevelType w:val="hybridMultilevel"/>
    <w:lvl w:ilvl="0">
      <w:lvlJc w:val="left"/>
      <w:lvlText w:val="%1"/>
      <w:numFmt w:val="lowerLetter"/>
      <w:start w:val="1"/>
    </w:lvl>
    <w:lvl w:ilvl="1">
      <w:lvlJc w:val="left"/>
      <w:lvlText w:val="(%2)"/>
      <w:numFmt w:val="lowerLetter"/>
      <w:start w:val="1"/>
    </w:lvl>
  </w:abstractNum>
  <w:abstractNum w:abstractNumId="272">
    <w:nsid w:val="126E008B"/>
    <w:multiLevelType w:val="hybridMultilevel"/>
    <w:lvl w:ilvl="0">
      <w:lvlJc w:val="left"/>
      <w:lvlText w:val="(%1)"/>
      <w:numFmt w:val="lowerLetter"/>
      <w:start w:val="8"/>
    </w:lvl>
    <w:lvl w:ilvl="1">
      <w:lvlJc w:val="left"/>
      <w:lvlText w:val="%2"/>
      <w:numFmt w:val="lowerLetter"/>
      <w:start w:val="1"/>
    </w:lvl>
  </w:abstractNum>
  <w:abstractNum w:abstractNumId="273">
    <w:nsid w:val="34DFBC00"/>
    <w:multiLevelType w:val="hybridMultilevel"/>
    <w:lvl w:ilvl="0">
      <w:lvlJc w:val="left"/>
      <w:lvlText w:val="(%1)"/>
      <w:numFmt w:val="lowerLetter"/>
      <w:start w:val="2"/>
    </w:lvl>
  </w:abstractNum>
  <w:abstractNum w:abstractNumId="274">
    <w:nsid w:val="1F9EC322"/>
    <w:multiLevelType w:val="hybridMultilevel"/>
    <w:lvl w:ilvl="0">
      <w:lvlJc w:val="left"/>
      <w:lvlText w:val="(%1)"/>
      <w:numFmt w:val="lowerLetter"/>
      <w:start w:val="3"/>
    </w:lvl>
    <w:lvl w:ilvl="1">
      <w:lvlJc w:val="left"/>
      <w:lvlText w:val="(%2)"/>
      <w:numFmt w:val="lowerLetter"/>
      <w:start w:val="4"/>
    </w:lvl>
  </w:abstractNum>
  <w:abstractNum w:abstractNumId="275">
    <w:nsid w:val="3410ED56"/>
    <w:multiLevelType w:val="hybridMultilevel"/>
    <w:lvl w:ilvl="0">
      <w:lvlJc w:val="left"/>
      <w:lvlText w:val="(%1)"/>
      <w:numFmt w:val="lowerLetter"/>
      <w:start w:val="1"/>
    </w:lvl>
  </w:abstractNum>
  <w:abstractNum w:abstractNumId="276">
    <w:nsid w:val="23C049A"/>
    <w:multiLevelType w:val="hybridMultilevel"/>
    <w:lvl w:ilvl="0">
      <w:lvlJc w:val="left"/>
      <w:lvlText w:val="(%1)"/>
      <w:numFmt w:val="lowerLetter"/>
      <w:start w:val="1"/>
    </w:lvl>
  </w:abstractNum>
  <w:abstractNum w:abstractNumId="277">
    <w:nsid w:val="5BDA35D4"/>
    <w:multiLevelType w:val="hybridMultilevel"/>
    <w:lvl w:ilvl="0">
      <w:lvlJc w:val="left"/>
      <w:lvlText w:val="%1"/>
      <w:numFmt w:val="upperLetter"/>
      <w:start w:val="1"/>
    </w:lvl>
    <w:lvl w:ilvl="1">
      <w:lvlJc w:val="left"/>
      <w:lvlText w:val="(%2)"/>
      <w:numFmt w:val="lowerLetter"/>
      <w:start w:val="2"/>
    </w:lvl>
  </w:abstractNum>
  <w:abstractNum w:abstractNumId="278">
    <w:nsid w:val="496FB218"/>
    <w:multiLevelType w:val="hybridMultilevel"/>
    <w:lvl w:ilvl="0">
      <w:lvlJc w:val="left"/>
      <w:lvlText w:val="(%1)"/>
      <w:numFmt w:val="upperLetter"/>
      <w:start w:val="2"/>
    </w:lvl>
    <w:lvl w:ilvl="1">
      <w:lvlJc w:val="left"/>
      <w:lvlText w:val="%2"/>
      <w:numFmt w:val="lowerLetter"/>
      <w:start w:val="1"/>
    </w:lvl>
  </w:abstractNum>
  <w:abstractNum w:abstractNumId="279">
    <w:nsid w:val="680EA5D1"/>
    <w:multiLevelType w:val="hybridMultilevel"/>
    <w:lvl w:ilvl="0">
      <w:lvlJc w:val="left"/>
      <w:lvlText w:val="(%1)"/>
      <w:numFmt w:val="lowerLetter"/>
      <w:start w:val="1"/>
    </w:lvl>
    <w:lvl w:ilvl="1">
      <w:lvlJc w:val="left"/>
      <w:lvlText w:val="(%2)"/>
      <w:numFmt w:val="lowerRoman"/>
      <w:start w:val="1"/>
    </w:lvl>
  </w:abstractNum>
  <w:abstractNum w:abstractNumId="280">
    <w:nsid w:val="4A9554FE"/>
    <w:multiLevelType w:val="hybridMultilevel"/>
    <w:lvl w:ilvl="0">
      <w:lvlJc w:val="left"/>
      <w:lvlText w:val="(%1)"/>
      <w:numFmt w:val="lowerLetter"/>
      <w:start w:val="1"/>
    </w:lvl>
  </w:abstractNum>
  <w:abstractNum w:abstractNumId="281">
    <w:nsid w:val="392EDBE4"/>
    <w:multiLevelType w:val="hybridMultilevel"/>
    <w:lvl w:ilvl="0">
      <w:lvlJc w:val="left"/>
      <w:lvlText w:val="(%1)"/>
      <w:numFmt w:val="lowerLetter"/>
      <w:start w:val="2"/>
    </w:lvl>
  </w:abstractNum>
  <w:abstractNum w:abstractNumId="282">
    <w:nsid w:val="3D1A2DD9"/>
    <w:multiLevelType w:val="hybridMultilevel"/>
    <w:lvl w:ilvl="0">
      <w:lvlJc w:val="left"/>
      <w:lvlText w:val="%1."/>
      <w:numFmt w:val="decimal"/>
      <w:start w:val="1"/>
    </w:lvl>
    <w:lvl w:ilvl="1">
      <w:lvlJc w:val="left"/>
      <w:lvlText w:val="(%2)"/>
      <w:numFmt w:val="lowerLetter"/>
      <w:start w:val="1"/>
    </w:lvl>
  </w:abstractNum>
  <w:abstractNum w:abstractNumId="283">
    <w:nsid w:val="7F618FCD"/>
    <w:multiLevelType w:val="hybridMultilevel"/>
    <w:lvl w:ilvl="0">
      <w:lvlJc w:val="left"/>
      <w:lvlText w:val="%1."/>
      <w:numFmt w:val="decimal"/>
      <w:start w:val="1"/>
    </w:lvl>
    <w:lvl w:ilvl="1">
      <w:lvlJc w:val="left"/>
      <w:lvlText w:val="(%2)"/>
      <w:numFmt w:val="lowerLetter"/>
      <w:start w:val="1"/>
    </w:lvl>
  </w:abstractNum>
  <w:abstractNum w:abstractNumId="284">
    <w:nsid w:val="7843E45"/>
    <w:multiLevelType w:val="hybridMultilevel"/>
    <w:lvl w:ilvl="0">
      <w:lvlJc w:val="left"/>
      <w:lvlText w:val="(%1)"/>
      <w:numFmt w:val="decimal"/>
      <w:start w:val="1"/>
    </w:lvl>
  </w:abstractNum>
  <w:abstractNum w:abstractNumId="285">
    <w:nsid w:val="9815DA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5" Type="http://schemas.openxmlformats.org/officeDocument/2006/relationships/image" Target="media/image82.png"/><Relationship Id="rId113"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89" Type="http://schemas.openxmlformats.org/officeDocument/2006/relationships/hyperlink" Target="https://www.sec.gov/Archives/edgar/data/1069258/000106925818000021/ktos20180401ex-22.htm" TargetMode="External"/><Relationship Id="rId90" Type="http://schemas.openxmlformats.org/officeDocument/2006/relationships/hyperlink" Target="https://www.sec.gov/Archives/edgar/data/1069258/000106925819000017/exhibit23redacted.htm" TargetMode="External"/><Relationship Id="rId91" Type="http://schemas.openxmlformats.org/officeDocument/2006/relationships/hyperlink" Target="https://www.sec.gov/Archives/edgar/data/1069258/000106925825000062/ex21agreementandplanofmerg.htm" TargetMode="External"/><Relationship Id="rId92" Type="http://schemas.openxmlformats.org/officeDocument/2006/relationships/hyperlink" Target="https://www.sec.gov/Archives/edgar/data/1069258/000106925817000009/ktos20161225ex-31.htm" TargetMode="External"/><Relationship Id="rId93" Type="http://schemas.openxmlformats.org/officeDocument/2006/relationships/hyperlink" Target="https://www.sec.gov/Archives/edgar/data/1069258/000106925824000042/exhibit31-thirdamendedandr.htm" TargetMode="External"/><Relationship Id="rId94" Type="http://schemas.openxmlformats.org/officeDocument/2006/relationships/hyperlink" Target="https://www.sec.gov/Archives/edgar/data/1069258/000106925817000009/kratoscommonformofcertif.htm" TargetMode="External"/><Relationship Id="rId95" Type="http://schemas.openxmlformats.org/officeDocument/2006/relationships/hyperlink" Target="https://www.sec.gov/Archives/edgar/data/1069258/000106925820000006/ktos20191229ex-44.htm" TargetMode="External"/><Relationship Id="rId96" Type="http://schemas.openxmlformats.org/officeDocument/2006/relationships/hyperlink" Target="https://www.sec.gov/Archives/edgar/data/1069258/000110465911043760/a11-14022_1ex10d8.htm" TargetMode="External"/><Relationship Id="rId97" Type="http://schemas.openxmlformats.org/officeDocument/2006/relationships/hyperlink" Target="https://www.sec.gov/Archives/edgar/data/1069258/000106925817000033/exhibit9911999espp.htm" TargetMode="External"/><Relationship Id="rId98" Type="http://schemas.openxmlformats.org/officeDocument/2006/relationships/hyperlink" Target="https://www.sec.gov/Archives/edgar/data/1069258/000110465905035184/a05-12199_1ex99d2.htm" TargetMode="External"/><Relationship Id="rId99" Type="http://schemas.openxmlformats.org/officeDocument/2006/relationships/hyperlink" Target="https://www.sec.gov/Archives/edgar/data/1069258/000110465905035184/a05-12199_1ex99d1.htm" TargetMode="External"/><Relationship Id="rId100" Type="http://schemas.openxmlformats.org/officeDocument/2006/relationships/hyperlink" Target="https://www.sec.gov/Archives/edgar/data/1069258/000110465907002926/a07-2027_1ex99d3.htm" TargetMode="External"/><Relationship Id="rId101" Type="http://schemas.openxmlformats.org/officeDocument/2006/relationships/hyperlink" Target="https://www.sec.gov/Archives/edgar/data/1069258/000104746911003699/a2203337zdef14a.htm" TargetMode="External"/><Relationship Id="rId102" Type="http://schemas.openxmlformats.org/officeDocument/2006/relationships/hyperlink" Target="https://www.sec.gov/Archives/edgar/data/1069258/000106925811000053/form8k1stamendto726credagrmt.htm" TargetMode="External"/><Relationship Id="rId103" Type="http://schemas.openxmlformats.org/officeDocument/2006/relationships/hyperlink" Target="https://www.sec.gov/Archives/edgar/data/1069258/000106925820000025/exhibit1012014equityin.htm" TargetMode="External"/><Relationship Id="rId104" Type="http://schemas.openxmlformats.org/officeDocument/2006/relationships/hyperlink" Target="https://www.sec.gov/Archives/edgar/data/1069258/000106925820000006/ktos20191229ex-1015.htm" TargetMode="External"/><Relationship Id="rId106" Type="http://schemas.openxmlformats.org/officeDocument/2006/relationships/hyperlink" Target="https://www.sec.gov/Archives/edgar/data/1069258/000110465911043760/a11-14022_1ex10d3.htm" TargetMode="External"/><Relationship Id="rId107" Type="http://schemas.openxmlformats.org/officeDocument/2006/relationships/hyperlink" Target="https://www.sec.gov/Archives/edgar/data/1069258/000110465911043760/a11-14022_1ex10d4.htm" TargetMode="External"/><Relationship Id="rId108" Type="http://schemas.openxmlformats.org/officeDocument/2006/relationships/hyperlink" Target="https://www.sec.gov/Archives/edgar/data/1069258/000106925817000015/ktos20170326ex-102.htm" TargetMode="External"/><Relationship Id="rId109" Type="http://schemas.openxmlformats.org/officeDocument/2006/relationships/hyperlink" Target="https://www.sec.gov/Archives/edgar/data/1069258/000106925819000017/exchangeagreement.htm" TargetMode="External"/><Relationship Id="rId110" Type="http://schemas.openxmlformats.org/officeDocument/2006/relationships/hyperlink" Target="https://www.sec.gov/Archives/edgar/data/1069258/000106925822000014/ktos20211226ex-1018.htm" TargetMode="External"/><Relationship Id="rId111" Type="http://schemas.openxmlformats.org/officeDocument/2006/relationships/hyperlink" Target="https://www.sec.gov/Archives/edgar/data/1069258/000106925822000014/ktos20211226ex-1019.htm" TargetMode="External"/><Relationship Id="rId112" Type="http://schemas.openxmlformats.org/officeDocument/2006/relationships/hyperlink" Target="https://www.sec.gov/Archives/edgar/data/1069258/000106925822000015/ktos202202228kexhibit101.htm" TargetMode="External"/><Relationship Id="rId114" Type="http://schemas.openxmlformats.org/officeDocument/2006/relationships/hyperlink" Target="https://www.sec.gov/Archives/edgar/data/1069258/000106925822000054/ktos20220626ex-101.htm" TargetMode="External"/><Relationship Id="rId115" Type="http://schemas.openxmlformats.org/officeDocument/2006/relationships/hyperlink" Target="https://www.sec.gov/Archives/edgar/data/1069258/000106925824000051/ktos20240630ex-101purchase.htm" TargetMode="External"/><Relationship Id="rId116" Type="http://schemas.openxmlformats.org/officeDocument/2006/relationships/hyperlink" Target="https://www.sec.gov/Archives/edgar/data/1069258/000106925823000031/exhibit9912023equityincent.htm" TargetMode="External"/><Relationship Id="rId117" Type="http://schemas.openxmlformats.org/officeDocument/2006/relationships/hyperlink" Target="https://www.sec.gov/Archives/edgar/data/1069258/000106925823000031/exhibit9922023employeestoc.htm" TargetMode="External"/><Relationship Id="rId118" Type="http://schemas.openxmlformats.org/officeDocument/2006/relationships/hyperlink" Target="https://www.sec.gov/Archives/edgar/data/1069258/000106925824000007/ktos20231231ex-1022.htm" TargetMode="External"/><Relationship Id="rId119" Type="http://schemas.openxmlformats.org/officeDocument/2006/relationships/hyperlink" Target="https://www.sec.gov/Archives/edgar/data/1069258/000106925824000007/ktos20231231ex-1023.htm" TargetMode="External"/><Relationship Id="rId120" Type="http://schemas.openxmlformats.org/officeDocument/2006/relationships/hyperlink" Target="https://www.sec.gov/Archives/edgar/data/1069258/000106925825000008/ktos20241229ex-191.htm" TargetMode="External"/><Relationship Id="rId121" Type="http://schemas.openxmlformats.org/officeDocument/2006/relationships/hyperlink" Target="https://www.sec.gov/Archives/edgar/data/1069258/000106925824000007/ktos20231231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2026-02-23T15:58:08Z</dcterms:created>
  <dcterms:modified xsi:type="dcterms:W3CDTF">2026-02-23T15:58:08Z</dcterms:modified>
</cp:coreProperties>
</file>