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7"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24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1199" w:right="359" w:bottom="1440" w:gutter="0" w:footer="0" w:header="0"/>
        </w:sectPr>
      </w:pPr>
    </w:p>
    <w:p>
      <w:pPr>
        <w:ind w:left="1780"/>
        <w:spacing w:after="0" w:line="221" w:lineRule="auto"/>
        <w:rPr>
          <w:sz w:val="20"/>
          <w:szCs w:val="20"/>
          <w:color w:val="auto"/>
        </w:rPr>
      </w:pPr>
      <w:r>
        <w:rPr>
          <w:rFonts w:ascii="Times New Roman" w:cs="Times New Roman" w:eastAsia="Times New Roman" w:hAnsi="Times New Roman"/>
          <w:sz w:val="18"/>
          <w:szCs w:val="18"/>
          <w:color w:val="auto"/>
        </w:rPr>
        <w:t>(State or other jurisdiction of</w:t>
      </w: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 Chisholm Trail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Suite 300</w:t>
      </w:r>
    </w:p>
    <w:p>
      <w:pPr>
        <w:jc w:val="center"/>
        <w:ind w:right="740"/>
        <w:spacing w:after="0" w:line="219" w:lineRule="auto"/>
        <w:rPr>
          <w:sz w:val="20"/>
          <w:szCs w:val="20"/>
          <w:color w:val="auto"/>
        </w:rPr>
      </w:pPr>
      <w:r>
        <w:rPr>
          <w:rFonts w:ascii="Times New Roman" w:cs="Times New Roman" w:eastAsia="Times New Roman" w:hAnsi="Times New Roman"/>
          <w:sz w:val="18"/>
          <w:szCs w:val="18"/>
          <w:b w:val="1"/>
          <w:bCs w:val="1"/>
          <w:color w:val="auto"/>
        </w:rPr>
        <w:t>Round Rock</w:t>
      </w:r>
      <w:r>
        <w:rPr>
          <w:rFonts w:ascii="Times New Roman" w:cs="Times New Roman" w:eastAsia="Times New Roman" w:hAnsi="Times New Roman"/>
          <w:sz w:val="16"/>
          <w:szCs w:val="16"/>
          <w:b w:val="1"/>
          <w:bCs w:val="1"/>
          <w:color w:val="auto"/>
        </w:rPr>
        <w:t>, TX</w:t>
      </w: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16"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pacing w:after="0" w:line="25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78681</w:t>
      </w:r>
    </w:p>
    <w:p>
      <w:pPr>
        <w:spacing w:after="0" w:line="21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672" w:lineRule="exact"/>
        <w:rPr>
          <w:sz w:val="24"/>
          <w:szCs w:val="24"/>
          <w:color w:val="auto"/>
        </w:rPr>
      </w:pPr>
    </w:p>
    <w:p>
      <w:pPr>
        <w:sectPr>
          <w:pgSz w:w="11900" w:h="16838" w:orient="portrait"/>
          <w:cols w:equalWidth="0" w:num="2">
            <w:col w:w="6400" w:space="720"/>
            <w:col w:w="4100"/>
          </w:cols>
          <w:pgMar w:left="320" w:top="119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spacing w:after="0" w:line="191"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500"/>
        <w:spacing w:after="0"/>
        <w:tabs>
          <w:tab w:leader="none" w:pos="6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16"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29" w:lineRule="exact"/>
        <w:rPr>
          <w:sz w:val="24"/>
          <w:szCs w:val="24"/>
          <w:color w:val="auto"/>
        </w:rPr>
      </w:pP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46"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0" w:lineRule="exact"/>
        <w:rPr>
          <w:sz w:val="24"/>
          <w:szCs w:val="24"/>
          <w:color w:val="auto"/>
        </w:rPr>
      </w:pPr>
    </w:p>
    <w:p>
      <w:pPr>
        <w:ind w:left="340" w:right="15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August 2, 2024, 150,999,300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7400" w:type="dxa"/>
            <w:vAlign w:val="bottom"/>
            <w:gridSpan w:val="15"/>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0" w:type="dxa"/>
            <w:vAlign w:val="bottom"/>
            <w:gridSpan w:val="15"/>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8"/>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(unaudited) and December 31, 2023</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June 25, 2023 (unaudited)</w:t>
            </w:r>
          </w:p>
        </w:tc>
        <w:tc>
          <w:tcPr>
            <w:tcW w:w="12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June 30, 2024 and June</w:t>
            </w:r>
          </w:p>
        </w:tc>
        <w:tc>
          <w:tcPr>
            <w:tcW w:w="120" w:type="dxa"/>
            <w:vAlign w:val="bottom"/>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25, 2023 (unaudited)</w:t>
            </w:r>
          </w:p>
        </w:tc>
        <w:tc>
          <w:tcPr>
            <w:tcW w:w="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3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June 25, 2023</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560" w:type="dxa"/>
            <w:vAlign w:val="bottom"/>
            <w:tcBorders>
              <w:top w:val="single" w:sz="8" w:color="0000FF"/>
            </w:tcBorders>
            <w:gridSpan w:val="16"/>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3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and Six Months Ended June 30, 2024 and June 25, 2023 (unaudited)</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9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3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9"/>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40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9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2"/>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4"/>
                <w:szCs w:val="24"/>
                <w:color w:val="auto"/>
              </w:rPr>
            </w:pPr>
          </w:p>
        </w:tc>
        <w:tc>
          <w:tcPr>
            <w:tcW w:w="840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ind w:left="3860"/>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Unbilled receivables,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outstanding at June 30, 2024 and</w:t>
            </w:r>
          </w:p>
        </w:tc>
        <w:tc>
          <w:tcPr>
            <w:tcW w:w="2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$0.001 par value, 195,000,000 shares authorized; 150,729,318 and 129,286,964 shares issued and</w:t>
            </w:r>
          </w:p>
        </w:tc>
        <w:tc>
          <w:tcPr>
            <w:tcW w:w="2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June 30, 2024 and December 31, 2023, respectively</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r>
      <w:tr>
        <w:trPr>
          <w:trHeight w:val="212"/>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r>
      <w:tr>
        <w:trPr>
          <w:trHeight w:val="207"/>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w:t>
            </w:r>
          </w:p>
        </w:tc>
      </w:tr>
      <w:tr>
        <w:trPr>
          <w:trHeight w:val="212"/>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and other</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from consolidated operations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Kratos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income (loss) per common share attributable to Kratos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auto"/>
            </w:tcBorders>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45"/>
        </w:trPr>
        <w:tc>
          <w:tcPr>
            <w:tcW w:w="58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(loss) per common share attributable to Kratos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consolidated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center"/>
              <w:ind w:left="66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2"/>
        </w:trPr>
        <w:tc>
          <w:tcPr>
            <w:tcW w:w="5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unrealized cash flow hedge (net of taxes of $0.1 million and $0.5 million for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the three and six month period ended June 30, 2024 and $0.6 million and $0.6 million for</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center"/>
              <w:ind w:left="700"/>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left="720"/>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three and six month period ended June 25, 2023)</w:t>
            </w: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 from consolidated operations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w w:val="99"/>
              </w:rPr>
              <w:t>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9"/>
              </w:rPr>
              <w:t>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Kratos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center"/>
              <w:ind w:left="68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March 26, 2023</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69" w:lineRule="exact"/>
        <w:rPr>
          <w:sz w:val="20"/>
          <w:szCs w:val="20"/>
          <w:color w:val="auto"/>
        </w:rPr>
      </w:pPr>
    </w:p>
    <w:p>
      <w:pPr>
        <w:ind w:left="120"/>
        <w:spacing w:after="0" w:line="342" w:lineRule="auto"/>
        <w:rPr>
          <w:sz w:val="20"/>
          <w:szCs w:val="20"/>
          <w:color w:val="auto"/>
        </w:rPr>
      </w:pPr>
      <w:r>
        <w:rPr>
          <w:rFonts w:ascii="Times New Roman" w:cs="Times New Roman" w:eastAsia="Times New Roman" w:hAnsi="Times New Roman"/>
          <w:sz w:val="14"/>
          <w:szCs w:val="14"/>
          <w:color w:val="auto"/>
        </w:rPr>
        <w:t>Restricted stock issued and related taxes Net income (loss)</w:t>
      </w:r>
    </w:p>
    <w:p>
      <w:pPr>
        <w:ind w:left="120" w:right="20"/>
        <w:spacing w:after="0" w:line="350" w:lineRule="auto"/>
        <w:rPr>
          <w:sz w:val="20"/>
          <w:szCs w:val="20"/>
          <w:color w:val="auto"/>
        </w:rPr>
      </w:pPr>
      <w:r>
        <w:rPr>
          <w:rFonts w:ascii="Times New Roman" w:cs="Times New Roman" w:eastAsia="Times New Roman" w:hAnsi="Times New Roman"/>
          <w:sz w:val="14"/>
          <w:szCs w:val="14"/>
          <w:color w:val="auto"/>
        </w:rPr>
        <w:t>Other comprehensive income, net of tax Changes in noncontrolling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June 25, 2023</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 and June 25, 2023</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320" w:type="dxa"/>
        <w:tblCellMar>
          <w:top w:w="0" w:type="dxa"/>
          <w:left w:w="0" w:type="dxa"/>
          <w:bottom w:w="0" w:type="dxa"/>
          <w:right w:w="0" w:type="dxa"/>
        </w:tblCellMar>
      </w:tblPr>
      <w:tr>
        <w:trPr>
          <w:trHeight w:val="354"/>
        </w:trPr>
        <w:tc>
          <w:tcPr>
            <w:tcW w:w="140" w:type="dxa"/>
            <w:vAlign w:val="bottom"/>
          </w:tcPr>
          <w:p>
            <w:pPr>
              <w:spacing w:after="0"/>
              <w:rPr>
                <w:sz w:val="24"/>
                <w:szCs w:val="24"/>
                <w:color w:val="auto"/>
              </w:rPr>
            </w:pPr>
          </w:p>
        </w:tc>
        <w:tc>
          <w:tcPr>
            <w:tcW w:w="1180" w:type="dxa"/>
            <w:vAlign w:val="bottom"/>
            <w:tcBorders>
              <w:right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1"/>
        </w:trPr>
        <w:tc>
          <w:tcPr>
            <w:tcW w:w="140" w:type="dxa"/>
            <w:vAlign w:val="bottom"/>
          </w:tcPr>
          <w:p>
            <w:pPr>
              <w:spacing w:after="0"/>
              <w:rPr>
                <w:sz w:val="2"/>
                <w:szCs w:val="2"/>
                <w:color w:val="auto"/>
              </w:rPr>
            </w:pPr>
          </w:p>
        </w:tc>
        <w:tc>
          <w:tcPr>
            <w:tcW w:w="11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(678.3)</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18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8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-1036320</wp:posOffset>
            </wp:positionV>
            <wp:extent cx="70980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-753745</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-462280</wp:posOffset>
            </wp:positionV>
            <wp:extent cx="70980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-170815</wp:posOffset>
            </wp:positionV>
            <wp:extent cx="70980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80"/>
            <w:col w:w="8540"/>
          </w:cols>
          <w:pgMar w:left="380" w:top="893" w:right="359" w:bottom="1440" w:gutter="0" w:footer="0" w:header="0"/>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24"/>
                <w:szCs w:val="24"/>
                <w:color w:val="auto"/>
              </w:rPr>
            </w:pPr>
          </w:p>
        </w:tc>
        <w:tc>
          <w:tcPr>
            <w:tcW w:w="17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auto"/>
            </w:tcBorders>
            <w:vMerge w:val="restart"/>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4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1"/>
        </w:trPr>
        <w:tc>
          <w:tcPr>
            <w:tcW w:w="2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1,982.7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9"/>
        </w:trPr>
        <w:tc>
          <w:tcPr>
            <w:tcW w:w="29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for employee</w:t>
            </w:r>
          </w:p>
        </w:tc>
        <w:tc>
          <w:tcPr>
            <w:tcW w:w="140" w:type="dxa"/>
            <w:vAlign w:val="bottom"/>
            <w:shd w:val="clear" w:color="auto" w:fill="CCEEFF"/>
          </w:tcPr>
          <w:p>
            <w:pPr>
              <w:spacing w:after="0"/>
              <w:rPr>
                <w:sz w:val="12"/>
                <w:szCs w:val="12"/>
                <w:color w:val="auto"/>
              </w:rPr>
            </w:pPr>
          </w:p>
        </w:tc>
        <w:tc>
          <w:tcPr>
            <w:tcW w:w="11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purchase plan and stock options</w:t>
            </w:r>
          </w:p>
        </w:tc>
        <w:tc>
          <w:tcPr>
            <w:tcW w:w="140" w:type="dxa"/>
            <w:vAlign w:val="bottom"/>
            <w:shd w:val="clear" w:color="auto" w:fill="CCEEFF"/>
          </w:tcPr>
          <w:p>
            <w:pPr>
              <w:spacing w:after="0"/>
              <w:rPr>
                <w:sz w:val="17"/>
                <w:szCs w:val="17"/>
                <w:color w:val="auto"/>
              </w:rPr>
            </w:pPr>
          </w:p>
        </w:tc>
        <w:tc>
          <w:tcPr>
            <w:tcW w:w="11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1,998.6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93"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 and June 25, 2023</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Borders>
              <w:right w:val="single" w:sz="8" w:color="auto"/>
            </w:tcBorders>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right w:val="single" w:sz="8" w:color="auto"/>
            </w:tcBorders>
            <w:vMerge w:val="restart"/>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vMerge w:val="restart"/>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40" w:type="dxa"/>
            <w:vAlign w:val="bottom"/>
            <w:vMerge w:val="continue"/>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right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25, 2022</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right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auto"/>
            </w:tcBorders>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purchase plan and stock options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left="31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70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25, 2023</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center"/>
              <w:ind w:left="41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8"/>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right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8"/>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right w:val="single" w:sz="8" w:color="auto"/>
            </w:tcBorders>
            <w:vMerge w:val="restart"/>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4"/>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right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(680.2)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center"/>
              <w:ind w:left="72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296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tcBorders>
              <w:right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center"/>
              <w:ind w:left="72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2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 and stock options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center"/>
              <w:ind w:left="72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left="72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interest rate swap contract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left="72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781"/>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1,998.6</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1,329.3</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2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from consolidated operations</w:t>
            </w: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3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from consolidated operations to net cash used in operating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lease right-of-use assets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Unbilled receivables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Inventoried costs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1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compensation</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 receivable and payable</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34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 under credit facility</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under credit facility and term loan</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under finance leases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employee taxes withheld from share-based awards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equity plans</w:t>
            </w: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(used)</w:t>
            </w: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Significant non-cash investing and financing activities: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obligation incurred</w:t>
            </w:r>
          </w:p>
        </w:tc>
        <w:tc>
          <w:tcPr>
            <w:tcW w:w="1340" w:type="dxa"/>
            <w:vAlign w:val="bottom"/>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expenses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issuance for purchase of noncontrolling interests</w:t>
            </w:r>
          </w:p>
        </w:tc>
        <w:tc>
          <w:tcPr>
            <w:tcW w:w="1340" w:type="dxa"/>
            <w:vAlign w:val="bottom"/>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June 30, 2024 and for the three and six months ended June 30, 2024 and June 25, 2023 is unaudited. The condensed consolidated balance sheet as of December 31, 2023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2023, included in the Company’s Annual Report on Form 10-K filed with the U.S. Securities and Exchange Commission (the “SEC”) on February 13, 2024 (the “Form 10-K”). Interim operating results are not necessarily indicative of operating results expected in subsequent periods or for the year as a whole.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items have been reclassified to be consistent with current year presentation.</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16"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and its 100% owned subsidiaries. All inter-company transactions have been eliminated in consolidation. On June 21, 2024, the Company purchased the remaining 9.95% interest in KTT CORE, Inc., a Delaware corporation formerly known as KTT CORE, LLC (“KTT Core”) which previously had been reported as a majority owned subsidiary. KTT Core</w:t>
      </w:r>
    </w:p>
    <w:p>
      <w:pPr>
        <w:spacing w:after="0"/>
        <w:rPr>
          <w:sz w:val="20"/>
          <w:szCs w:val="20"/>
          <w:color w:val="auto"/>
        </w:rPr>
      </w:pPr>
      <w:r>
        <w:rPr>
          <w:rFonts w:ascii="Times New Roman" w:cs="Times New Roman" w:eastAsia="Times New Roman" w:hAnsi="Times New Roman"/>
          <w:sz w:val="18"/>
          <w:szCs w:val="18"/>
          <w:color w:val="auto"/>
        </w:rPr>
        <w:t>is now a 100% owned subsidiary. See Note 11 for further information related to the redeemable noncontrolling interest.</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The three month periods ended June 30, 2024 and June 25, 2023 consisted of 13-week periods. The six month periods ended June 30, 2024 and June 25, 2023 consisted of 26-week periods. There are 52 calendar weeks in the fiscal year ending on December 29, 2024 and 53 calendar weeks in the fiscal year ending December 31, 2023.</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six months ended June 30, 2024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1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June 30, 2024, the derivative instruments were included in other current assets and other assets on the Company's condensed consolidated balance sheets.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and the related fair values of the Company’s derivative instruments measured at fair value on a recurring basis at June 30, 2024, are presented in Note 15.</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June 30, 2024 and December 31, 2023 due to the short-term nature of these instruments.</w:t>
      </w:r>
    </w:p>
    <w:p>
      <w:pPr>
        <w:spacing w:after="0" w:line="19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by requiring disclosures of significant reportable segment expenses that are regularly provided to the Chief Operating Decision Maker (“CODM”) and included within each reported measure of a segment's profit or loss. ASU 2023-07 also requires all segment profit or loss and assets disclosures to be provided on an annual and interim basis. ASU 2023-07 is effective for fiscal years beginning after December 15, 2023, and interim periods within fiscal years beginning one year later. The amendments must be applied retrospectively to all prior periods presented. The Company is currently evaluating the impact of the adoption of ASU 2023-07 on its consolidated financial statements; however, the standard is not expected to have an impact on the Company’s consolidated financial position, results of operations or cash flows.</w:t>
      </w:r>
    </w:p>
    <w:p>
      <w:pPr>
        <w:spacing w:after="0" w:line="21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Income Taxes (Topic 740): Improvements to Income Tax Disclosures,</w:t>
      </w:r>
      <w:r>
        <w:rPr>
          <w:rFonts w:ascii="Times New Roman" w:cs="Times New Roman" w:eastAsia="Times New Roman" w:hAnsi="Times New Roman"/>
          <w:sz w:val="18"/>
          <w:szCs w:val="18"/>
          <w:color w:val="auto"/>
        </w:rPr>
        <w:t xml:space="preserve">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currently evaluating the impact of the adoption of ASU 2023-09; however, the standard is not expected to have an impact on the Company’s consolidated financial position, results of operations or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Sierra Technical Services, Inc.</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October 3, 2023, the Company entered into an agreement to acquire all of the outstanding equity securities of aerial target drone designer Sierra Technical Services, Inc. (“STS”) pursuant to which the Company (i) issued 866,026 shares of Kratos common stock valued at $12.8 million on October 3, 2023 and (ii) agreed to issue up to an additional 979,038 shares of Kratos common stock valued at $14.5 million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allocation of the total consideration for the STS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condensed consolidated financial statements. The operating results of the STS acquisition have been included in the Company’s results of operations from the effective date of the acquisition. The amount of net sales and earnings of STS included in the condensed consolidated statement of operations for the year ended December 31, 2023 are not material. Had the acquisition occurred as of December 26, 2022, net sales, net income from consolidated operations, net income attributable to Kratos, and basic and diluted net income per share attributable to Kratos on a pro forma basis for the year ended December 31, 2023 would not have been materially different than the reported amounts. STS is included in the US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adopted the FASB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as the dollar value of the remaining performance obligations on executed contracts. On June 30, 2024, the Company had approximately $1,302.7 million of remaining performance obligations. The Company expects to recognize approximately 35% of the remaining performance obligations as revenue in fiscal year 2024, an additional 41% in fiscal year 2025, and the balance thereafter.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six-month periods ended June 30, 2024, and June 25, 2023. Likewise, total cumulative catch-up adjustments were not material for the three and six-month periods ended June 30, 2024, and June 25, 2023.</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Contract assets increased $6.3 million during the six months ended June 30, 2024, primarily due to higher unbilled receivables, net during the six months ended June 30, 2024. There were no significant impairment losses related to any receivables or contract assets arising from the Company’s contracts with customers during the six months ended June 30, 2024. Contract liabilities decreased $20.9 million during the six months ended June 30, 2024, primarily due to revenue recognized in excess of payments received on these performance obligations. For the three and six months ended June 30, 2024, the Company recognized revenue of $25.8 million and $69.2 million, respectively, that was previously included in the contract liabilities that existed at December 31, 2023. For the three and six months ended June 25, 2023 the Company recognized revenue of $12.4 million and $33.6 million, respectively, that was previously included in the contract liabilities that existed at December 25,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 w:name="page13"/>
    <w:bookmarkEnd w:id="12"/>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At June 30, 2024, approximately $2.9 million in billed receivables and $1.5 million in unbilled receivables remained outstanding related to a training solutions program that was terminated for convenience (“T for C”) by the customer in 2019. In July 2024, the $2.9 million receivable was collected. The remaining unbilled receivable amount is subject to negotiation and settlement with the customer, which negotiations are currently expected to commence in the second half of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0" w:type="dxa"/>
            <w:vAlign w:val="bottom"/>
          </w:tcPr>
          <w:p>
            <w:pPr>
              <w:spacing w:after="0"/>
              <w:rPr>
                <w:sz w:val="1"/>
                <w:szCs w:val="1"/>
                <w:color w:val="auto"/>
              </w:rPr>
            </w:pPr>
          </w:p>
        </w:tc>
      </w:tr>
      <w:tr>
        <w:trPr>
          <w:trHeight w:val="216"/>
        </w:trPr>
        <w:tc>
          <w:tcPr>
            <w:tcW w:w="61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2"/>
                <w:szCs w:val="22"/>
                <w:color w:val="auto"/>
              </w:rPr>
            </w:pPr>
          </w:p>
        </w:tc>
        <w:tc>
          <w:tcPr>
            <w:tcW w:w="23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0" w:type="dxa"/>
            <w:vAlign w:val="bottom"/>
          </w:tcPr>
          <w:p>
            <w:pPr>
              <w:spacing w:after="0"/>
              <w:rPr>
                <w:sz w:val="1"/>
                <w:szCs w:val="1"/>
                <w:color w:val="auto"/>
              </w:rPr>
            </w:pPr>
          </w:p>
        </w:tc>
      </w:tr>
      <w:tr>
        <w:trPr>
          <w:trHeight w:val="216"/>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09"/>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100" w:firstLine="8"/>
        <w:spacing w:after="0" w:line="345" w:lineRule="auto"/>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2" w:lineRule="exact"/>
        <w:rPr>
          <w:rFonts w:ascii="Times New Roman" w:cs="Times New Roman" w:eastAsia="Times New Roman" w:hAnsi="Times New Roman"/>
          <w:sz w:val="16"/>
          <w:szCs w:val="16"/>
          <w:color w:val="auto"/>
          <w:vertAlign w:val="superscript"/>
        </w:rPr>
      </w:pPr>
    </w:p>
    <w:p>
      <w:pPr>
        <w:ind w:right="2040" w:firstLine="8"/>
        <w:spacing w:after="0" w:line="287" w:lineRule="auto"/>
        <w:tabs>
          <w:tab w:leader="none" w:pos="1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June 30, 2024 and December 31, 2023 by reportable segment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KGS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11"/>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KGS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20" w:type="dxa"/>
            <w:vAlign w:val="bottom"/>
          </w:tcPr>
          <w:p>
            <w:pPr>
              <w:spacing w:after="0"/>
              <w:rPr>
                <w:sz w:val="20"/>
                <w:szCs w:val="20"/>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4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29"/>
        </w:trPr>
        <w:tc>
          <w:tcPr>
            <w:tcW w:w="20" w:type="dxa"/>
            <w:vAlign w:val="bottom"/>
          </w:tcPr>
          <w:p>
            <w:pPr>
              <w:spacing w:after="0"/>
              <w:rPr>
                <w:sz w:val="19"/>
                <w:szCs w:val="19"/>
                <w:color w:val="auto"/>
              </w:rPr>
            </w:pPr>
          </w:p>
        </w:tc>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8"/>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75"/>
        </w:trPr>
        <w:tc>
          <w:tcPr>
            <w:tcW w:w="3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$2.2 million and $1.4 million for the three months ended June 30, 2024 and June 25, 2023, respectively, and $4.3 million and $3.0 million for the six months ended June 30, 2024 and June 25, 2023, respectively.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as of June 30, 2024 is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w:t>
            </w:r>
          </w:p>
        </w:tc>
        <w:tc>
          <w:tcPr>
            <w:tcW w:w="1480" w:type="dxa"/>
            <w:vAlign w:val="bottom"/>
            <w:tcBorders>
              <w:bottom w:val="single" w:sz="8" w:color="auto"/>
            </w:tcBorders>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
        </w:trPr>
        <w:tc>
          <w:tcPr>
            <w:tcW w:w="7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Income (Loss) per Common Share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calculates net income (loss)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09"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Diluted net income per share for the three and six months ended June 30, 2024 include the dilutive effect of an aggregate of 1.6 million and 1.1 million shares, respectively, of the Company’s common stock granted to employees under stock-based compensation plans. Diluted net loss per share for the three and six months ended June 25, 2023 exclude the dilutive effects of awards granted to employees under stock-based compensation plans of 1.0 million and 1.2 million shares, respectively, because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2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39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39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34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lease cost (cost excluded from lease</w:t>
            </w:r>
          </w:p>
        </w:tc>
        <w:tc>
          <w:tcPr>
            <w:tcW w:w="1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3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1"/>
                <w:szCs w:val="2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71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3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9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29"/>
        </w:trPr>
        <w:tc>
          <w:tcPr>
            <w:tcW w:w="5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20"/>
                <w:szCs w:val="20"/>
                <w:color w:val="auto"/>
              </w:rPr>
            </w:pP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3320" w:type="dxa"/>
            <w:vAlign w:val="bottom"/>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84"/>
        </w:trPr>
        <w:tc>
          <w:tcPr>
            <w:tcW w:w="3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lease - operating cash flows (fixed</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7"/>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3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162"/>
        </w:trPr>
        <w:tc>
          <w:tcPr>
            <w:tcW w:w="38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Operating lease liabilities arising from obtaining</w:t>
            </w:r>
          </w:p>
        </w:tc>
        <w:tc>
          <w:tcPr>
            <w:tcW w:w="3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21"/>
                <w:szCs w:val="21"/>
                <w:color w:val="auto"/>
              </w:rPr>
            </w:pPr>
          </w:p>
        </w:tc>
      </w:tr>
      <w:tr>
        <w:trPr>
          <w:trHeight w:val="175"/>
        </w:trPr>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lease liabilities arising from obtaining right-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1"/>
                <w:szCs w:val="21"/>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1"/>
                <w:szCs w:val="21"/>
                <w:color w:val="auto"/>
              </w:rPr>
            </w:pPr>
          </w:p>
        </w:tc>
      </w:tr>
      <w:tr>
        <w:trPr>
          <w:trHeight w:val="270"/>
        </w:trPr>
        <w:tc>
          <w:tcPr>
            <w:tcW w:w="3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96"/>
        </w:trPr>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3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w:t>
            </w:r>
          </w:p>
        </w:tc>
      </w:tr>
      <w:tr>
        <w:trPr>
          <w:trHeight w:val="257"/>
        </w:trPr>
        <w:tc>
          <w:tcPr>
            <w:tcW w:w="3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4.95 %</w:t>
            </w:r>
          </w:p>
        </w:tc>
      </w:tr>
      <w:tr>
        <w:trPr>
          <w:trHeight w:val="234"/>
        </w:trPr>
        <w:tc>
          <w:tcPr>
            <w:tcW w:w="3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6.41 %</w:t>
            </w:r>
          </w:p>
        </w:tc>
      </w:tr>
      <w:tr>
        <w:trPr>
          <w:trHeight w:val="630"/>
        </w:trPr>
        <w:tc>
          <w:tcPr>
            <w:tcW w:w="4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maturity of lease liabilities is (in millions):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3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19"/>
                <w:szCs w:val="19"/>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9"/>
                <w:szCs w:val="19"/>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9"/>
                <w:szCs w:val="19"/>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20"/>
                <w:szCs w:val="20"/>
                <w:color w:val="auto"/>
              </w:rPr>
            </w:pPr>
          </w:p>
        </w:tc>
      </w:tr>
    </w:tbl>
    <w:p>
      <w:pPr>
        <w:ind w:left="180" w:hanging="154"/>
        <w:spacing w:after="0" w:line="230" w:lineRule="auto"/>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reconciliation of the total income tax provision to the amount computed by applying the statutory federal income tax rate of 21% to income (loss)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continuing operations before income taxes for the three and six months ended June 30, 2024 and June 25, 2023 is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2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6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240" w:type="dxa"/>
            <w:vAlign w:val="bottom"/>
          </w:tcPr>
          <w:p>
            <w:pPr>
              <w:spacing w:after="0"/>
              <w:rPr>
                <w:sz w:val="19"/>
                <w:szCs w:val="19"/>
                <w:color w:val="auto"/>
              </w:rPr>
            </w:pPr>
          </w:p>
        </w:tc>
        <w:tc>
          <w:tcPr>
            <w:tcW w:w="98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7"/>
              </w:rPr>
              <w:t>3.3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 excess tax shortfalls (windfalls)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0.7</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Federal impact of research &amp; development tax credits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2.9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its interim income tax provision in accordance with ASC Topic 270, “Interim Reporting,” and ASC Topic 740, “Accounting for Income Taxes.” Prior to 2022,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estimated annual effective tax rate, the historical method used prior to 2022 would not provide a reliable estimate for the six months ended June 30, 2024 and June 25, 2023. Therefore, a discrete effective tax rate method was used to calculate taxes for the six months ended June 30, 2024 and June 25, 2023.</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$25.4 million of unrecognized tax benefits. Included in the balance of unrecognized tax benefits at June 30, 2024 are $22.8 million that, if recognized, would impact the Company’s effective income tax rate.</w:t>
      </w:r>
    </w:p>
    <w:p>
      <w:pPr>
        <w:spacing w:after="0" w:line="18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six months ended June 30, 2024 and June 25, 2023, the Company recorded an expense of $0.1 million. For the six months ended June 30, 2024 and June 25, 2023, there was no material benefit recorded related to the removal of interest and penalties. The Company believes that it is reasonably possible that as much as</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$0.1 million of the liabilities for uncertain tax positions will expire within the next twelve months due to the expiration of various applicable statutes of limitations.</w:t>
      </w:r>
    </w:p>
    <w:p>
      <w:pPr>
        <w:spacing w:after="0" w:line="208"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had no impact on our 2024 effective tax rate and we do not currently expect Pillar 2 to have a material impact on our effective tax rate or our consolidated results of operation, financial position, and cash flows going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new 5-year $200 million Revolving Credit Facility and 5-year $200 million Term Loan A (collectively, the “2022 Credit Facility”). The Company incurred debt issuance costs of $3.3 million associated with the 2022 Credit Facility. As of June 30, 2024, the Company has made an aggregate of $10.0 million in principal payments on Term Loan A and has no amounts outstanding under the Revolving Credit Facility, with $200.0 million remaining in borrowing capacity, less approximately $6.9 million of letters of credit outstanding.</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30, 2024.</w:t>
      </w:r>
    </w:p>
    <w:p>
      <w:pPr>
        <w:spacing w:after="0" w:line="207"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 Loan and Revolving Credit Debt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and revolving credit debt and the current period interest rates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long-term unamortized debt issuance costs - term loans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 term loans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 revolving credit facility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7"/>
                <w:szCs w:val="17"/>
                <w:color w:val="auto"/>
              </w:rPr>
            </w:pPr>
          </w:p>
        </w:tc>
        <w:tc>
          <w:tcPr>
            <w:tcW w:w="260" w:type="dxa"/>
            <w:vAlign w:val="bottom"/>
            <w:gridSpan w:val="2"/>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54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Future long-term debt principal payments at June 30, 2024 were as follows (in millions):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16"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Corporate activities 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ind w:right="380" w:firstLine="693"/>
        <w:spacing w:after="0" w:line="282" w:lineRule="auto"/>
        <w:rPr>
          <w:sz w:val="20"/>
          <w:szCs w:val="20"/>
          <w:color w:val="auto"/>
        </w:rPr>
      </w:pPr>
      <w:r>
        <w:rPr>
          <w:rFonts w:ascii="Times New Roman" w:cs="Times New Roman" w:eastAsia="Times New Roman" w:hAnsi="Times New Roman"/>
          <w:sz w:val="18"/>
          <w:szCs w:val="18"/>
          <w:color w:val="auto"/>
        </w:rPr>
        <w:t>Revenues, depreciation and amortization, and operating income generated by the Company’s reportable segments for the three and six month periods ended June 30, 2024 and June 25, 2023 are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9"/>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2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Unmanned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5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w:t>
      </w: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Interests with a value of $10.7 million.</w:t>
      </w:r>
    </w:p>
    <w:p>
      <w:pPr>
        <w:spacing w:after="0" w:line="21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On March 22, 2024, the Holders notified Kratos of their intent to sell their remaining Minority Interests through the Holders’ exercise of the Put Right. On June 21, 2024, the Company acquired the remaining 9.95% of the issued and outstanding shares of capital stock of KTT Core for an aggregate purchase price of approximately $22.5 million, which was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comprised of approximately $11.25 million in cash and 583,700 shares of Kratos common stock valued at $11.25 million based on Kratos’ 90 day average trading price ending on day immediately prior to the date of acquisition. Following the closing of the transaction the Company owned 100% of KTT Core.</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had a corresponding effect on net income per share attributable to Kratos shareholders. For the three and six month period ended June 25, 2023, the Company recorded an adjustment of $2.0 million and $2.9 million, respectively, to increase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 - Common Stock</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expects to use the net proceeds of this public equity offering to facilitate its long-term strategy, including potential investment in facilities, expanding manufacturing capacity, anticipated capital expenditures for expansion of current sole-source/single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this public equity offering to pay down amounts outstanding under its Revolving Credit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Significant Customers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$195.4 million and $178.6 million, or 65% and 70% of total Kratos revenue, for the three months ended June 30, 2024 and June 25, 2023, respectively, and $386.3 million and $338.9 million, or 67% and 69% of total Kratos revenue, for the six months ended June 30, 2024 and June 25,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 w:name="page22"/>
    <w:bookmarkEnd w:id="21"/>
    <w:p>
      <w:pPr>
        <w:ind w:right="680"/>
        <w:spacing w:after="0" w:line="282" w:lineRule="auto"/>
        <w:rPr>
          <w:sz w:val="20"/>
          <w:szCs w:val="20"/>
          <w:color w:val="auto"/>
        </w:rPr>
      </w:pPr>
      <w:r>
        <w:rPr>
          <w:rFonts w:ascii="Times New Roman" w:cs="Times New Roman" w:eastAsia="Times New Roman" w:hAnsi="Times New Roman"/>
          <w:sz w:val="18"/>
          <w:szCs w:val="18"/>
          <w:color w:val="auto"/>
        </w:rPr>
        <w:t>may have on the condensed consolidated financial statements; and the unique facts and circumstances of the particular matter that may give rise to additional factors.</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Financial Instruments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 Exchange Contracts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Changes in the fair values of the foreign currency exchange contracts are recorded each period in earnings. As of June 30, 2024, the Company did not use hedge accounting for its foreign currency exchange contracts. The notional value of the Company’s foreign currency exchange contracts at June 30, 2024 was $18.4 million. At June 30, 2024, the fair value amounts of the foreign currency exchange contracts were a $0.1 million asset and a $0.2 million liability. The net gain from these forward exchange contracts was $0.0 million and $0.1 million for the three and six months ended June 30, 2024, respectively, and is included in other expense. The notional value of the Company’s foreign currency exchange contracts at December 31, 2023, was $9.3 million. At December 31, 2023, the fair value amounts of the foreign currency exchange contracts were a $0.3 million asset and a $0.1 million liability.</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Flow Hedge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$0.7 million and $1.5 million for the three and six months ended June 30, 2024, respectively, and is recorded as an offset to interest expense. The net gain reclassed from AOCI from the interest rate swap reflected in earnings was $0.4 million for the three and six months ended June 25, 2023, respectively, and is recorded as an offset to interest expense.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2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 designated as a cash flow hedge, net of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COVID-19 or any other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31, 2023 filed with the U.S. Securities and Exchange Commission (the “SEC”) on February 13, 2024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March 22, 2024, President Biden signed the second fiscal year 2024 Consolidated Appropriations package into law.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ind w:right="180"/>
        <w:spacing w:after="0" w:line="261" w:lineRule="auto"/>
        <w:rPr>
          <w:sz w:val="20"/>
          <w:szCs w:val="20"/>
          <w:color w:val="auto"/>
        </w:rPr>
      </w:pPr>
      <w:r>
        <w:rPr>
          <w:rFonts w:ascii="Times New Roman" w:cs="Times New Roman" w:eastAsia="Times New Roman" w:hAnsi="Times New Roman"/>
          <w:sz w:val="18"/>
          <w:szCs w:val="18"/>
          <w:color w:val="auto"/>
        </w:rPr>
        <w:t>This legislation reflects an $886 billion appropriation for national defense, of which $842 billion would be for the U.S. Department of Defense (“DoD”) base budget. On April 24, 2024, President Biden signed a bill providing a total of $95.3 billion in additional supplemental funding for Ukraine, Israel and Taiwan, including funding for the restock of U.S. munitions capacity, and a fourth bill to impose sanctions and allow the use of seized Russian assets to assist Ukraine.</w:t>
      </w:r>
    </w:p>
    <w:p>
      <w:pPr>
        <w:spacing w:after="0" w:line="207"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On March 1, 2024, President Biden submitted the fiscal year 2025 budget request to Congress. The request included $895 billion for national defense, of which $850 billion is for the DoD base budget. On May 22, 2024, the House Armed Services Committee approved the fiscal year 2025 National Defense Authorization Act. The bill authorizes $849.8 billion in funding for the DoD. On June 28, 2024, the House passed the fiscal year 2025 DoD Appropriations bill H.R. 8774. On July 8, 2024, the Senate Armed Service Committee filed their version of the fiscal 2025 National Defense Authorization Act at a level $25 billion above the President’s budget request. Congress still needs to approve or revise the President’s fiscal year 2025 budget request, which would then require final approval from the President in order for the FY 2025 budget to become law.</w:t>
      </w:r>
    </w:p>
    <w:p>
      <w:pPr>
        <w:spacing w:after="0" w:line="214" w:lineRule="exact"/>
        <w:rPr>
          <w:sz w:val="20"/>
          <w:szCs w:val="20"/>
          <w:color w:val="auto"/>
        </w:rPr>
      </w:pPr>
    </w:p>
    <w:p>
      <w:pPr>
        <w:ind w:right="100" w:firstLine="567"/>
        <w:spacing w:after="0" w:line="255" w:lineRule="auto"/>
        <w:rPr>
          <w:sz w:val="20"/>
          <w:szCs w:val="20"/>
          <w:color w:val="auto"/>
        </w:rPr>
      </w:pPr>
      <w:r>
        <w:rPr>
          <w:rFonts w:ascii="Times New Roman" w:cs="Times New Roman" w:eastAsia="Times New Roman" w:hAnsi="Times New Roman"/>
          <w:sz w:val="18"/>
          <w:szCs w:val="18"/>
          <w:color w:val="auto"/>
        </w:rPr>
        <w:t>The current budget environment, including Israel and Ukraine funding support, heightened levels of inflation, related supply chain disruption, and the appropriations process, continues to create significant short and long-term industry risks. Additionally, with the change of party in Congress in 2022, resulting with the Democrats controlling the Senate and the Presidency and the Republicans controlling the House of Representatives, considerable uncertainty exists regarding how future budgets, funding, timing and related program decisions will unfold, including the potential differing defense spending priorities of the Biden administration and of the Congress. Additionally, in November 2024 there will be elections for the President of the United States, the Congress and the Senate, which results could further complicate National Security, Defense and overall Federal Budget priorities and our industry.</w:t>
      </w:r>
    </w:p>
    <w:p>
      <w:pPr>
        <w:spacing w:after="0" w:line="216" w:lineRule="exact"/>
        <w:rPr>
          <w:sz w:val="20"/>
          <w:szCs w:val="20"/>
          <w:color w:val="auto"/>
        </w:rPr>
      </w:pPr>
    </w:p>
    <w:p>
      <w:pPr>
        <w:ind w:right="140" w:firstLine="567"/>
        <w:spacing w:after="0" w:line="255" w:lineRule="auto"/>
        <w:rPr>
          <w:sz w:val="20"/>
          <w:szCs w:val="20"/>
          <w:color w:val="auto"/>
        </w:rPr>
      </w:pPr>
      <w:r>
        <w:rPr>
          <w:rFonts w:ascii="Times New Roman" w:cs="Times New Roman" w:eastAsia="Times New Roman" w:hAnsi="Times New Roman"/>
          <w:sz w:val="18"/>
          <w:szCs w:val="18"/>
          <w:color w:val="auto"/>
        </w:rPr>
        <w:t>We believe continued budget pressures (which are expected), continuing resolution authorities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w:t>
      </w:r>
    </w:p>
    <w:p>
      <w:pPr>
        <w:spacing w:after="0" w:line="216"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We believe that our business is well-positioned in areas that the DoD and other customers currently indicate are priorities for future defense spending, including those based on the 2022 National Security Strategy document, the 2023 U.S. National Security related budget and NDAA, the recently submitted fiscal 2025 budget request and the fiscal 2024 Future Year Defense Program (FYDP).</w:t>
      </w:r>
    </w:p>
    <w:p>
      <w:pPr>
        <w:spacing w:after="0" w:line="203" w:lineRule="exact"/>
        <w:rPr>
          <w:sz w:val="20"/>
          <w:szCs w:val="20"/>
          <w:color w:val="auto"/>
        </w:rPr>
      </w:pPr>
    </w:p>
    <w:p>
      <w:pPr>
        <w:ind w:right="260" w:firstLine="567"/>
        <w:spacing w:after="0" w:line="266" w:lineRule="auto"/>
        <w:rPr>
          <w:sz w:val="20"/>
          <w:szCs w:val="20"/>
          <w:color w:val="auto"/>
        </w:rPr>
      </w:pPr>
      <w:r>
        <w:rPr>
          <w:rFonts w:ascii="Times New Roman" w:cs="Times New Roman" w:eastAsia="Times New Roman" w:hAnsi="Times New Roman"/>
          <w:sz w:val="18"/>
          <w:szCs w:val="18"/>
          <w:color w:val="auto"/>
        </w:rPr>
        <w:t>However, due to a divided Congress and Executive Branch, federal budgetary uncertainty, expected CRAs, potential budgetary restrictions or limitations, defense or other spending cuts, challenges in the appropriations process, the debt ceiling issue and ongoing fiscal debates, the short and long term impacts to the industry and to our business remain uncertain.</w:t>
      </w:r>
    </w:p>
    <w:p>
      <w:pPr>
        <w:spacing w:after="0" w:line="203" w:lineRule="exact"/>
        <w:rPr>
          <w:sz w:val="20"/>
          <w:szCs w:val="20"/>
          <w:color w:val="auto"/>
        </w:rPr>
      </w:pPr>
    </w:p>
    <w:p>
      <w:pPr>
        <w:ind w:right="600" w:firstLine="567"/>
        <w:spacing w:after="0" w:line="282" w:lineRule="auto"/>
        <w:rPr>
          <w:sz w:val="20"/>
          <w:szCs w:val="20"/>
          <w:color w:val="auto"/>
        </w:rPr>
      </w:pPr>
      <w:r>
        <w:rPr>
          <w:rFonts w:ascii="Times New Roman" w:cs="Times New Roman" w:eastAsia="Times New Roman" w:hAnsi="Times New Roman"/>
          <w:sz w:val="18"/>
          <w:szCs w:val="18"/>
          <w:color w:val="auto"/>
        </w:rPr>
        <w:t>Such a challenging federal and DoD budgetary environment may negatively impact our customers, business and programs and could have a material adverse effect on our forecasts, estimates, financial position, results of operations and/or cash flows.</w:t>
      </w:r>
    </w:p>
    <w:p>
      <w:pPr>
        <w:spacing w:after="0" w:line="175" w:lineRule="exact"/>
        <w:rPr>
          <w:sz w:val="20"/>
          <w:szCs w:val="20"/>
          <w:color w:val="auto"/>
        </w:rPr>
      </w:pPr>
    </w:p>
    <w:p>
      <w:pPr>
        <w:ind w:right="80" w:firstLine="567"/>
        <w:spacing w:after="0" w:line="241" w:lineRule="auto"/>
        <w:rPr>
          <w:sz w:val="20"/>
          <w:szCs w:val="20"/>
          <w:color w:val="auto"/>
        </w:rPr>
      </w:pPr>
      <w:r>
        <w:rPr>
          <w:rFonts w:ascii="Times New Roman" w:cs="Times New Roman" w:eastAsia="Times New Roman" w:hAnsi="Times New Roman"/>
          <w:sz w:val="18"/>
          <w:szCs w:val="18"/>
          <w:color w:val="auto"/>
        </w:rPr>
        <w:t>We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24"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Also, a shortage of qualified labor, and the cost of that labor for the Company and its labor base is a significant operational challenge for the Company. The cost of labor has increased significantly and current challenges in hiring, obtaining 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ind w:right="140" w:firstLine="567"/>
        <w:spacing w:after="0" w:line="266" w:lineRule="auto"/>
        <w:rPr>
          <w:sz w:val="20"/>
          <w:szCs w:val="20"/>
          <w:color w:val="auto"/>
        </w:rPr>
      </w:pPr>
      <w:r>
        <w:rPr>
          <w:rFonts w:ascii="Times New Roman" w:cs="Times New Roman" w:eastAsia="Times New Roman" w:hAnsi="Times New Roman"/>
          <w:sz w:val="18"/>
          <w:szCs w:val="18"/>
          <w:color w:val="auto"/>
        </w:rPr>
        <w:t>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07" w:lineRule="exact"/>
        <w:rPr>
          <w:sz w:val="20"/>
          <w:szCs w:val="20"/>
          <w:color w:val="auto"/>
        </w:rPr>
      </w:pPr>
    </w:p>
    <w:p>
      <w:pPr>
        <w:ind w:right="240" w:firstLine="567"/>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June 30, 2024 to the Three Months Ended June 25,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operating segment for the three months ended June 30, 2024 and June 25, 2023 are as follows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24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Unmanned Systems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64.7 %</w:t>
            </w:r>
          </w:p>
        </w:tc>
      </w:tr>
      <w:tr>
        <w:trPr>
          <w:trHeight w:val="248"/>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48"/>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Revenues increased $43.2 million to $300.1 million for the three months ended June 30, 2024 from $256.9 million for the three months ended June 25, 2023. Revenues in our KGS segment increased $9.5 million primarily due to revenue growth in our C5ISR and microwave electronics businesses primarily resulting from increased activity for multiple air defense systems and programs, and growth in our training solutions and turbine technologies businesses primarily resulting from new contract awards, partially offset by decreases in our defense and rocket support and our space businesses, which has been impacted by the extended Continuing Resolution Authorization (CRA) as well as delayed satellite launches which has impacted the deployment of our commercial satellite ground equipment. Revenues in our US segment increased $33.7 million to $85.8 million for the three months ended June 30, 2024, reflecting the contribution from the STS acquisition, and increased domestic drone production and a certain international target drone delivery which contributed $17.4 million in revenue during the quarter ended June 30, 2024, and as a result of timing of program contract awards and increased production volume as compared to the three months ended June 25, 2023.</w:t>
      </w:r>
    </w:p>
    <w:p>
      <w:pPr>
        <w:spacing w:after="0" w:line="218"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Product sales increased $40.4 million to $193.6 million for the three months ended June 30, 2024 from $153.2 million for the three months ended June 25, 2023, primarily as a result of increased production in our KGS segment and in our US segment. As a percentage of total consolidated revenues, product sales were 64.5% for the three months ended June 30, 2024 as compared to 59.6% for the three months ended June 25, 2023. Service revenues increased by $2.8 million to $106.5 million for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140"/>
        <w:spacing w:after="0" w:line="266" w:lineRule="auto"/>
        <w:rPr>
          <w:sz w:val="20"/>
          <w:szCs w:val="20"/>
          <w:color w:val="auto"/>
        </w:rPr>
      </w:pPr>
      <w:r>
        <w:rPr>
          <w:rFonts w:ascii="Times New Roman" w:cs="Times New Roman" w:eastAsia="Times New Roman" w:hAnsi="Times New Roman"/>
          <w:sz w:val="18"/>
          <w:szCs w:val="18"/>
          <w:color w:val="auto"/>
        </w:rPr>
        <w:t>the three months ended June 30, 2024 from $103.7 million for the three months ended June 25, 2023, primarily related to increased activity in our turbine technologies, and space and satellite business in our KGS segment.</w:t>
      </w:r>
    </w:p>
    <w:p>
      <w:pPr>
        <w:spacing w:after="0" w:line="187"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$29.9 million to $222.9 million for the three months ended June 30, 2024 from $193.0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25, 2023. The increase in cost of revenues was primarily related to the increased revenues, with the most notable increased activity in our Unmanned Systems Segment.</w:t>
      </w:r>
    </w:p>
    <w:p>
      <w:pPr>
        <w:spacing w:after="0" w:line="20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increased to 25.7% for the three months ended June 30, 2024 from 24.9% for the three months ended June 25,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Margins on services increased to 27.7% for the three months ended June 30, 2024 from 22.9% for the three months ended June 25, 2023. Margins on products decreased to 24.6% for the three months ended June 30, 2024 from 26.2% for the three months end June 25, 2023. Margins in the KGS segment increased to 28.7% for the three months ended June 30, 2024 from 26.0% for the three months ended June 25, 2023. Margins in the US segment decreased to 18.4% for the three months ended June 30, 2024 from 20.3% for the three months ended June 25, 2023.</w:t>
      </w:r>
    </w:p>
    <w:p>
      <w:pPr>
        <w:spacing w:after="0" w:line="211"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$7.2 million to $54.5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$47.3 million for the three months ended June 25, 2023 due primarily to the increased revenue volume and headcount. As a percentage of revenues, SG&amp;A decreased to 18.2% at June 30, 2024 from 18.4% at June 25, 2023.</w:t>
      </w:r>
    </w:p>
    <w:p>
      <w:pPr>
        <w:spacing w:after="0" w:line="20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$0.3 million to $10.2 million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$9.9 million for the three months ended June 25, 2023, primarily due to increased development efforts in our unmanned systems business. As a percentage of revenues, R&amp;D decreased to 3.4% for the three months ended June 30, 2024 from 3.9% for the three months ended June 25, 2023.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08"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and Other. </w:t>
      </w:r>
      <w:r>
        <w:rPr>
          <w:rFonts w:ascii="Times New Roman" w:cs="Times New Roman" w:eastAsia="Times New Roman" w:hAnsi="Times New Roman"/>
          <w:sz w:val="18"/>
          <w:szCs w:val="18"/>
          <w:color w:val="auto"/>
        </w:rPr>
        <w:t>We had no restructuring expenses for the three months ended June 30, 2024 and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25, 2023.</w:t>
      </w:r>
    </w:p>
    <w:p>
      <w:pPr>
        <w:spacing w:after="0" w:line="1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Total Other Income (Expense), Net. </w:t>
      </w:r>
      <w:r>
        <w:rPr>
          <w:rFonts w:ascii="Times New Roman" w:cs="Times New Roman" w:eastAsia="Times New Roman" w:hAnsi="Times New Roman"/>
          <w:sz w:val="18"/>
          <w:szCs w:val="18"/>
          <w:color w:val="auto"/>
        </w:rPr>
        <w:t>The total other income (expense), net was $0.2 million for the three months ended June 30, 2024 and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 net was $4.9 million for the three months ended June 25, 2023. This change in total other income (expense) of $5.1 million was primarily related to a decrease in interest expense of $1.6 million as a result of the reduction of debt and the interest rate hedge entered into during the second quarter of 2023 on the Company’s Term Loan A, and an increase in interest income of $3.6 million in the three months ended June 30, 2024, resulting from the increased cash balances following the February 27, 2024 stock offering which raised approximately $331.2 million in net proceeds.</w:t>
      </w:r>
    </w:p>
    <w:p>
      <w:pPr>
        <w:spacing w:after="0" w:line="221"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income tax expense for the three months ended June 30, 2024 was $4.8 million and the income tax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25, 2023 was $2.2 million. For the three months ended June 30, 2024 and June 25, 2023,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Results for the Six Months Ended June 30, 2024 to the Six Months Ended June 25, 2023</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by operating segment for the six months ended June 30, 2024 and June 25, 2023 are as follows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23"/>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23"/>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increased $88.6 million to $577.3 million for the six months ended June 30, 2024 from $488.7 million for the six months ended June 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Revenues in our KGS segment increased $43.5 million, primarily due to revenue increases in our C5ISR and microwave electronics products</w:t>
      </w:r>
    </w:p>
    <w:p>
      <w:pPr>
        <w:spacing w:after="0" w:line="234" w:lineRule="auto"/>
        <w:rPr>
          <w:sz w:val="20"/>
          <w:szCs w:val="20"/>
          <w:color w:val="auto"/>
        </w:rPr>
      </w:pPr>
      <w:r>
        <w:rPr>
          <w:rFonts w:ascii="Times New Roman" w:cs="Times New Roman" w:eastAsia="Times New Roman" w:hAnsi="Times New Roman"/>
          <w:sz w:val="18"/>
          <w:szCs w:val="18"/>
          <w:color w:val="auto"/>
        </w:rPr>
        <w:t>businesses primarily resulting from increased activity for multiple air defense systems and programs, and growth in our training solutions and turbine</w:t>
      </w:r>
    </w:p>
    <w:p>
      <w:pPr>
        <w:spacing w:after="0" w:line="235" w:lineRule="auto"/>
        <w:rPr>
          <w:sz w:val="20"/>
          <w:szCs w:val="20"/>
          <w:color w:val="auto"/>
        </w:rPr>
      </w:pPr>
      <w:r>
        <w:rPr>
          <w:rFonts w:ascii="Times New Roman" w:cs="Times New Roman" w:eastAsia="Times New Roman" w:hAnsi="Times New Roman"/>
          <w:sz w:val="18"/>
          <w:szCs w:val="18"/>
          <w:color w:val="auto"/>
        </w:rPr>
        <w:t>technologies businesses primarily resulting from new contract awards, training solutions and turbine technologies businesses, partially offset by decreases</w:t>
      </w:r>
    </w:p>
    <w:p>
      <w:pPr>
        <w:spacing w:after="0" w:line="235" w:lineRule="auto"/>
        <w:rPr>
          <w:sz w:val="20"/>
          <w:szCs w:val="20"/>
          <w:color w:val="auto"/>
        </w:rPr>
      </w:pPr>
      <w:r>
        <w:rPr>
          <w:rFonts w:ascii="Times New Roman" w:cs="Times New Roman" w:eastAsia="Times New Roman" w:hAnsi="Times New Roman"/>
          <w:sz w:val="18"/>
          <w:szCs w:val="18"/>
          <w:color w:val="auto"/>
        </w:rPr>
        <w:t>in our defense and rocket support and our space businesses, which has been impacted by the extended Continuing Resolution Authorization (CRA) as well</w:t>
      </w:r>
    </w:p>
    <w:p>
      <w:pPr>
        <w:spacing w:after="0" w:line="235" w:lineRule="auto"/>
        <w:rPr>
          <w:sz w:val="20"/>
          <w:szCs w:val="20"/>
          <w:color w:val="auto"/>
        </w:rPr>
      </w:pPr>
      <w:r>
        <w:rPr>
          <w:rFonts w:ascii="Times New Roman" w:cs="Times New Roman" w:eastAsia="Times New Roman" w:hAnsi="Times New Roman"/>
          <w:sz w:val="18"/>
          <w:szCs w:val="18"/>
          <w:color w:val="auto"/>
        </w:rPr>
        <w:t>as delayed satellite launches which has impacted the deployment of our commercial satellite ground equipment. Revenues in our US segment increased</w:t>
      </w:r>
    </w:p>
    <w:p>
      <w:pPr>
        <w:spacing w:after="0" w:line="219" w:lineRule="auto"/>
        <w:rPr>
          <w:sz w:val="20"/>
          <w:szCs w:val="20"/>
          <w:color w:val="auto"/>
        </w:rPr>
      </w:pPr>
      <w:r>
        <w:rPr>
          <w:rFonts w:ascii="Times New Roman" w:cs="Times New Roman" w:eastAsia="Times New Roman" w:hAnsi="Times New Roman"/>
          <w:sz w:val="18"/>
          <w:szCs w:val="18"/>
          <w:color w:val="auto"/>
        </w:rPr>
        <w:t>$45.1 million to $145.2 million for the six months ended June 30, 2024 reflecting the contribution from the STS acquisition, and increased domestic target</w:t>
      </w:r>
    </w:p>
    <w:p>
      <w:pPr>
        <w:spacing w:after="0" w:line="235" w:lineRule="auto"/>
        <w:rPr>
          <w:sz w:val="20"/>
          <w:szCs w:val="20"/>
          <w:color w:val="auto"/>
        </w:rPr>
      </w:pPr>
      <w:r>
        <w:rPr>
          <w:rFonts w:ascii="Times New Roman" w:cs="Times New Roman" w:eastAsia="Times New Roman" w:hAnsi="Times New Roman"/>
          <w:sz w:val="18"/>
          <w:szCs w:val="18"/>
          <w:color w:val="auto"/>
        </w:rPr>
        <w:t>drone production and a certain international target drone delivery which contributed $17.7 million in revenue during the six months ended June 30, 2024,</w:t>
      </w:r>
    </w:p>
    <w:p>
      <w:pPr>
        <w:spacing w:after="0"/>
        <w:rPr>
          <w:sz w:val="20"/>
          <w:szCs w:val="20"/>
          <w:color w:val="auto"/>
        </w:rPr>
      </w:pPr>
      <w:r>
        <w:rPr>
          <w:rFonts w:ascii="Times New Roman" w:cs="Times New Roman" w:eastAsia="Times New Roman" w:hAnsi="Times New Roman"/>
          <w:sz w:val="18"/>
          <w:szCs w:val="18"/>
          <w:color w:val="auto"/>
        </w:rPr>
        <w:t>and as a result of timing of program contract awards and increased production volume as compared to the six months ended June 25, 2023.</w:t>
      </w:r>
    </w:p>
    <w:p>
      <w:pPr>
        <w:spacing w:after="0" w:line="219"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Product sales increased $70.9 million to $364.3 million for the six months ended June 30, 2024 from $293.4 million for the six months ended June 25, 2023, primarily as a result of increased production activity in our KGS segment and in our US segment. As a percentage of total revenue, product sales were 63.1% for the six months ended June 30, 2024 as compared to 60.0% for the six months ended June 25, 2023. Service revenues increased by $17.7 million to $213.0 million for the six months ended June 30, 2024 from $195.3 million for the six months ended June 25, 2023. The increase was primarily related to increased activity in our turbine technologies, and space and satellite business in our KGS segment.</w:t>
      </w:r>
    </w:p>
    <w:p>
      <w:pPr>
        <w:spacing w:after="0" w:line="22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$63.7 million to $429.1 million for the six months ended June 30, 2024 from $365.4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25, 2023. The increase in cost of revenues was primarily a result of the increase in revenues discussed above.</w:t>
      </w:r>
    </w:p>
    <w:p>
      <w:pPr>
        <w:spacing w:after="0" w:line="172" w:lineRule="exact"/>
        <w:rPr>
          <w:sz w:val="20"/>
          <w:szCs w:val="20"/>
          <w:color w:val="auto"/>
        </w:rPr>
      </w:pPr>
    </w:p>
    <w:p>
      <w:pPr>
        <w:ind w:right="20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increased to 25.7% for the six months ended June 30, 2024 from 25.2% for the six months ended June 25,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Margins on services increased to 26.7% for the six months ended June 30, 2024 from 24.1% for the six months ended June 25, 2023. Margins on product sales decreased to 25.1% for the six months ended June 30, 2024 from 26.0% for the six months ended June 25, 2023. Margins in the KGS segment increased to 28.0% for the six months ended June 30, 2024 from 26.6% for the six months ended June 25, 2023 primarily due to a more favorable mix of revenues. Margins in the US segment decreased to 18.9% for the six months ended June 30, 2024 from 20.0% for the six months ended June 25, 2023.</w:t>
      </w:r>
    </w:p>
    <w:p>
      <w:pPr>
        <w:spacing w:after="0" w:line="208" w:lineRule="exact"/>
        <w:rPr>
          <w:sz w:val="20"/>
          <w:szCs w:val="20"/>
          <w:color w:val="auto"/>
        </w:rPr>
      </w:pPr>
    </w:p>
    <w:p>
      <w:pPr>
        <w:jc w:val="both"/>
        <w:ind w:right="1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$13.8 million from $95.1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25, 2023 to $108.9 million for the six months ended June 30, 2024 due primarily to the increased revenue volume and headcount. As a percentage of revenues, SG&amp;A decreased to 18.9% at June 30, 2024, from 19.5% at June 25,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ind w:right="6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Research and Development (“R&amp;D”) Expenses</w:t>
      </w:r>
      <w:r>
        <w:rPr>
          <w:rFonts w:ascii="Times New Roman" w:cs="Times New Roman" w:eastAsia="Times New Roman" w:hAnsi="Times New Roman"/>
          <w:sz w:val="18"/>
          <w:szCs w:val="18"/>
          <w:color w:val="auto"/>
        </w:rPr>
        <w:t>. R&amp;D expenses were $19.8 million for the six months ended June 30, 2024 and $20.1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25, 2023, primarily due to decreased development efforts in our space and satellite communications business partially offset with increases in our unmanned systems business. As a percentage of revenues, R&amp;D expenses decreased to 3.4% for the six months ended June 30, 2024 from 4.1% for the six months ended June 25, 2023.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1"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Restructuring Expenses and Other</w:t>
      </w:r>
      <w:r>
        <w:rPr>
          <w:rFonts w:ascii="Times New Roman" w:cs="Times New Roman" w:eastAsia="Times New Roman" w:hAnsi="Times New Roman"/>
          <w:sz w:val="18"/>
          <w:szCs w:val="18"/>
          <w:color w:val="auto"/>
        </w:rPr>
        <w:t>. We had no restructuring expenses for the six months ended June 30, 2024. Restructuring expenses were $0.9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25, 2023.</w:t>
      </w:r>
    </w:p>
    <w:p>
      <w:pPr>
        <w:spacing w:after="0" w:line="19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Total Other Expense, Net</w:t>
      </w:r>
      <w:r>
        <w:rPr>
          <w:rFonts w:ascii="Times New Roman" w:cs="Times New Roman" w:eastAsia="Times New Roman" w:hAnsi="Times New Roman"/>
          <w:sz w:val="18"/>
          <w:szCs w:val="18"/>
          <w:color w:val="auto"/>
        </w:rPr>
        <w:t>. Total other expense, net decreased to $2.8 million for the six months ended June 30, 2024 from $10.5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25, 2023. The decrease of $7.7 million was primarily related to a decrease in interest expense of $2.7 million, and an increase in interest income of $5.0 million during the six months ended June 30, 2024, resulting from the increased cash increased cash balances following the February 27, 2024 stock offering which raised approximately $331.2 million in net proceeds.</w:t>
      </w:r>
    </w:p>
    <w:p>
      <w:pPr>
        <w:spacing w:after="0" w:line="204" w:lineRule="exact"/>
        <w:rPr>
          <w:sz w:val="20"/>
          <w:szCs w:val="20"/>
          <w:color w:val="auto"/>
        </w:rPr>
      </w:pPr>
    </w:p>
    <w:p>
      <w:pPr>
        <w:jc w:val="both"/>
        <w:ind w:right="20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Provision for Income Taxes from Continuing Operations</w:t>
      </w:r>
      <w:r>
        <w:rPr>
          <w:rFonts w:ascii="Times New Roman" w:cs="Times New Roman" w:eastAsia="Times New Roman" w:hAnsi="Times New Roman"/>
          <w:sz w:val="18"/>
          <w:szCs w:val="18"/>
          <w:color w:val="auto"/>
        </w:rPr>
        <w:t>. The income tax expense from continuing operations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was $7.5 million and the income tax expense for the six months ended June 25, 2023 was $2.9 million. For the six months ended June 30, 2024 and June 25, 2023,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estimated effective tax rate.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30, 2024, we had approximately $1,302.7 million of total backlog, of which $1,070.6 million was funded. We expect to recognize approximately 35% of the remaining total backlog as revenue in fiscal year 2024, an additional 41% in fiscal year 2025 and the balance thereafter. Our comparable total backlog balance as of June 25, 2023, was approximately $1,157.3 million, of which $863.9 million was funded. Backlog as of June 30, 2024 as compared to June 25, 2023 has increased primarily as a result of contract awards in our Space, Satellite, Cyber and Training, Turbine Technologies, Microwave Technologies, C5ISR and Unmanned Systems businesses.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ind w:right="560"/>
        <w:spacing w:after="0" w:line="282" w:lineRule="auto"/>
        <w:rPr>
          <w:sz w:val="20"/>
          <w:szCs w:val="20"/>
          <w:color w:val="auto"/>
        </w:rPr>
      </w:pPr>
      <w:r>
        <w:rPr>
          <w:rFonts w:ascii="Times New Roman" w:cs="Times New Roman" w:eastAsia="Times New Roman" w:hAnsi="Times New Roman"/>
          <w:sz w:val="18"/>
          <w:szCs w:val="18"/>
          <w:color w:val="auto"/>
        </w:rPr>
        <w:t>of what ultimate orders for Kratos’ systems, products and solutions will be. We do not include these expected amounts in our backlog until a related contract award is received.</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of $308.2 million compared with cash and cash equivalents of $72.8 million as of December 31, 2023, which includes $39.2 million and $44.1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total long-term debt decreased from $227.5 million at December 31, 2023 to $190.0 million at June 30, 2024, reflecting the $2.5 million in aggregate principal payments we have made on the Term Loan A and a net $35 million repayment made during the six months ended June 30, 2024 on our Revolving Credit Facility. On February 18, 2022, we completed the refinancing of our outstanding $90 million revolving credit facility and $300 million of Senior Secured Notes, with a new 5-year $200 million Revolving Credit Facility and 5-year $200 million Term Loan A. As of June 30, 2024, the Company has made an aggregate of $10.0 million of principal payments on Term Loan A, and has no amounts outstanding under the new Revolving Credit Facility, with $200.0 million remaining in borrowing capacity, less approximately $6.9 million for outstanding letters of credit (as more fully described in Note 9 of the accompanying unaudited condensed consolidated financial statements).</w:t>
      </w:r>
    </w:p>
    <w:p>
      <w:pPr>
        <w:spacing w:after="0" w:line="20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related to revenue growth. These financing requirements have increased and have recently negatively impacted our operating cash flows due to actions we have taken to advance inventory purchases in an attempt to mitigate supply chain disruptions and to bolster our inventory levels. For the six months ended June 30, 2024, approximately $18.8 million of operating cash flow use was related to increases in prepaid expenses and other current assets which also include certain vendor prepayments related to the purchase of materials and inventory. Cash from continuing operations is primarily derived from our customer contracts in progress and associated changes in working capital components. Our days sales outstanding (“DSO”) have decreased from 116 days as of December 31, 2023 to 103 days at June 30, 2024, primarily reflecting the timing of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spacing w:after="0" w:line="21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At June 30, 2024, approximately $2.9 million in billed receivables and $1.5 million in unbilled receivables remained outstanding related to a training solutions program that was terminated for convenience (“T for C”) by the customer in 2019. In July 2024, the $2.9 million receivable was collected. The remaining unbilled receivable amount is subject to negotiation and settlement with the customer, which negotiations are currently expected to commence in the second half of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investing activities, and financing activities from our condensed consolidated statements of cash flows is as follows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29"/>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360"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Net cash used in operating activities was $2.0 million for the six months ended June 30, 2024. Net cash used in operating activities for the six months ended June 30, 2024 was primarily a result of the net gain of $9.2 million and changes in net working capital accounts of $53.1 million partially offset by noncash charges of $41.9 million which includes stock compensation, depreciation and amortization. Net cash used in operating activities was $2.2 million for the six months ended June 25, 2023. Net cash used in operating activities from continuing operations for the six months ended June 25, 2023 was primarily a result of the net loss of $6.2 million and changes in net working capital accounts of $30.9 million partially offset by noncash charges $35.2 million which includes stock compensation, depreciation and amortization.</w:t>
      </w:r>
    </w:p>
    <w:p>
      <w:pPr>
        <w:spacing w:after="0" w:line="211"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Net cash used in investing activities was $40.8 million for the six months ended June 30, 2024 and is primarily comprised of $29.3 million in capital expenditures and $11.3 million in cash paid for the remaining minority interests in KTT Core (along with a corresponding issuance of 583,700 shares of Kratos common stock valued at $11.3 million). During the six months ended June 30, 2024, capital expenditures of approximately $13.8 million were incurred in our US business, primarily related to our unmanned tactical initiative. We expect our capital expenditures for fiscal year 2024 to continue to be significant for investments we are making, specifically in our US business totaling approximately $30 to $34 million, including approximately $18 to $22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for the six months ended June 25, 2023 is comprised of $18.9 million in capital expenditures partially offset by receipt of $8.3 million of proceeds from the sale of Valkyries which had been previously built as capital assets as they were produced ahead of government contract award. During the six months ended June 25, 2023, capital expenditures of approximately $8.2 million were incurred in our US business, primarily related to our unmanned tactical initiative. The Company made the decision in the first quarter of 2023 to move forward with its second serial production run of 12 next generation Valkyries. The total estimated amount related to production of Valkyries ahead of government contract award, including the first and second production run, is $18 to $22 million of the estimated 2024 capital expenditures for the US business.</w:t>
      </w:r>
    </w:p>
    <w:p>
      <w:pPr>
        <w:spacing w:after="0" w:line="20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Net cash provided by financing activities was $279.0 million for the six months ended June 30, 2024, which included employee stock purchase plan receipts of $3.6 million and net proceeds from the issuance of common stock of approximately $330.7 million. These proceeds were partially offset by $2.5 million of principal payments on our Term Loan A and a $45.0 million payment (partially offset by a $10.0 million draw) on our Revolving Credit Facility, payroll withholding taxes paid from vested restricted stock traded for taxes of $17.1 million and payments made on financing lease obligations of $0.7 million. Net cash used in financing activities was $20.8 million for the six months ended June 25, 2023, which included $2.5 million of principal payments on our $200 million Term Loan A and a $51.0 million payment (partially offset by a $34.0 million draw) on the new Revolving Credit Facility, payroll withholding taxes paid from vested restricted stock of $3.4 million and payments made on financing lease obligations of $0.8 million. These uses were partially offset by employee stock purchase plan receipts of $2.9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Facility</w:t>
      </w:r>
    </w:p>
    <w:p>
      <w:pPr>
        <w:spacing w:after="0" w:line="256" w:lineRule="exact"/>
        <w:rPr>
          <w:sz w:val="20"/>
          <w:szCs w:val="20"/>
          <w:color w:val="auto"/>
        </w:rPr>
      </w:pPr>
    </w:p>
    <w:p>
      <w:pPr>
        <w:ind w:right="380" w:firstLine="180"/>
        <w:spacing w:after="0" w:line="258"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Senior Secured Notes, with a new 5-year $200 million Revolving Credit Facility and 5-year $200 million Term Loan A. The Company incurred debt issuance costs of $3.3 million associated with the 2022 Credit Facility. As of June 30, 2024, the Company has made an aggregate of $10.0 million of principal payments on Term Loan A. As of June 30, 2024, the Company has no amounts outstanding under the Revolving Credit Facility, with $200.0 million remaining in borrowing capacity, less approximately $6.9 million for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A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30, 2024.</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7"/>
          <w:szCs w:val="17"/>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1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as compared to the significant accounting policies described in our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Since December 31, 2023, there have been no material changes in the quantitative or qualitative aspects of our market risk profile. For additional information regarding our exposure to certain market risks, see “Item 7A. Quantitative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Qualitative Disclosures About Market Risk” included in our Annual Report on Form 10-K for the fiscal year ended December 31, 2023 that we filed with the SEC on February 13,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June 30,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3" w:name="page34"/>
    <w:bookmarkEnd w:id="3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See Note 14 of the Notes to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21, 2024, pursuant to an Equity Purchase Agreement among the Company, Joseph D. Brostmeyer, Shirley C. Brostmeyer, certain trusts established by Joseph D. Brostmeyer, Shirley C. Brostmeyer and members of their immediate family, and Pegasus Residual, LLC, the Company issued 583,700 shares of its common stock to Pegasus Residual, LLC. The shares were issued as partial consideration for the Company’s acquisition of an additional 9.95% of the issued and outstanding shares of capital stock of KTT Core for an aggregate estimated purchase price of approximately $22.5</w:t>
      </w:r>
    </w:p>
    <w:p>
      <w:pPr>
        <w:spacing w:after="0" w:line="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million. The shares were issued in reliance upon the exemption from the registration requirements of the Securities Act provided by Section 4(a)(2) of the Securities Act as sales by an issuer not involving any public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80" w:type="dxa"/>
            <w:vAlign w:val="bottom"/>
            <w:tcBorders>
              <w:top w:val="single" w:sz="8" w:color="auto"/>
              <w:left w:val="single" w:sz="8" w:color="auto"/>
              <w:right w:val="single" w:sz="8" w:color="auto"/>
            </w:tcBorders>
          </w:tcPr>
          <w:p>
            <w:pPr>
              <w:spacing w:after="0"/>
              <w:rPr>
                <w:sz w:val="16"/>
                <w:szCs w:val="16"/>
                <w:color w:val="auto"/>
              </w:rPr>
            </w:pPr>
          </w:p>
        </w:tc>
        <w:tc>
          <w:tcPr>
            <w:tcW w:w="190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5"/>
        </w:trPr>
        <w:tc>
          <w:tcPr>
            <w:tcW w:w="168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4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20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20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Securities Subject to</w:t>
            </w: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90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(Y/N)</w:t>
            </w:r>
            <w:r>
              <w:rPr>
                <w:rFonts w:ascii="Times New Roman" w:cs="Times New Roman" w:eastAsia="Times New Roman" w:hAnsi="Times New Roman"/>
                <w:sz w:val="23"/>
                <w:szCs w:val="23"/>
                <w:b w:val="1"/>
                <w:bCs w:val="1"/>
                <w:color w:val="auto"/>
                <w:w w:val="95"/>
                <w:vertAlign w:val="superscript"/>
              </w:rPr>
              <w:t>(1)</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Arrangement</w:t>
            </w:r>
          </w:p>
        </w:tc>
        <w:tc>
          <w:tcPr>
            <w:tcW w:w="0" w:type="dxa"/>
            <w:vAlign w:val="bottom"/>
          </w:tcPr>
          <w:p>
            <w:pPr>
              <w:spacing w:after="0"/>
              <w:rPr>
                <w:sz w:val="1"/>
                <w:szCs w:val="1"/>
                <w:color w:val="auto"/>
              </w:rPr>
            </w:pPr>
          </w:p>
        </w:tc>
      </w:tr>
      <w:tr>
        <w:trPr>
          <w:trHeight w:val="372"/>
        </w:trPr>
        <w:tc>
          <w:tcPr>
            <w:tcW w:w="1680" w:type="dxa"/>
            <w:vAlign w:val="bottom"/>
            <w:tcBorders>
              <w:left w:val="single" w:sz="8" w:color="auto"/>
              <w:right w:val="single" w:sz="8" w:color="auto"/>
            </w:tcBorders>
            <w:shd w:val="clear" w:color="auto" w:fill="CCEEFF"/>
          </w:tcPr>
          <w:p>
            <w:pPr>
              <w:spacing w:after="0"/>
              <w:rPr>
                <w:sz w:val="24"/>
                <w:szCs w:val="24"/>
                <w:color w:val="auto"/>
              </w:rPr>
            </w:pPr>
          </w:p>
        </w:tc>
        <w:tc>
          <w:tcPr>
            <w:tcW w:w="1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President, Defense and</w:t>
            </w: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80" w:type="dxa"/>
            <w:vAlign w:val="bottom"/>
            <w:tcBorders>
              <w:right w:val="single" w:sz="8" w:color="auto"/>
            </w:tcBorders>
            <w:shd w:val="clear" w:color="auto" w:fill="CCEEFF"/>
          </w:tcPr>
          <w:p>
            <w:pPr>
              <w:spacing w:after="0"/>
              <w:rPr>
                <w:sz w:val="24"/>
                <w:szCs w:val="24"/>
                <w:color w:val="auto"/>
              </w:rPr>
            </w:pPr>
          </w:p>
        </w:tc>
        <w:tc>
          <w:tcPr>
            <w:tcW w:w="2040" w:type="dxa"/>
            <w:vAlign w:val="bottom"/>
            <w:tcBorders>
              <w:right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40,000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Carter</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Rocket Support Services</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5/20/2024</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6/30/2025</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4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1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Maria Cervantes De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Vice President &amp;</w:t>
            </w:r>
          </w:p>
        </w:tc>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19,528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Burgreen</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Corporate Controller</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6/06/2024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6/06/2025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80" w:type="dxa"/>
            <w:vAlign w:val="bottom"/>
            <w:tcBorders>
              <w:left w:val="single" w:sz="8" w:color="auto"/>
              <w:right w:val="single" w:sz="8" w:color="auto"/>
            </w:tcBorders>
            <w:shd w:val="clear" w:color="auto" w:fill="CCEEFF"/>
          </w:tcPr>
          <w:p>
            <w:pPr>
              <w:spacing w:after="0"/>
              <w:rPr>
                <w:sz w:val="24"/>
                <w:szCs w:val="24"/>
                <w:color w:val="auto"/>
              </w:rPr>
            </w:pPr>
          </w:p>
        </w:tc>
        <w:tc>
          <w:tcPr>
            <w:tcW w:w="1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President, Unmanned</w:t>
            </w: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80" w:type="dxa"/>
            <w:vAlign w:val="bottom"/>
            <w:tcBorders>
              <w:right w:val="single" w:sz="8" w:color="auto"/>
            </w:tcBorders>
            <w:shd w:val="clear" w:color="auto" w:fill="CCEEFF"/>
          </w:tcPr>
          <w:p>
            <w:pPr>
              <w:spacing w:after="0"/>
              <w:rPr>
                <w:sz w:val="24"/>
                <w:szCs w:val="24"/>
                <w:color w:val="auto"/>
              </w:rPr>
            </w:pPr>
          </w:p>
        </w:tc>
        <w:tc>
          <w:tcPr>
            <w:tcW w:w="2040" w:type="dxa"/>
            <w:vAlign w:val="bottom"/>
            <w:tcBorders>
              <w:right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84,000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Steven Fendley</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Systems</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5/20/2024</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8/31/2025</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4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President, C5ISR</w:t>
            </w:r>
          </w:p>
        </w:tc>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32,099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Thomas Mills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Systems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5/31/2024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2/28/2025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680" w:type="dxa"/>
            <w:vAlign w:val="bottom"/>
            <w:tcBorders>
              <w:left w:val="single" w:sz="8" w:color="auto"/>
              <w:right w:val="single" w:sz="8" w:color="auto"/>
            </w:tcBorders>
            <w:shd w:val="clear" w:color="auto" w:fill="CCEEFF"/>
          </w:tcPr>
          <w:p>
            <w:pPr>
              <w:spacing w:after="0"/>
              <w:rPr>
                <w:sz w:val="24"/>
                <w:szCs w:val="24"/>
                <w:color w:val="auto"/>
              </w:rPr>
            </w:pPr>
          </w:p>
        </w:tc>
        <w:tc>
          <w:tcPr>
            <w:tcW w:w="1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President, Kratos</w:t>
            </w: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80" w:type="dxa"/>
            <w:vAlign w:val="bottom"/>
            <w:tcBorders>
              <w:right w:val="single" w:sz="8" w:color="auto"/>
            </w:tcBorders>
            <w:shd w:val="clear" w:color="auto" w:fill="CCEEFF"/>
          </w:tcPr>
          <w:p>
            <w:pPr>
              <w:spacing w:after="0"/>
              <w:rPr>
                <w:sz w:val="24"/>
                <w:szCs w:val="24"/>
                <w:color w:val="auto"/>
              </w:rPr>
            </w:pPr>
          </w:p>
        </w:tc>
        <w:tc>
          <w:tcPr>
            <w:tcW w:w="2040" w:type="dxa"/>
            <w:vAlign w:val="bottom"/>
            <w:tcBorders>
              <w:right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52,000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Stacy Rock</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Turbine Technologies</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5/22/2024</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9/30/2025</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4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Denotes whether the trading arrangement is intended to satisfy the affirmative defense of Rule 10b5-1(c).</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20" w:type="dxa"/>
            <w:vAlign w:val="bottom"/>
            <w:gridSpan w:val="30"/>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30"/>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0" w:type="dxa"/>
            <w:vAlign w:val="bottom"/>
            <w:gridSpan w:val="2"/>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380" w:type="dxa"/>
            <w:vAlign w:val="bottom"/>
            <w:tcBorders>
              <w:top w:val="single" w:sz="8" w:color="auto"/>
              <w:bottom w:val="single" w:sz="8" w:color="0000FF"/>
            </w:tcBorders>
            <w:gridSpan w:val="17"/>
          </w:tcPr>
          <w:p>
            <w:pPr>
              <w:spacing w:after="0" w:line="189"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Stock Purchase Agreement, dated February 28, 2018, among</w:t>
              </w:r>
            </w:hyperlink>
          </w:p>
        </w:tc>
        <w:tc>
          <w:tcPr>
            <w:tcW w:w="380" w:type="dxa"/>
            <w:vAlign w:val="bottom"/>
            <w:tcBorders>
              <w:top w:val="single" w:sz="8" w:color="auto"/>
            </w:tcBorders>
            <w:gridSpan w:val="17"/>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05/10/2018</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35"/>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Kratos Defense &amp; Security Solutions, Inc., Kratos Public Safety</w:t>
              </w:r>
            </w:hyperlink>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&amp; Security Solutions, Inc. and Securitas Electronic Security,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Purchase Agreement, dated February 27, 2019, by and among</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Kratos Defense &amp; Security Solutions, Inc., Shirley Brostmeyer,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gridSpan w:val="26"/>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(“SB”), Joseph Brostmeyer (“JB”), certain trusts established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SB, JB and members of their immediate family, and JB, as the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Sellers Representative.</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Certificate of Incorporation of Kratos</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Defense &amp; Security Solutions, Inc., as amended.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Third Amended and Restated Bylaws of Kratos Defense &amp;</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05/24/2024</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Security Solutions, Inc., as amended.</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Specimen Stock Certificate.</w:t>
              </w:r>
            </w:hyperlink>
          </w:p>
        </w:tc>
        <w:tc>
          <w:tcPr>
            <w:tcW w:w="640" w:type="dxa"/>
            <w:vAlign w:val="bottom"/>
            <w:tcBorders>
              <w:top w:val="single" w:sz="8" w:color="0000FF"/>
            </w:tcBorders>
            <w:gridSpan w:val="2"/>
          </w:tcPr>
          <w:p>
            <w:pPr>
              <w:spacing w:after="0"/>
              <w:rPr>
                <w:sz w:val="19"/>
                <w:szCs w:val="19"/>
                <w:color w:val="auto"/>
              </w:rPr>
            </w:pPr>
          </w:p>
        </w:tc>
        <w:tc>
          <w:tcPr>
            <w:tcW w:w="2200" w:type="dxa"/>
            <w:vAlign w:val="bottom"/>
            <w:gridSpan w:val="27"/>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color w:val="0000FF"/>
              </w:rPr>
              <w:t>Equity Purchase Agreement, date as of June 21, 2024, by and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35"/>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among Kratos Defense &amp; Security Solutions, Inc., Joseph</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35"/>
          </w:tcPr>
          <w:p>
            <w:pPr>
              <w:spacing w:after="0" w:line="156" w:lineRule="exact"/>
              <w:rPr>
                <w:sz w:val="20"/>
                <w:szCs w:val="20"/>
                <w:color w:val="auto"/>
              </w:rPr>
            </w:pPr>
            <w:r>
              <w:rPr>
                <w:rFonts w:ascii="Times New Roman" w:cs="Times New Roman" w:eastAsia="Times New Roman" w:hAnsi="Times New Roman"/>
                <w:sz w:val="18"/>
                <w:szCs w:val="18"/>
                <w:color w:val="0000FF"/>
              </w:rPr>
              <w:t>Brostmeyer (“JB”), Shirley Brostmeyer (“SB”), and certain trusts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established by JB, SB and members of their immediate family, as</w:t>
            </w:r>
          </w:p>
        </w:tc>
        <w:tc>
          <w:tcPr>
            <w:tcW w:w="12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Sellers.</w:t>
            </w:r>
          </w:p>
        </w:tc>
        <w:tc>
          <w:tcPr>
            <w:tcW w:w="41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8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2060" w:type="dxa"/>
            <w:vAlign w:val="bottom"/>
            <w:tcBorders>
              <w:top w:val="single" w:sz="8" w:color="0000FF"/>
            </w:tcBorders>
            <w:gridSpan w:val="20"/>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Eric M. DeMarco.</w:t>
            </w:r>
          </w:p>
        </w:tc>
        <w:tc>
          <w:tcPr>
            <w:tcW w:w="3200" w:type="dxa"/>
            <w:vAlign w:val="bottom"/>
            <w:tcBorders>
              <w:top w:val="single" w:sz="8" w:color="0000FF"/>
            </w:tcBorders>
            <w:gridSpan w:val="20"/>
          </w:tcPr>
          <w:p>
            <w:pPr>
              <w:spacing w:after="0"/>
              <w:rPr>
                <w:sz w:val="13"/>
                <w:szCs w:val="13"/>
                <w:color w:val="auto"/>
              </w:rPr>
            </w:pPr>
          </w:p>
        </w:tc>
        <w:tc>
          <w:tcPr>
            <w:tcW w:w="200" w:type="dxa"/>
            <w:vAlign w:val="bottom"/>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Deanna Lund.</w:t>
            </w:r>
          </w:p>
        </w:tc>
        <w:tc>
          <w:tcPr>
            <w:tcW w:w="3500" w:type="dxa"/>
            <w:vAlign w:val="bottom"/>
            <w:tcBorders>
              <w:top w:val="single" w:sz="8" w:color="0000FF"/>
            </w:tcBorders>
            <w:gridSpan w:val="21"/>
          </w:tcPr>
          <w:p>
            <w:pPr>
              <w:spacing w:after="0"/>
              <w:rPr>
                <w:sz w:val="13"/>
                <w:szCs w:val="13"/>
                <w:color w:val="auto"/>
              </w:rPr>
            </w:pPr>
          </w:p>
        </w:tc>
        <w:tc>
          <w:tcPr>
            <w:tcW w:w="200" w:type="dxa"/>
            <w:vAlign w:val="bottom"/>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Inline XBRL Instance Document-the instance document does not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appear in the Interactive Data File because its XBRL tags are</w:t>
            </w:r>
          </w:p>
        </w:tc>
        <w:tc>
          <w:tcPr>
            <w:tcW w:w="14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embedded within the Inline XBRL document</w:t>
            </w:r>
          </w:p>
        </w:tc>
        <w:tc>
          <w:tcPr>
            <w:tcW w:w="114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38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Document</w:t>
            </w:r>
          </w:p>
        </w:tc>
        <w:tc>
          <w:tcPr>
            <w:tcW w:w="920" w:type="dxa"/>
            <w:vAlign w:val="bottom"/>
            <w:gridSpan w:val="24"/>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20" w:type="dxa"/>
            <w:vAlign w:val="bottom"/>
          </w:tcPr>
          <w:p>
            <w:pPr>
              <w:spacing w:after="0"/>
              <w:rPr>
                <w:sz w:val="13"/>
                <w:szCs w:val="13"/>
                <w:color w:val="auto"/>
              </w:rPr>
            </w:pPr>
          </w:p>
        </w:tc>
        <w:tc>
          <w:tcPr>
            <w:tcW w:w="320" w:type="dxa"/>
            <w:vAlign w:val="bottom"/>
            <w:gridSpan w:val="8"/>
          </w:tcPr>
          <w:p>
            <w:pPr>
              <w:spacing w:after="0"/>
              <w:rPr>
                <w:sz w:val="13"/>
                <w:szCs w:val="13"/>
                <w:color w:val="auto"/>
              </w:rPr>
            </w:pPr>
          </w:p>
        </w:tc>
        <w:tc>
          <w:tcPr>
            <w:tcW w:w="38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19"/>
                <w:szCs w:val="19"/>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Inline XBRL Taxonomy Extension Definition Linkbase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140" w:type="dxa"/>
            <w:vAlign w:val="bottom"/>
            <w:gridSpan w:val="2"/>
          </w:tcPr>
          <w:p>
            <w:pPr>
              <w:spacing w:after="0"/>
              <w:rPr>
                <w:sz w:val="13"/>
                <w:szCs w:val="13"/>
                <w:color w:val="auto"/>
              </w:rPr>
            </w:pPr>
          </w:p>
        </w:tc>
        <w:tc>
          <w:tcPr>
            <w:tcW w:w="320" w:type="dxa"/>
            <w:vAlign w:val="bottom"/>
            <w:gridSpan w:val="8"/>
          </w:tcPr>
          <w:p>
            <w:pPr>
              <w:spacing w:after="0"/>
              <w:rPr>
                <w:sz w:val="13"/>
                <w:szCs w:val="13"/>
                <w:color w:val="auto"/>
              </w:rPr>
            </w:pPr>
          </w:p>
        </w:tc>
        <w:tc>
          <w:tcPr>
            <w:tcW w:w="38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Label Linkbase Document</w:t>
            </w:r>
          </w:p>
        </w:tc>
        <w:tc>
          <w:tcPr>
            <w:tcW w:w="380" w:type="dxa"/>
            <w:vAlign w:val="bottom"/>
            <w:gridSpan w:val="13"/>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8"/>
                <w:szCs w:val="18"/>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700" w:type="dxa"/>
            <w:vAlign w:val="bottom"/>
            <w:gridSpan w:val="21"/>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120" w:type="dxa"/>
            <w:vAlign w:val="bottom"/>
            <w:gridSpan w:val="3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35" w:lineRule="exact"/>
        <w:rPr>
          <w:sz w:val="20"/>
          <w:szCs w:val="20"/>
          <w:color w:val="auto"/>
        </w:rPr>
      </w:pPr>
    </w:p>
    <w:p>
      <w:pPr>
        <w:ind w:right="120" w:firstLine="8"/>
        <w:spacing w:after="0" w:line="266"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(indicated by asterisks)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7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7,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EQUITY PURCHASE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as of June 21,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among Kratos Defense &amp; Security Solutions, Inc., a Delaware corporation (the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Pegasus Residual, LLC, a Delaware limited liability company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Shirley Brostmeyer, an individual (“</w:t>
      </w:r>
      <w:r>
        <w:rPr>
          <w:rFonts w:ascii="Times New Roman" w:cs="Times New Roman" w:eastAsia="Times New Roman" w:hAnsi="Times New Roman"/>
          <w:sz w:val="22"/>
          <w:szCs w:val="22"/>
          <w:b w:val="1"/>
          <w:bCs w:val="1"/>
          <w:i w:val="1"/>
          <w:iCs w:val="1"/>
          <w:color w:val="auto"/>
        </w:rPr>
        <w:t>SB</w:t>
      </w:r>
      <w:r>
        <w:rPr>
          <w:rFonts w:ascii="Times New Roman" w:cs="Times New Roman" w:eastAsia="Times New Roman" w:hAnsi="Times New Roman"/>
          <w:sz w:val="22"/>
          <w:szCs w:val="22"/>
          <w:color w:val="auto"/>
        </w:rPr>
        <w:t>”), Joseph Brostmeyer, an individual (“</w:t>
      </w:r>
      <w:r>
        <w:rPr>
          <w:rFonts w:ascii="Times New Roman" w:cs="Times New Roman" w:eastAsia="Times New Roman" w:hAnsi="Times New Roman"/>
          <w:sz w:val="22"/>
          <w:szCs w:val="22"/>
          <w:b w:val="1"/>
          <w:bCs w:val="1"/>
          <w:i w:val="1"/>
          <w:iCs w:val="1"/>
          <w:color w:val="auto"/>
        </w:rPr>
        <w:t>JB</w:t>
      </w:r>
      <w:r>
        <w:rPr>
          <w:rFonts w:ascii="Times New Roman" w:cs="Times New Roman" w:eastAsia="Times New Roman" w:hAnsi="Times New Roman"/>
          <w:sz w:val="22"/>
          <w:szCs w:val="22"/>
          <w:color w:val="auto"/>
        </w:rPr>
        <w:t>”), Shirley C. Brostmeyer and Joseph D. Brostmeyer as Trustees of The Shirley C. Brostmeyer Revocable Trust, u/a/d August 25, 2002, as amended and restated August 13, 2014, a Florida revocable trust (“</w:t>
      </w:r>
      <w:r>
        <w:rPr>
          <w:rFonts w:ascii="Times New Roman" w:cs="Times New Roman" w:eastAsia="Times New Roman" w:hAnsi="Times New Roman"/>
          <w:sz w:val="22"/>
          <w:szCs w:val="22"/>
          <w:b w:val="1"/>
          <w:bCs w:val="1"/>
          <w:i w:val="1"/>
          <w:iCs w:val="1"/>
          <w:color w:val="auto"/>
        </w:rPr>
        <w:t>SB Trust</w:t>
      </w:r>
      <w:r>
        <w:rPr>
          <w:rFonts w:ascii="Times New Roman" w:cs="Times New Roman" w:eastAsia="Times New Roman" w:hAnsi="Times New Roman"/>
          <w:sz w:val="22"/>
          <w:szCs w:val="22"/>
          <w:color w:val="auto"/>
        </w:rPr>
        <w:t>”), Joseph D. Brostmeyer and [**********] as Trustees of The Shirley Brostmeyer 2018 Family Trust, u/a/d December 17, 2018, a Florida irrevocable trust (“</w:t>
      </w:r>
      <w:r>
        <w:rPr>
          <w:rFonts w:ascii="Times New Roman" w:cs="Times New Roman" w:eastAsia="Times New Roman" w:hAnsi="Times New Roman"/>
          <w:sz w:val="22"/>
          <w:szCs w:val="22"/>
          <w:b w:val="1"/>
          <w:bCs w:val="1"/>
          <w:i w:val="1"/>
          <w:iCs w:val="1"/>
          <w:color w:val="auto"/>
        </w:rPr>
        <w:t>2018 SB Trust</w:t>
      </w:r>
      <w:r>
        <w:rPr>
          <w:rFonts w:ascii="Times New Roman" w:cs="Times New Roman" w:eastAsia="Times New Roman" w:hAnsi="Times New Roman"/>
          <w:sz w:val="22"/>
          <w:szCs w:val="22"/>
          <w:color w:val="auto"/>
        </w:rPr>
        <w:t>”), Joseph D. Brostmeyer and Shirley C. Brostmeyer as Trustees of The Joseph D. Brostmeyer Revocable Trust, u/a/d August 25, 2002, as amended and restated August 13, 2014, a Florida revocable trust (“</w:t>
      </w:r>
      <w:r>
        <w:rPr>
          <w:rFonts w:ascii="Times New Roman" w:cs="Times New Roman" w:eastAsia="Times New Roman" w:hAnsi="Times New Roman"/>
          <w:sz w:val="22"/>
          <w:szCs w:val="22"/>
          <w:b w:val="1"/>
          <w:bCs w:val="1"/>
          <w:i w:val="1"/>
          <w:iCs w:val="1"/>
          <w:color w:val="auto"/>
        </w:rPr>
        <w:t>JB Trust</w:t>
      </w:r>
      <w:r>
        <w:rPr>
          <w:rFonts w:ascii="Times New Roman" w:cs="Times New Roman" w:eastAsia="Times New Roman" w:hAnsi="Times New Roman"/>
          <w:sz w:val="22"/>
          <w:szCs w:val="22"/>
          <w:color w:val="auto"/>
        </w:rPr>
        <w:t>”), and Shirley C. Brostmeyer and [**********] as Trustees of The Joseph D. Brostmeyer 2018 Irrevocable Trust, u/a/d December 17, 2018, a Florida irrevocable trust (“</w:t>
      </w:r>
      <w:r>
        <w:rPr>
          <w:rFonts w:ascii="Times New Roman" w:cs="Times New Roman" w:eastAsia="Times New Roman" w:hAnsi="Times New Roman"/>
          <w:sz w:val="22"/>
          <w:szCs w:val="22"/>
          <w:b w:val="1"/>
          <w:bCs w:val="1"/>
          <w:i w:val="1"/>
          <w:iCs w:val="1"/>
          <w:color w:val="auto"/>
        </w:rPr>
        <w:t>2018 JB Trust</w:t>
      </w:r>
      <w:r>
        <w:rPr>
          <w:rFonts w:ascii="Times New Roman" w:cs="Times New Roman" w:eastAsia="Times New Roman" w:hAnsi="Times New Roman"/>
          <w:sz w:val="22"/>
          <w:szCs w:val="22"/>
          <w:color w:val="auto"/>
        </w:rPr>
        <w:t>” and, together with the SB Trust, the 2018 SB Trust and the JB Trust, the “</w:t>
      </w:r>
      <w:r>
        <w:rPr>
          <w:rFonts w:ascii="Times New Roman" w:cs="Times New Roman" w:eastAsia="Times New Roman" w:hAnsi="Times New Roman"/>
          <w:sz w:val="22"/>
          <w:szCs w:val="22"/>
          <w:b w:val="1"/>
          <w:bCs w:val="1"/>
          <w:i w:val="1"/>
          <w:iCs w:val="1"/>
          <w:color w:val="auto"/>
        </w:rPr>
        <w:t>Trusts</w:t>
      </w:r>
      <w:r>
        <w:rPr>
          <w:rFonts w:ascii="Times New Roman" w:cs="Times New Roman" w:eastAsia="Times New Roman" w:hAnsi="Times New Roman"/>
          <w:sz w:val="22"/>
          <w:szCs w:val="22"/>
          <w:color w:val="auto"/>
        </w:rPr>
        <w:t>” and, together with SB and JB, the “</w:t>
      </w:r>
      <w:r>
        <w:rPr>
          <w:rFonts w:ascii="Times New Roman" w:cs="Times New Roman" w:eastAsia="Times New Roman" w:hAnsi="Times New Roman"/>
          <w:sz w:val="22"/>
          <w:szCs w:val="22"/>
          <w:b w:val="1"/>
          <w:bCs w:val="1"/>
          <w:i w:val="1"/>
          <w:iCs w:val="1"/>
          <w:color w:val="auto"/>
        </w:rPr>
        <w:t>Specified Brostmeyer 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Purchaser, the Specified Brostmeyer Parties, and Joseph Brostmeyer, as the Sellers Representative, entered into a Purchase Agreement, dated as of February 27, 2019 (as amended,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pursuant to which, among other things, the Purchaser acquired from the Specified Brostmeyer Parties certain securities of KTT CORE, Inc., a Delaware corporation formerly known as FTT CORE, LLC (“</w:t>
      </w:r>
      <w:r>
        <w:rPr>
          <w:rFonts w:ascii="Times New Roman" w:cs="Times New Roman" w:eastAsia="Times New Roman" w:hAnsi="Times New Roman"/>
          <w:sz w:val="22"/>
          <w:szCs w:val="22"/>
          <w:b w:val="1"/>
          <w:bCs w:val="1"/>
          <w:i w:val="1"/>
          <w:iCs w:val="1"/>
          <w:color w:val="auto"/>
        </w:rPr>
        <w:t>KTT Core</w:t>
      </w:r>
      <w:r>
        <w:rPr>
          <w:rFonts w:ascii="Times New Roman" w:cs="Times New Roman" w:eastAsia="Times New Roman" w:hAnsi="Times New Roman"/>
          <w:sz w:val="22"/>
          <w:szCs w:val="22"/>
          <w:color w:val="auto"/>
        </w:rPr>
        <w:t>”), and Florida Turbine Technologies Inc., a Florida corporation (“</w:t>
      </w:r>
      <w:r>
        <w:rPr>
          <w:rFonts w:ascii="Times New Roman" w:cs="Times New Roman" w:eastAsia="Times New Roman" w:hAnsi="Times New Roman"/>
          <w:sz w:val="22"/>
          <w:szCs w:val="22"/>
          <w:b w:val="1"/>
          <w:bCs w:val="1"/>
          <w:i w:val="1"/>
          <w:iCs w:val="1"/>
          <w:color w:val="auto"/>
        </w:rPr>
        <w:t>FTT</w:t>
      </w:r>
      <w:r>
        <w:rPr>
          <w:rFonts w:ascii="Times New Roman" w:cs="Times New Roman" w:eastAsia="Times New Roman" w:hAnsi="Times New Roman"/>
          <w:sz w:val="22"/>
          <w:szCs w:val="22"/>
          <w:color w:val="auto"/>
        </w:rPr>
        <w:t>” and, together with KTT Core, the “</w:t>
      </w:r>
      <w:r>
        <w:rPr>
          <w:rFonts w:ascii="Times New Roman" w:cs="Times New Roman" w:eastAsia="Times New Roman" w:hAnsi="Times New Roman"/>
          <w:sz w:val="22"/>
          <w:szCs w:val="22"/>
          <w:b w:val="1"/>
          <w:bCs w:val="1"/>
          <w:i w:val="1"/>
          <w:iCs w:val="1"/>
          <w:color w:val="auto"/>
        </w:rPr>
        <w:t>Acquired Companies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Purchaser, KTT Core, FTT, and the Specified Brostmeyer Parties are parties to that certain Exchange Agreement, dated as of February 27, 2019, as amended by that certain First Amendment to Exchange Agreement, dated as of February 18, 2022 (as amended, the “</w:t>
      </w:r>
      <w:r>
        <w:rPr>
          <w:rFonts w:ascii="Times New Roman" w:cs="Times New Roman" w:eastAsia="Times New Roman" w:hAnsi="Times New Roman"/>
          <w:sz w:val="22"/>
          <w:szCs w:val="22"/>
          <w:b w:val="1"/>
          <w:bCs w:val="1"/>
          <w:i w:val="1"/>
          <w:iCs w:val="1"/>
          <w:color w:val="auto"/>
        </w:rPr>
        <w:t>Exchange Agreement</w:t>
      </w:r>
      <w:r>
        <w:rPr>
          <w:rFonts w:ascii="Times New Roman" w:cs="Times New Roman" w:eastAsia="Times New Roman" w:hAnsi="Times New Roman"/>
          <w:sz w:val="22"/>
          <w:szCs w:val="22"/>
          <w:color w:val="auto"/>
        </w:rPr>
        <w:t>”), pursuant to which the parties thereto agreed, among other things, to certain purchase and sale rights with respect to the Purchased Shares;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Purchaser, KTT Core, FTT, and the Specified Brostmeyer Parties are parties to that certain Equity Purchase Agreement, dated as of June 13, 2022 (the “</w:t>
      </w:r>
      <w:r>
        <w:rPr>
          <w:rFonts w:ascii="Times New Roman" w:cs="Times New Roman" w:eastAsia="Times New Roman" w:hAnsi="Times New Roman"/>
          <w:sz w:val="22"/>
          <w:szCs w:val="22"/>
          <w:b w:val="1"/>
          <w:bCs w:val="1"/>
          <w:i w:val="1"/>
          <w:iCs w:val="1"/>
          <w:color w:val="auto"/>
        </w:rPr>
        <w:t>First Equity Purchase Agreement</w:t>
      </w:r>
      <w:r>
        <w:rPr>
          <w:rFonts w:ascii="Times New Roman" w:cs="Times New Roman" w:eastAsia="Times New Roman" w:hAnsi="Times New Roman"/>
          <w:sz w:val="22"/>
          <w:szCs w:val="22"/>
          <w:color w:val="auto"/>
        </w:rPr>
        <w:t>”), pursuant to which the Purchaser acquired certain equity securities of KTT Core;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March 22, 2024, the Seller delivered notice to the Purchaser of the Seller’s election to exercise the Put Right (as defined in the Exchange Agreement) pursuant to Section 3.2(a) of the Exchange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as of the Effective Date and immediately prior to the Closing, after reflecting the transactions contemplated by the Other Agreements, the Seller owns (a) an aggregate of 1,047.335 shares of the Class B common stock, par value $0.001 per share, of KTT</w:t>
      </w:r>
    </w:p>
    <w:p>
      <w:pPr>
        <w:sectPr>
          <w:pgSz w:w="11900" w:h="16838" w:orient="portrait"/>
          <w:cols w:equalWidth="0" w:num="1">
            <w:col w:w="11240"/>
          </w:cols>
          <w:pgMar w:left="320" w:top="122" w:right="339" w:bottom="1440" w:gutter="0" w:footer="0" w:header="0"/>
        </w:sectPr>
      </w:pPr>
    </w:p>
    <w:bookmarkStart w:id="38" w:name="page39"/>
    <w:bookmarkEnd w:id="38"/>
    <w:p>
      <w:pPr>
        <w:jc w:val="both"/>
        <w:ind w:right="20"/>
        <w:spacing w:after="0" w:line="276" w:lineRule="auto"/>
        <w:rPr>
          <w:sz w:val="20"/>
          <w:szCs w:val="20"/>
          <w:color w:val="auto"/>
        </w:rPr>
      </w:pPr>
      <w:r>
        <w:rPr>
          <w:rFonts w:ascii="Times New Roman" w:cs="Times New Roman" w:eastAsia="Times New Roman" w:hAnsi="Times New Roman"/>
          <w:sz w:val="22"/>
          <w:szCs w:val="22"/>
          <w:color w:val="auto"/>
        </w:rPr>
        <w:t xml:space="preserve">Core, representing 9.95% of the issued and outstanding shares of KTT Core’s capital stock (the </w:t>
      </w:r>
      <w:r>
        <w:rPr>
          <w:rFonts w:ascii="Times New Roman" w:cs="Times New Roman" w:eastAsia="Times New Roman" w:hAnsi="Times New Roman"/>
          <w:sz w:val="22"/>
          <w:szCs w:val="22"/>
          <w:b w:val="1"/>
          <w:bCs w:val="1"/>
          <w:i w:val="1"/>
          <w:iCs w:val="1"/>
          <w:color w:val="auto"/>
        </w:rPr>
        <w:t>“Purchased Shares”</w:t>
      </w:r>
      <w:r>
        <w:rPr>
          <w:rFonts w:ascii="Times New Roman" w:cs="Times New Roman" w:eastAsia="Times New Roman" w:hAnsi="Times New Roman"/>
          <w:sz w:val="22"/>
          <w:szCs w:val="22"/>
          <w:color w:val="auto"/>
        </w:rPr>
        <w:t>), (b) no other securities of KTT Core, and (c) no securities of FTT;</w:t>
      </w:r>
    </w:p>
    <w:p>
      <w:pPr>
        <w:spacing w:after="0" w:line="15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Seller desires to sell, transfer and assign to the Purchaser, and the Purchaser desires to purchase from the Seller, all of the Seller’s right, title and interest in and to the Purchased Shares, subject to the terms and conditions set forth herein; and</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following the Closing, the Seller, the Specified Brostmeyer Parties, and their respective Affiliates shall no longer own any equity interest in, or other securities of, KTT Core or FTT.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by each party hereto, the parties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SELL AND PURCHASE.</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Purchase and Sale of Purchased Shares</w:t>
      </w:r>
      <w:r>
        <w:rPr>
          <w:rFonts w:ascii="Times New Roman" w:cs="Times New Roman" w:eastAsia="Times New Roman" w:hAnsi="Times New Roman"/>
          <w:sz w:val="21"/>
          <w:szCs w:val="21"/>
          <w:color w:val="auto"/>
        </w:rPr>
        <w:t xml:space="preserve">. Subject to the terms and conditions set forth herein, at the Closing (as defined below), the Seller shall sell, assign, transfer, convey and deliver to the Purchaser, and the Purchaser shall purchase and accept from the Seller, all of the Seller’s right, title and interest in and to the Purchased Shares, free and clear of any and all Encumbrances (as defined below). The aggregate consideration to be paid for the Purchased Shares, the release of claims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Agreement, and the representations set forth in </w:t>
      </w:r>
      <w:r>
        <w:rPr>
          <w:rFonts w:ascii="Times New Roman" w:cs="Times New Roman" w:eastAsia="Times New Roman" w:hAnsi="Times New Roman"/>
          <w:sz w:val="21"/>
          <w:szCs w:val="21"/>
          <w:u w:val="single" w:color="auto"/>
          <w:color w:val="auto"/>
        </w:rPr>
        <w:t>Section 3.10</w:t>
      </w:r>
      <w:r>
        <w:rPr>
          <w:rFonts w:ascii="Times New Roman" w:cs="Times New Roman" w:eastAsia="Times New Roman" w:hAnsi="Times New Roman"/>
          <w:sz w:val="21"/>
          <w:szCs w:val="21"/>
          <w:color w:val="auto"/>
        </w:rPr>
        <w:t xml:space="preserve"> shall be $22,519,163 (the “</w:t>
      </w:r>
      <w:r>
        <w:rPr>
          <w:rFonts w:ascii="Times New Roman" w:cs="Times New Roman" w:eastAsia="Times New Roman" w:hAnsi="Times New Roman"/>
          <w:sz w:val="21"/>
          <w:szCs w:val="21"/>
          <w:b w:val="1"/>
          <w:bCs w:val="1"/>
          <w:i w:val="1"/>
          <w:iCs w:val="1"/>
          <w:color w:val="auto"/>
        </w:rPr>
        <w:t>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Price</w:t>
      </w:r>
      <w:r>
        <w:rPr>
          <w:rFonts w:ascii="Times New Roman" w:cs="Times New Roman" w:eastAsia="Times New Roman" w:hAnsi="Times New Roman"/>
          <w:sz w:val="21"/>
          <w:szCs w:val="21"/>
          <w:color w:val="auto"/>
        </w:rPr>
        <w:t>”), subject to adjustment as set forth in this Agreement. The Purchase Price shall be payable 50% in cash and 50% in shares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Purchaser’s common stock, par value $0.001 per share (the “</w:t>
      </w:r>
      <w:r>
        <w:rPr>
          <w:rFonts w:ascii="Times New Roman" w:cs="Times New Roman" w:eastAsia="Times New Roman" w:hAnsi="Times New Roman"/>
          <w:sz w:val="21"/>
          <w:szCs w:val="21"/>
          <w:b w:val="1"/>
          <w:bCs w:val="1"/>
          <w:i w:val="1"/>
          <w:iCs w:val="1"/>
          <w:color w:val="auto"/>
        </w:rPr>
        <w:t>Purchaser Common Stock</w:t>
      </w:r>
      <w:r>
        <w:rPr>
          <w:rFonts w:ascii="Times New Roman" w:cs="Times New Roman" w:eastAsia="Times New Roman" w:hAnsi="Times New Roman"/>
          <w:sz w:val="21"/>
          <w:szCs w:val="21"/>
          <w:color w:val="auto"/>
        </w:rPr>
        <w:t>”), calculated as set forth below.</w:t>
      </w:r>
    </w:p>
    <w:p>
      <w:pPr>
        <w:spacing w:after="0" w:line="17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2"/>
          <w:szCs w:val="22"/>
          <w:color w:val="auto"/>
        </w:rPr>
        <w:t xml:space="preserve">1.1.1. Subject to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below, the number of shares of Purchaser Common Stock to be issued in satisfaction of 50% of the Purchase Price, as described in the immediately preceding sentence, will be calculated by dividing (i)</w:t>
      </w:r>
    </w:p>
    <w:p>
      <w:pPr>
        <w:jc w:val="both"/>
        <w:ind w:firstLine="8"/>
        <w:spacing w:after="0" w:line="245" w:lineRule="auto"/>
        <w:tabs>
          <w:tab w:leader="none" w:pos="30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50%,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(ii) the volume weighted average sale price per share of the Purchaser Common Stock on the NASDAQ Global Select Market as reported by Bloomberg Financial Markets or an equivalent, reliable reporting service, over the trailing 90-day period ending on the trading day immediately prior to the Effective Date (the “</w:t>
      </w:r>
      <w:r>
        <w:rPr>
          <w:rFonts w:ascii="Times New Roman" w:cs="Times New Roman" w:eastAsia="Times New Roman" w:hAnsi="Times New Roman"/>
          <w:sz w:val="22"/>
          <w:szCs w:val="22"/>
          <w:b w:val="1"/>
          <w:bCs w:val="1"/>
          <w:i w:val="1"/>
          <w:iCs w:val="1"/>
          <w:color w:val="auto"/>
        </w:rPr>
        <w:t>Closing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Price</w:t>
      </w:r>
      <w:r>
        <w:rPr>
          <w:rFonts w:ascii="Times New Roman" w:cs="Times New Roman" w:eastAsia="Times New Roman" w:hAnsi="Times New Roman"/>
          <w:sz w:val="22"/>
          <w:szCs w:val="22"/>
          <w:color w:val="auto"/>
        </w:rPr>
        <w:t>”) (rounded down to the nearest whole share).</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1.1.2. Notwithstanding the foregoing, in no event shall the aggregate number of shares of Purchaser Common Stock issuable pursuant to this Agreement exceed 19.99% of the total outstanding shares of Purchaser Common Stock as of immediately prior to the Effective Date; provided that any reduction in the number of shares of Purchase Common Stock issued pursuant to this Agreement as a result of the foregoing clause shall result in a corresponding cash payment to cover the resulting shortfall.</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4"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Calculation of Purchase Price</w:t>
      </w:r>
      <w:r>
        <w:rPr>
          <w:rFonts w:ascii="Times New Roman" w:cs="Times New Roman" w:eastAsia="Times New Roman" w:hAnsi="Times New Roman"/>
          <w:sz w:val="22"/>
          <w:szCs w:val="22"/>
          <w:color w:val="auto"/>
        </w:rPr>
        <w:t xml:space="preserve">. The Seller expressly acknowledges and agrees that the Purchase Price has been calculated pursuant to the terms of Section 3.2 of the Exchange Agreement, as modified by the terms set forth herein, based on a value derived from the following calculation (a) (i) (x) 12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Acquired Companies’ EBITDA (as defined below) for the fiscal year ended December 31, 2023, as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i w:val="1"/>
          <w:iCs w:val="1"/>
          <w:color w:val="auto"/>
        </w:rPr>
        <w:t>2023 EBITDA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Reduction Amount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9.95%.</w:t>
      </w:r>
    </w:p>
    <w:p>
      <w:pPr>
        <w:spacing w:after="0" w:line="173"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2"/>
          <w:szCs w:val="22"/>
          <w:color w:val="auto"/>
        </w:rPr>
        <w:t>1.2.1. For purposes of this Agreement, “</w:t>
      </w:r>
      <w:r>
        <w:rPr>
          <w:rFonts w:ascii="Times New Roman" w:cs="Times New Roman" w:eastAsia="Times New Roman" w:hAnsi="Times New Roman"/>
          <w:sz w:val="22"/>
          <w:szCs w:val="22"/>
          <w:b w:val="1"/>
          <w:bCs w:val="1"/>
          <w:i w:val="1"/>
          <w:iCs w:val="1"/>
          <w:color w:val="auto"/>
        </w:rPr>
        <w:t>EBITDA</w:t>
      </w:r>
      <w:r>
        <w:rPr>
          <w:rFonts w:ascii="Times New Roman" w:cs="Times New Roman" w:eastAsia="Times New Roman" w:hAnsi="Times New Roman"/>
          <w:sz w:val="22"/>
          <w:szCs w:val="22"/>
          <w:color w:val="auto"/>
        </w:rPr>
        <w:t xml:space="preserve">” shall mean, on a consolidated basis (including those entities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 the sum of the Acquired Companies’ earnings before corporate tax, interest expense, depreciation and amortization, determined in accordance with, and derived from financial information that is prepared in accordance with, U.S. generally accepted accounting principles, consistently applied. For the avoidance of doubt, the calculation of EBITDA will not include any corporate allocations of indirect costs (including, without limitation, normal public company operating costs incurred by Purchaser), but shall include costs incurred by Purchaser that are directly attributable to the Acquired Companies’ consolidated business.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xml:space="preserve">. The sale and purchase of the Purchased Shares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i w:val="1"/>
          <w:iCs w:val="1"/>
          <w:color w:val="auto"/>
        </w:rPr>
        <w:t>Closing</w:t>
      </w:r>
      <w:r>
        <w:rPr>
          <w:rFonts w:ascii="Times New Roman" w:cs="Times New Roman" w:eastAsia="Times New Roman" w:hAnsi="Times New Roman"/>
          <w:sz w:val="21"/>
          <w:szCs w:val="21"/>
          <w:color w:val="auto"/>
        </w:rPr>
        <w:t>”) shall take place at 10:00 a.m. on the Effective Date at the offices of Sheppard, Mullin, Richter &amp; Hampton LLP, 1540 El Camino Real, Suite 120, Menlo Park, California 94025, or at such other time or place as the Purchaser and the Seller may mutually agree.</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1.4.1.  On the Effective Date, subject to the terms and conditions hereof:</w:t>
      </w:r>
    </w:p>
    <w:p>
      <w:pPr>
        <w:spacing w:after="0" w:line="220"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22"/>
          <w:szCs w:val="22"/>
          <w:color w:val="auto"/>
        </w:rPr>
        <w:t xml:space="preserve">1.4.1.1.The Seller will deliver to the Purchaser (A) the stock certificate(s) representing the Purchased Shares to be sold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above, together with stock powers for such Purchased Shares, in the form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and (B) an Investor Questionnaire, substantially in the form attached hereto as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duly executed by the Seller in favor of the Purchaser; and</w:t>
      </w:r>
    </w:p>
    <w:p>
      <w:pPr>
        <w:spacing w:after="0" w:line="176" w:lineRule="exact"/>
        <w:rPr>
          <w:sz w:val="20"/>
          <w:szCs w:val="20"/>
          <w:color w:val="auto"/>
        </w:rPr>
      </w:pPr>
    </w:p>
    <w:p>
      <w:pPr>
        <w:jc w:val="both"/>
        <w:ind w:left="660" w:firstLine="1944"/>
        <w:spacing w:after="0" w:line="254" w:lineRule="auto"/>
        <w:rPr>
          <w:sz w:val="20"/>
          <w:szCs w:val="20"/>
          <w:color w:val="auto"/>
        </w:rPr>
      </w:pPr>
      <w:r>
        <w:rPr>
          <w:rFonts w:ascii="Times New Roman" w:cs="Times New Roman" w:eastAsia="Times New Roman" w:hAnsi="Times New Roman"/>
          <w:sz w:val="22"/>
          <w:szCs w:val="22"/>
          <w:color w:val="auto"/>
        </w:rPr>
        <w:t>1.4.1.2.the Purchaser will (A) instruct the transfer agent for the Purchaser Common Stock (the “</w:t>
      </w:r>
      <w:r>
        <w:rPr>
          <w:rFonts w:ascii="Times New Roman" w:cs="Times New Roman" w:eastAsia="Times New Roman" w:hAnsi="Times New Roman"/>
          <w:sz w:val="22"/>
          <w:szCs w:val="22"/>
          <w:b w:val="1"/>
          <w:bCs w:val="1"/>
          <w:i w:val="1"/>
          <w:iCs w:val="1"/>
          <w:color w:val="auto"/>
        </w:rPr>
        <w:t>Transfer Agent</w:t>
      </w:r>
      <w:r>
        <w:rPr>
          <w:rFonts w:ascii="Times New Roman" w:cs="Times New Roman" w:eastAsia="Times New Roman" w:hAnsi="Times New Roman"/>
          <w:sz w:val="22"/>
          <w:szCs w:val="22"/>
          <w:color w:val="auto"/>
        </w:rPr>
        <w:t>”) to deliver to the Seller in book entry form, a number of shares of Purchaser Common Stock equal to</w:t>
      </w:r>
    </w:p>
    <w:p>
      <w:pPr>
        <w:spacing w:after="0" w:line="2" w:lineRule="exact"/>
        <w:rPr>
          <w:sz w:val="20"/>
          <w:szCs w:val="20"/>
          <w:color w:val="auto"/>
        </w:rPr>
      </w:pPr>
    </w:p>
    <w:p>
      <w:pPr>
        <w:jc w:val="both"/>
        <w:ind w:left="660" w:hanging="4"/>
        <w:spacing w:after="0" w:line="252" w:lineRule="auto"/>
        <w:tabs>
          <w:tab w:leader="none" w:pos="98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50% of the Purchase Price for the Purchased Shares to be sold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(2) the Closing Stock Price (rounded down to the nearest whole share), and (B) deliver to the Seller, by wire transfer of immediately available funds to an account designated by the Seller, an amount in cash equal to 50% of the Purchase Price.</w:t>
      </w:r>
    </w:p>
    <w:p>
      <w:pPr>
        <w:spacing w:after="0" w:line="17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1.4.2.  As used in this Agreement, the following terms shall have the meanings set forth below:</w:t>
      </w:r>
    </w:p>
    <w:p>
      <w:pPr>
        <w:spacing w:after="0" w:line="214" w:lineRule="exact"/>
        <w:rPr>
          <w:sz w:val="20"/>
          <w:szCs w:val="20"/>
          <w:color w:val="auto"/>
        </w:rPr>
      </w:pPr>
    </w:p>
    <w:p>
      <w:pPr>
        <w:ind w:left="660" w:firstLine="1944"/>
        <w:spacing w:after="0" w:line="276" w:lineRule="auto"/>
        <w:rPr>
          <w:sz w:val="20"/>
          <w:szCs w:val="20"/>
          <w:color w:val="auto"/>
        </w:rPr>
      </w:pPr>
      <w:r>
        <w:rPr>
          <w:rFonts w:ascii="Times New Roman" w:cs="Times New Roman" w:eastAsia="Times New Roman" w:hAnsi="Times New Roman"/>
          <w:sz w:val="22"/>
          <w:szCs w:val="22"/>
          <w:color w:val="auto"/>
        </w:rPr>
        <w:t>1.4.2.1.“</w:t>
      </w:r>
      <w:r>
        <w:rPr>
          <w:rFonts w:ascii="Times New Roman" w:cs="Times New Roman" w:eastAsia="Times New Roman" w:hAnsi="Times New Roman"/>
          <w:sz w:val="22"/>
          <w:szCs w:val="22"/>
          <w:b w:val="1"/>
          <w:bCs w:val="1"/>
          <w:i w:val="1"/>
          <w:iCs w:val="1"/>
          <w:color w:val="auto"/>
        </w:rPr>
        <w:t>2019 Transaction Documents</w:t>
      </w:r>
      <w:r>
        <w:rPr>
          <w:rFonts w:ascii="Times New Roman" w:cs="Times New Roman" w:eastAsia="Times New Roman" w:hAnsi="Times New Roman"/>
          <w:sz w:val="22"/>
          <w:szCs w:val="22"/>
          <w:color w:val="auto"/>
        </w:rPr>
        <w:t>” means, collectively, the Employment Agreement, the Exchange Agreement, the Leak-Out Agreement, and the Purchase Agreement.</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0" w:right="339" w:bottom="1440" w:gutter="0" w:footer="0" w:header="0"/>
        </w:sectPr>
      </w:pPr>
    </w:p>
    <w:bookmarkStart w:id="40" w:name="page41"/>
    <w:bookmarkEnd w:id="40"/>
    <w:p>
      <w:pPr>
        <w:jc w:val="both"/>
        <w:ind w:left="660" w:firstLine="1944"/>
        <w:spacing w:after="0" w:line="260" w:lineRule="auto"/>
        <w:rPr>
          <w:sz w:val="20"/>
          <w:szCs w:val="20"/>
          <w:color w:val="auto"/>
        </w:rPr>
      </w:pPr>
      <w:r>
        <w:rPr>
          <w:rFonts w:ascii="Times New Roman" w:cs="Times New Roman" w:eastAsia="Times New Roman" w:hAnsi="Times New Roman"/>
          <w:sz w:val="22"/>
          <w:szCs w:val="22"/>
          <w:color w:val="auto"/>
        </w:rPr>
        <w:t>1.4.2.2.“</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Person, any other Person which directly or indirectly through one or more intermediaries controls, is controlled by, or is under common control with, such Person, as such terms are used in and construed under Rule 405 promulgated under the 1933 Act (as defined below).</w:t>
      </w:r>
    </w:p>
    <w:p>
      <w:pPr>
        <w:spacing w:after="0" w:line="177" w:lineRule="exact"/>
        <w:rPr>
          <w:sz w:val="20"/>
          <w:szCs w:val="20"/>
          <w:color w:val="auto"/>
        </w:rPr>
      </w:pPr>
    </w:p>
    <w:p>
      <w:pPr>
        <w:jc w:val="both"/>
        <w:ind w:left="660" w:firstLine="1944"/>
        <w:spacing w:after="0" w:line="276" w:lineRule="auto"/>
        <w:rPr>
          <w:sz w:val="20"/>
          <w:szCs w:val="20"/>
          <w:color w:val="auto"/>
        </w:rPr>
      </w:pPr>
      <w:r>
        <w:rPr>
          <w:rFonts w:ascii="Times New Roman" w:cs="Times New Roman" w:eastAsia="Times New Roman" w:hAnsi="Times New Roman"/>
          <w:sz w:val="22"/>
          <w:szCs w:val="22"/>
          <w:color w:val="auto"/>
        </w:rPr>
        <w:t>1.4.2.3.“</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Saturday or Sunday, on which banks are open in New York, New York.</w:t>
      </w:r>
    </w:p>
    <w:p>
      <w:pPr>
        <w:spacing w:after="0" w:line="147" w:lineRule="exact"/>
        <w:rPr>
          <w:sz w:val="20"/>
          <w:szCs w:val="20"/>
          <w:color w:val="auto"/>
        </w:rPr>
      </w:pPr>
    </w:p>
    <w:p>
      <w:pPr>
        <w:jc w:val="both"/>
        <w:ind w:left="660" w:right="20" w:firstLine="1944"/>
        <w:spacing w:after="0" w:line="276" w:lineRule="auto"/>
        <w:rPr>
          <w:sz w:val="20"/>
          <w:szCs w:val="20"/>
          <w:color w:val="auto"/>
        </w:rPr>
      </w:pPr>
      <w:r>
        <w:rPr>
          <w:rFonts w:ascii="Times New Roman" w:cs="Times New Roman" w:eastAsia="Times New Roman" w:hAnsi="Times New Roman"/>
          <w:sz w:val="22"/>
          <w:szCs w:val="22"/>
          <w:color w:val="auto"/>
        </w:rPr>
        <w:t>1.4.2.4.“</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means that certain Amended and Restated Employment Agreement, dated as of June 10, 2022, by and between Purchaser and Joseph Brostmeyer.</w:t>
      </w:r>
    </w:p>
    <w:p>
      <w:pPr>
        <w:spacing w:after="0" w:line="147" w:lineRule="exact"/>
        <w:rPr>
          <w:sz w:val="20"/>
          <w:szCs w:val="20"/>
          <w:color w:val="auto"/>
        </w:rPr>
      </w:pPr>
    </w:p>
    <w:p>
      <w:pPr>
        <w:jc w:val="both"/>
        <w:ind w:left="660" w:firstLine="1944"/>
        <w:spacing w:after="0" w:line="289" w:lineRule="auto"/>
        <w:rPr>
          <w:sz w:val="20"/>
          <w:szCs w:val="20"/>
          <w:color w:val="auto"/>
        </w:rPr>
      </w:pPr>
      <w:r>
        <w:rPr>
          <w:rFonts w:ascii="Times New Roman" w:cs="Times New Roman" w:eastAsia="Times New Roman" w:hAnsi="Times New Roman"/>
          <w:sz w:val="22"/>
          <w:szCs w:val="22"/>
          <w:color w:val="auto"/>
        </w:rPr>
        <w:t>1.4.2.5.“</w:t>
      </w:r>
      <w:r>
        <w:rPr>
          <w:rFonts w:ascii="Times New Roman" w:cs="Times New Roman" w:eastAsia="Times New Roman" w:hAnsi="Times New Roman"/>
          <w:sz w:val="22"/>
          <w:szCs w:val="22"/>
          <w:b w:val="1"/>
          <w:bCs w:val="1"/>
          <w:i w:val="1"/>
          <w:iCs w:val="1"/>
          <w:color w:val="auto"/>
        </w:rPr>
        <w:t>Leak-Out Agreement</w:t>
      </w:r>
      <w:r>
        <w:rPr>
          <w:rFonts w:ascii="Times New Roman" w:cs="Times New Roman" w:eastAsia="Times New Roman" w:hAnsi="Times New Roman"/>
          <w:sz w:val="22"/>
          <w:szCs w:val="22"/>
          <w:color w:val="auto"/>
        </w:rPr>
        <w:t>” means that certain Lock-Up/Leak- Out Agreement, dated as of February 27, 2019, by and between Purchaser and the Trusts.</w:t>
      </w:r>
    </w:p>
    <w:p>
      <w:pPr>
        <w:spacing w:after="0" w:line="133" w:lineRule="exact"/>
        <w:rPr>
          <w:sz w:val="20"/>
          <w:szCs w:val="20"/>
          <w:color w:val="auto"/>
        </w:rPr>
      </w:pPr>
    </w:p>
    <w:p>
      <w:pPr>
        <w:jc w:val="both"/>
        <w:ind w:left="660" w:firstLine="1944"/>
        <w:spacing w:after="0" w:line="260" w:lineRule="auto"/>
        <w:rPr>
          <w:sz w:val="20"/>
          <w:szCs w:val="20"/>
          <w:color w:val="auto"/>
        </w:rPr>
      </w:pPr>
      <w:r>
        <w:rPr>
          <w:rFonts w:ascii="Times New Roman" w:cs="Times New Roman" w:eastAsia="Times New Roman" w:hAnsi="Times New Roman"/>
          <w:sz w:val="22"/>
          <w:szCs w:val="22"/>
          <w:color w:val="auto"/>
        </w:rPr>
        <w:t>1.4.2.6.“</w:t>
      </w:r>
      <w:r>
        <w:rPr>
          <w:rFonts w:ascii="Times New Roman" w:cs="Times New Roman" w:eastAsia="Times New Roman" w:hAnsi="Times New Roman"/>
          <w:sz w:val="22"/>
          <w:szCs w:val="22"/>
          <w:b w:val="1"/>
          <w:bCs w:val="1"/>
          <w:i w:val="1"/>
          <w:iCs w:val="1"/>
          <w:color w:val="auto"/>
        </w:rPr>
        <w:t>Other Agreements</w:t>
      </w:r>
      <w:r>
        <w:rPr>
          <w:rFonts w:ascii="Times New Roman" w:cs="Times New Roman" w:eastAsia="Times New Roman" w:hAnsi="Times New Roman"/>
          <w:sz w:val="22"/>
          <w:szCs w:val="22"/>
          <w:color w:val="auto"/>
        </w:rPr>
        <w:t>” means the 2019 Transaction Documents, the First Equity Purchase Agreement, and each of the other agreements entered into by the parties hereto pursuant to or in connection with the 2019 Transaction Documents, or the First Equity Purchase Agreement.</w:t>
      </w: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1.4.2.7.“</w:t>
      </w:r>
      <w:r>
        <w:rPr>
          <w:rFonts w:ascii="Times New Roman" w:cs="Times New Roman" w:eastAsia="Times New Roman" w:hAnsi="Times New Roman"/>
          <w:sz w:val="22"/>
          <w:szCs w:val="22"/>
          <w:b w:val="1"/>
          <w:bCs w:val="1"/>
          <w:i w:val="1"/>
          <w:iCs w:val="1"/>
          <w:color w:val="auto"/>
        </w:rPr>
        <w:t>Reduction Amount</w:t>
      </w:r>
      <w:r>
        <w:rPr>
          <w:rFonts w:ascii="Times New Roman" w:cs="Times New Roman" w:eastAsia="Times New Roman" w:hAnsi="Times New Roman"/>
          <w:sz w:val="22"/>
          <w:szCs w:val="22"/>
          <w:color w:val="auto"/>
        </w:rPr>
        <w:t>” means an amount equal to Zero Dollars ($0.00).</w:t>
      </w:r>
    </w:p>
    <w:p>
      <w:pPr>
        <w:spacing w:after="0" w:line="220"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22"/>
          <w:szCs w:val="22"/>
          <w:color w:val="auto"/>
        </w:rPr>
        <w:t>1.4.2.8.“</w:t>
      </w:r>
      <w:r>
        <w:rPr>
          <w:rFonts w:ascii="Times New Roman" w:cs="Times New Roman" w:eastAsia="Times New Roman" w:hAnsi="Times New Roman"/>
          <w:sz w:val="22"/>
          <w:szCs w:val="22"/>
          <w:b w:val="1"/>
          <w:bCs w:val="1"/>
          <w:i w:val="1"/>
          <w:iCs w:val="1"/>
          <w:color w:val="auto"/>
        </w:rPr>
        <w:t>Seller LLC Agreement</w:t>
      </w:r>
      <w:r>
        <w:rPr>
          <w:rFonts w:ascii="Times New Roman" w:cs="Times New Roman" w:eastAsia="Times New Roman" w:hAnsi="Times New Roman"/>
          <w:sz w:val="22"/>
          <w:szCs w:val="22"/>
          <w:color w:val="auto"/>
        </w:rPr>
        <w:t>” means that certain Limited Liability Company Agreement of the Seller, dated as of October 15, 2020, by and among the members of the Seller, as amended, supplemented or otherwise modified from time to time.</w:t>
      </w:r>
    </w:p>
    <w:p>
      <w:pPr>
        <w:spacing w:after="0" w:line="158" w:lineRule="exact"/>
        <w:rPr>
          <w:sz w:val="20"/>
          <w:szCs w:val="20"/>
          <w:color w:val="auto"/>
        </w:rPr>
      </w:pPr>
    </w:p>
    <w:p>
      <w:pPr>
        <w:jc w:val="both"/>
        <w:ind w:left="660" w:firstLine="1944"/>
        <w:spacing w:after="0" w:line="260" w:lineRule="auto"/>
        <w:rPr>
          <w:sz w:val="20"/>
          <w:szCs w:val="20"/>
          <w:color w:val="auto"/>
        </w:rPr>
      </w:pPr>
      <w:r>
        <w:rPr>
          <w:rFonts w:ascii="Times New Roman" w:cs="Times New Roman" w:eastAsia="Times New Roman" w:hAnsi="Times New Roman"/>
          <w:sz w:val="22"/>
          <w:szCs w:val="22"/>
          <w:color w:val="auto"/>
        </w:rPr>
        <w:t>1.4.2.9.</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8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Release of the Purchaser and the Acquired Companies</w:t>
      </w:r>
      <w:r>
        <w:rPr>
          <w:rFonts w:ascii="Times New Roman" w:cs="Times New Roman" w:eastAsia="Times New Roman" w:hAnsi="Times New Roman"/>
          <w:sz w:val="22"/>
          <w:szCs w:val="22"/>
          <w:color w:val="auto"/>
        </w:rPr>
        <w:t>. Effective as of the Effective Date, the Seller and each of the Specified Brostmeyer Parties irrevocably and unconditionally releases any and all Released Claims that the Seller or such Specified Brostmeyer Parties ever had, now has or may have against: (a) the Purchaser, (b) the Acquired Companies; (c) each of the Acquired Companies’ current and former parents, subsidiaries, related companies, partnerships or joint ventures (including the Purchaser); (d) with respect to each of parties listed in the foregoing clauses (a), (b) and (c), such party’s predecessors and successors; and (e) with respect to each of the Persons listed in the foregoing clauses (a), (b), (c) and (d), all of such Person’s past, present and future Affiliates, family members, spouses, heirs, directors, officers, managers, fiduciaries, attorneys, advisors, consultants, investment bankers, financial advisors, accountants, tax advisors, independent contractors, contractors, employees, employers, principals, agents, representatives, owners, members, unitholders, stockholders,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54" w:right="339" w:bottom="1440" w:gutter="0" w:footer="0" w:header="0"/>
        </w:sectPr>
      </w:pPr>
    </w:p>
    <w:bookmarkStart w:id="41" w:name="page42"/>
    <w:bookmarkEnd w:id="41"/>
    <w:p>
      <w:pPr>
        <w:jc w:val="both"/>
        <w:spacing w:after="0" w:line="260" w:lineRule="auto"/>
        <w:rPr>
          <w:sz w:val="20"/>
          <w:szCs w:val="20"/>
          <w:color w:val="auto"/>
        </w:rPr>
      </w:pPr>
      <w:r>
        <w:rPr>
          <w:rFonts w:ascii="Times New Roman" w:cs="Times New Roman" w:eastAsia="Times New Roman" w:hAnsi="Times New Roman"/>
          <w:sz w:val="21"/>
          <w:szCs w:val="21"/>
          <w:color w:val="auto"/>
        </w:rPr>
        <w:t>investors, controllers, controlling owners, controlling members, controlling unitholders, controlling stockholders, controlling investors, control persons, control groups, trustees, beneficiaries, distributees, distributors, executors, estates, estate managers, partners, limited partners, general partners, partnerships, joint venturers, limited liability companies, corporations, parent organizations, subsidiary organizations, foundations, divisions, administrators, predecessors, predecessors-in-interest, successors, successors-in-interest, insurers, underwriters, brokers, dealers, lenders, sureties, assigns, transferees, transferors, Affiliates, and other related Persons, and each of their family members, spouses, heirs, directors, officers, managers, fiduciaries, attorneys, advisors, consultants, investment bankers, financial advisors, accountants, tax advisors, independent contractors, contractors, employees, employers, principals, agents, representatives, owners, members, unitholders, stockholders, investors, controllers, controlling owners, controlling members, controlling unitholders, controlling stockholders, controlling investors, control persons, control groups, trustees, beneficiaries, distributees, distributors, executors, estates, estate managers, partners, limited partners, general partners, partnerships, joint venturers, limited liability companies, corporations, parent organizations, subsidiary organizations, foundations, divisions, administrators, predecessors, predecessors-in-interest, successors, successors-in-interest, insurers, underwriters, brokers, dealers, lenders, sureties, assigns, transferees, transferors, Affiliates, and other related Persons (and the trustees, administrators, fiduciaries and insurers of such programs), and any other Persons acting by, through, under or in concert with any of such Persons and their successors (each, a “</w:t>
      </w:r>
      <w:r>
        <w:rPr>
          <w:rFonts w:ascii="Times New Roman" w:cs="Times New Roman" w:eastAsia="Times New Roman" w:hAnsi="Times New Roman"/>
          <w:sz w:val="21"/>
          <w:szCs w:val="21"/>
          <w:b w:val="1"/>
          <w:bCs w:val="1"/>
          <w:i w:val="1"/>
          <w:iCs w:val="1"/>
          <w:color w:val="auto"/>
        </w:rPr>
        <w:t>Released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 shall include, to the fullest extent permitted by applicable law, all known and unknown Claims arising or existing prior to the Effective Date that may be asserted by the Seller or any of the Specified Brostmeyer Parties in its capacity as a stockholder of the Purchaser or any of the Acquired Companies, including, without limitation, Claims for dividends or distributions and any Claims to attorneys’ fees or other indemnities with respect to the Released Claims, except as expressly provided in this Agreement. For purposes of this Agreement, the term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means any and all actions, claims, suits, causes of action, litigations, lawsuits, arbitrations, expert determinations, enforcement actions, investigations, proceedings, demands, assertions, contentions, allegations, disputes, matters, issues, obligations, rights, duties, debts, liabilities, levies, executions, dues, accounts, charges, bonds, agreements, contracts, covenants, representations, warranties, promises, judgments, interests, compensation, damages, losses, expenses, costs, fees (including, but not limited to, attorneys’ fees) of every nature, kind, type, and description, whether in law or in equity, known or unknown (including Unknown Claims), apparent or unapparent, contingent or absolute, matured or unmatured, accrued or unaccrued, liquidated or unliquidated, or otherwise</w:t>
      </w:r>
    </w:p>
    <w:p>
      <w:pPr>
        <w:spacing w:after="0" w:line="19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Unknown Claims</w:t>
      </w:r>
      <w:r>
        <w:rPr>
          <w:rFonts w:ascii="Times New Roman" w:cs="Times New Roman" w:eastAsia="Times New Roman" w:hAnsi="Times New Roman"/>
          <w:sz w:val="22"/>
          <w:szCs w:val="22"/>
          <w:color w:val="auto"/>
        </w:rPr>
        <w:t>. The Seller and each of the Specified Brostmeyer Parties expressly acknowledges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agrees that: (a) he, she, or it has been advised and understands that the Released Claims may include Claims arising or existing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prior to the Effective Date that he, she, or it does not currently know about (</w:t>
      </w:r>
      <w:r>
        <w:rPr>
          <w:rFonts w:ascii="Times New Roman" w:cs="Times New Roman" w:eastAsia="Times New Roman" w:hAnsi="Times New Roman"/>
          <w:sz w:val="21"/>
          <w:szCs w:val="21"/>
          <w:b w:val="1"/>
          <w:bCs w:val="1"/>
          <w:i w:val="1"/>
          <w:iCs w:val="1"/>
          <w:color w:val="auto"/>
        </w:rPr>
        <w:t>“Unknown Claims”</w:t>
      </w:r>
      <w:r>
        <w:rPr>
          <w:rFonts w:ascii="Times New Roman" w:cs="Times New Roman" w:eastAsia="Times New Roman" w:hAnsi="Times New Roman"/>
          <w:sz w:val="21"/>
          <w:szCs w:val="21"/>
          <w:color w:val="auto"/>
        </w:rPr>
        <w:t>); (b) he, she, or it knowingly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voluntarily intends to grant the release of such Unknown Claims as Released Claims even though it recognizes that someday 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might regret having done so; and (c) he, she, or it desires to assume the risk of releasing the Unknown Claims as Released Claims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acknowledges and agrees that</w:t>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0" w:right="339" w:bottom="1440" w:gutter="0" w:footer="0" w:header="0"/>
        </w:sectPr>
      </w:pPr>
    </w:p>
    <w:bookmarkStart w:id="42" w:name="page43"/>
    <w:bookmarkEnd w:id="4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release set forth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remain effective in all respects in any such case. With full understanding of the potential consequences of his, her or its actions, to the full extent permitted by law, the Seller and each of the Specified Brostmeyer Parties expressly waives all rights it might have under any law that is intended to protect parties from waiving Claims such as the Unknown Claims. It is the intention of the parties hereto that this Agreement shall constitute a full and final accord and satisfaction, and a bar to entry of judgment in any and all legal actions, causes of action, obligations, costs, expenses, attorney’s fees, damages, losses, Claims, liabilities, and demands of whatever nature, character or kind known or unknown, suspected or unsuspected, among the parties hereto, arising out of, directly or indirectly, or in connection with the Released Claims. For the avoidance of doubt, all parties that are releasing the Released Claims under this Agreement acknowledge and agree that the releases contained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extend to Unknown Claims. The parties hereto acknowledge that they are familiar with and understand and expressly waive Section 1542 of the Civil Code of the State of California and all similar federal, state, or foreign laws, rights, rules, or legal principles, which provides as follows:</w:t>
      </w:r>
    </w:p>
    <w:p>
      <w:pPr>
        <w:spacing w:after="0" w:line="189" w:lineRule="exact"/>
        <w:rPr>
          <w:sz w:val="20"/>
          <w:szCs w:val="20"/>
          <w:color w:val="auto"/>
        </w:rPr>
      </w:pPr>
    </w:p>
    <w:p>
      <w:pPr>
        <w:jc w:val="both"/>
        <w:ind w:left="660" w:right="640"/>
        <w:spacing w:after="0" w:line="256"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the foregoing, nothing in the release given by the Seller and the Specified Brostmeyer Parties pursuant to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release any Claim the Seller or any of the Specified Brostmeyer Parties may have (i) for the applicable Released Party’s commission of any act of fraud or intentional misrepresentation, (ii) for any breach by such Released Party of this Agreement or (iii) that arise directly out of actions or omissions by any Released Party occurring after the Effective Date.</w:t>
      </w:r>
    </w:p>
    <w:p>
      <w:pPr>
        <w:spacing w:after="0" w:line="193" w:lineRule="exact"/>
        <w:rPr>
          <w:sz w:val="20"/>
          <w:szCs w:val="20"/>
          <w:color w:val="auto"/>
        </w:rPr>
      </w:pPr>
    </w:p>
    <w:p>
      <w:pPr>
        <w:jc w:val="both"/>
        <w:ind w:firstLine="656"/>
        <w:spacing w:after="0" w:line="257"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Warranties, Covenants, and Other Agreements of the Seller and the Specified Brostmeyer Parties</w:t>
      </w:r>
      <w:r>
        <w:rPr>
          <w:rFonts w:ascii="Times New Roman" w:cs="Times New Roman" w:eastAsia="Times New Roman" w:hAnsi="Times New Roman"/>
          <w:sz w:val="22"/>
          <w:szCs w:val="22"/>
          <w:color w:val="auto"/>
        </w:rPr>
        <w:t>. The Seller and each of the Specified Brostmeyer Parties hereby represents, warrants and covenants, severally and jointly, to and for the benefit of the Purchaser as follows:</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Authority; Binding Nature Of Agreement</w:t>
      </w:r>
      <w:r>
        <w:rPr>
          <w:rFonts w:ascii="Times New Roman" w:cs="Times New Roman" w:eastAsia="Times New Roman" w:hAnsi="Times New Roman"/>
          <w:sz w:val="22"/>
          <w:szCs w:val="22"/>
          <w:color w:val="auto"/>
        </w:rPr>
        <w:t>. The Seller and each of the Specified Brostmeyer Parties has the capacity, power and authority to enter into this Agreement, to consummate the transactions contemplated hereby and to take all other actions required to be taken by such Person pursuant to the provisions hereof. This Agreement has been duly executed and delivered by the Seller and each of the Specified Brostmeyer Parties, and constitutes (assuming due and valid authorization, execution and delivery hereof by the Purchaser) a valid and binding obligation of such Person, enforceable against such Person in accordance with its terms, except as limited by applicable bankruptcy, insolvency, reorganization, moratorium or other laws of general application relating to or affecting enforcement of creditors’ rights and by rules of law governing specific performance, injunctive relief or other equitable remedies.</w:t>
      </w:r>
    </w:p>
    <w:p>
      <w:pPr>
        <w:spacing w:after="0" w:line="19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Title To Purchased Shares</w:t>
      </w:r>
      <w:r>
        <w:rPr>
          <w:rFonts w:ascii="Times New Roman" w:cs="Times New Roman" w:eastAsia="Times New Roman" w:hAnsi="Times New Roman"/>
          <w:sz w:val="22"/>
          <w:szCs w:val="22"/>
          <w:color w:val="auto"/>
        </w:rPr>
        <w:t>. The Purchased Shares owned by the Seller represent all of the equity interests of the Acquired Companies owned by the Seller and the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0"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22"/>
          <w:szCs w:val="22"/>
          <w:color w:val="auto"/>
        </w:rPr>
        <w:t>Specified Brostmeyer Parties. The Seller is the record and beneficial owner of, and has good and marketable title to, the Purchased Shares, free and clear of any security interest, lien, pledge, hypothecation, charge, mortgage, encumbrance, equitable interest, claim, preference, right of possession, lease, license or restriction of any nature whatsoever (collectively, “</w:t>
      </w:r>
      <w:r>
        <w:rPr>
          <w:rFonts w:ascii="Times New Roman" w:cs="Times New Roman" w:eastAsia="Times New Roman" w:hAnsi="Times New Roman"/>
          <w:sz w:val="22"/>
          <w:szCs w:val="22"/>
          <w:b w:val="1"/>
          <w:bCs w:val="1"/>
          <w:i w:val="1"/>
          <w:iCs w:val="1"/>
          <w:color w:val="auto"/>
        </w:rPr>
        <w:t>Encumbrances</w:t>
      </w:r>
      <w:r>
        <w:rPr>
          <w:rFonts w:ascii="Times New Roman" w:cs="Times New Roman" w:eastAsia="Times New Roman" w:hAnsi="Times New Roman"/>
          <w:sz w:val="22"/>
          <w:szCs w:val="22"/>
          <w:color w:val="auto"/>
        </w:rPr>
        <w:t>”), except for restrictions on (i) transfer contained in the Other Agreements and (ii) resale under the Securities Act of 1933, as amended (the “</w:t>
      </w:r>
      <w:r>
        <w:rPr>
          <w:rFonts w:ascii="Times New Roman" w:cs="Times New Roman" w:eastAsia="Times New Roman" w:hAnsi="Times New Roman"/>
          <w:sz w:val="22"/>
          <w:szCs w:val="22"/>
          <w:b w:val="1"/>
          <w:bCs w:val="1"/>
          <w:i w:val="1"/>
          <w:iCs w:val="1"/>
          <w:color w:val="auto"/>
        </w:rPr>
        <w:t>1933 Act</w:t>
      </w:r>
      <w:r>
        <w:rPr>
          <w:rFonts w:ascii="Times New Roman" w:cs="Times New Roman" w:eastAsia="Times New Roman" w:hAnsi="Times New Roman"/>
          <w:sz w:val="22"/>
          <w:szCs w:val="22"/>
          <w:color w:val="auto"/>
        </w:rPr>
        <w:t>”) and other applicable securities laws (“</w:t>
      </w:r>
      <w:r>
        <w:rPr>
          <w:rFonts w:ascii="Times New Roman" w:cs="Times New Roman" w:eastAsia="Times New Roman" w:hAnsi="Times New Roman"/>
          <w:sz w:val="22"/>
          <w:szCs w:val="22"/>
          <w:b w:val="1"/>
          <w:bCs w:val="1"/>
          <w:i w:val="1"/>
          <w:iCs w:val="1"/>
          <w:color w:val="auto"/>
        </w:rPr>
        <w:t>Permitted Encumbrances</w:t>
      </w:r>
      <w:r>
        <w:rPr>
          <w:rFonts w:ascii="Times New Roman" w:cs="Times New Roman" w:eastAsia="Times New Roman" w:hAnsi="Times New Roman"/>
          <w:sz w:val="22"/>
          <w:szCs w:val="22"/>
          <w:color w:val="auto"/>
        </w:rPr>
        <w:t>”). Upon payment of the Purchase Price to the Seller, the Seller will convey to the Purchaser good and marketable title to the Purchased Shares, free and clear of all Encumbrances, except for Permitted Encumbrances.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delivery and performance by the Seller and each of the Specified Brostmeyer Parties of this Agreement, the consummation of the transactions contemplated hereby and the fulfillment of and compliance with the terms hereof by the Seller and each of the Specified Brostmeyer Parties do not (a) conflict with or result in a breach of the terms, conditions or provisions of, (b) constitute a default or event of default under (with due notice, lapse of time or both), (c) result in the creation of any Encumbrance upon any of the properties or assets of such Person, including, without limitation, the Purchased Shares, pursuant to, (d) give any third party the right to terminate, modify, accelerate or otherwise change any right or obligation under, (e) result in the material violation of or (f) require any authorization, consent, approval, exemption or other action by, notice to or filing with any Person pursuant to: (i) any applicable law or regulation, including, without limitation, community property laws (ii) any order, decree or judgment to which such Seller is subject or (iii) any contract to which such Person is a party or to which any of its properties or assets are subject, including, without limitation, the Purchased Shares (other than the Seller LLC Agreement (consent under which has been obtained) and the 2019 Transaction Documents).</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Pursuit of Claims</w:t>
      </w:r>
      <w:r>
        <w:rPr>
          <w:rFonts w:ascii="Times New Roman" w:cs="Times New Roman" w:eastAsia="Times New Roman" w:hAnsi="Times New Roman"/>
          <w:sz w:val="22"/>
          <w:szCs w:val="22"/>
          <w:color w:val="auto"/>
        </w:rPr>
        <w:t>. (a) As of the Effective Date, neither the Seller nor any of the Specified Brostmeyer Parties has filed, initiated, or prosecuted (or caused to be filed, initiated or prosecuted) and (b) following the Effective Date, neither the Seller nor any of the Specified Brostmeyer Parties shall file, initiate or prosecute (or cause to be filed, initiated or prosecuted) any lawsuit, arbitration, complaint, charge, action, compliance review, investigation or proceeding with respect to any Released Claim, whether as a named plaintiff, class member or otherwise. In the event of any such lawsuit, arbitration, complaint, charge, action, compliance review, investigation or proceeding with respect to any Released Claim, the Seller and each of the Specified Brostmeyer Parties covenants that such Person shall request any administrative agency or other body assuming jurisdiction of any such lawsuit, arbitration, complaint, charge, action, compliance review, investigation or proceeding to withdraw from the matter or to dismiss it with prejudice.</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Ownership of Claims</w:t>
      </w:r>
      <w:r>
        <w:rPr>
          <w:rFonts w:ascii="Times New Roman" w:cs="Times New Roman" w:eastAsia="Times New Roman" w:hAnsi="Times New Roman"/>
          <w:sz w:val="22"/>
          <w:szCs w:val="22"/>
          <w:color w:val="auto"/>
        </w:rPr>
        <w:t>. As of the Effective Date, neither the Seller nor any of the Specified Brostmeyer Parties has assigned or transferred (or attempted to assign or transfer) any of the Released Claims to any third party.</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Each of the Seller and the Specified Brostmeyer Parties acknowledges that neither the Purchaser, the Acquired Companies nor any of the other Released Parties believes, or has admitted, that it has committed any wrongdoing with respect to the Seller and the Specified Brostmeyer Parties, and each of the Seller and the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0" w:right="339" w:bottom="1440" w:gutter="0" w:footer="0" w:header="0"/>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22"/>
          <w:szCs w:val="22"/>
          <w:color w:val="auto"/>
        </w:rPr>
        <w:t>Specified Brostmeyer Parties agrees that at no time following the Effective Date shall it assert that the release of Released Claims contained in this Agreement constitutes an admission of wrongdoing by the Purchaser, the Acquired Companies or any other Released Party.</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Implementation</w:t>
      </w:r>
      <w:r>
        <w:rPr>
          <w:rFonts w:ascii="Times New Roman" w:cs="Times New Roman" w:eastAsia="Times New Roman" w:hAnsi="Times New Roman"/>
          <w:sz w:val="22"/>
          <w:szCs w:val="22"/>
          <w:color w:val="auto"/>
        </w:rPr>
        <w:t>. The Seller and each of the Specified Brostmeyer Parties agrees that, at all times following the Effective Date, it shall sign any and all documents, certificates and other instruments, and take any and all other actions reasonably requested by the Purchaser, either of the Acquired Companies or any other Released Party, necessary to implement the terms of this Agreement.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Dividends and Other Equity Distributions</w:t>
      </w:r>
      <w:r>
        <w:rPr>
          <w:rFonts w:ascii="Times New Roman" w:cs="Times New Roman" w:eastAsia="Times New Roman" w:hAnsi="Times New Roman"/>
          <w:sz w:val="22"/>
          <w:szCs w:val="22"/>
          <w:color w:val="auto"/>
        </w:rPr>
        <w:t>. The Seller and each of the Specified Brostmeyer Parties acknowledges and agrees that no dividends or other equity distributions declared prior to the Effective Date remain unpaid as of the Effective Date.</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Survival of Noncompetition and Nonsolicitation Provisions</w:t>
      </w:r>
      <w:r>
        <w:rPr>
          <w:rFonts w:ascii="Times New Roman" w:cs="Times New Roman" w:eastAsia="Times New Roman" w:hAnsi="Times New Roman"/>
          <w:sz w:val="22"/>
          <w:szCs w:val="22"/>
          <w:color w:val="auto"/>
        </w:rPr>
        <w:t xml:space="preserve">. Joseph Brostmeyer acknowledges and agrees that he remains subject to and bound by all of the agreements and covenants contained in (A) the Purchase Agreement, including, without limitation, the covenants contained in Section 6.3 of the Purchase Agreement, and will continue to remain subject to and bound by such covenants until such covenants expire in accordance with the terms of the Purchase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the avoidance of doubt, nothing contained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effect of extending or reviving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survival period or effectiveness of any provision, agreement or covenant contained in the Purchase Agreement that has expired in accordance with its terms; and (B) the Employment Agreement, including, without limitation, the noncompetition and nonsolicitation covenants in Section 9 thereof, and will continue to remain subject to and bound by such covenants until the second anniversary of the date his employment with the Purchaser terminates (or such later time as may be specified in the Employment Agreement). For the avoidance of doubt, notwithstanding the foregoing or anything to the contrary contained herein or in the Other Agreements, Joseph Brostmeyer, Shirley Brostmeyer, the Seller, any Specified Brostmeyer Party, and/or any Affiliate thereof shall be permitted to engage in any of the Permitted Activities (as defined in the Employment Agreement), none of which shall be deemed to violate the provisions of this Agreement or the Other Agreements.</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Investment Representations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 xml:space="preserve">3.10.1. </w:t>
      </w:r>
      <w:r>
        <w:rPr>
          <w:rFonts w:ascii="Times New Roman" w:cs="Times New Roman" w:eastAsia="Times New Roman" w:hAnsi="Times New Roman"/>
          <w:sz w:val="22"/>
          <w:szCs w:val="22"/>
          <w:u w:val="single" w:color="auto"/>
          <w:color w:val="auto"/>
        </w:rPr>
        <w:t>Purchase Entirely for Own Account</w:t>
      </w:r>
      <w:r>
        <w:rPr>
          <w:rFonts w:ascii="Times New Roman" w:cs="Times New Roman" w:eastAsia="Times New Roman" w:hAnsi="Times New Roman"/>
          <w:sz w:val="22"/>
          <w:szCs w:val="22"/>
          <w:color w:val="auto"/>
        </w:rPr>
        <w:t xml:space="preserve">. Each of the Specified Brostmeyer Parties acknowledges and agrees that the Purchaser Common Stock payable to the Seller pursuant to this Agreement will be acquired for the Seller’s own account, not as nominee or agent, and not with a view to the resale or distribution of any part thereof in violation of the 1933 Act. The Seller does not presently have any agreement, plan or understanding, directly or indirectly, with any Person to distribute or effect any distribution of any of the shares of Purchaser Common Stock (or any securities which are derivatives thereof) to or through any Person or entity. Neither the Seller nor any Specified Brostmeyer Party is, nor is any Affiliate of the Seller or any of the Specified Brostmeyer Parties, a broker-dealer registered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xml:space="preserve">)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or an entity engaged in a business that would require it to be so registered.</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0" w:right="339" w:bottom="1440" w:gutter="0" w:footer="0" w:header="0"/>
        </w:sectPr>
      </w:pPr>
    </w:p>
    <w:bookmarkStart w:id="45" w:name="page46"/>
    <w:bookmarkEnd w:id="45"/>
    <w:p>
      <w:pPr>
        <w:jc w:val="both"/>
        <w:ind w:firstLine="1944"/>
        <w:spacing w:after="0" w:line="251" w:lineRule="auto"/>
        <w:rPr>
          <w:sz w:val="20"/>
          <w:szCs w:val="20"/>
          <w:color w:val="auto"/>
        </w:rPr>
      </w:pPr>
      <w:r>
        <w:rPr>
          <w:rFonts w:ascii="Times New Roman" w:cs="Times New Roman" w:eastAsia="Times New Roman" w:hAnsi="Times New Roman"/>
          <w:sz w:val="22"/>
          <w:szCs w:val="22"/>
          <w:color w:val="auto"/>
        </w:rPr>
        <w:t xml:space="preserve">3.10.2.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The Seller and each of the Specified Brostmeyer Parties has substantial experience in evaluating and investing in companies similar to the Acquired Companies and the Purchaser so as to be able to evaluate the risks and merits of the Seller’s decision to sell the Purchased Shares in exchange for shares of Purchaser Common Stock. The Seller understands that the purchase of the shares of Purchaser Common Stock pursuant to this Agreement involves a substantial risk and acknowledges that it can bear the economic risk and complete loss of its investment in the Purchaser Common Stock.</w:t>
      </w:r>
    </w:p>
    <w:p>
      <w:pPr>
        <w:spacing w:after="0" w:line="181" w:lineRule="exact"/>
        <w:rPr>
          <w:sz w:val="20"/>
          <w:szCs w:val="20"/>
          <w:color w:val="auto"/>
        </w:rPr>
      </w:pPr>
    </w:p>
    <w:p>
      <w:pPr>
        <w:jc w:val="both"/>
        <w:ind w:firstLine="1944"/>
        <w:spacing w:after="0" w:line="247" w:lineRule="auto"/>
        <w:rPr>
          <w:sz w:val="20"/>
          <w:szCs w:val="20"/>
          <w:color w:val="auto"/>
        </w:rPr>
      </w:pPr>
      <w:r>
        <w:rPr>
          <w:rFonts w:ascii="Times New Roman" w:cs="Times New Roman" w:eastAsia="Times New Roman" w:hAnsi="Times New Roman"/>
          <w:sz w:val="22"/>
          <w:szCs w:val="22"/>
          <w:color w:val="auto"/>
        </w:rPr>
        <w:t xml:space="preserve">3.10.3.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The Seller and each of the Specified Brostmeyer Parties has (a) received and read the most recent consolidated financial statements of the Acquired Companies and has had an opportunity to discuss the Acquired Companies’ business, prospects, operations, management and financial affairs with directors, officers and members of management of the Acquired Companies and (b) received and read the most recent financial statements and any recent press releases of the Purchaser, and had the opportunity to ask questions of and receive answers from the senior management of Purchaser regarding the timing, terms and conditions of the Seller’s sale of Purchased Shares in exchange for shares of Purchaser Common Stock and cash pursuant to the terms of this Agreement. The Seller and each of the Specified Brostmeyer Parties has acknowledges that no officer, director, attorney, broker-dealer, placement agent, finder or other person affiliated with the Acquired Companies or Purchaser has given the Seller or any of the Specified Brostmeyer Parties any information or made any representations, oral or written, other than as expressly provided in this Agreement, on which the Seller and the Specified Brostmeyer Parties have relied upon in deciding to sell, or causing the Seller to sell, the Purchased Shares in exchange for shares of Purchaser Common Stock. Based on the information the Seller and the Specified Brostmeyer Parties have deemed appropriate, each has independently made its own analysis and decision to enter into this Agreement. The Seller and each of the Specified Brostmeyer Parties have sought their own independent accounting, legal and tax advice as they have considered necessary to make an informed decision with respect to the Seller’s sale of the Purchased Shares in exchange for shares of Purchaser Common Stock and cash pursuant to the terms of this Agreement.</w:t>
      </w:r>
    </w:p>
    <w:p>
      <w:pPr>
        <w:spacing w:after="0" w:line="19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 xml:space="preserve">3.10.4. </w:t>
      </w:r>
      <w:r>
        <w:rPr>
          <w:rFonts w:ascii="Times New Roman" w:cs="Times New Roman" w:eastAsia="Times New Roman" w:hAnsi="Times New Roman"/>
          <w:sz w:val="22"/>
          <w:szCs w:val="22"/>
          <w:u w:val="single" w:color="auto"/>
          <w:color w:val="auto"/>
        </w:rPr>
        <w:t>Restricted Securities</w:t>
      </w:r>
      <w:r>
        <w:rPr>
          <w:rFonts w:ascii="Times New Roman" w:cs="Times New Roman" w:eastAsia="Times New Roman" w:hAnsi="Times New Roman"/>
          <w:sz w:val="22"/>
          <w:szCs w:val="22"/>
          <w:color w:val="auto"/>
        </w:rPr>
        <w:t>. The Seller and each of the Specified Brostmeyer Parties understands that the shares of Purchaser Common Stock to be issued to the Seller hereunder are characterized as “restricted securities” under the U.S. federal securities laws inasmuch as they are being acquired from the Purchaser in a transaction not involving a public offering and that under such laws and applicable regulations such shares of Purchaser Common Stock may be resold without registration under the 1933 Act only in certain limited circumstances.</w:t>
      </w:r>
    </w:p>
    <w:p>
      <w:pPr>
        <w:spacing w:after="0" w:line="179" w:lineRule="exact"/>
        <w:rPr>
          <w:sz w:val="20"/>
          <w:szCs w:val="20"/>
          <w:color w:val="auto"/>
        </w:rPr>
      </w:pPr>
    </w:p>
    <w:p>
      <w:pPr>
        <w:jc w:val="both"/>
        <w:ind w:firstLine="1944"/>
        <w:spacing w:after="0" w:line="271" w:lineRule="auto"/>
        <w:rPr>
          <w:sz w:val="20"/>
          <w:szCs w:val="20"/>
          <w:color w:val="auto"/>
        </w:rPr>
      </w:pPr>
      <w:r>
        <w:rPr>
          <w:rFonts w:ascii="Times New Roman" w:cs="Times New Roman" w:eastAsia="Times New Roman" w:hAnsi="Times New Roman"/>
          <w:sz w:val="22"/>
          <w:szCs w:val="22"/>
          <w:color w:val="auto"/>
        </w:rPr>
        <w:t xml:space="preserve">3.10.5. </w:t>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It is understood that the shares of Purchaser Common Stock to be issued to the Seller pursuant to the terms of this Agreement may bear the following or any similar legend:</w:t>
      </w:r>
    </w:p>
    <w:p>
      <w:pPr>
        <w:spacing w:after="0" w:line="158"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22"/>
          <w:szCs w:val="22"/>
          <w:color w:val="auto"/>
        </w:rPr>
        <w:t>3.10.5.1. “THESE SECURITIES HAVE NOT BEEN REGISTERED UNDER THE SECURITIES ACT OF 1933, AS AMENDED (THE “SECURITIES ACT”), OR APPLICABLE STATE SECURITIES LAWS. THE SECURITIES MAY NOT BE OFFERED FOR SALE, SOLD, TRANSFERRED OR ASSIGNED (I) IN THE ABSENCE OF (A) AN EFFECTIVE REGISTRATION</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60" w:right="339" w:bottom="1440" w:gutter="0" w:footer="0" w:header="0"/>
        </w:sectPr>
      </w:pPr>
    </w:p>
    <w:bookmarkStart w:id="46" w:name="page47"/>
    <w:bookmarkEnd w:id="46"/>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AND ITS TRANSFER AGENT OR (II) UNLESS SOLD PURSUANT TO RULE 144 UNDER THE SECURITIES ACT.”</w:t>
      </w:r>
    </w:p>
    <w:p>
      <w:pPr>
        <w:spacing w:after="0" w:line="181" w:lineRule="exact"/>
        <w:rPr>
          <w:sz w:val="20"/>
          <w:szCs w:val="20"/>
          <w:color w:val="auto"/>
        </w:rPr>
      </w:pPr>
    </w:p>
    <w:p>
      <w:pPr>
        <w:jc w:val="both"/>
        <w:ind w:left="660" w:firstLine="1944"/>
        <w:spacing w:after="0" w:line="271" w:lineRule="auto"/>
        <w:rPr>
          <w:sz w:val="20"/>
          <w:szCs w:val="20"/>
          <w:color w:val="auto"/>
        </w:rPr>
      </w:pPr>
      <w:r>
        <w:rPr>
          <w:rFonts w:ascii="Times New Roman" w:cs="Times New Roman" w:eastAsia="Times New Roman" w:hAnsi="Times New Roman"/>
          <w:sz w:val="22"/>
          <w:szCs w:val="22"/>
          <w:color w:val="auto"/>
        </w:rPr>
        <w:t>3.10.5.2. If required by the governmental authorities of any state in connection with the sale of the shares of Purchaser Common Stock, the legend required by such state authority.</w:t>
      </w:r>
    </w:p>
    <w:p>
      <w:pPr>
        <w:spacing w:after="0" w:line="171"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color w:val="auto"/>
        </w:rPr>
        <w:t xml:space="preserve">3.10.6. </w:t>
      </w: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At the time the Seller was offered the shares of Purchaser Common Stock pursuant to this Agreement, it was, and as of the date hereof is, an “accredited investor” within the meaning of Rule 501 under the 1933 Act and has executed and delivered to the Purchaser its Investor Questionnaire, which the Seller represents and warrants is true, correct and complete. The Seller is capable of properly evaluating the risks and merits of the Seller’s purchase of the shares of Purchaser Common Stock pursuant to the terms of this Agreement.</w:t>
      </w:r>
    </w:p>
    <w:p>
      <w:pPr>
        <w:spacing w:after="0" w:line="181"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2"/>
          <w:szCs w:val="22"/>
          <w:color w:val="auto"/>
        </w:rPr>
        <w:t xml:space="preserve">3.10.7. </w:t>
      </w: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The Seller and each of the Specified Brostmeyer Parties represents that it did not learn of the investment in the shares of Purchaser Common Stock as a result of any general solicitation or general advertising.</w:t>
      </w:r>
    </w:p>
    <w:p>
      <w:pPr>
        <w:spacing w:after="0" w:line="16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2"/>
          <w:szCs w:val="22"/>
          <w:color w:val="auto"/>
        </w:rPr>
        <w:t xml:space="preserve">3.10.8. </w:t>
      </w:r>
      <w:r>
        <w:rPr>
          <w:rFonts w:ascii="Times New Roman" w:cs="Times New Roman" w:eastAsia="Times New Roman" w:hAnsi="Times New Roman"/>
          <w:sz w:val="22"/>
          <w:szCs w:val="22"/>
          <w:u w:val="single" w:color="auto"/>
          <w:color w:val="auto"/>
        </w:rPr>
        <w:t>Consultation With Own Advisors</w:t>
      </w:r>
      <w:r>
        <w:rPr>
          <w:rFonts w:ascii="Times New Roman" w:cs="Times New Roman" w:eastAsia="Times New Roman" w:hAnsi="Times New Roman"/>
          <w:sz w:val="22"/>
          <w:szCs w:val="22"/>
          <w:color w:val="auto"/>
        </w:rPr>
        <w:t>. The Seller and each of the Specified Brostmeyer Parties has been advised to consult with such Person’s own attorney and other financial and tax advisers regarding all legal matters concerning an investment in the Purchaser and the tax consequences of the Seller’s purchasing the shares of Purchaser Common Stock pursuant to the terms of this Agreement, and has done so, to the extent such Person considers necessary.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No Person will have, as a result of the transactions contemplated by this Agreement, any valid right, interest or claim against or upon the Seller or any of the Specified Brostmeyer Parties for any commission, fee or other compensation pursuant to any agreement, arrangement or understanding entered into by or on behalf of such Person.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No Rule 506 Disqualifying Activities</w:t>
      </w:r>
      <w:r>
        <w:rPr>
          <w:rFonts w:ascii="Times New Roman" w:cs="Times New Roman" w:eastAsia="Times New Roman" w:hAnsi="Times New Roman"/>
          <w:sz w:val="22"/>
          <w:szCs w:val="22"/>
          <w:color w:val="auto"/>
        </w:rPr>
        <w:t>. The Seller and each of the Specified Brostmeyer Parties represents that it has not taken any of the actions set forth in, and is not subject to, the disqualification provisions of Rule 506(d)(1) of the 1933 Act.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Residency</w:t>
      </w:r>
      <w:r>
        <w:rPr>
          <w:rFonts w:ascii="Times New Roman" w:cs="Times New Roman" w:eastAsia="Times New Roman" w:hAnsi="Times New Roman"/>
          <w:sz w:val="22"/>
          <w:szCs w:val="22"/>
          <w:color w:val="auto"/>
        </w:rPr>
        <w:t>. The Seller and each of the Specified Brostmeyer Parties is a resident of the jurisdiction specified below its address on the signature page hereto.</w:t>
      </w:r>
    </w:p>
    <w:p>
      <w:pPr>
        <w:spacing w:after="0" w:line="15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Waiver of Registration Rights</w:t>
      </w:r>
      <w:r>
        <w:rPr>
          <w:rFonts w:ascii="Times New Roman" w:cs="Times New Roman" w:eastAsia="Times New Roman" w:hAnsi="Times New Roman"/>
          <w:sz w:val="22"/>
          <w:szCs w:val="22"/>
          <w:color w:val="auto"/>
        </w:rPr>
        <w:t>. The Seller and each of the Specified Brostmeyer Parties each hereby waives, with respect to the Purchaser Common Stock to be issued to the Seller pursuant to this Agreement, (a) the registration rights described in Section 3.2(i) of the Exchange Agreement, (b) the registration rights described in Section 6.10 of the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60"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22"/>
          <w:szCs w:val="22"/>
          <w:color w:val="auto"/>
        </w:rPr>
        <w:t>Purchase Agreement, (c) the registration rights described in Section 4.7 of the First Equity Purchase Agreement, (d) any similar right provided under the Other Agreements or any other agreement entered into by or among the parties hereto, and (e) any related notice or procedural right in connection therewith.</w:t>
      </w:r>
    </w:p>
    <w:p>
      <w:pPr>
        <w:spacing w:after="0" w:line="186" w:lineRule="exact"/>
        <w:rPr>
          <w:sz w:val="20"/>
          <w:szCs w:val="20"/>
          <w:color w:val="auto"/>
        </w:rPr>
      </w:pPr>
    </w:p>
    <w:p>
      <w:pPr>
        <w:jc w:val="both"/>
        <w:ind w:firstLine="656"/>
        <w:spacing w:after="0" w:line="25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Warranties and Covenants of the Purchaser</w:t>
      </w:r>
      <w:r>
        <w:rPr>
          <w:rFonts w:ascii="Times New Roman" w:cs="Times New Roman" w:eastAsia="Times New Roman" w:hAnsi="Times New Roman"/>
          <w:sz w:val="22"/>
          <w:szCs w:val="22"/>
          <w:color w:val="auto"/>
        </w:rPr>
        <w:t>. In connection with the terms and conditions set forth in this Agreement, the Purchaser hereby represents, warrants and covenants to and for the benefit of the Seller and each of the Specified Brostmeyer Parties as follows:</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Authority; Valid Issuance of Purchaser Common Stock</w:t>
      </w:r>
      <w:r>
        <w:rPr>
          <w:rFonts w:ascii="Times New Roman" w:cs="Times New Roman" w:eastAsia="Times New Roman" w:hAnsi="Times New Roman"/>
          <w:sz w:val="22"/>
          <w:szCs w:val="22"/>
          <w:color w:val="auto"/>
        </w:rPr>
        <w:t>. The Purchaser has the full corporate power and authority to enter into this Agreement, to consummate the transactions contemplated hereby and to take all other actions required to be taken by it pursuant to the provisions hereof. The execution, delivery and performance by the Purchaser of this Agreement and the consummation by the Purchaser of the transactions contemplated hereby have been duly authorized by all necessary action on the part of the Purchaser. This Agreement has been duly executed and delivered by the Purchaser and constitutes (assuming due and valid authorization, execution and delivery hereof by the Seller and each of the Specified Brostmeyer Parties) a valid and binding obligation of the Purchaser, enforceable against the Purchaser in accordance with its terms, except as limited by applicable bankruptcy, insolvency, reorganization, moratorium or other laws of general application relating to or affecting enforcement of creditors’ rights and by rules of law governing specific performance, injunctive relief or other equitable remedies. The Purchaser Common Stock has been duly authorized and, when issued and paid for in accordance with the terms of this Agreement, will be validly issued to the Seller, free of any Encumbrances imposed by Purchaser, except for restrictions on transfer provided for herein and under the 1933 Act or other applicable securities laws.</w:t>
      </w:r>
    </w:p>
    <w:p>
      <w:pPr>
        <w:spacing w:after="0" w:line="1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The execution, delivery and performance by the Purchaser of this Agreement, the consummation of the transactions contemplated hereby and the fulfillment of and compliance with the terms hereof by the Purchaser do not (a) conflict with or result in a breach of the terms, conditions or provisions of, (b) constitute a default or event of default under (with due notice, lapse of time or both), (c) result in the creation of any Encumbrance upon any of the properties or assets of the Purchaser pursuant to, (d) give any third party the right to terminate, modify, accelerate or otherwise change any right or obligation under, (e) result in the violation of or (f) require any authorization, consent, approval, exemption or other action by, notice to or filing with any person or entity pursuant to: (i) the organizational documents of the Purchaser, (ii) any applicable law or regulation, (iii) any order, decree or judgment to which the Purchaser is subject or (iv) any contract to which the Purchaser is a party or to which any of its properties or assets are subject, except for filings with the SEC, notifications to NASDAQ and filings under state securities or “blue sky” laws and except where the failure to obtain such consent, approval, authorization or action or to make such filing or notification would not be reasonably expected to be material to Purchaser.</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True and complete copies of the Purchaser’s filings with the SEC are available to the Sellers through the Electronic Data Gathering, Analysis and Retrieval system (other than any information for which the Purchaser has received confidential treatment from the SEC). The Purchaser has filed all reports, schedules, forms, statements and other</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0" w:right="339" w:bottom="1440" w:gutter="0" w:footer="0" w:header="0"/>
        </w:sectPr>
      </w:pPr>
    </w:p>
    <w:bookmarkStart w:id="48" w:name="page49"/>
    <w:bookmarkEnd w:id="4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documents required to be filed by the Purchaser under the 1933 Act and the 1934 Act, including pursuant to Section 13(a) or 15(d) thereof (the foregoing materials, including the exhibits thereto and documents incorporated by reference therein, being collectively referred to herein as the </w:t>
      </w:r>
      <w:r>
        <w:rPr>
          <w:rFonts w:ascii="Times New Roman" w:cs="Times New Roman" w:eastAsia="Times New Roman" w:hAnsi="Times New Roman"/>
          <w:sz w:val="22"/>
          <w:szCs w:val="22"/>
          <w:b w:val="1"/>
          <w:bCs w:val="1"/>
          <w:i w:val="1"/>
          <w:iCs w:val="1"/>
          <w:color w:val="auto"/>
        </w:rPr>
        <w:t>“SEC Filings”</w:t>
      </w:r>
      <w:r>
        <w:rPr>
          <w:rFonts w:ascii="Times New Roman" w:cs="Times New Roman" w:eastAsia="Times New Roman" w:hAnsi="Times New Roman"/>
          <w:sz w:val="22"/>
          <w:szCs w:val="22"/>
          <w:color w:val="auto"/>
        </w:rPr>
        <w:t>), for the twelve (12) months preceding the date hereof. At the time of filing thereof, the SEC Filings complied as to form in all material respects with the requirements of the 1933 Act or 1934 Act, as applicable, and, as of their respective dates, did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Compliance with NASDAQ Continued Listing Requirements</w:t>
      </w:r>
      <w:r>
        <w:rPr>
          <w:rFonts w:ascii="Times New Roman" w:cs="Times New Roman" w:eastAsia="Times New Roman" w:hAnsi="Times New Roman"/>
          <w:sz w:val="22"/>
          <w:szCs w:val="22"/>
          <w:color w:val="auto"/>
        </w:rPr>
        <w:t>. The Purchaser is in compliance with applicable NASDAQ continued listing requirements. There are no proceedings pending or, to the Purchaser’s knowledge, threatened against the Purchaser relating to the continued listing of the Purchaser Common Stock on NASDAQ and the Purchaser has not received any notice of, nor, to the Purchaser’s knowledge, is there any reasonable basis for, the delisting of the Purchaser Common Stock from NASDAQ.</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Neither the Purchaser nor any of its Affiliates, nor any Person acting on its or their behalf has, directly or indirectly, made any offers or sales of any Purchaser security or solicited any offers to buy any Purchaser security, under circumstances that would adversely affect reliance by the Purchaser on Section 4(a)(2) of the 1933 Act for the exemption from registration for the transactions contemplated hereby or would require registration of the shares of Purchaser Common Stock to be purchased hereunder under the 1933 Act.</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Private Placement</w:t>
      </w:r>
      <w:r>
        <w:rPr>
          <w:rFonts w:ascii="Times New Roman" w:cs="Times New Roman" w:eastAsia="Times New Roman" w:hAnsi="Times New Roman"/>
          <w:sz w:val="22"/>
          <w:szCs w:val="22"/>
          <w:color w:val="auto"/>
        </w:rPr>
        <w:t xml:space="preserve">. Assuming the accuracy of the representations and warranties of the Seller and each of the Specified Brostmeyer Parties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offer and sale of the shares of Purchaser Common Stock to the Seller as contemplated hereby is exempt from the registration requirements of the 1933 Act. The issuance and sale of the shares of Purchaser Common Stock hereunder does not contravene the rules and regulations of NASDAQ.</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The Purchaser shall reasonably cooperate, and cause the Transfer Agent to reasonably cooperate, with the Seller in connection with the resale of the Purchaser Common Stock pursuant to Rule 144 promulgated under the 1933 Act or any similar or analogous replacement rule promulgated under the 1933 Act; provided, however, that nothing in this Agreement shall obligate the Purchaser to remain a public reporting company.</w:t>
      </w:r>
    </w:p>
    <w:p>
      <w:pPr>
        <w:spacing w:after="0" w:line="17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or other communications required or permitted hereunder shall be given to the appropriate party at the address of such party set forth on the signature pages hereto or at such other address as such party shall specify by ten (10) days advance written notice to the other parties hereto. Such notice shall be in writing and shall be deemed given: (a) upon personal delivery; (b) upon delivery by email with receipt confirmed if sent during normal business hours; if not, then on the next Business Day; (c) if sent by certified or registered mail, postage prepaid, three (3) days after the date of mailing; or (d) one (1) day</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color w:val="auto"/>
        </w:rPr>
        <w:t>after deposit with a nationally-recognized overnight courier, specifying next day delivery, prepaid and with verification of receipt.</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Section and other headings contained in this Agreement are for convenience of reference only and shall not affect in any way the meaning or interpretation of this Agreement.</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parties hereto agree that any rule of construction to the effect that ambiguities are to be resolved against the drafting party shall not be applied in the construction or interpretation of this Agreement. Unless the context indicates otherwise, the term “or” shall be deemed to include the term “and” and the singular or plural number shall be deemed to include the other.</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in all respects, by the laws of the State of Delaware, irrespective of its choice of law rules. Any and all legal proceedings arising hereunder shall be heard and resolved exclusively in the state and federal courts located in Wilmington, Delaware. Each party hereto hereby waives any objection it may have to commencement or transfer of any such proceeding to either of said venue and hereby affirmatively consents to the same.</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The parties hereto acknowledge and agree that irreparable harm would occur in the event of any breach of this Agreement and that, as a result, there can be no adequate remedy at law for any breach of a party’s obligations hereunder. Accordingly, the parties expressly agree that, upon any breach or threatened breach of this Agreement by any party, the other parties hereto shall be entitled to obtain injunctive relief, including specific performance, in addition to any available remedies at law, from any court of competent jurisdiction, wherever located, without the requirement of posting a bond.</w:t>
      </w:r>
    </w:p>
    <w:p>
      <w:pPr>
        <w:spacing w:after="0" w:line="1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the heirs, personal representatives, successors, assigns, executors, and administrators of each party hereto, and inures to the benefit of each party hereto, and its agents, directors, officers, employees, heirs, successors and assigns.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amendments or additions to this Agreement shall be binding unless made in writing and signed by all the parties hereto.</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provisions of this Agreement are held to be unenforceable under applicable law, each such provision shall be excluded from this Agreement and the balance of the Agreement shall be interpreted as if such provision were so excluded and shall be enforceable in accordance with its terms.</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are intended by the parties hereto to be the final and exclusive expression of their agreement with respect to the subject matter hereof and may not be contradicted by evidence of any prior or contemporaneous agreement, any and all of which are superseded hereby. The parties further intend that this Agreement, together with the Other Agreements, shall constitute the complete and exclusive statement of its terms and that no extrinsic evidence whatsoever may be introduced in any</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0"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2"/>
          <w:szCs w:val="22"/>
          <w:color w:val="auto"/>
        </w:rPr>
        <w:t>judicial, administrative or other legal proceeding involving this Agreement. Each of the parties hereto acknowledges and agrees that it was not relying on any representations of the other party hereto that were not contained in this Agreement and that, except as expressly set forth in this Agreement, each of the Other Agreements shall continue in full force and effect, in accordance with its respective terms. In the event of any conflict between the terms of this Agreement and the terms of any Other Agreement, the terms of this Agreement shall govern and control.</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Confidentiality of Agreement</w:t>
      </w:r>
      <w:r>
        <w:rPr>
          <w:rFonts w:ascii="Times New Roman" w:cs="Times New Roman" w:eastAsia="Times New Roman" w:hAnsi="Times New Roman"/>
          <w:sz w:val="22"/>
          <w:szCs w:val="22"/>
          <w:color w:val="auto"/>
        </w:rPr>
        <w:t>. The terms of this Agreement shall be kept confidential by the parties hereto. Notwithstanding the foregoing, the terms of this Agreement may be disclosed if such disclosure is required: (a) in response to an order or subpoena of a court of competent jurisdiction or as required by law, in which event immediate written notice shall be given to each of the other parties hereto; (b) in response to an inquiry or order issued by a state or federal agency of competent jurisdiction, in which event immediate written notice shall be given to each of the other parties hereto; (c) to the parties’ respective legal, tax and financial advisors, (d) to the extent necessary to report to appropriate regulatory authorities, including the United States Securities and Exchange Commission and the Nasdaq Stock Market, and in other related dealings with regulatory authorities; (e) to the extent necessary to report income to appropriate taxing authorities and in other related dealings with taxing authorities; or (f) in connection with any litigation between any of the parties hereto regarding enforcement or interpretation of this Agreement.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Fees &amp; Expenses</w:t>
      </w:r>
      <w:r>
        <w:rPr>
          <w:rFonts w:ascii="Times New Roman" w:cs="Times New Roman" w:eastAsia="Times New Roman" w:hAnsi="Times New Roman"/>
          <w:sz w:val="22"/>
          <w:szCs w:val="22"/>
          <w:color w:val="auto"/>
        </w:rPr>
        <w:t>. The parties hereto agree to bear their own costs, attorneys’ fees and related expenses associated with this Agreement. In the event of a dispute between the parties hereto arising out of the terms and conditions of this Agreement, the party that substantially prevails in such dispute shall be entitled to recover reasonable attorneys’ fees and court costs from the non-prevailing party.</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Legal Counsel</w:t>
      </w:r>
      <w:r>
        <w:rPr>
          <w:rFonts w:ascii="Times New Roman" w:cs="Times New Roman" w:eastAsia="Times New Roman" w:hAnsi="Times New Roman"/>
          <w:sz w:val="22"/>
          <w:szCs w:val="22"/>
          <w:color w:val="auto"/>
        </w:rPr>
        <w:t>. The parties hereto acknowledge that they have consulted with legal counsel of their choosing, or were given the opportunity to consult with legal counsel, before entering into this Agreement, that they have read this Agreement, that they know and understand its contents, and that they execute this Agreement freely and voluntarily.</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parties hereto agree to cooperate in good faith and execute any documents reasonably necessary to effectuate and/or consummate the terms of this Agreement.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counterpart of the signature page to this Agreement by email, facsimile, portable document format (pdf) or any electronic signature complying with the U.S. federal ESIGN Act of 2000 (including DocuSign) shall be as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424242"/>
        </w:rPr>
        <w:t>[The remainder of this page is intentionally left blank]</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424242"/>
        </w:rPr>
        <w:t>IN WITNESS WHEREOF, the parties hereto have executed this Equity Purchase Agreement as of the Effective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24242"/>
        </w:rPr>
        <w:t>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Kratos Defense &amp; Security Solutions, Inc.</w:t>
      </w:r>
    </w:p>
    <w:p>
      <w:pPr>
        <w:spacing w:after="0" w:line="2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Marie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584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Marie Mendoza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10680 Treena Street,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220"/>
        <w:spacing w:after="0"/>
        <w:rPr>
          <w:sz w:val="20"/>
          <w:szCs w:val="20"/>
          <w:color w:val="auto"/>
        </w:rPr>
      </w:pPr>
      <w:r>
        <w:rPr>
          <w:rFonts w:ascii="Times New Roman" w:cs="Times New Roman" w:eastAsia="Times New Roman" w:hAnsi="Times New Roman"/>
          <w:sz w:val="22"/>
          <w:szCs w:val="22"/>
          <w:color w:val="auto"/>
        </w:rPr>
        <w:t>San Diego, CA 92131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Marie Mendoza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marie.mendoza@kratosdefense.com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Sheppard, Mullin, Richter &amp; Hampton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1540 El Camino Real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120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Jason Schendel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JSchendel@sheppardmullin.com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Pegasus Residual, LLC</w:t>
      </w:r>
    </w:p>
    <w:p>
      <w:pPr>
        <w:spacing w:after="0" w:line="2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Joseph D. Brostmeyer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790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Joseph D.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ectPr>
          <w:pgSz w:w="11900" w:h="16838" w:orient="portrait"/>
          <w:cols w:equalWidth="0" w:num="1">
            <w:col w:w="10960"/>
          </w:cols>
          <w:pgMar w:left="320" w:top="142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[Signature Page to Equity Purchase Agreement]</w:t>
      </w:r>
    </w:p>
    <w:p>
      <w:pPr>
        <w:sectPr>
          <w:pgSz w:w="11900" w:h="16838" w:orient="portrait"/>
          <w:cols w:equalWidth="0" w:num="1">
            <w:col w:w="10960"/>
          </w:cols>
          <w:pgMar w:left="320" w:top="1422" w:right="619" w:bottom="1440" w:gutter="0" w:footer="0" w:header="0"/>
          <w:type w:val="continuous"/>
        </w:sectPr>
      </w:pPr>
    </w:p>
    <w:bookmarkStart w:id="52" w:name="page53"/>
    <w:bookmarkEnd w:id="52"/>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SPECIFIED BROSTMEYER PARTIES: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_/s/ Joseph D. Brostmeyer</w:t>
      </w:r>
      <w:r>
        <w:rPr>
          <w:rFonts w:ascii="Times New Roman" w:cs="Times New Roman" w:eastAsia="Times New Roman" w:hAnsi="Times New Roman"/>
          <w:sz w:val="22"/>
          <w:szCs w:val="22"/>
          <w:color w:val="auto"/>
        </w:rPr>
        <w:t xml:space="preserve"> 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Joseph D. Brostmeyer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88"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 Shirley C. Brostmeyer</w:t>
      </w:r>
      <w:r>
        <w:rPr>
          <w:rFonts w:ascii="Times New Roman" w:cs="Times New Roman" w:eastAsia="Times New Roman" w:hAnsi="Times New Roman"/>
          <w:sz w:val="22"/>
          <w:szCs w:val="22"/>
          <w:color w:val="auto"/>
        </w:rPr>
        <w:t xml:space="preserve"> _________________</w:t>
      </w:r>
    </w:p>
    <w:p>
      <w:pPr>
        <w:spacing w:after="0" w:line="27"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Shirley C. Brostmeyer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Shirley C. Brostmeyer Revocable Trust u/a/d August 25, 2002, as amended and restated August 13, 2014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_ /s/ Shirley C. Brostmeyer</w:t>
      </w:r>
      <w:r>
        <w:rPr>
          <w:rFonts w:ascii="Times New Roman" w:cs="Times New Roman" w:eastAsia="Times New Roman" w:hAnsi="Times New Roman"/>
          <w:sz w:val="22"/>
          <w:szCs w:val="22"/>
          <w:color w:val="auto"/>
        </w:rPr>
        <w:t xml:space="preserve"> 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Shirley C.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_/s/ Joseph D. Brostmeyer 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Joseph D. Brostmeyer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0139"/>
          </w:cols>
          <w:pgMar w:left="320" w:top="144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b w:val="1"/>
          <w:bCs w:val="1"/>
          <w:color w:val="auto"/>
        </w:rPr>
        <w:t>The Joseph D. Brostmeyer Revocable Trust u/a/d August 25, 2002, as amended and restated August 13, 2014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 /s/ Joseph D. Brostmeyer</w:t>
      </w:r>
      <w:r>
        <w:rPr>
          <w:rFonts w:ascii="Times New Roman" w:cs="Times New Roman" w:eastAsia="Times New Roman" w:hAnsi="Times New Roman"/>
          <w:sz w:val="22"/>
          <w:szCs w:val="22"/>
          <w:color w:val="auto"/>
        </w:rPr>
        <w:t xml:space="preserve"> 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Joseph D. Brostmeyer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 /s/ Shirley C. Brostmeyer 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Shirley C.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Shirley Brostmeyer 2018 Family Trust u/a/d December 17, 2018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 /s/ Joseph D. Brostmeyer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1413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Joseph D. Brostmeyer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 /s/ [**********]__________________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pacing w:after="0" w:line="3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0139"/>
          </w:cols>
          <w:pgMar w:left="320" w:top="141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The Joseph D Brostmeyer 2018 Irrevocable Trust u/a/d December 17, 2018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 /s/ Shirley C.</w:t>
      </w:r>
      <w:r>
        <w:rPr>
          <w:rFonts w:ascii="Times New Roman" w:cs="Times New Roman" w:eastAsia="Times New Roman" w:hAnsi="Times New Roman"/>
          <w:sz w:val="22"/>
          <w:szCs w:val="22"/>
          <w:color w:val="auto"/>
        </w:rPr>
        <w:t xml:space="preserve"> Brostmeyer 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Shirley C. Brostmeyer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____/s/</w:t>
      </w:r>
      <w:r>
        <w:rPr>
          <w:rFonts w:ascii="Times New Roman" w:cs="Times New Roman" w:eastAsia="Times New Roman" w:hAnsi="Times New Roman"/>
          <w:sz w:val="22"/>
          <w:szCs w:val="22"/>
          <w:color w:val="auto"/>
        </w:rPr>
        <w:t xml:space="preserve"> </w:t>
      </w:r>
      <w:r>
        <w:rPr>
          <w:rFonts w:ascii="Arial" w:cs="Arial" w:eastAsia="Arial" w:hAnsi="Arial"/>
          <w:sz w:val="17"/>
          <w:szCs w:val="17"/>
          <w:u w:val="single" w:color="auto"/>
          <w:color w:val="auto"/>
        </w:rPr>
        <w:t>[**********]</w:t>
      </w:r>
      <w:r>
        <w:rPr>
          <w:rFonts w:ascii="Times New Roman" w:cs="Times New Roman" w:eastAsia="Times New Roman" w:hAnsi="Times New Roman"/>
          <w:sz w:val="22"/>
          <w:szCs w:val="22"/>
          <w:u w:val="single" w:color="auto"/>
          <w:color w:val="auto"/>
        </w:rPr>
        <w:t>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Name: </w:t>
      </w:r>
      <w:r>
        <w:rPr>
          <w:rFonts w:ascii="Arial" w:cs="Arial" w:eastAsia="Arial" w:hAnsi="Arial"/>
          <w:sz w:val="17"/>
          <w:szCs w:val="17"/>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122 Pegasus Drive, Jupiter, FL 33477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Brostmeyer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joe2025@gmx.com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(which shall not constitute notice) to: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Alston &amp; Bird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Atlantic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West Peachtree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30309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Jeremy C. Silverman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jeremy.silverman@alston.com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0139"/>
          </w:cols>
          <w:pgMar w:left="320" w:top="1418"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2023 EBITDA</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$18,860,271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019"/>
          </w:cols>
          <w:pgMar w:left="1440" w:top="1418"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Stock Power</w:t>
      </w:r>
    </w:p>
    <w:p>
      <w:pPr>
        <w:spacing w:after="0" w:line="200" w:lineRule="exact"/>
        <w:rPr>
          <w:sz w:val="20"/>
          <w:szCs w:val="20"/>
          <w:color w:val="auto"/>
        </w:rPr>
      </w:pPr>
    </w:p>
    <w:p>
      <w:pPr>
        <w:spacing w:after="0" w:line="290" w:lineRule="exact"/>
        <w:rPr>
          <w:sz w:val="20"/>
          <w:szCs w:val="20"/>
          <w:color w:val="auto"/>
        </w:rPr>
      </w:pPr>
    </w:p>
    <w:p>
      <w:pPr>
        <w:jc w:val="both"/>
        <w:ind w:firstLine="260"/>
        <w:spacing w:after="0" w:line="251" w:lineRule="auto"/>
        <w:rPr>
          <w:sz w:val="20"/>
          <w:szCs w:val="20"/>
          <w:color w:val="auto"/>
        </w:rPr>
      </w:pPr>
      <w:r>
        <w:rPr>
          <w:rFonts w:ascii="Times New Roman" w:cs="Times New Roman" w:eastAsia="Times New Roman" w:hAnsi="Times New Roman"/>
          <w:sz w:val="22"/>
          <w:szCs w:val="22"/>
          <w:color w:val="auto"/>
        </w:rPr>
        <w:t>For value received, Pegasus Residual, LLC, a Delaware limited liability company (the “Seller”), does hereby sell, assign and transfer unto Kratos Defense &amp; Security Solutions, Inc., a Delaware corporation, 1,047.335 shares of Class B Common Stock, par value $.001 per share (the “Common Stock”), of KTT Core, Inc., a Delaware corporation (the “Company”), standing in the name of the Seller on the books of the Company represented by the stock certificates herewith and does hereby irrevocably constitute and appoint the Secretary of the Company as the Seller’s attorney to transfer such shares of Common Stock on the books of the Company with full power of substitution in the premises.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21, 2024</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Pegasus Residual, LLC</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By:___/s/ Joseph Brostmeyer 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Joseph Brostmeyer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8"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Investor Questionnaire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t>
      </w:r>
    </w:p>
    <w:p>
      <w:pPr>
        <w:sectPr>
          <w:pgSz w:w="11900" w:h="16838" w:orient="portrait"/>
          <w:cols w:equalWidth="0" w:num="1">
            <w:col w:w="9019"/>
          </w:cols>
          <w:pgMar w:left="1440" w:top="1418"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660" w:right="200" w:hanging="652"/>
        <w:spacing w:after="0" w:line="25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300" w:hanging="644"/>
        <w:spacing w:after="0" w:line="260"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53"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53"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6"/>
          <w:szCs w:val="16"/>
          <w:color w:val="auto"/>
        </w:rPr>
      </w:pPr>
    </w:p>
    <w:p>
      <w:pPr>
        <w:ind w:left="1300" w:right="80" w:hanging="644"/>
        <w:spacing w:after="0" w:line="267"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7,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2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200" w:hanging="652"/>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53"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7, 2024</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ind w:right="8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June 30, 2024 (the “Report”), I, Eric M. DeMarco,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7,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jc w:val="both"/>
        <w:ind w:right="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June 30, 2024 (the “Report”), I, Deanna H. Lund,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7,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6"/>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Roman"/>
      <w:start w:val="10"/>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decimal"/>
      <w:start w:val="4"/>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_"/>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5" Type="http://schemas.openxmlformats.org/officeDocument/2006/relationships/hyperlink" Target="https://www.sec.gov/Archives/edgar/data/1069258/000106925818000021/ktos20180401ex-22.htm" TargetMode="External"/><Relationship Id="rId56" Type="http://schemas.openxmlformats.org/officeDocument/2006/relationships/hyperlink" Target="https://www.sec.gov/Archives/edgar/data/1069258/000106925819000017/exhibit23redacted.htm" TargetMode="External"/><Relationship Id="rId57" Type="http://schemas.openxmlformats.org/officeDocument/2006/relationships/hyperlink" Target="https://www.sec.gov/Archives/edgar/data/1069258/000106925817000009/ktos20161225ex-31.htm" TargetMode="External"/><Relationship Id="rId58" Type="http://schemas.openxmlformats.org/officeDocument/2006/relationships/hyperlink" Target="https://www.sec.gov/Archives/edgar/data/1069258/000106925824000042/exhibit31-thirdamendedandr.htm" TargetMode="External"/><Relationship Id="rId59" Type="http://schemas.openxmlformats.org/officeDocument/2006/relationships/hyperlink" Target="https://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2024-08-07T15:46:20Z</dcterms:created>
  <dcterms:modified xsi:type="dcterms:W3CDTF">2024-08-07T15:46:20Z</dcterms:modified>
</cp:coreProperties>
</file>