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7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29, 2013</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 2013, 57,049,205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340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060" w:type="dxa"/>
            <w:vAlign w:val="bottom"/>
            <w:tcBorders>
              <w:top w:val="single" w:sz="8" w:color="0000FF"/>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at December 30, 2012 and September 29, 2013 (unaudited)</w:t>
              </w:r>
            </w:hyperlink>
          </w:p>
        </w:tc>
        <w:tc>
          <w:tcPr>
            <w:tcW w:w="26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Operations and Comprehensive Income (Loss) for the Three and Nine Months Ended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30, 2012 and September 29, 2013 (unaudited)</w:t>
              </w:r>
            </w:hyperlink>
          </w:p>
        </w:tc>
        <w:tc>
          <w:tcPr>
            <w:tcW w:w="6520" w:type="dxa"/>
            <w:vAlign w:val="bottom"/>
            <w:tcBorders>
              <w:top w:val="single" w:sz="8" w:color="0000FF"/>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 for the Nine Months Ended September 30, 2012 and September 29, 2013</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w:t>
              </w:r>
            </w:hyperlink>
          </w:p>
        </w:tc>
        <w:tc>
          <w:tcPr>
            <w:tcW w:w="900" w:type="dxa"/>
            <w:vAlign w:val="bottom"/>
            <w:gridSpan w:val="2"/>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90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990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900" w:type="dxa"/>
            <w:vAlign w:val="bottom"/>
            <w:gridSpan w:val="1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52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99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99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99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5.</w:t>
              </w:r>
            </w:hyperlink>
          </w:p>
        </w:tc>
        <w:tc>
          <w:tcPr>
            <w:tcW w:w="990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6.</w:t>
              </w:r>
            </w:hyperlink>
          </w:p>
        </w:tc>
        <w:tc>
          <w:tcPr>
            <w:tcW w:w="990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30, 2012</w:t>
            </w:r>
          </w:p>
        </w:tc>
        <w:tc>
          <w:tcPr>
            <w:tcW w:w="240" w:type="dxa"/>
            <w:vAlign w:val="bottom"/>
          </w:tcPr>
          <w:p>
            <w:pPr>
              <w:spacing w:after="0"/>
              <w:rPr>
                <w:sz w:val="24"/>
                <w:szCs w:val="24"/>
                <w:color w:val="auto"/>
              </w:rPr>
            </w:pPr>
          </w:p>
        </w:tc>
        <w:tc>
          <w:tcPr>
            <w:tcW w:w="2020" w:type="dxa"/>
            <w:vAlign w:val="bottom"/>
          </w:tcPr>
          <w:p>
            <w:pPr>
              <w:jc w:val="right"/>
              <w:ind w:right="439"/>
              <w:spacing w:after="0"/>
              <w:rPr>
                <w:sz w:val="20"/>
                <w:szCs w:val="20"/>
                <w:color w:val="auto"/>
              </w:rPr>
            </w:pPr>
            <w:r>
              <w:rPr>
                <w:rFonts w:ascii="Arial" w:cs="Arial" w:eastAsia="Arial" w:hAnsi="Arial"/>
                <w:sz w:val="16"/>
                <w:szCs w:val="16"/>
                <w:b w:val="1"/>
                <w:bCs w:val="1"/>
                <w:color w:val="auto"/>
                <w:w w:val="99"/>
              </w:rPr>
              <w:t>September 29, 2013</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5.0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269.0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83.4</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3.7</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429.3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84.5</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78.8</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35.7</w:t>
            </w: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1,224.7</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45.4</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22.0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29.0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13.8</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256.2</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629.0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15.6</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22.2</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923.0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 2012 and September 29, 2013</w:t>
            </w:r>
          </w:p>
        </w:tc>
        <w:tc>
          <w:tcPr>
            <w:tcW w:w="3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0"/>
              </w:rPr>
              <w:t>Common stock, $0.001 par value, 195,000,000 shares authorized; 56,613,024 and 57,048,005 shares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issued and outstanding at December 30, 2012 and September 29, 2013, respectively</w:t>
            </w:r>
          </w:p>
        </w:tc>
        <w:tc>
          <w:tcPr>
            <w:tcW w:w="380" w:type="dxa"/>
            <w:vAlign w:val="bottom"/>
          </w:tcPr>
          <w:p>
            <w:pPr>
              <w:spacing w:after="0"/>
              <w:rPr>
                <w:sz w:val="17"/>
                <w:szCs w:val="17"/>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854.5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color w:val="auto"/>
              </w:rPr>
              <w:t>(0.8)</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(552.0)</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301.7</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1,224.7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2013</w:t>
            </w:r>
          </w:p>
        </w:tc>
        <w:tc>
          <w:tcPr>
            <w:tcW w:w="26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29, 2013</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379.9</w:t>
            </w:r>
          </w:p>
        </w:tc>
        <w:tc>
          <w:tcPr>
            <w:tcW w:w="1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254.3</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536.4</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top w:val="single" w:sz="8" w:color="auto"/>
              <w:bottom w:val="single" w:sz="8" w:color="auto"/>
            </w:tcBorders>
          </w:tcPr>
          <w:p>
            <w:pPr>
              <w:spacing w:after="0"/>
              <w:rPr>
                <w:sz w:val="24"/>
                <w:szCs w:val="24"/>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 per common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top w:val="single" w:sz="8" w:color="auto"/>
              <w:bottom w:val="single" w:sz="8" w:color="auto"/>
            </w:tcBorders>
          </w:tcPr>
          <w:p>
            <w:pPr>
              <w:spacing w:after="0"/>
              <w:rPr>
                <w:sz w:val="24"/>
                <w:szCs w:val="24"/>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 in 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auto"/>
            </w:tcBorders>
            <w:shd w:val="clear" w:color="auto" w:fill="CCEEFF"/>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4"/>
          </w:tcPr>
          <w:p>
            <w:pPr>
              <w:jc w:val="right"/>
              <w:ind w:right="149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2012</w:t>
            </w:r>
          </w:p>
        </w:tc>
        <w:tc>
          <w:tcPr>
            <w:tcW w:w="28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29, 2013</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the sale of discontinued operations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6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under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ind w:right="18"/>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49.8</w:t>
            </w:r>
          </w:p>
        </w:tc>
        <w:tc>
          <w:tcPr>
            <w:tcW w:w="120" w:type="dxa"/>
            <w:vAlign w:val="bottom"/>
            <w:tcBorders>
              <w:top w:val="single" w:sz="8" w:color="auto"/>
              <w:bottom w:val="single" w:sz="8" w:color="auto"/>
            </w:tcBorders>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00"/>
          </w:cols>
          <w:pgMar w:left="240" w:top="125" w:right="259" w:bottom="1138"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138"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September 29, 2013 and for the three and nine months ended September 30, 2012 and September 29, 2013 is unaudited. The condensed consolidated balance sheet as of December 30, 2012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2012, included in the Company’s Annual Report on Form 10-K filed with the U.S. Securities and Exchange Commission ("SEC") on March 12, 2013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nine months ended September 30, 2012 consisted of a 40-week period. The nine months ended September 29, 2013 consisted of a 39-week period. There were 53 calendar weeks in the fiscal year ended December 30, 2012 and there are 52 calendar weeks in the fiscal year ending on December 29, 2013.</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unused office space, accounting for income taxes including the related valuation allowance on the deferred tax asset and uncertain tax positions, contingencies and litigation, contingent acquisition consideration, stock-based compensation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the three months ended September 29, 2013, the company recognized a $6.8 million reduction in excess facility accrual due primarily to the sublease of additional space to a current subtenant and management's decision to utilize a portion of the building for its own use.</w:t>
      </w:r>
    </w:p>
    <w:p>
      <w:pPr>
        <w:spacing w:after="0" w:line="2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accounting for our long-term contracts for production of products and services provided to the U.S. Government and provided to our PSS segment customers under fixed price contracts, we utilize both cost-to-cost and units produced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 Recognition</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Due to the size and nature of many of our contracts accounted for under the percentage-of-completion method of accounting, the estimation of total revenues and costs at completion is complicated and subject to many variables. For example, 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33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July 2013, the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2011 and February 2013, the FASB issued an amendment to the Balance Sheet topic of the Accounting Standards Codification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233"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Other than as noted above, there have been no changes in the Company's significant accounting policies for the nine months ended September 29, 2013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11 for a discussion of the Company’s significant customers.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Recent Acquisitions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Composite Engineering, Inc.</w:t>
      </w:r>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July 2, 2012, the Company completed the acquisition of Composite Engineering, Inc. (“CEi”) for approximately $164.0 million. The purchase price, including an adjustment for working capital and cash paid to the CEi shareholders for a 338(h)(10) election of the Internal Revenue Code ("IRC"), included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was reduced by $1.0 million for the working capital adjustment paid to the Company in July 2013, at which time the remaining escrow was released to the sellers. In addition, $2.5 million was paid to retire certain pre-existing CEi debt and settle pre-existing accounts receivable from CEi at its carrying and fair value of $3.0 million. The Company made an election under Section 338(h)(10) of the IRC, which resulted in tax deductible goodwill related to this transaction, and paid approximately $1.6 million in additional tax liability incurred by the shareholders of CEi for this election. The Company estimates that the tax deductible goodwill and intangibles is approximately $140.6 million and can be deducted for federal and California state income taxes over a 15-year period.</w:t>
      </w:r>
    </w:p>
    <w:p>
      <w:pPr>
        <w:spacing w:after="0" w:line="19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the completion of the CEi transaction, certain CEi personnel entered into long-term employment agreements with the Company. On July 2, 2012, the Company granted restricted stock units ("RSUs") for an aggregate of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per share in an underwritten public offering. The Company received gross proceeds of approximately $100.0 million and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$97.0 million after deducting underwriting fees and other offering expenses. The Company used the net proceeds from this offering to fund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for the acquisition of CEi. In addition, the Company used borrowings of $40.0 million from its revolving line of credit to fund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of CEi.</w:t>
      </w:r>
    </w:p>
    <w:p>
      <w:pPr>
        <w:spacing w:after="0" w:line="211"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Kratos Government Solutions ("KGS") segment.</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will also enable the Company to realize significant cross selling opportunities.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(in millions):</w:t>
      </w:r>
    </w:p>
    <w:p>
      <w:pPr>
        <w:spacing w:after="0" w:line="331"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2, 2012, the expected fair value of accounts receivable approximated historical cost. The gross accounts receivable was $9.3 million, all of which is expected to be collectible. There was no contingent purchase consideration associated with the acquisition of CEi.</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amounts of revenue and operating loss of CEi included in the Company's condensed consolidated statement of operations and comprehensive loss for the three and nine months ended September 29, 2013 are $23.8 million and $76.8 million, and $7.4 million and $14.2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Infrastructure Business</w:t>
      </w:r>
    </w:p>
    <w:p>
      <w:pPr>
        <w:spacing w:after="0" w:line="225"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On December 30, 2011, the Company acquired a critical infrastructure security and public safety system integration business (the “Critical Infrastructure Business”) for approximately $18.8 million, which includes a final agreement on the working capital adjustment.</w:t>
      </w:r>
    </w:p>
    <w:p>
      <w:pPr>
        <w:spacing w:after="0" w:line="14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Public Safety &amp; Security (“PSS”) segment.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(in millions):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269875</wp:posOffset>
            </wp:positionV>
            <wp:extent cx="366204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960" w:hanging="96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28.5</w:t>
      </w:r>
    </w:p>
    <w:p>
      <w:pPr>
        <w:spacing w:after="0" w:line="63"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integration of the Critical Infrastructure Business with the Company's existing PSS business it is impractical to estimate the amounts of revenue and operating income (loss) included in the Company's condensed consolidated statement of operations and comprehensive income (loss).</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Pro Forma Financial Information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 of CEi occurred on December 26, 2011 and include adjustments that were directly attributable to the transaction or were not expected to have a continuing impact on the Company. The acquisition of CEi is included in the results of operations for the three and nine months ended September 29, 2013.</w:t>
      </w:r>
    </w:p>
    <w:p>
      <w:pPr>
        <w:spacing w:after="0" w:line="254" w:lineRule="auto"/>
        <w:rPr>
          <w:sz w:val="20"/>
          <w:szCs w:val="20"/>
          <w:color w:val="auto"/>
        </w:rPr>
      </w:pPr>
      <w:r>
        <w:rPr>
          <w:rFonts w:ascii="Arial" w:cs="Arial" w:eastAsia="Arial" w:hAnsi="Arial"/>
          <w:sz w:val="18"/>
          <w:szCs w:val="18"/>
          <w:color w:val="auto"/>
        </w:rPr>
        <w:t>There are no material, nonrecurring pro forma adjustments directly attributable to the business combination included in the reported pro forma revenue and earnings for 2012.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 (all amounts except per share amounts are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For the Nine Months</w:t>
            </w:r>
          </w:p>
        </w:tc>
      </w:tr>
      <w:tr>
        <w:trPr>
          <w:trHeight w:val="149"/>
        </w:trPr>
        <w:tc>
          <w:tcPr>
            <w:tcW w:w="790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Ended September 30,</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1"/>
                <w:szCs w:val="21"/>
                <w:color w:val="auto"/>
              </w:rPr>
            </w:pPr>
          </w:p>
        </w:tc>
      </w:tr>
      <w:tr>
        <w:trPr>
          <w:trHeight w:val="27"/>
        </w:trPr>
        <w:tc>
          <w:tcPr>
            <w:tcW w:w="7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pro forma financial information reflects the elimination of acquisition related expenses incurred for nine months ended of $0.8 million, pro forma adjustments for the additional amortization associated with finite-lived intangible assets acquired, stock compensation related to the RSUs granted in the CEi transaction, adjusted depreciation expense related to the fair value of property, plant, and equipment acquired, and the related tax expense.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For the Nine Months</w:t>
            </w:r>
          </w:p>
        </w:tc>
      </w:tr>
      <w:tr>
        <w:trPr>
          <w:trHeight w:val="149"/>
        </w:trPr>
        <w:tc>
          <w:tcPr>
            <w:tcW w:w="790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Ended September 30,</w:t>
            </w:r>
          </w:p>
        </w:tc>
      </w:tr>
      <w:tr>
        <w:trPr>
          <w:trHeight w:val="192"/>
        </w:trPr>
        <w:tc>
          <w:tcPr>
            <w:tcW w:w="7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Increase in weighted average common shares outstanding for shares issued and not already included in the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675"/>
        </w:trPr>
        <w:tc>
          <w:tcPr>
            <w:tcW w:w="7900" w:type="dxa"/>
            <w:vAlign w:val="bottom"/>
          </w:tcPr>
          <w:p>
            <w:pPr>
              <w:ind w:left="46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connection with certain acquisitions, the Company has agreed to make additional future payments to the seller contingent upon achievement of specific performance-based milestones by the acquired entities. Pursuant to the provisions of FASB ASC Topic 805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xml:space="preserve"> the Company will re-measure these liabilities each reporting period and record changes in the fair value in its condensed consolidated statement of operations and comprehensive income (loss). Increases or decreases in the fair value of the contingent consideration liability, which is measured as the present value of expected future cash flows, a Level 3 measurement in the fair value hierarchy (Level 3 hierarchy as defined by </w:t>
      </w:r>
      <w:r>
        <w:rPr>
          <w:rFonts w:ascii="Arial" w:cs="Arial" w:eastAsia="Arial" w:hAnsi="Arial"/>
          <w:sz w:val="18"/>
          <w:szCs w:val="18"/>
          <w:i w:val="1"/>
          <w:iCs w:val="1"/>
          <w:color w:val="auto"/>
        </w:rPr>
        <w:t>ASC Topic 820, 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(“Topic 820”</w:t>
      </w:r>
      <w:r>
        <w:rPr>
          <w:rFonts w:ascii="Arial" w:cs="Arial" w:eastAsia="Arial" w:hAnsi="Arial"/>
          <w:sz w:val="18"/>
          <w:szCs w:val="18"/>
          <w:color w:val="auto"/>
        </w:rPr>
        <w:t>)), can result from changes in discount periods and rates, as well as changes in the estimates on the achievement of the performance-based milestones.</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was obligated to pay certain additional contingent consideration (the “DEI Contingent Consideration”). The Company has paid $5.0 million related to the DEI Contingent Consideration, with the final payment of $2.1 million paid in April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5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as a result of the Company's decision in June 2012 to dispose of certain non-core businesses acquired in the Integral acquisition, the Company allocated $1.5 million of goodwill to discontinued operations, which resulted in an impairment charge (see Note 8). The Company then tested the goodwill remaining in the KGS reporting unit. The fair value of the KGS reporting unit exceeded its carrying value by 7.4% at that time.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fourth quarter of 2012, the KGS reporting unit was impacted by continued declining market valuations and the economic uncertainty in the U.S. defense industry. At that time, Congress had been unable to agree on a budget that conformed with the Budget Control Act of 2011 requirements, which required additional substantial defense spending reductions through sequestration. Additionally, Congress and the President failed to agree on budgetary, tax and spending issues. As a result a FY 2013 budget was not passed and a six-month continuing resolution that funded the U.S. Government through March 27, 2013 was passed. As of December 2012, these events significantly increased the likelihood of the sequester occurring, which had negative consequences for the defense industry. In addition, as Congress and the Administration could not come to an agreement on terms of a possible national fiscal approach, they also failed to address other fiscal matters such as the debt ceiling, which is currently now expected to be reached in January 2014. These events negatively impacted the Company's estimate of the fair value of the KGS reporting unit, resulting in the book value of KGS exceeding its fair value in step one of the impairment test in the fourth quarter of 2012.</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then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the fourth quarter of 2012. The changes in the carrying amount of goodwill for the nine months ended September 29, 2013 are as follows (in millions):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Public Safety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Government</w:t>
            </w: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&amp; Security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Retrospective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 after retrospective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accumulated impairment losses as of December 30, 2012 and September 29, 2013 were $247.4 million, of which $229.1 million was associated with the KGS segment and $18.3 million was associated with the PSS segment.</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As of December 30, 2012</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0"/>
              </w:rPr>
              <w:t>As of September 29, 2013</w:t>
            </w:r>
          </w:p>
        </w:tc>
        <w:tc>
          <w:tcPr>
            <w:tcW w:w="88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78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r>
      <w:tr>
        <w:trPr>
          <w:trHeight w:val="236"/>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48.3</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Developed technology and technical know-how</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Acquired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$13.0 million and $9.0 million for the three months ended September 30, 2012 and September 29, 2013, respectively, and $32.4 million and $27.3 million for the nine months ended September 30, 2012 and September 29,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4"/>
                <w:szCs w:val="14"/>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September 29,</w:t>
            </w:r>
          </w:p>
        </w:tc>
      </w:tr>
      <w:tr>
        <w:trPr>
          <w:trHeight w:val="192"/>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 inventoried costs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CEi in connection with the Company's acquisition thereof on July 2, 2012.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20" w:type="dxa"/>
            <w:vAlign w:val="bottom"/>
            <w:tcBorders>
              <w:bottom w:val="single" w:sz="8" w:color="auto"/>
            </w:tcBorders>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2012</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29, 2013</w:t>
            </w:r>
          </w:p>
        </w:tc>
      </w:tr>
      <w:tr>
        <w:trPr>
          <w:trHeight w:val="25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beginning of period</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324.1</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(29.8)</w:t>
            </w: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Additional paid-in-capital from the issuance of common stock for cash</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paid-in-capital from the issuance of commons stock in connection with</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Restricted stock units traded for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end of period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301.7</w:t>
            </w: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240" w:top="125" w:right="5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6"/>
                <w:szCs w:val="16"/>
                <w:color w:val="auto"/>
              </w:rPr>
            </w:pPr>
          </w:p>
        </w:tc>
      </w:tr>
      <w:tr>
        <w:trPr>
          <w:trHeight w:val="276"/>
        </w:trPr>
        <w:tc>
          <w:tcPr>
            <w:tcW w:w="662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29, 2013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 retirement benefit reserve adjustment net of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6620" w:type="dxa"/>
            <w:vAlign w:val="bottom"/>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reclassifications from other comprehensive income to net loss for the three or nine months ended September 29, 2013.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issued by the Company for the nine months ended September 30, 2012 and September 29, 2013 was as follows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670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29, 2013</w:t>
            </w:r>
          </w:p>
        </w:tc>
      </w:tr>
      <w:tr>
        <w:trPr>
          <w:trHeight w:val="25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the period</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w w:val="93"/>
              </w:rPr>
              <w:t>Stock issued for employee stock purchase plan, stock options and restricted stock units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for cash</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Common stock issued for acquisitions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end of the period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The Company calculates net income (loss) per share in accordance with </w:t>
      </w:r>
      <w:r>
        <w:rPr>
          <w:rFonts w:ascii="Arial" w:cs="Arial" w:eastAsia="Arial" w:hAnsi="Arial"/>
          <w:sz w:val="18"/>
          <w:szCs w:val="18"/>
          <w:i w:val="1"/>
          <w:iCs w:val="1"/>
          <w:color w:val="auto"/>
        </w:rPr>
        <w:t>ASC Topic 260</w:t>
      </w:r>
      <w:r>
        <w:rPr>
          <w:rFonts w:ascii="Arial" w:cs="Arial" w:eastAsia="Arial" w:hAnsi="Arial"/>
          <w:sz w:val="18"/>
          <w:szCs w:val="18"/>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260”</w:t>
      </w:r>
      <w:r>
        <w:rPr>
          <w:rFonts w:ascii="Arial" w:cs="Arial" w:eastAsia="Arial" w:hAnsi="Arial"/>
          <w:sz w:val="18"/>
          <w:szCs w:val="18"/>
          <w:color w:val="auto"/>
        </w:rPr>
        <w:t xml:space="preserve">). Under </w:t>
      </w:r>
      <w:r>
        <w:rPr>
          <w:rFonts w:ascii="Arial" w:cs="Arial" w:eastAsia="Arial" w:hAnsi="Arial"/>
          <w:sz w:val="18"/>
          <w:szCs w:val="18"/>
          <w:i w:val="1"/>
          <w:iCs w:val="1"/>
          <w:color w:val="auto"/>
        </w:rPr>
        <w:t>Topic 260</w:t>
      </w:r>
      <w:r>
        <w:rPr>
          <w:rFonts w:ascii="Arial" w:cs="Arial" w:eastAsia="Arial" w:hAnsi="Arial"/>
          <w:sz w:val="18"/>
          <w:szCs w:val="18"/>
          <w:color w:val="auto"/>
        </w:rPr>
        <w:t>, basic net income (loss) per common share is calculated by dividing net income (loss) by the weighted-average number of common shares outstanding during the reporting period.</w:t>
      </w:r>
    </w:p>
    <w:p>
      <w:pPr>
        <w:spacing w:after="0" w:line="200" w:lineRule="exact"/>
        <w:rPr>
          <w:sz w:val="20"/>
          <w:szCs w:val="20"/>
          <w:color w:val="auto"/>
        </w:rPr>
      </w:pP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52"/>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earnings per share)</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1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w w:val="94"/>
              </w:rPr>
              <w:t>Weighted average outstanding shares of common stock (B)</w:t>
            </w:r>
          </w:p>
        </w:tc>
        <w:tc>
          <w:tcPr>
            <w:tcW w:w="14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employee stock options and awards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Basic (A/B)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December 30, 2012, the Company had $13.4 million of unrecognized tax benefits that, if recognized, would affect the effective tax rate, subject to possible offset by an increase in the valuation allowance. During the nine months ended September 29, 2013, this amount was increased by $0.1 million relating to the CEI acquisition. This increase in unrecognized tax benefits was recorded as an adjustment to goodwill. Additionally, the unrecognized tax benefit amount was reduced by $3.1 million relating to the expiration of statues of limitations. $1.6 million of this reduction in unrecognized tax benefits was recorded as a benefit from continuing operations. The remaining $1.5 million was offset by an increase to the valuation allowance.</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firstLine="567"/>
        <w:spacing w:after="0" w:line="285"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The Company recorded an expense related to interest and penalties of $0.3 million and $0.1 million for the nine months ended September 30, 2012 and September 29, 2013, respectively. The Company recorded a benefit for interest and penalties related to the reversal of prior positions of $0.1 million for the nine months ended September 30, 2012 and a benefit for interest and penalties related to the reversal of prior positions of $0.2 million for the nine months ended September 29, 2013. The Company believes that no material amount of the liabilities for uncertain tax positions will expire within twelve months of September 29, 2013.</w:t>
      </w:r>
    </w:p>
    <w:p>
      <w:pPr>
        <w:spacing w:after="0" w:line="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9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 Management will continue to evaluate the necessity to maintain a valuation allowance against the Company's net deferred tax assets.</w:t>
      </w:r>
    </w:p>
    <w:p>
      <w:pPr>
        <w:spacing w:after="0" w:line="188" w:lineRule="exact"/>
        <w:rPr>
          <w:sz w:val="20"/>
          <w:szCs w:val="20"/>
          <w:color w:val="auto"/>
        </w:rPr>
      </w:pPr>
    </w:p>
    <w:p>
      <w:pPr>
        <w:ind w:right="480" w:firstLine="567"/>
        <w:spacing w:after="0" w:line="264" w:lineRule="auto"/>
        <w:rPr>
          <w:sz w:val="20"/>
          <w:szCs w:val="20"/>
          <w:color w:val="auto"/>
        </w:rPr>
      </w:pPr>
      <w:r>
        <w:rPr>
          <w:rFonts w:ascii="Arial" w:cs="Arial" w:eastAsia="Arial" w:hAnsi="Arial"/>
          <w:sz w:val="18"/>
          <w:szCs w:val="18"/>
          <w:color w:val="auto"/>
        </w:rPr>
        <w:t>A reconciliation of the total income tax provision to the amount computed by applying the statutory federal income tax rate of 35% to loss from continuing operations before income tax provision for the three and nine months ended September 30, 2012 and September 29, 2013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4"/>
              </w:rPr>
              <w:t>State and foreign taxes, net of federal tax benefit and valuation allowance</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Impact of indefinite lived deferred tax liabilities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reserves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 (decrease) in federal valuation allowance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Federal and state income tax laws impose restrictions on the utilization of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tax attribute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The annual base Section 382 limitation may be increased for certain recognized built-in gains during the 5-year period succeeding an ownership change The Company has incurred multiple “ownership changes” in recent years that will limit the utilization of the loss carryforwards. As a result of these changes, the Company's federal and state annual utilization of NOL carryforwards will be limited. For the nine months ended September 29, 2013, there was no impact of such limitations on the income tax provision since the amount of taxable income did not exceed the annual limitation amount. In addition, future equity offerings, shifts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June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7"/>
          <w:szCs w:val="17"/>
          <w:i w:val="1"/>
          <w:iCs w:val="1"/>
          <w:color w:val="auto"/>
        </w:rPr>
        <w:t>Topic 205, Presentation of Financial Statements ("Topic 205"),</w:t>
      </w:r>
      <w:r>
        <w:rPr>
          <w:rFonts w:ascii="Arial" w:cs="Arial" w:eastAsia="Arial" w:hAnsi="Arial"/>
          <w:sz w:val="17"/>
          <w:szCs w:val="17"/>
          <w:color w:val="auto"/>
        </w:rPr>
        <w:t xml:space="preserve"> these businesses have been classified as held for sale and reported in discontinued operations in the accompanying condensed consolidated financial statements. 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September 30,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29, 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September 30,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29, 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1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after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90"/>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condensed consolidated balance sheets as of December 30, 2012 and September 29, 2013 (in millions):</w:t>
      </w:r>
    </w:p>
    <w:p>
      <w:pPr>
        <w:spacing w:after="0" w:line="32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460" w:type="dxa"/>
            <w:vAlign w:val="bottom"/>
          </w:tcPr>
          <w:p>
            <w:pPr>
              <w:jc w:val="right"/>
              <w:ind w:right="36"/>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jc w:val="right"/>
              <w:ind w:right="432"/>
              <w:spacing w:after="0"/>
              <w:rPr>
                <w:sz w:val="20"/>
                <w:szCs w:val="20"/>
                <w:color w:val="auto"/>
              </w:rPr>
            </w:pPr>
            <w:r>
              <w:rPr>
                <w:rFonts w:ascii="Arial" w:cs="Arial" w:eastAsia="Arial" w:hAnsi="Arial"/>
                <w:sz w:val="14"/>
                <w:szCs w:val="14"/>
                <w:b w:val="1"/>
                <w:bCs w:val="1"/>
                <w:color w:val="auto"/>
              </w:rPr>
              <w:t>September 29,</w:t>
            </w:r>
          </w:p>
        </w:tc>
      </w:tr>
      <w:tr>
        <w:trPr>
          <w:trHeight w:val="192"/>
        </w:trPr>
        <w:tc>
          <w:tcPr>
            <w:tcW w:w="65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60" w:type="dxa"/>
            <w:vAlign w:val="bottom"/>
            <w:tcBorders>
              <w:bottom w:val="single" w:sz="8" w:color="CCEEFF"/>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580" w:type="dxa"/>
            <w:vAlign w:val="bottom"/>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assets of discontinued operations</w:t>
            </w: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liabilities of discontinued operations</w:t>
            </w: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September 29, 2013, the Company has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on which the holders of the Notes have a second priority lien to the $110.0 million credit facility described below.</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29, 2013, the Company was in compliance with the covenants contained in the Indenture governing the Notes.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have redeemed up to 35% of the aggregate principal amount of the Notes at 110% of the aggregate principal amount of the Notes, plus accrued and unpaid interest to the date of redemption,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On November 14, 2011, the Company entered into a first amendment (the “First Amendment”) with certain lenders and KeyBank that amended the 2011 Credit Agreement. Among other things, the First Amendment: (i) increased the amount of the Amended Revolver from $65.0 million to $90.0 million;</w:t>
      </w:r>
    </w:p>
    <w:p>
      <w:pPr>
        <w:ind w:right="240" w:firstLine="8"/>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4"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 under the 2011 Credit Agreement to $135.0 million subject to KeyBank's approval, and (v) updated certain schedules to the Credit Agreement.</w:t>
      </w:r>
    </w:p>
    <w:p>
      <w:pPr>
        <w:spacing w:after="0" w:line="188"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its common stock, together with the borrowings under its credit facility, to fund the purchase of CEi on July 2, 2012 and to pay related fees and expenses.</w:t>
      </w:r>
    </w:p>
    <w:p>
      <w:pPr>
        <w:spacing w:after="0" w:line="24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On February 27, 2013, the Company entered into a fourth amendment (the "Fourth Amendment") to the 2011 Credit Agreement. Under the terms of the Fourth Amendment, the definition of certain terms of the 2011 Credit Agreement and reporting requirements were modified.</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September 29, 2013, there were no outstanding borrowings on the Amended Revolver and $15.1 million was outstanding on letters of credit, resulting in net borrowing base availability of $74.6 million. The Company was in compliance with the financial covenants as of September 29,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assumed a $10.0 million 10-year term loan with a bank in Israel that Herley entered into on September 16, 2008 in connection with the acquisition of one of its wholly owned subsidiaries. The balance as of September 29, 2013 was $5.0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29,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30, 2012 and September 29, 2013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$15.6 million as of September 29, 2013, which is the difference between the carrying amount of $645.6 million and the principal amount of $630.0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December 30, 2012 and September 29, 2013 are presented in Note 9. The carrying value of all other financial instruments, including cash equivalents, accounts receivable, accounts payable and short-term debt, approximated their estimated fair values at December 30, 2012 and September 29,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$162.9 million and $143.4 million or 59% and 63% of total Kratos revenue for the three months ended September 30, 2012 and September 29, 2013, respectively, and approximately $443.8 million and $460.9 million, or 63% and 64%, of total revenue for the nine months ended September 30, 2012 and September 29, 2013, respectively.</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following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have started in 2013, are split between defense and non-defense programs, and continue over a nine-year period.</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April 10, 2013, the President delivered his proposed Fiscal Year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funds federal agencies only until January 15, 2014, and at the FY 2013 enacted levels, which reflect the first sequestration cuts that took effect in March and a discretionary funding level of $986 billion, the amount available to the appropriators to fund FY 2014 federal government programs. There continues to be uncertainty in how sequestration will ultimately be implemented, and there are many variables in how the law could be applied that make it difficult to determine the specific impacts. Any automatic reductions in national defense programs could impact the Company's significant customers, which in turn could impact the Company's business and financial results.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shares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current reporting segments for the three and nine month periods ended September 30, 2012 and September 29, 2013 are as follows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2012</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2013</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29, 2013</w:t>
            </w:r>
          </w:p>
        </w:tc>
      </w:tr>
      <w:tr>
        <w:trPr>
          <w:trHeight w:val="236"/>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379.9</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560.8</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w:t>
            </w:r>
          </w:p>
        </w:tc>
      </w:tr>
      <w:tr>
        <w:trPr>
          <w:trHeight w:val="297"/>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714.9</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97"/>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r>
      <w:tr>
        <w:trPr>
          <w:trHeight w:val="210"/>
        </w:trPr>
        <w:tc>
          <w:tcPr>
            <w:tcW w:w="53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0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and legal matters are inherently unpredictable and unfavorable resolutions could occur, assessing litigation and legal matter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consolidated financial statements; and the unique facts and circumstances of the particular matter that may give rise to additional factors.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u w:val="single" w:color="auto"/>
          <w:color w:val="auto"/>
        </w:rPr>
        <w:t>Integral Indemnification Obligation</w:t>
      </w:r>
      <w:r>
        <w:rPr>
          <w:rFonts w:ascii="Arial" w:cs="Arial" w:eastAsia="Arial" w:hAnsi="Arial"/>
          <w:sz w:val="16"/>
          <w:szCs w:val="16"/>
          <w:color w:val="auto"/>
        </w:rPr>
        <w:t>. Integral, which was acquired on July 27, 2011, was previously the subject of a SEC investigation. On July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2009, the SEC and Integral each announced that an administrative settlement had been reached concluding the SEC's investigation. 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pending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to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provide,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the Company is advancing payment of indemnifiable costs pursuant to the indemnification agreements. On November 26, 2012, the SEC announced that it had finalized a settlement with Elaine M. Brown, resulting in a final judgment that resolved the SEC's matter against Brown. The SEC's case against Gary A. Prince proceeded to a bench trial in December 2012, which trial concluded in January 2013. On May 2, 2013, the court issued a memorandum opinion and entered an order granting judgment in favor of the SEC on one count of its complaint. The court found that in 1997, an accounting bar order had been issued against Mr. Prince because of his conduct at a different company, and that Mr. Prince violated the bar order between 1998 and 2006. The court issued an injunction permanently restraining and enjoining Mr. Prince from violating the accounting bar order. The court entered judgment in favor of Mr. Prince on all other counts of the SEC's complaint. No relief was sought or entered against Integral. The deadline for appeals expired on July 1, 2013. Neither party appealed, so the trial court's judgment is final. This matter is now concluded.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u w:val="single" w:color="auto"/>
          <w:color w:val="auto"/>
        </w:rPr>
        <w:t>U.S. Government Cost Claims</w:t>
      </w:r>
      <w:r>
        <w:rPr>
          <w:rFonts w:ascii="Arial" w:cs="Arial" w:eastAsia="Arial" w:hAnsi="Arial"/>
          <w:sz w:val="16"/>
          <w:szCs w:val="16"/>
          <w:color w:val="auto"/>
        </w:rPr>
        <w:t>. The Company's contracts with the Department of Defense are subject to audit by the Defense Contract Audit</w:t>
      </w:r>
      <w:r>
        <w:rPr>
          <w:rFonts w:ascii="Arial" w:cs="Arial" w:eastAsia="Arial" w:hAnsi="Arial"/>
          <w:sz w:val="16"/>
          <w:szCs w:val="16"/>
          <w:b w:val="1"/>
          <w:bCs w:val="1"/>
          <w:color w:val="auto"/>
        </w:rPr>
        <w:t xml:space="preserve"> </w:t>
      </w:r>
      <w:r>
        <w:rPr>
          <w:rFonts w:ascii="Arial" w:cs="Arial" w:eastAsia="Arial" w:hAnsi="Arial"/>
          <w:sz w:val="16"/>
          <w:szCs w:val="16"/>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and it reviews such accruals on a quarterly basis for sufficiency based on the most recent information available. Based on its assessment, it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184"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Condensed Consolidating Financial Statements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$625.0 million in outstanding Senior Secured Notes (see Note 9). The Notes are guaranteed by all of the Company's 100% owned domestic subsidiaries (the "Subsidiary Guarantors") and are collateralized by the assets of all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Senior Secured Notes are not guaranteed by the Company's foreign subsidiaries (the “Non-Guarantor Subsidiaries”).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consolidated financial statements, except for the use of the equity method of accounting to reflect ownership interests in wholly owned subsidiaries, which are eliminated upon consolidation.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30, 2012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September 29, 2013</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494.5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429.3</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Amounts due from affiliated companies, long-term</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1,224.7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923.0</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1,224.7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240" w:top="125" w:right="7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September 30, 2012</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150.7</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98.3</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202.2</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(loss) from continuing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Months Ended September 29, 2013</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Guarantors 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Eliminations</w:t>
            </w:r>
          </w:p>
        </w:tc>
        <w:tc>
          <w:tcPr>
            <w:tcW w:w="110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w w:val="96"/>
              </w:rPr>
              <w:t>Consolidated</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7"/>
        </w:trPr>
        <w:tc>
          <w:tcPr>
            <w:tcW w:w="2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9"/>
                <w:szCs w:val="19"/>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0"/>
        </w:trPr>
        <w:tc>
          <w:tcPr>
            <w:tcW w:w="2860" w:type="dxa"/>
            <w:vAlign w:val="bottom"/>
          </w:tcPr>
          <w:p>
            <w:pPr>
              <w:ind w:left="100"/>
              <w:spacing w:after="0"/>
              <w:rPr>
                <w:sz w:val="20"/>
                <w:szCs w:val="20"/>
                <w:color w:val="auto"/>
              </w:rPr>
            </w:pPr>
            <w:r>
              <w:rPr>
                <w:rFonts w:ascii="Arial" w:cs="Arial" w:eastAsia="Arial" w:hAnsi="Arial"/>
                <w:sz w:val="16"/>
                <w:szCs w:val="16"/>
                <w:color w:val="auto"/>
                <w:w w:val="96"/>
              </w:rPr>
              <w:t>Operating income (loss) from continuing</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14"/>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86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(loss) from continuing operations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w w:val="98"/>
              </w:rPr>
              <w:t>Provision (benefit) for income taxes from</w:t>
            </w:r>
          </w:p>
        </w:tc>
        <w:tc>
          <w:tcPr>
            <w:tcW w:w="160" w:type="dxa"/>
            <w:vAlign w:val="bottom"/>
          </w:tcPr>
          <w:p>
            <w:pPr>
              <w:spacing w:after="0"/>
              <w:rPr>
                <w:sz w:val="19"/>
                <w:szCs w:val="19"/>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6"/>
                <w:szCs w:val="16"/>
                <w:color w:val="auto"/>
              </w:rPr>
              <w:t>Income (loss) from discontinued</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Equity in net income (loss) of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1"/>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125" w:right="1440"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Nine Months Ended September 30, 2012</w:t>
      </w:r>
    </w:p>
    <w:p>
      <w:pPr>
        <w:spacing w:after="0" w:line="5"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(Unaudited)</w:t>
      </w:r>
    </w:p>
    <w:p>
      <w:pPr>
        <w:spacing w:after="0" w:line="72"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Non-Guarantors</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Parent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Guarantors on a</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on a Combined</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28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w w:val="93"/>
              </w:rPr>
              <w:t>Company</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auto"/>
              </w:rPr>
              <w:t>Combined Basis</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Basis</w:t>
            </w:r>
          </w:p>
        </w:tc>
        <w:tc>
          <w:tcPr>
            <w:tcW w:w="1220" w:type="dxa"/>
            <w:vAlign w:val="bottom"/>
            <w:gridSpan w:val="3"/>
          </w:tcPr>
          <w:p>
            <w:pPr>
              <w:ind w:left="20"/>
              <w:spacing w:after="0"/>
              <w:rPr>
                <w:sz w:val="20"/>
                <w:szCs w:val="20"/>
                <w:color w:val="auto"/>
              </w:rPr>
            </w:pPr>
            <w:r>
              <w:rPr>
                <w:rFonts w:ascii="Arial" w:cs="Arial" w:eastAsia="Arial" w:hAnsi="Arial"/>
                <w:sz w:val="16"/>
                <w:szCs w:val="16"/>
                <w:color w:val="auto"/>
              </w:rPr>
              <w:t>Eliminations</w:t>
            </w: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Consolidated</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6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365.8</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264.8</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r>
      <w:tr>
        <w:trPr>
          <w:trHeight w:val="217"/>
        </w:trPr>
        <w:tc>
          <w:tcPr>
            <w:tcW w:w="288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494.5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516.4</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6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expenses</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145.7</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0"/>
        </w:trPr>
        <w:tc>
          <w:tcPr>
            <w:tcW w:w="2880" w:type="dxa"/>
            <w:vAlign w:val="bottom"/>
          </w:tcPr>
          <w:p>
            <w:pPr>
              <w:ind w:left="40"/>
              <w:spacing w:after="0"/>
              <w:rPr>
                <w:sz w:val="20"/>
                <w:szCs w:val="20"/>
                <w:color w:val="auto"/>
              </w:rPr>
            </w:pPr>
            <w:r>
              <w:rPr>
                <w:rFonts w:ascii="Arial" w:cs="Arial" w:eastAsia="Arial" w:hAnsi="Arial"/>
                <w:sz w:val="16"/>
                <w:szCs w:val="16"/>
                <w:color w:val="auto"/>
                <w:w w:val="99"/>
              </w:rPr>
              <w:t>Operating (loss) income from continuing</w:t>
            </w:r>
          </w:p>
        </w:tc>
        <w:tc>
          <w:tcPr>
            <w:tcW w:w="6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6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 net</w:t>
            </w:r>
          </w:p>
        </w:tc>
        <w:tc>
          <w:tcPr>
            <w:tcW w:w="6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2880" w:type="dxa"/>
            <w:vAlign w:val="bottom"/>
          </w:tcPr>
          <w:p>
            <w:pPr>
              <w:ind w:left="100"/>
              <w:spacing w:after="0"/>
              <w:rPr>
                <w:sz w:val="20"/>
                <w:szCs w:val="20"/>
                <w:color w:val="auto"/>
              </w:rPr>
            </w:pPr>
            <w:r>
              <w:rPr>
                <w:rFonts w:ascii="Arial" w:cs="Arial" w:eastAsia="Arial" w:hAnsi="Arial"/>
                <w:sz w:val="16"/>
                <w:szCs w:val="16"/>
                <w:color w:val="auto"/>
              </w:rPr>
              <w:t>Total other expense, net</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(loss) from continuing operations</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taxes</w:t>
            </w:r>
          </w:p>
        </w:tc>
        <w:tc>
          <w:tcPr>
            <w:tcW w:w="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Provision for income taxes from</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6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Income (loss) from continuing operations</w:t>
            </w: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Equity in net income (loss) of subsidiaries</w:t>
            </w:r>
          </w:p>
        </w:tc>
        <w:tc>
          <w:tcPr>
            <w:tcW w:w="6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6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(24.4)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2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40"/>
          </w:cols>
          <w:pgMar w:left="240" w:top="125" w:right="1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Nine Months Ended September 29, 2013</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Parent Company</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379.9</w:t>
            </w: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670.5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714.9</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254.3</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282.1</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536.4</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178.5</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137.6</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r>
      <w:tr>
        <w:trPr>
          <w:trHeight w:val="217"/>
        </w:trPr>
        <w:tc>
          <w:tcPr>
            <w:tcW w:w="4020" w:type="dxa"/>
            <w:vAlign w:val="bottom"/>
          </w:tcPr>
          <w:p>
            <w:pPr>
              <w:ind w:left="160"/>
              <w:spacing w:after="0"/>
              <w:rPr>
                <w:sz w:val="20"/>
                <w:szCs w:val="20"/>
                <w:color w:val="auto"/>
              </w:rPr>
            </w:pPr>
            <w:r>
              <w:rPr>
                <w:rFonts w:ascii="Arial" w:cs="Arial" w:eastAsia="Arial" w:hAnsi="Arial"/>
                <w:sz w:val="16"/>
                <w:szCs w:val="16"/>
                <w:color w:val="auto"/>
              </w:rPr>
              <w:t>Operating (loss) income from continuing operations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26.4</w:t>
            </w:r>
          </w:p>
        </w:tc>
      </w:tr>
      <w:tr>
        <w:trPr>
          <w:trHeight w:val="33"/>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 net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51"/>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4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28</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Nine Months Ended September 30, 2012</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Guarantors on a</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38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w w:val="99"/>
              </w:rPr>
              <w:t>Parent Company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tcPr>
          <w:p>
            <w:pPr>
              <w:jc w:val="right"/>
              <w:ind w:right="138"/>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35.1</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acquisitions, net of cash acquired</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(Increase) decrease in restricted cash</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0.5</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(160.9)</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4060" w:type="dxa"/>
            <w:vAlign w:val="bottom"/>
          </w:tcPr>
          <w:p>
            <w:pPr>
              <w:ind w:left="160"/>
              <w:spacing w:after="0"/>
              <w:rPr>
                <w:sz w:val="20"/>
                <w:szCs w:val="20"/>
                <w:color w:val="auto"/>
              </w:rPr>
            </w:pPr>
            <w:r>
              <w:rPr>
                <w:rFonts w:ascii="Arial" w:cs="Arial" w:eastAsia="Arial" w:hAnsi="Arial"/>
                <w:sz w:val="16"/>
                <w:szCs w:val="16"/>
                <w:color w:val="auto"/>
                <w:w w:val="93"/>
              </w:rPr>
              <w:t>Proceeds from the issuance of common stock for cash, net</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060" w:type="dxa"/>
            <w:vAlign w:val="bottom"/>
          </w:tcPr>
          <w:p>
            <w:pPr>
              <w:ind w:left="160"/>
              <w:spacing w:after="0"/>
              <w:rPr>
                <w:sz w:val="20"/>
                <w:szCs w:val="20"/>
                <w:color w:val="auto"/>
              </w:rPr>
            </w:pPr>
            <w:r>
              <w:rPr>
                <w:rFonts w:ascii="Arial" w:cs="Arial" w:eastAsia="Arial" w:hAnsi="Arial"/>
                <w:sz w:val="16"/>
                <w:szCs w:val="16"/>
                <w:color w:val="auto"/>
              </w:rPr>
              <w:t>of issuance costs</w:t>
            </w:r>
          </w:p>
        </w:tc>
        <w:tc>
          <w:tcPr>
            <w:tcW w:w="480" w:type="dxa"/>
            <w:vAlign w:val="bottom"/>
          </w:tcPr>
          <w:p>
            <w:pPr>
              <w:spacing w:after="0"/>
              <w:rPr>
                <w:sz w:val="17"/>
                <w:szCs w:val="17"/>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97.0</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contingent acquisition consideration</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Debt issuance costs</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Borrowings under line of credit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40.0</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Repayment of debt</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Financing from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91.6</w:t>
            </w: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2.1</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48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0.1</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40" w:type="dxa"/>
            <w:vAlign w:val="bottom"/>
            <w:gridSpan w:val="2"/>
            <w:shd w:val="clear" w:color="auto" w:fill="CCEEFF"/>
          </w:tcPr>
          <w:p>
            <w:pPr>
              <w:jc w:val="center"/>
              <w:ind w:left="36"/>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3"/>
          </w:tcPr>
          <w:p>
            <w:pPr>
              <w:jc w:val="center"/>
              <w:ind w:right="1039"/>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Nine Months Ended September 29, 2013</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Parent</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138"/>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11.0</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Decrease in restricted cash</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0.5</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43"/>
        </w:trPr>
        <w:tc>
          <w:tcPr>
            <w:tcW w:w="4520" w:type="dxa"/>
            <w:vAlign w:val="bottom"/>
          </w:tcPr>
          <w:p>
            <w:pPr>
              <w:ind w:left="100"/>
              <w:spacing w:after="0"/>
              <w:rPr>
                <w:sz w:val="20"/>
                <w:szCs w:val="20"/>
                <w:color w:val="auto"/>
              </w:rPr>
            </w:pPr>
            <w:r>
              <w:rPr>
                <w:rFonts w:ascii="Arial" w:cs="Arial" w:eastAsia="Arial" w:hAnsi="Arial"/>
                <w:sz w:val="16"/>
                <w:szCs w:val="16"/>
                <w:color w:val="auto"/>
              </w:rPr>
              <w:t>Cash paid for contingent acquisition consideration</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Financings from affiliated companies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1.2</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cash provided by (used in) financing activities from continuing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30.8</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0.2</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0.5</w:t>
            </w: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0.1</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240" w:top="125" w:right="4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30, 2012 filed with the Securities and Exchange Commission on March 12, 2013.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services and solutions for domestic and international customers, with our principal customers being national security related agencies of the U.S. Government. Our core capabilities are sophisticated engineering, manufacturing, system integration, and test and evaluation offerings for national related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manufacture and design specialized electronic components, subsystems and systems for electronic attack, electronic warfare, radar, intelligence, surveillance and reconnaissance,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specialized skills, extensive list of past performance qualifications, and significant management and operational capabilities position us for continued growth.</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2011, Congress and the Administration enacted the Budget Control Act of 2011 (the “Budget Control Act”) in order to permit an increase in the federal government's borrowing limit while reducing projected net government spending over the following ten years. The Budget Control Act required $900 billion in immediate cuts to discretionary spending for 2012-2021. It also established a bi-partisan congressional Joint Select Committee on Deficit Reduction (the “Joint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continues over a nine-year period.</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on March 1, 2013, entitled “</w:t>
      </w:r>
      <w:r>
        <w:rPr>
          <w:rFonts w:ascii="Arial" w:cs="Arial" w:eastAsia="Arial" w:hAnsi="Arial"/>
          <w:sz w:val="17"/>
          <w:szCs w:val="17"/>
          <w:i w:val="1"/>
          <w:iCs w:val="1"/>
          <w:color w:val="auto"/>
        </w:rPr>
        <w:t>OMB Report to the Congress</w:t>
      </w:r>
      <w:r>
        <w:rPr>
          <w:rFonts w:ascii="Arial" w:cs="Arial" w:eastAsia="Arial" w:hAnsi="Arial"/>
          <w:sz w:val="17"/>
          <w:szCs w:val="17"/>
          <w:color w:val="auto"/>
        </w:rPr>
        <w:t xml:space="preserve"> </w:t>
      </w:r>
      <w:r>
        <w:rPr>
          <w:rFonts w:ascii="Arial" w:cs="Arial" w:eastAsia="Arial" w:hAnsi="Arial"/>
          <w:sz w:val="17"/>
          <w:szCs w:val="17"/>
          <w:i w:val="1"/>
          <w:iCs w:val="1"/>
          <w:color w:val="auto"/>
        </w:rPr>
        <w:t>on the Joint Committee Sequestration,</w:t>
      </w:r>
      <w:r>
        <w:rPr>
          <w:rFonts w:ascii="Arial" w:cs="Arial" w:eastAsia="Arial" w:hAnsi="Arial"/>
          <w:sz w:val="17"/>
          <w:szCs w:val="17"/>
          <w:color w:val="auto"/>
        </w:rPr>
        <w:t>” calculated that, over the course of the fiscal year, the order requires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April 10, 2013, the President delivered his proposed Fiscal Year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funds federal agencies only until January 15, 2014, and at the FY 2013 enacted levels, which reflect the first sequestration cuts that took effect in March and a discretionary funding level of $986 billion, the amount available to the appropriators to fund FY 2014 federal government programs.</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delay in the sequester has left the Department of Defense ("DoD") less time to enact 2013 automatic spending cuts and adds to the uncertainty from such cuts. The nation's debt ceiling, as noted above, is currently scheduled to be reached on February 7, 2014 with current budget spending levels authorized through January 15, 2014. Although we are not yet able to determine all program specific impacts, we expect the reduced FY 2013 and FY 2014 budget levels will result in lower or delayed awards on some of our programs and the related impacts to company revenues, earnings and cash flows will likely follow reduced or delayed awards.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Despite the sequestration order and the budget debate, we believe that spending on modernization and maintenance of foundational and strategic defense, national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electronic warfare, ballistic missile defense, satellite communications, space programs and science and technology efforts. Nevertheless, the actual impact of sequestration and the federal budget debates are uncertain at this time, and we cannot be sure that these events will not have a significant adverse effect on our business and results of operations. See the risk factor entitled “The U.S. Government provides a significant portion of our revenue, and our business could be adversely affected by changes in the fiscal policies of the U.S. Government and governmental entities” in Part II, Item 1A, "Risk Factors" of the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12 of the notes to the condensed consolidated financial statements. From a customer and solutions perspective, we view our business as an integrated whole, leveraging skills and assets wherever possible.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w:t>
      </w:r>
    </w:p>
    <w:p>
      <w:pPr>
        <w:spacing w:after="0" w:line="14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July 2, 2012, we completed the acquisition of CEi for approximately $164.0 million. The purchase price, including an adjustment for working capital and cash paid to the shareholders for a 338(h)(10) election of the Internal Revenue Code ("IRC"), included $135.0 million in cash and 4.0 million shares of our common stock, valued at $5.94 per share on July 2, 2012, or $23.8 million. $10.7 million of the cash paid was placed into an escrow account as security for CEi's indemnification obligations as set forth in the CEi purchase agreement and was reduced by $1.0 million to pay the working capital adjustment paid to us in July 2013, at which time the remaining escrow was released to the sellers. In addition, $2.5 million was paid to retire certain pre-existing CEi debt and settle pre-existing accounts receivable from CEi at its carrying and fair value of $3.0 million. We made an election under Section 338(h)</w:t>
      </w:r>
    </w:p>
    <w:p>
      <w:pPr>
        <w:spacing w:after="0" w:line="5" w:lineRule="exact"/>
        <w:rPr>
          <w:sz w:val="20"/>
          <w:szCs w:val="20"/>
          <w:color w:val="auto"/>
        </w:rPr>
      </w:pPr>
    </w:p>
    <w:p>
      <w:pPr>
        <w:ind w:right="120" w:firstLine="8"/>
        <w:spacing w:after="0" w:line="255"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IRC, which resulted in tax deductible goodwill related to this transaction and as a result paid approximately $1.6 million in additional tax liability incurred by the shareholders of CEi for this election. We estimate the tax deductible goodwill and intangibles is approximately $140.6 million and can be deducted for federal and California state income taxes over a 15-year period.</w:t>
      </w:r>
    </w:p>
    <w:p>
      <w:pPr>
        <w:spacing w:after="0" w:line="1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completion of the CEi transaction, certain CEi personnel entered into long-term employment agreements with us. On July 2, 2012, we granted restricted stock units ("RSUs") for an aggregate of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fund the purchase price of CEi.</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December 30, 2011, we acquired a Critical Infrastructure Business for approximately $18.8 million, which includes a final agreement on the working capital adjustment.</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29, 2013, we consider the following factors to be important in understanding our financial statements.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to our PSS segment customers under fixed price contracts, we utilize both cost-to-cost and units produced measures under the percentage-of-completion method of accounting under the provisions of Financial Accounting Standards Board (“FASB”) Accounting Standards Codification (“ASC”)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the units produced measure of the percentage-of-completion method of accounting, sales are recognized as the units are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30, 2012 to the Three Months Ended September 29, 2013</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$49.9 million from $276.3 million for the three months ended September 30, 2012 to $226.4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29, 2013. KGS segment revenue decreased by $48.9 million. This decrease was primarily due to a decline in shipments of our defense products in our ground equipment, electronic warfare, aerial targets and satellite communications businesses, due in part to a delay in orders and awards as a result of the existing federal government and DoD funding environment, and continued ongoing weakness and increased competition in our legacy government services businesses and delays in service programs as a result of the continuing resolution and uncertainty related to sequestration. PSS segment revenue decreased by $1.0 million. Revenues by operating segment for the three months ended September 30, 2012 and September 29, 2013 are as follows (dollars in millions):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2013</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sales decreased $33.1 million from $150.7 million for the three months ended September 30, 2012 to $117.6 million for the three months ended September 29, 2013, primarily as a result of the decline in product shipments discussed above. As a percentage of total revenue, product sales were 54.5% for the three months ended September 30, 2012 as compared to 51.9% for the three months ended September 29, 2013. Service revenues decreased by $16.8 million from $125.6 million for the three months ended September 30, 2012 to $108.8 million for the three months ended September 29, 2013. The decrease was primarily related to the reductions in the legacy government service revenues of approximately $5.0 million and other service contracts the KGS segment.</w:t>
      </w:r>
    </w:p>
    <w:p>
      <w:pPr>
        <w:spacing w:after="0" w:line="19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$28.1 million from $202.2 million for the three months ended September 30, 2012 to $174.1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29, 2013. The decrease in cost of revenues was primarily a result of the changes discussed above.</w:t>
      </w:r>
    </w:p>
    <w:p>
      <w:pPr>
        <w:spacing w:after="0" w:line="147"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Gross margin decreased from 26.8% for the three months ended September 30, 2012 to 23.1% for the three months ended September 29, 2013. Margins on services increased for the three months ended September 30, 2012 as compared to September 29, 2013, from 21.7% to 24.3%, respectively, due primarily to increased margins in our KGS segment. Margins on products decreased for the three months ended September 30, 2012 as compared to September 29, 2013 from 31.1% to 22.0%, respectively, as a result of increased costs recorded on certain aerial target contracts in the third quarter to reflect retrofits necessary to address a design issue, as well as to a lesser degree due to a mix of products shipped. Margins in the KGS segment decreased from</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27.4% for the three months ended September 30, 2012 to 22.6% for the three months ended September 29, 2013, primarily as a result of the design retrofit costs and mix of products shipped. Margins in the PSS segment remained fairly flat at 24.2% for the three months ended September 30, 2012 and 24.7% for the three months ended September 29, 2013.</w:t>
      </w:r>
    </w:p>
    <w:p>
      <w:pPr>
        <w:spacing w:after="0" w:line="19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decreased $6.7 million from $54.5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2012 to $47.8 million for the three months ended September 29, 2013. As a percentage of revenues, SG&amp;A increased from 19.7% to 21.1%. Excluding amortization of intangibles of $13.0 million for the three months ended September 30, 2012 and amortization of intangibles of $9.0 million for the three months ended September 29, 2013, SG&amp;A increased as a percentage of revenues from 15.0% to 17.1% for the three months ended September 30, 2012 and September 29, 2013, respectively, primarily as a result of increases in certain infrastructure costs including information technology and network security.</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of $0.3 million for the three months ended September 30, 2012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acquisition of CEi, and $0.2 million for the three months ended September 29, 2013 were related to legal costs associated with an acquired entity.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$4.5 million for the three months ended September 30,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for the three months ended September 29, 2013.</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Unused office space and other restructuring. </w:t>
      </w:r>
      <w:r>
        <w:rPr>
          <w:rFonts w:ascii="Arial" w:cs="Arial" w:eastAsia="Arial" w:hAnsi="Arial"/>
          <w:sz w:val="18"/>
          <w:szCs w:val="18"/>
          <w:color w:val="auto"/>
        </w:rPr>
        <w:t>The expense of $0.7 million for the three months ended September 30, 2012 was a result of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our excess facility accrual due to consolidation of office space at our Lanham, Maryland administrative facilities. The benefit of $6.6 million for the three months ended September 29, 2013 was primarily due to a change in the necessary estimated excess facility accrual of office space at our Colombia, Maryland administrative facilities partially offset by expenses related to workforce reductions as a result of cost reduction initiatives we have implemented across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$17.2 million to $15.4 million for the three months ended September 30,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2013, respectively. The decrease in expense of $1.8 million is primarily related to a year over year reduction in the benefit of foreign currency transaction gains, and a reduction in interest expense.</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for the three months ended September 30, 2012 and September 29, 2013 was $1.3 million and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on a loss of $3.1 and $9.3 million before income taxes, respectively. The tax expense of $1.3 million and of $0.2 million for the three months ended September 30, 2012 and September 29, 2013, respectively,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73" w:lineRule="exact"/>
        <w:rPr>
          <w:sz w:val="20"/>
          <w:szCs w:val="20"/>
          <w:color w:val="auto"/>
        </w:rPr>
      </w:pPr>
    </w:p>
    <w:p>
      <w:pPr>
        <w:ind w:firstLine="693"/>
        <w:spacing w:after="0" w:line="276"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Revenue from discontinued operations was $6.0 million and $0.0 million, tax expense was $0.0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$0.0 million, and income (loss) from discontinued operations was $0.2 million and $(0.4) million for the three months ended September 30, 2012 and September 29, 2013, respectively. The revenue and income for the three months ended September 30, 2012 and September 29, 2013 was primarily related to operations of the non-core businesses from the Integral acquisition that have been classified as held for sale. See Note 8 of the Notes to the Condensed Consolidated Financial Statements for a further discussion of our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30, 2012 to the Nine Months Ended September 29, 2013</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$9.3 million from $705.6 million for the nine months ended September 30, 2012 to $714.9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29, 2013. KGS segment revenue decreased by $7.4 million. This decrease was primarily due to a decline in shipments of defense products, due in part to a delay in orders and awards as a result of the existing federal government and DoD funding environment, continued ongoing weakness and increased competition in our legacy government services businesses of $12.5 million and delays in service programs as a result of the continuing resolution and uncertainty related to sequestration. PSS segment revenue increased by $16.7 million which was primarily due to organic growth driven primarily by an increase in revenue from large metropolitan transit authority and other programs. Revenues by operating segment for the nine months ended September 30, 2012 and September 29, 2013 are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2012</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2013</w:t>
            </w:r>
          </w:p>
        </w:tc>
        <w:tc>
          <w:tcPr>
            <w:tcW w:w="26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3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3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3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3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Product sales increased $14.1 million from $365.8 million for the nine months ended September 30, 2012 to $379.9 million for the nine months ended September 29, 2013. As a percentage of total revenue, product sales were 51.8% for the nine months ended September 30, 2012 as compared to</w:t>
      </w:r>
    </w:p>
    <w:p>
      <w:pPr>
        <w:ind w:right="220"/>
        <w:spacing w:after="0" w:line="254" w:lineRule="auto"/>
        <w:rPr>
          <w:sz w:val="20"/>
          <w:szCs w:val="20"/>
          <w:color w:val="auto"/>
        </w:rPr>
      </w:pPr>
      <w:r>
        <w:rPr>
          <w:rFonts w:ascii="Arial" w:cs="Arial" w:eastAsia="Arial" w:hAnsi="Arial"/>
          <w:sz w:val="18"/>
          <w:szCs w:val="18"/>
          <w:color w:val="auto"/>
        </w:rPr>
        <w:t>53.1% for the nine months ended September 29, 2013. This increase was primarily related to the acquisition of CEi. Service revenues decreased by $4.8 million from $339.8 million for the nine months ended September 30, 2012 to $335.0 million for the nine months ended September 29, 2013. The decrease was primarily related to the reductions in the legacy government services revenue and other service contracts in the KGS segment, as discussed above, partially offset by the organic growth in the PSS segment.</w:t>
      </w:r>
    </w:p>
    <w:p>
      <w:pPr>
        <w:spacing w:after="0" w:line="19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$516.4 million for the nine months ended September 30, 2012 to $536.4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29, 2013. The $20.0 million increase in cost of revenues was primarily a result of the acquisitions of CEi and costs related to revenue from organic growth in our PSS segment as discussed above.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Gross margin decreased from 26.8% for the nine months ended September 30, 2012 to 25.0% for the nine months ended September 29, 2013. Margins on services increased from 22.1% for the nine months ended September 30, 2012 to 24.1%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nine months ended September 29, 2013, due primarily to increased margins in our KGS segment. Margins on products decreased for the nine months ended September 30, 2012 as compared to September 29, 2013 from 31.2% to 25.7%, respectively, as a result of increased costs recorded on certain aerial target contracts in the third quarter design retrofit, as well to a mix of products shipped. Margins in the PSS segment remained flat at 25.8% for the nine months ended September 30, 2012 and for the nine months ended September 29, 2013.</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increased $4.0 million from $140.9 million for the nine months ended September 30,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$144.9 million for the nine months ended September 29, 2013. The increase was primarily a result of the acquisitions of CEi, which had SG&amp;A of $6.9 million. As a percentage of revenues, SG&amp;A increased from 20.0% to 20.3%. Excluding amortization of intangibles of $32.4 million for the nine months ended September 30, 2012 and amortization of intangibles of $27.3 million for the nine months ended September 29, 2013, SG&amp;A increased as a percentage of revenues from 15.4% to 16.4% for the nine months ended September 30, 2012 and September 29, 2013, respectively, primarily reflecting increases in certain infrastructure costs, including information technology, network security, and non-recurring audit fees related to our change in external auditors.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of $2.7 million for the nine months ended September 30, 2012,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acquisition of CEi. The benefit of $2.3 million for the nine months ended September 29, 2013, was due to the reduction in a $3.1 million liability as a result of the final settlement of our indemnity obligations related to former directors and officers of Integral on July 1, 2013, partially offset by other merger expenses and legal fees related to prior acquisitions. See Note 13 of the Notes to the Condensed Consolidated Financial Statements for a further discussion of our indemnity obligations.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$12.9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to $14.5 million for the nine months ended September 29, 2013, primarily due to select investments we are making to enhance certain satellite and electronic warfare/electronic attack products and the acquisition of CEi.</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Unused office space and other restructuring. </w:t>
      </w:r>
      <w:r>
        <w:rPr>
          <w:rFonts w:ascii="Arial" w:cs="Arial" w:eastAsia="Arial" w:hAnsi="Arial"/>
          <w:sz w:val="16"/>
          <w:szCs w:val="16"/>
          <w:color w:val="auto"/>
        </w:rPr>
        <w:t>The expense of $2.1 million for the nine months ended September 30, 2012 was a result of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excess facility accrual due to consolidation of office space at our Lanham, Maryland administrative facilities. The credit of $5.0 million for the nine months ended September 29, 2013 was due to a reduction in the excess facility accrual of office space at the Columbia, Maryland administrative facilities, partially offset by expenses related to workforce reductions as a result of cost reduction initiatives we have implemented across the Company.</w:t>
      </w:r>
    </w:p>
    <w:p>
      <w:pPr>
        <w:spacing w:after="0" w:line="3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$48.6 million to $48.5 million for the nine months ended September 30,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29, 2013, respectively. The decrease in expense of $0.1 million is primarily related to a change in foreign currency transactions. We had other income of $1.3 million and $0.2 million for the nine months ended September 30, 2012 and September 29, 2013, respectively, primarily related to foreign currency transactions.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for the nine months ended September 30, 2012 and September 29, 2013 was $3.8 million and $2.9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on a loss of $18.0 million and $22.1 million before income taxes, respectively. The tax expense of $3.8 million and $2.9 million for the nine months ended September 30, 2012 and September 29, 2013, respectively,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Revenue from discontinued operations was $13.3 million and $3.6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2012 and September 29, 2013, respectively. There was a tax benefit of $0.1 million in 2012 and a tax expense of $0.0 million in 2013, and loss from discontinued operations was $2.6 million and $4.8 million for the nine months ended September 30, 2012 and September 29, 2013, respectively. The revenue and loss for the nine months ended September 30, 2012 and September 29, 2013 was primarily related to operations of the non-core businesses from the Integral acquisition that have been classified as held for sale. During the nine months ended September 29, 2013, we recorded a $1.2 million impairment charge related to our revised estimate of the fair value of these operations. See Note 8 of the Notes to the Condensed Consolidated Financial Statements for a further discussion of our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September 30, 2012 and September 29, 2013, our backlog was approximately $1.3 billion and $1.1 billion, respectively, of which $692.0 million was funded in 2012 and $543.0 million was funded in 2013. Backlog is our estimate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September 29, 2013, we had cash and cash equivalents of $49.8 million compared with cash and cash equivalents of $49.0 million as of December 30, 2012, which includes $19.0 million and $15.2 million, respectively, of cash and cash equivalents held by our foreign subsidiaries. We are not presently aware of any restrictions on the repatriation of these funds, although a portion may be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$15.6 million received on Notes issued, decreased by $4.2 million from $650.3 million on December 30, 2012 to $646.1 million on September 29, 2013. The decrease in debt was primarily the result of the amortization of the premium on the Notes of approximately $3.1 million and a $0.8 million principal payment on a ten-year term loan with a bank in Israel.</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Financing increases in inventory balances is necessary to fulfill shipment requirements to meet the delivery schedules of our customers. Cash from continuing operations is primarily derived from our customer contracts in progress and associated changes in working capital components. Our Days Sales Outstanding (DSOs) have increased from 94 days at December 30, 2012 to 108 days as of September 29, 2013 primarily as a result of certain contractual milestones that have not yet been attained and therefore we are unable to bill for amounts outstanding related to those milestones. In addition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current DoD budgetary environment which has caused some delays in obtaining funding necessary to proceed with invoicing, has impacted our DSOs as well. Our accounts receivable balance of $269.0 million at September 29, 2013 includes $1.3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resumed on the project. We currently expect product shipments to continue through late 2013 when the final shipment is delivered.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22"/>
                <w:szCs w:val="22"/>
                <w:color w:val="auto"/>
              </w:rPr>
            </w:pPr>
          </w:p>
        </w:tc>
        <w:tc>
          <w:tcPr>
            <w:tcW w:w="1500" w:type="dxa"/>
            <w:vAlign w:val="bottom"/>
          </w:tcPr>
          <w:p>
            <w:pPr>
              <w:jc w:val="right"/>
              <w:ind w:right="159"/>
              <w:spacing w:after="0"/>
              <w:rPr>
                <w:sz w:val="20"/>
                <w:szCs w:val="20"/>
                <w:color w:val="auto"/>
              </w:rPr>
            </w:pPr>
            <w:r>
              <w:rPr>
                <w:rFonts w:ascii="Arial" w:cs="Arial" w:eastAsia="Arial" w:hAnsi="Arial"/>
                <w:sz w:val="14"/>
                <w:szCs w:val="14"/>
                <w:b w:val="1"/>
                <w:bCs w:val="1"/>
                <w:color w:val="auto"/>
                <w:w w:val="94"/>
              </w:rPr>
              <w:t>September 29, 2013</w:t>
            </w:r>
          </w:p>
        </w:tc>
      </w:tr>
      <w:tr>
        <w:trPr>
          <w:trHeight w:val="24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provided by operating activities from continuing operations includes $3.1 million and $0.6 million in transaction costs paid related to our acquisitions for the nine months ended September 30, 2012 and September 29, 2013,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29, 2013</w:t>
            </w:r>
          </w:p>
        </w:tc>
      </w:tr>
      <w:tr>
        <w:trPr>
          <w:trHeight w:val="23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Proceeds from the sale of discontinued operations</w:t>
            </w: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5740" w:type="dxa"/>
            <w:vAlign w:val="bottom"/>
          </w:tcPr>
          <w:p>
            <w:pPr>
              <w:ind w:left="3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Cash paid for acquisitions was the most significant outlay for investing activities for the nine months ended September 30, 2012, as a result of the implementation of our strategy to diversify our business through strategic acquisitions. On December 30, 2011, we acquired selected assets of the Critical Infrastructure Business for approximately $18.8 million. On July 2, 2012, we completed the acquisition of CEI and paid approximately $135.0 million for the cash portion of the purchase of CEI common stock and to retire CEI's existing debt and capital leases. We reached settlements of the total working capital adjustments owed to us for these acquisitions of $2.2 million which we received in 2013.</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in which to conduct our business. The increase in capital expenditures of $0.2 million from $12.0 million for the nine months ended September 30, 2012 to $12.2 million for the nine months ended September 29, 2013 was primarily a result of capital equipment expenditures made by CEi.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used in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2"/>
                <w:szCs w:val="22"/>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29, 2013</w:t>
            </w:r>
          </w:p>
        </w:tc>
      </w:tr>
      <w:tr>
        <w:trPr>
          <w:trHeight w:val="236"/>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5800" w:type="dxa"/>
            <w:vAlign w:val="bottom"/>
          </w:tcPr>
          <w:p>
            <w:pPr>
              <w:ind w:left="38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340" w:firstLine="693"/>
        <w:spacing w:after="0" w:line="302" w:lineRule="auto"/>
        <w:rPr>
          <w:sz w:val="20"/>
          <w:szCs w:val="20"/>
          <w:color w:val="auto"/>
        </w:rPr>
      </w:pPr>
      <w:r>
        <w:rPr>
          <w:rFonts w:ascii="Arial" w:cs="Arial" w:eastAsia="Arial" w:hAnsi="Arial"/>
          <w:sz w:val="16"/>
          <w:szCs w:val="16"/>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to fund a portion of the cash consideration paid to the stockholders of CEi in connection with our acquisition of CEi on July 2, 2012.</w:t>
      </w:r>
    </w:p>
    <w:p>
      <w:pPr>
        <w:spacing w:after="0" w:line="154" w:lineRule="exact"/>
        <w:rPr>
          <w:sz w:val="20"/>
          <w:szCs w:val="20"/>
          <w:color w:val="auto"/>
        </w:rPr>
      </w:pPr>
    </w:p>
    <w:p>
      <w:pPr>
        <w:ind w:right="2160" w:firstLine="648"/>
        <w:spacing w:after="0" w:line="277" w:lineRule="auto"/>
        <w:rPr>
          <w:sz w:val="20"/>
          <w:szCs w:val="20"/>
          <w:color w:val="auto"/>
        </w:rPr>
      </w:pPr>
      <w:r>
        <w:rPr>
          <w:rFonts w:ascii="Arial" w:cs="Arial" w:eastAsia="Arial" w:hAnsi="Arial"/>
          <w:sz w:val="18"/>
          <w:szCs w:val="18"/>
          <w:color w:val="auto"/>
        </w:rPr>
        <w:t>In April 2012, we paid $2.5 million in contingent acquisition consideration related to the DEI performance milestones achieved in 2011. In April 2013, we paid the remaining $2.1 million of DEI Contingent Consideration 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2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September 29, 2013</w:t>
            </w: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0.5</w:t>
            </w:r>
          </w:p>
        </w:tc>
      </w:tr>
      <w:tr>
        <w:trPr>
          <w:trHeight w:val="27"/>
        </w:trPr>
        <w:tc>
          <w:tcPr>
            <w:tcW w:w="4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fund our acquisitions, we issued equity and increased our leverage through a series of financing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(as amended or supplemented the “Indenture”), to issue the Notes. As of September 29, 2013, we have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8.9%.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9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judgments and changes in control. As of September 29, 2013, we were in compliance with the covenants contained in the Indenture governing the Notes.</w:t>
      </w:r>
    </w:p>
    <w:p>
      <w:pPr>
        <w:spacing w:after="0" w:line="24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date of redemption,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On November 14, 2011, the Company entered into a first amendment (the “First Amendment”) with certain lenders and KeyBank that amended the 2011 Credit Agreement. Among other things, the First Amendment: (i) increased the amount of the Amended Revolver from $65.0 million to $90.0 million;</w:t>
      </w:r>
    </w:p>
    <w:p>
      <w:pPr>
        <w:ind w:right="20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4" w:lineRule="exact"/>
        <w:rPr>
          <w:sz w:val="20"/>
          <w:szCs w:val="20"/>
          <w:color w:val="auto"/>
        </w:rPr>
      </w:pPr>
    </w:p>
    <w:p>
      <w:pPr>
        <w:ind w:right="8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71"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 with a $40.0 million borrowing under the Amended Revolver, to fund the purchase of the CEi and to pay related fees and expenses. As of September 30, 2012, we repaid the $40.0 million borrowing under our credit facility.</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27, 2013, we entered into a fourth amendment (the "Fourth Amendment") to the 2011 Credit Agreement. Under the terms of the Fourth Amendment, the definition of certain terms of the 2011 Credit Agreement and reporting requirements were modified.</w:t>
      </w:r>
    </w:p>
    <w:p>
      <w:pPr>
        <w:spacing w:after="0" w:line="170" w:lineRule="exact"/>
        <w:rPr>
          <w:sz w:val="20"/>
          <w:szCs w:val="20"/>
          <w:color w:val="auto"/>
        </w:rPr>
      </w:pPr>
    </w:p>
    <w:p>
      <w:pPr>
        <w:ind w:right="820" w:firstLine="567"/>
        <w:spacing w:after="0" w:line="277" w:lineRule="auto"/>
        <w:rPr>
          <w:sz w:val="20"/>
          <w:szCs w:val="20"/>
          <w:color w:val="auto"/>
        </w:rPr>
      </w:pPr>
      <w:r>
        <w:rPr>
          <w:rFonts w:ascii="Arial" w:cs="Arial" w:eastAsia="Arial" w:hAnsi="Arial"/>
          <w:sz w:val="18"/>
          <w:szCs w:val="18"/>
          <w:color w:val="auto"/>
        </w:rPr>
        <w:t>The amounts of borrowings that may be made under the Amended Revolver are based on a borrowing base and are comprised of specified percentages of eligible receivables, eligible unbilled receivables and eligible inventory. If the amount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8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September 29, 2013, there were no outstanding borrowings on the Amended Revolver and $15.1 million was outstanding on letters of credit resulting in net borrowing base availability of $74.6 million. We were in compliance with the financial covenants as of September 29,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September 29, 2013 was $5.0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September 29, 2013.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we were obligated to pay certain additional contingent consideration (the “DEI Contingent Consideration”). We have paid $5.0 million related to the DEI Contingent Consideration, of which $2.5 million and $2.1 million was paid in April 2012 and April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values of assets and liabilities. Actual results may differ from these estimates.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nine months ended September 29, 2013,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July 2013, the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1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December 2011 and February 2013, the FASB issued an amendment to the Balance Sheet topic of the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Cash and cash equivalents as of September 29, 2013 were $49.8 million and are primarily invested in money market interest bearing accounts. A hypothetical 10% adverse change in the average interest rate on our money market cash investments and short-term investments would have had no material effect on our net loss for the nine months ended September 29, 2013.</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29,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September 29, 2013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13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30, 2012, which we filed with the SEC on March 12, 2013.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30, 2012, as well as additional risks and uncertainties not currently known to us or that we currently deem immaterial, could materially and adversely affect our results of operations or financial condition or cash flow.</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nine month period ended September 29, 2013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5" w:right="1440"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09/14/2007</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09/27/2009</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880" w:type="dxa"/>
            <w:vAlign w:val="bottom"/>
          </w:tcPr>
          <w:p>
            <w:pPr>
              <w:jc w:val="center"/>
              <w:ind w:right="330"/>
              <w:spacing w:after="0"/>
              <w:rPr>
                <w:sz w:val="20"/>
                <w:szCs w:val="20"/>
                <w:color w:val="auto"/>
              </w:rPr>
            </w:pPr>
            <w:r>
              <w:rPr>
                <w:rFonts w:ascii="Arial" w:cs="Arial" w:eastAsia="Arial" w:hAnsi="Arial"/>
                <w:sz w:val="18"/>
                <w:szCs w:val="18"/>
                <w:color w:val="auto"/>
              </w:rPr>
              <w:t>8-K/A</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06/05/2002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03/15/2011</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12/26/2010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05/15/2012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5500" w:space="120"/>
            <w:col w:w="5800"/>
          </w:cols>
          <w:pgMar w:left="240" w:top="125"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06/28/2010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Jefferies &amp; Company, Inc., KeyBanc Capital Markets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Eric M. DeMarco.</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Deanna Lund.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04/04/2011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655"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right"/>
              <w:ind w:right="40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Solutions, Inc. for the quarter ended September 29,</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2013, formatted in XBRL: (i) the Condensed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 (ii) the Condensed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Operations and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Comprehensive Income, (iii) the Condensed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(iv) the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Notes to the Condensed Consolidated Financial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Statements.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540" w:firstLine="8"/>
        <w:spacing w:after="0" w:line="308" w:lineRule="auto"/>
        <w:tabs>
          <w:tab w:leader="none" w:pos="2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Acting Principal Accounting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7, 2013</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51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29, 2013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29, 2013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2"/>
    </w:lvl>
  </w:abstractNum>
  <w:abstractNum w:abstractNumId="3">
    <w:nsid w:val="140E0F76"/>
    <w:multiLevelType w:val="hybridMultilevel"/>
    <w:lvl w:ilvl="0">
      <w:lvlJc w:val="left"/>
      <w:lvlText w:val="(%1)"/>
      <w:numFmt w:val="lowerLetter"/>
      <w:start w:val="3"/>
    </w:lvl>
  </w:abstractNum>
  <w:abstractNum w:abstractNumId="4">
    <w:nsid w:val="3352255A"/>
    <w:multiLevelType w:val="hybridMultilevel"/>
    <w:lvl w:ilvl="0">
      <w:lvlJc w:val="left"/>
      <w:lvlText w:val="(%1)"/>
      <w:numFmt w:val="lowerLetter"/>
      <w:start w:val="6"/>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2019-12-06T21:05:55Z</dcterms:created>
  <dcterms:modified xsi:type="dcterms:W3CDTF">2019-12-06T21:05:55Z</dcterms:modified>
</cp:coreProperties>
</file>